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40-appa.htm"/>
      <w:bookmarkStart w:id="1" w:name="ksform40appa"/>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812-16066</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U.S. 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EXPEDITED REVIEW REQUESTED UNDER 17 CFR 270.0-5(d)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NEOSTELLAR ADVISORS LLC, GSV CAPITAL LENDING, LLC, SURO CAPITAL SPORTS, LLC, SRCI ADVISORS, LLC, GSVC AE HOLDINGS, INC., GSVC AV HOLDINGS, INC., GSVC SW HOLDINGS, INC., GSVC SVDS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Magnetar financial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agreen@neostellaradvisors.com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mklein@neostellaradvisors.com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Karl Wachter,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Butler,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mike.butler@magnetar.com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9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Copies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payam.siadatpour@eversheds-sutherland.com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Clifford R. Cone,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Sidley Austin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787 Seventh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839-5300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cliff.cone@sidley.com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9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28" w:type="dxa"/>
          <w:left w:w="0" w:type="dxa"/>
          <w:bottom w:w="28" w:type="dxa"/>
          <w:right w:w="0" w:type="dxa"/>
        </w:tblCellMar>
      </w:tblPr>
      <w:tblGrid>
        <w:gridCol w:w="8394"/>
        <w:gridCol w:w="80"/>
        <w:gridCol w:w="1731"/>
      </w:tblGrid>
      <w:tr>
        <w:trPr/>
        <w:tc>
          <w:tcPr>
            <w:tcW w:w="10205" w:type="dxa"/>
            <w:gridSpan w:val="3"/>
            <w:tcBorders>
              <w:top w:val="single" w:sz="8" w:space="0" w:color="000000"/>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OF AMERICA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gridSpan w:val="3"/>
            <w:tcBorders/>
            <w:tcMar>
              <w:top w:w="0" w:type="dxa"/>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8394"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THE MATTER OF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NEOSTELLAR ADVISORS LLC, GSV CAPITAL LENDING, LLC, SURO CAPITAL SPORTS, LLC, SRCI ADVISORS, LLC, GSVC AE HOLDINGS, INC., GSVC AV HOLDINGS, INC., GSVC SW HOLDINGS, INC., GSVC SVDS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640 FIFTH AVENUE, 12TH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10019</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llc, Astrum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1603 Orrington Avenue, 13th Floor Evanston, IL 60201</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812-16066</w:t>
            </w:r>
          </w:p>
        </w:tc>
        <w:tc>
          <w:tcPr>
            <w:tcW w:w="80" w:type="dxa"/>
            <w:tcBorders/>
            <w:tcMar>
              <w:top w:w="0" w:type="dxa"/>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73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THE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FOR AN ORDER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SECTIONS 17(d) AND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57(i) OF THE INVESTMENT COMPANY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 OF 1940 AND RULE 17d-1 UNDER THE INVESTMENT COMPANY ACT OF</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1940 PERMITTING CERTAIN JOINT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OTHERWISE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BY SECTIONS 17(d) AND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57(a)(4) OF AND RULE 17d-1 UNDER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INVESTMENT COMPANY ACT OF 1940</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55"/>
        <w:gridCol w:w="27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APPLICATION</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Unless otherwise indicated, all section and rule references herein are to the 1940 Act and rules promulgated thereunder.</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 (the “</w:t>
            </w:r>
            <w:r>
              <w:rPr>
                <w:rFonts w:ascii="Times New Roman;Times;Serif" w:hAnsi="Times New Roman;Times;Serif"/>
                <w:b/>
                <w:i/>
                <w:caps w:val="false"/>
                <w:smallCaps w:val="false"/>
                <w:sz w:val="20"/>
              </w:rPr>
              <w:t>Existing Regulated Fund</w:t>
            </w:r>
            <w:r>
              <w:rPr>
                <w:rFonts w:ascii="Times New Roman;Times;Serif" w:hAnsi="Times New Roman;Times;Serif"/>
                <w:b w:val="false"/>
                <w:i w:val="false"/>
                <w:caps w:val="false"/>
                <w:smallCaps w:val="false"/>
                <w:sz w:val="20"/>
              </w:rPr>
              <w:t>”), a Maryland corporation that operates as an externally managed, closed-end non-diversified management investment company that has elected to be regulated as a business development company (“</w:t>
            </w:r>
            <w:r>
              <w:rPr>
                <w:rFonts w:ascii="Times New Roman;Times;Serif" w:hAnsi="Times New Roman;Times;Serif"/>
                <w:b/>
                <w:i/>
                <w:caps w:val="false"/>
                <w:smallCaps w:val="false"/>
                <w:sz w:val="20"/>
              </w:rPr>
              <w:t>BDC</w:t>
            </w:r>
            <w:r>
              <w:rPr>
                <w:rFonts w:ascii="Times New Roman;Times;Serif" w:hAnsi="Times New Roman;Times;Serif"/>
                <w:b w:val="false"/>
                <w:i w:val="false"/>
                <w:caps w:val="false"/>
                <w:smallCaps w:val="false"/>
                <w:sz w:val="20"/>
              </w:rPr>
              <w:t>”) under the 1940 Act;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(the “</w:t>
            </w:r>
            <w:r>
              <w:rPr>
                <w:rFonts w:ascii="Times New Roman;Times;Serif" w:hAnsi="Times New Roman;Times;Serif"/>
                <w:b/>
                <w:i/>
                <w:caps w:val="false"/>
                <w:smallCaps w:val="false"/>
                <w:sz w:val="20"/>
              </w:rPr>
              <w:t>BDC Adviser</w:t>
            </w:r>
            <w:r>
              <w:rPr>
                <w:rFonts w:ascii="Times New Roman;Times;Serif" w:hAnsi="Times New Roman;Times;Serif"/>
                <w:b w:val="false"/>
                <w:i w:val="false"/>
                <w:caps w:val="false"/>
                <w:smallCaps w:val="false"/>
                <w:sz w:val="20"/>
              </w:rPr>
              <w:t>”), a Delaware limited liability company that is an investment adviser registered under the Investment Advisers Act of 1940, as amended (the “</w:t>
            </w:r>
            <w:r>
              <w:rPr>
                <w:rFonts w:ascii="Times New Roman;Times;Serif" w:hAnsi="Times New Roman;Times;Serif"/>
                <w:b/>
                <w:i/>
                <w:caps w:val="false"/>
                <w:smallCaps w:val="false"/>
                <w:sz w:val="20"/>
              </w:rPr>
              <w:t>Advisers Act</w:t>
            </w:r>
            <w:r>
              <w:rPr>
                <w:rFonts w:ascii="Times New Roman;Times;Serif" w:hAnsi="Times New Roman;Times;Serif"/>
                <w:b w:val="false"/>
                <w:i w:val="false"/>
                <w:caps w:val="false"/>
                <w:smallCaps w:val="false"/>
                <w:sz w:val="20"/>
              </w:rPr>
              <w:t>”), and that serves as the investment adviser to the Existing Regulated Fund, on behalf of itself and its successors;</w:t>
            </w:r>
            <w:r>
              <w:rPr>
                <w:rFonts w:ascii="Times New Roman;Times;Serif" w:hAnsi="Times New Roman;Times;Serif"/>
                <w:b w:val="false"/>
                <w:i w:val="false"/>
                <w:caps w:val="false"/>
                <w:smallCaps w:val="false"/>
                <w:position w:val="7"/>
                <w:sz w:val="16"/>
                <w:sz w:val="20"/>
              </w:rPr>
              <w:t>2</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Financial LLC (“</w:t>
            </w:r>
            <w:r>
              <w:rPr>
                <w:rFonts w:ascii="Times New Roman;Times;Serif" w:hAnsi="Times New Roman;Times;Serif"/>
                <w:b/>
                <w:i/>
                <w:caps w:val="false"/>
                <w:smallCaps w:val="false"/>
                <w:sz w:val="20"/>
              </w:rPr>
              <w:t>Magnetar Financial</w:t>
            </w:r>
            <w:r>
              <w:rPr>
                <w:rFonts w:ascii="Times New Roman;Times;Serif" w:hAnsi="Times New Roman;Times;Serif"/>
                <w:b w:val="false"/>
                <w:i w:val="false"/>
                <w:caps w:val="false"/>
                <w:smallCaps w:val="false"/>
                <w:sz w:val="20"/>
              </w:rPr>
              <w:t>”), a Delaware limited liability company that is an investment adviser registered under the Advisers Act, and that serves as the investment adviser to certain Existing Affiliated Funds (as defined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Financial (UK) LLP (“</w:t>
            </w:r>
            <w:r>
              <w:rPr>
                <w:rFonts w:ascii="Times New Roman;Times;Serif" w:hAnsi="Times New Roman;Times;Serif"/>
                <w:b/>
                <w:i/>
                <w:caps w:val="false"/>
                <w:smallCaps w:val="false"/>
                <w:sz w:val="20"/>
              </w:rPr>
              <w:t>Magnetar UK</w:t>
            </w:r>
            <w:r>
              <w:rPr>
                <w:rFonts w:ascii="Times New Roman;Times;Serif" w:hAnsi="Times New Roman;Times;Serif"/>
                <w:b w:val="false"/>
                <w:i w:val="false"/>
                <w:caps w:val="false"/>
                <w:smallCaps w:val="false"/>
                <w:sz w:val="20"/>
              </w:rPr>
              <w:t>”), a United Kingdom limited liability partnership that is not registered under the Advisers Act and the investment adviser to certain Existing Affiliated Funds (and together with the BDC Adviser and Magnetar Financial, the “</w:t>
            </w:r>
            <w:r>
              <w:rPr>
                <w:rFonts w:ascii="Times New Roman;Times;Serif" w:hAnsi="Times New Roman;Times;Serif"/>
                <w:b/>
                <w:i/>
                <w:caps w:val="false"/>
                <w:smallCaps w:val="false"/>
                <w:sz w:val="20"/>
              </w:rPr>
              <w:t>Existing Advisers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MCP Investing LLC, an entity wholly owned by an affiliate of the Existing Advisers that, from time to time, will hold various financial assets in a principal capacity and that currently intends to participate in Co-Investment Transactions (in such capacity, the “</w:t>
            </w:r>
            <w:r>
              <w:rPr>
                <w:rFonts w:ascii="Times New Roman;Times;Serif" w:hAnsi="Times New Roman;Times;Serif"/>
                <w:b/>
                <w:i/>
                <w:caps w:val="false"/>
                <w:smallCaps w:val="false"/>
                <w:sz w:val="20"/>
              </w:rPr>
              <w:t>Existing Proprietary Account</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vehicles (as identified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caps w:val="false"/>
                <w:smallCaps w:val="false"/>
                <w:sz w:val="20"/>
              </w:rPr>
              <w:t>Existing Wholly-Owned Subsidiaries</w:t>
            </w:r>
            <w:r>
              <w:rPr>
                <w:rFonts w:ascii="Times New Roman;Times;Serif" w:hAnsi="Times New Roman;Times;Serif"/>
                <w:b w:val="false"/>
                <w:i w:val="false"/>
                <w:caps w:val="false"/>
                <w:smallCaps w:val="false"/>
                <w:sz w:val="20"/>
              </w:rPr>
              <w:t>”), each of which is a separate and distinct legal entity and each of which is a Wholly-Owned Investment Sub (as defined below) of the Existing Regulated Fund;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investment vehicles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each of which is a separate and distinct legal entity and each of which would be an investment company but for Sections 3(c)(1), 3(c)(5) or 3(c)(7) of the 1940 Act (the “</w:t>
            </w:r>
            <w:r>
              <w:rPr>
                <w:rFonts w:ascii="Times New Roman;Times;Serif" w:hAnsi="Times New Roman;Times;Serif"/>
                <w:b/>
                <w:i/>
                <w:caps w:val="false"/>
                <w:smallCaps w:val="false"/>
                <w:sz w:val="20"/>
              </w:rPr>
              <w:t>Existing Affiliated Funds</w:t>
            </w:r>
            <w:r>
              <w:rPr>
                <w:rFonts w:ascii="Times New Roman;Times;Serif" w:hAnsi="Times New Roman;Times;Serif"/>
                <w:b w:val="false"/>
                <w:i w:val="false"/>
                <w:caps w:val="false"/>
                <w:smallCaps w:val="false"/>
                <w:sz w:val="20"/>
              </w:rPr>
              <w:t>” and, together with the Existing Regulated Fund, the Existing Advisers, the Existing Proprietary Account and the Existing Wholly-Owned Subsidiaries, the “</w:t>
            </w:r>
            <w:r>
              <w:rPr>
                <w:rFonts w:ascii="Times New Roman;Times;Serif" w:hAnsi="Times New Roman;Times;Serif"/>
                <w:b/>
                <w:i/>
                <w:caps w:val="false"/>
                <w:smallCaps w:val="false"/>
                <w:sz w:val="20"/>
              </w:rPr>
              <w:t>Applicants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term “</w:t>
      </w:r>
      <w:r>
        <w:rPr>
          <w:rFonts w:ascii="Times New Roman;Times;Serif" w:hAnsi="Times New Roman;Times;Serif"/>
          <w:b/>
          <w:i/>
          <w:caps w:val="false"/>
          <w:smallCaps w:val="false"/>
          <w:sz w:val="20"/>
        </w:rPr>
        <w:t>successor</w:t>
      </w:r>
      <w:r>
        <w:rPr>
          <w:rFonts w:ascii="Times New Roman;Times;Serif" w:hAnsi="Times New Roman;Times;Serif"/>
          <w:b w:val="false"/>
          <w:i w:val="false"/>
          <w:caps w:val="false"/>
          <w:smallCaps w:val="false"/>
          <w:sz w:val="20"/>
        </w:rPr>
        <w:t>” means an entity that results from a reorganization into another jurisdiction or change in the type of business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would allow a Regulated Fund</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one or more Affiliated Entities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Regulated Fund</w:t>
      </w:r>
      <w:r>
        <w:rPr>
          <w:rFonts w:ascii="Times New Roman;Times;Serif" w:hAnsi="Times New Roman;Times;Serif"/>
          <w:b w:val="false"/>
          <w:i w:val="false"/>
          <w:caps w:val="false"/>
          <w:smallCaps w:val="false"/>
          <w:sz w:val="20"/>
        </w:rPr>
        <w:t>” means the Existing Regulated Fund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means the Existing Advisers, and any other investment adviser controlling, controlled by, or under common control with an Existing Adviser. The term “Adviser” also includes any internally-managed Regulated Fund.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Massachusetts Mutual Life Insurance Co. (pub. avail. June 7, 2000), Massachusetts Mutual Life Insurance Co. (pub. avail. July 28, 2000) and SMC Capital, Inc. (pub. avail. Sept. 5, 1995).</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30"/>
        <w:gridCol w:w="443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tc>
        <w:tc>
          <w:tcPr>
            <w:tcW w:w="4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DESCRIPTION OF THE APPLICANTS</w:t>
            </w:r>
          </w:p>
        </w:tc>
      </w:tr>
    </w:tbl>
    <w:p>
      <w:pPr>
        <w:pStyle w:val="TextBody"/>
        <w:bidi w:val="0"/>
        <w:spacing w:before="0" w:after="0"/>
        <w:ind w:left="720" w:right="0" w:hanging="720"/>
        <w:jc w:val="both"/>
        <w:rPr>
          <w:caps/>
        </w:rPr>
      </w:pPr>
      <w:r>
        <w:rPr>
          <w:caps/>
        </w:rPr>
        <w:t> </w:t>
      </w:r>
    </w:p>
    <w:tbl>
      <w:tblPr>
        <w:tblW w:w="2673" w:type="dxa"/>
        <w:jc w:val="left"/>
        <w:tblInd w:w="0" w:type="dxa"/>
        <w:tblLayout w:type="fixed"/>
        <w:tblCellMar>
          <w:top w:w="0" w:type="dxa"/>
          <w:left w:w="0" w:type="dxa"/>
          <w:bottom w:w="0" w:type="dxa"/>
          <w:right w:w="0" w:type="dxa"/>
        </w:tblCellMar>
      </w:tblPr>
      <w:tblGrid>
        <w:gridCol w:w="38"/>
        <w:gridCol w:w="20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Existing Regulated Fund</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Regulated Fund (formerly known as SuRo Capital Corp., Sutter Rock Capital Corp., and GSV Capital Corp.) was incorporated in Maryland on January 6, 2011, and commenced operations upon completion of its initial public offering in May 2011. The Existing Regulated Fund elected to be regulated as a BDC under the 1940 Act upon completion of its initial public offering in May 2011 and operates as a closed-end non-diversified management investment company. The Existing Regulated Fund has elected to be treated as a regulated investment company under Subchapter M of the Internal Revenue Code of 1986, as amended, and intends to continue to make such election in the future. The Existing Regulated Fund’s principal place of business is 640 Fifth Avenue, 12th Floor, New York, NY 10019.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Regulated Fund’s investment objective is to maximize its portfolio’s total return, principally by seeking capital gains on its equity and equity-related investments and, to a lesser extent, income from debt investments. The Existing Regulated Fund’s business and affairs are managed under the direction of its board of directors (the “</w:t>
      </w:r>
      <w:r>
        <w:rPr>
          <w:rFonts w:ascii="Times New Roman;Times;Serif" w:hAnsi="Times New Roman;Times;Serif"/>
          <w:b/>
          <w:i/>
          <w:caps w:val="false"/>
          <w:smallCaps w:val="false"/>
          <w:sz w:val="20"/>
        </w:rPr>
        <w:t>Existing Regulated Fund Board</w:t>
      </w:r>
      <w:r>
        <w:rPr>
          <w:rFonts w:ascii="Times New Roman;Times;Serif" w:hAnsi="Times New Roman;Times;Serif"/>
          <w:b w:val="false"/>
          <w:i w:val="false"/>
          <w:caps w:val="false"/>
          <w:smallCaps w:val="false"/>
          <w:sz w:val="20"/>
        </w:rPr>
        <w:t>” and together with any Future Regulated Fund’s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The Existing Regulated Fund Board consists of seven members, of which five members are not “interested persons” of the Existing Regulated Fund within the meaning of Section 2(a)(19) of the 1940 Act.</w:t>
      </w:r>
      <w:r>
        <w:rPr>
          <w:rFonts w:ascii="Times New Roman;Times;Serif" w:hAnsi="Times New Roman;Times;Serif"/>
          <w:b w:val="false"/>
          <w:i w:val="false"/>
          <w:caps w:val="false"/>
          <w:smallCaps w:val="false"/>
          <w:position w:val="7"/>
          <w:sz w:val="16"/>
          <w:sz w:val="20"/>
        </w:rPr>
        <w:t>9</w:t>
      </w:r>
    </w:p>
    <w:p>
      <w:pPr>
        <w:pStyle w:val="TextBody"/>
        <w:bidi w:val="0"/>
        <w:spacing w:before="0" w:after="0"/>
        <w:ind w:left="0" w:right="0" w:firstLine="36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20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Existing Affiliated Funds and Existing Proprietary Accounts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Affiliated Funds are investment funds, each of whose investment adviser is an Existing Adviser and each of which would be an investment company but for Sections 3(c)(1), 3(c)(5) or 3(c)(7) of the 1940 Act.</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A list of the Existing Affiliated Funds and their respective investment adviser is included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Proprietary Account will, from time to time, hold various financial assets in a principal capacity. The Existing Advisers and their affiliates operate various business lines directly or through their wholly- or majority-owned subsidiaries, and the affiliate that exists and currently intends to participate in Co-Investment Transactions has been included as an Applicant herein.</w:t>
      </w:r>
    </w:p>
    <w:p>
      <w:pPr>
        <w:pStyle w:val="TextBody"/>
        <w:bidi w:val="0"/>
        <w:spacing w:before="0" w:after="0"/>
        <w:ind w:left="0" w:right="0" w:firstLine="36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20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Existing Advisers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BDC Adviser serves as the investment adviser of the Existing Regulated Fund and, as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an Existing Adviser serves as investment adviser to each of the Existing Affiliated Funds, and an Existing Adviser or another Adviser will serve as the investment adviser to any Future Regulated Fund. On the date of this Application, the clients of the Existing Advisers that intend to rely on this Application are the Existing Regulated Fund and the Existing Affiliated Funds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BDC Adviser is a Delaware limited liability company and is registered as an investment adviser with the Commission under the Advisers Act. The BDC Adviser’s principal place of business is 640 Fifth Avenue, 12th Floor, New York, NY 10019. Neostellar Administrative Services LLC, an affiliate of the BDC Adviser (the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provides administrative services to the Existing Regulated Fund under an administrative services agreement. The BDC Adviser is jointly owned and controlled by Magnetar Holdings LLC (“</w:t>
      </w:r>
      <w:r>
        <w:rPr>
          <w:rFonts w:ascii="Times New Roman;Times;Serif" w:hAnsi="Times New Roman;Times;Serif"/>
          <w:b/>
          <w:i/>
          <w:caps w:val="false"/>
          <w:smallCaps w:val="false"/>
          <w:sz w:val="20"/>
        </w:rPr>
        <w:t>Magnetar Holdings</w:t>
      </w:r>
      <w:r>
        <w:rPr>
          <w:rFonts w:ascii="Times New Roman;Times;Serif" w:hAnsi="Times New Roman;Times;Serif"/>
          <w:b w:val="false"/>
          <w:i w:val="false"/>
          <w:caps w:val="false"/>
          <w:smallCaps w:val="false"/>
          <w:sz w:val="20"/>
        </w:rPr>
        <w:t>”) and by a vehicle that is in turn owned and controlled by certain officers of the Existing Regulated Fund. Magnetar Holdings is wholly-owned and controlled by Magnetar Capital Partners LP (“</w:t>
      </w:r>
      <w:r>
        <w:rPr>
          <w:rFonts w:ascii="Times New Roman;Times;Serif" w:hAnsi="Times New Roman;Times;Serif"/>
          <w:b/>
          <w:i/>
          <w:caps w:val="false"/>
          <w:smallCaps w:val="false"/>
          <w:sz w:val="20"/>
        </w:rPr>
        <w:t>MCP LP</w:t>
      </w:r>
      <w:r>
        <w:rPr>
          <w:rFonts w:ascii="Times New Roman;Times;Serif" w:hAnsi="Times New Roman;Times;Serif"/>
          <w:b w:val="false"/>
          <w:i w:val="false"/>
          <w:caps w:val="false"/>
          <w:smallCaps w:val="false"/>
          <w:sz w:val="20"/>
        </w:rPr>
        <w:t>”). Each of Magnetar Financial and Magnetar UK is a direct or indirect wholly-owned subsidiary of MCP LP, and MCP LP, through Magnetar Holdings, indirectly controls the BDC Adviser. Accordingly, the Existing Advisers are under common control and are affiliated persons of each other. MCP LP is not an investment adviser and does not currently intend to rely upon the requested Order. As a result, MCP LP is not named as an Applicant.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The Board of each Future Regulated Fund will consist of a majority of members who are not “interested persons” of such Future Regulated Fund within the meaning of Section 2(a)(19) of the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In the future, an Existing Affiliated Fund may register as an investment company under the Act and, if so registered, will be considered a Regulated Fund for purposes of this application.</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Financial is a Delaware limited liability company and is registered as an investment adviser with the Commission under the Advisers Act. Magnetar UK is a United Kingdom limited liability partnership and is registered with the Financial Conduct Authority. Magnetar UK is not registered under the Advisers Act and is not an exempt reporting adviser. However, all of the Applicants’ investment activities are conducted within a global, centralized investment committee and allocation process, which is overseen by a unified global compliance program that has complete transparency into the activities of all of the Advisers from within the U.S., regardless of their regulatory status under the Advisers Act. The principal place of business of Magnetar Financial is 1603 Orrington Avenue, 13th Floor, Evanston, IL 60201. The principal place of business of Magnetar UK is 25 Great Pulteney Street, 3rd Floor, London W1F 9LT, United Kingdom. Either Magnetar UK or Magnetar Financial serves as the investment adviser to each of the Existing Affiliated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management business that Magnetar Financial and Magnetar UK are a part of is a multi-strategy, multi-product alternative investment platform (“Magnetar”) founded in 2005 with approximately $17.8 billion in assets under management as of December 31, 2025 and approximately 224 professionals globally as of March 31, 2026. Magnetar is headquartered in Evanston, Illinois and operates from offices in New York, London, Menlo Park, and Austin. Magnetar’s investment strategies include alternative credit and fixed income, quantitative investing, and ventures.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an investment advisory agreement with the Existing Regulated Fund and each Existing Affiliated Fund, as applicable, the Existing Advisers will, among other things, manage the investment portfolio, direct purchases and sales of portfolio securities and report thereon to the Existing Regulated Fund’s and each Existing Affiliated Fund’s officers and directors/trustees/manager regularly.</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05"/>
        <w:gridCol w:w="1970"/>
      </w:tblGrid>
      <w:tr>
        <w:trPr/>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ORDER REQUESTED</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firstLine="36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0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Applicable Law</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firstLine="36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0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8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Need for Relief</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 deemed to be persons related to Regulated Funds in a manner described by Sections 17(d) and 57(b). The Existing Advisers are under common control, and are thus affiliated persons of each other. Accordingly, with respect to the Existing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an Existing Adviser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w:t>
      </w:r>
    </w:p>
    <w:p>
      <w:pPr>
        <w:pStyle w:val="TextBody"/>
        <w:bidi w:val="0"/>
        <w:spacing w:before="0" w:after="0"/>
        <w:ind w:left="0" w:right="0" w:firstLine="36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0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95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Same Terms</w:t>
      </w:r>
      <w:r>
        <w:rPr>
          <w:rFonts w:ascii="Times New Roman;Times;Serif" w:hAnsi="Times New Roman;Times;Serif"/>
          <w:b w:val="false"/>
          <w:i w:val="false"/>
          <w:caps w:val="false"/>
          <w:smallCaps w:val="false"/>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Such a Board can also, consistent with applicable fund documents, facilitate this opportunity by delegating the authority to veto the selection of such person to a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Expenses of an individual Participant that are incurred solely by the Participant due to its unique circumstances (such as legal and compliance expenses) will be borne by such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Applicants are not requesting and the Commission is not providing any relief for transaction fees received in connection with any Co-Investment Transaction.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position w:val="7"/>
          <w:sz w:val="16"/>
          <w:sz w:val="2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w:t>
            </w: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position w:val="7"/>
                <w:sz w:val="16"/>
                <w:sz w:val="20"/>
              </w:rPr>
              <w:t>19</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Board Oversight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Fund’s directors will oversee the Regulated Fund’s participation in the co-investment program in the exercise of their reasonable business judgment.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The Affiliated Entities may adopt shared Co-Investment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the sale, exchange, transfer or other disposition of an interest in a security of an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Tradable Security</w:t>
      </w:r>
      <w:r>
        <w:rPr>
          <w:rFonts w:ascii="Times New Roman;Times;Serif" w:hAnsi="Times New Roman;Times;Serif"/>
          <w:b w:val="false"/>
          <w:i w:val="false"/>
          <w:caps w:val="false"/>
          <w:smallCaps w:val="false"/>
          <w:sz w:val="20"/>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position w:val="7"/>
          <w:sz w:val="16"/>
          <w:sz w:val="2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firstLine="72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90"/>
        <w:gridCol w:w="48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w:t>
            </w:r>
          </w:p>
        </w:tc>
        <w:tc>
          <w:tcPr>
            <w:tcW w:w="4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IN SUPPORT OF RELIEF REQUESTED</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0" w:right="0" w:firstLine="36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20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Benefits to the Regulated Funds and their Shareholders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0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204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Protections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ind w:left="0" w:right="0" w:firstLine="36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13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PRECEDENTS</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firstLine="36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PROCEDURAL MATTERS</w:t>
            </w:r>
          </w:p>
        </w:tc>
      </w:tr>
    </w:tbl>
    <w:p>
      <w:pPr>
        <w:pStyle w:val="TextBody"/>
        <w:bidi w:val="0"/>
        <w:spacing w:before="0" w:after="0"/>
        <w:ind w:left="720" w:right="0" w:hanging="720"/>
        <w:jc w:val="both"/>
        <w:rPr>
          <w:caps/>
        </w:rPr>
      </w:pPr>
      <w:r>
        <w:rPr>
          <w:caps/>
        </w:rPr>
        <w:t> </w:t>
      </w:r>
    </w:p>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44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Communications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agreen@neostellaradvisors.com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mklein@neostellaradvisors.com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See, e.g., FS Credit Opportunities Corp., et al. (File No. 812-15706), Release No. IC-35520 (April 3, 2025) (notice), Release No. IC-35561 (April 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Karl Wachter,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Butler,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mike.butler@magnetar.com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payam.siadatpour@eversheds-sutherland.com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(202) 383-0100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Clifford R. Cone,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Sidley Austin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787 Seventh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839-5300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cliff.cone@sidley.com</w:t>
      </w:r>
    </w:p>
    <w:p>
      <w:pPr>
        <w:pStyle w:val="TextBody"/>
        <w:bidi w:val="0"/>
        <w:spacing w:before="0" w:after="0"/>
        <w:ind w:left="0" w:right="0" w:hanging="0"/>
        <w:jc w:val="center"/>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20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6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Authorizations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0-2(c), Applicants hereby state that each Applicant has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for a request for expedited review of this Application, marked copies of two recent applications seeking the same relief as Applicants that are substantially identical as required by Rule 0-5(e) of the 1940 Act are attached as Exhibit C. In accordance with Rule 0-5(f)(2)(i)(A) under the 1940 Act, included as Exhibit D to this Application is a marked copy of the Application showing changes from the Application filed with the Commission on August 3,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have caused this Amendment No. 1 to the Application to be duly signed on their behalf on the 1st day of October,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 CAPITAL LENDING,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SPORTS,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SRCI ADVISORS,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AE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AV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SW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SVDS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llc</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VII,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XI,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XVIII</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Credit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credit opportunity 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opportunity 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Longhorn Special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longhorn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2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Opportunity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Ventures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ai ventures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Alpha Star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ALPHA STAR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Fund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CAPITAL FUND ii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Capital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Constellation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Constellation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(UK) LLP</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APPK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appk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Lake Credit Fund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Longhorn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longhorn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8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8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sz w:val="20"/>
        </w:rPr>
        <w:t>Magnetar Opportunity A ltd</w:t>
      </w:r>
    </w:p>
    <w:p>
      <w:pPr>
        <w:pStyle w:val="TextBody"/>
        <w:bidi w:val="0"/>
        <w:spacing w:before="0" w:after="0"/>
        <w:ind w:left="0" w:right="0" w:hanging="0"/>
        <w:jc w:val="left"/>
        <w:rPr>
          <w:caps/>
        </w:rPr>
      </w:pPr>
      <w:r>
        <w:rPr>
          <w:caps/>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2025-3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2025-3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2025-4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2025-4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2025-A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5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5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6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6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7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7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Special Situations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special situations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Special Situations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Structured Credit Fund, LP DBA Constellation onshore fund</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general partner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Alternative Credit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A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C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Xing He Fund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Xing He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MCP Investing LLC</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Mustang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Mustang opportunities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Purpose Alternative Credit Fund – F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T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Realta Investments Ireland Designated Activity Company</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560"/>
        <w:gridCol w:w="161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1,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2026-1,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2026-2,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 — Existing Wholly-Owned Subsidiaries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Wholly-owned subsidiaries (each, 100% owned) of Neostellar Capital Corp.:</w:t>
      </w:r>
    </w:p>
    <w:p>
      <w:pPr>
        <w:pStyle w:val="TextBody"/>
        <w:bidi w:val="0"/>
        <w:spacing w:before="0" w:after="0"/>
        <w:ind w:left="0" w:right="0" w:hanging="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 Capital Lending, LLC (Delaware, formed April 13, 2012)</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SuRo Capital Sports, LLC (Delaware, formed March 19, 2021)</w:t>
            </w:r>
          </w:p>
        </w:tc>
      </w:tr>
    </w:tbl>
    <w:p>
      <w:pPr>
        <w:pStyle w:val="TextBody"/>
        <w:bidi w:val="0"/>
        <w:spacing w:before="0" w:after="0"/>
        <w:ind w:left="1440" w:right="0" w:hanging="72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SRCI Advisors, LLC (Delaware, formed September 9, 2025)</w:t>
            </w:r>
          </w:p>
        </w:tc>
      </w:tr>
    </w:tbl>
    <w:p>
      <w:pPr>
        <w:pStyle w:val="TextBody"/>
        <w:bidi w:val="0"/>
        <w:spacing w:before="0" w:after="0"/>
        <w:ind w:left="1440" w:right="0" w:hanging="72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AE Holdings, Inc. — Taxable Subsidiary (Delaware, formed November 28, 2012)</w:t>
            </w:r>
          </w:p>
        </w:tc>
      </w:tr>
    </w:tbl>
    <w:p>
      <w:pPr>
        <w:pStyle w:val="TextBody"/>
        <w:bidi w:val="0"/>
        <w:spacing w:before="0" w:after="0"/>
        <w:ind w:left="1440" w:right="0" w:hanging="72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AV Holdings, Inc. — Taxable Subsidiary (Delaware, formed November 28, 2012)</w:t>
            </w:r>
          </w:p>
        </w:tc>
      </w:tr>
    </w:tbl>
    <w:p>
      <w:pPr>
        <w:pStyle w:val="TextBody"/>
        <w:bidi w:val="0"/>
        <w:spacing w:before="0" w:after="0"/>
        <w:ind w:left="1440" w:right="0" w:hanging="72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17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SW Holdings, Inc. — Taxable Subsidiary (Delaware, formed November 28, 2012)</w:t>
            </w:r>
          </w:p>
        </w:tc>
      </w:tr>
    </w:tbl>
    <w:p>
      <w:pPr>
        <w:pStyle w:val="TextBody"/>
        <w:bidi w:val="0"/>
        <w:spacing w:before="0" w:after="0"/>
        <w:ind w:left="1440" w:right="0" w:hanging="72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SVDS Holdings, Inc. — Taxable Subsidiary (Delaware, formed August 13, 2013)</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 —Existing Affiliated Funds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Existing Affiliated Funds are advised by an Adviser as set forth below:</w:t>
      </w:r>
    </w:p>
    <w:p>
      <w:pPr>
        <w:pStyle w:val="TextBody"/>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15"/>
        <w:gridCol w:w="513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Affiliated Funds advised by Magnetar Financial LLC:</w:t>
            </w:r>
          </w:p>
        </w:tc>
      </w:tr>
    </w:tbl>
    <w:p>
      <w:pPr>
        <w:pStyle w:val="TextBody"/>
        <w:bidi w:val="0"/>
        <w:spacing w:before="0" w:after="0"/>
        <w:ind w:left="720" w:right="0" w:hanging="72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Astrum Partners LLC, Series XV</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Astrum Partners LLC, Series XVIII</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Credit Opportunity 2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2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 Opportunity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Longhorn Special Opportunities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ACFI Strategic Ventures 2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ACFI Strategic Ventures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AI Opportunity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AI Ventures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Alpha Star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Capital Fund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Capital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Constellation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Constellation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Investment APPK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Lake Credit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Longhorn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8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A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2025-2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2025-3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2025-A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5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6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7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Special Situations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Special Situations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Structured Credit Fund, LP DBA Constellation Onshore Fund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Alternative Credit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Series A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Series C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Xing He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Xing He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Mustang Opportunities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Alternative Credit Fund – F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Alternative Credit Fund – T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1, A Series of 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 A Series of 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2026-1, a Series of 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2026-2, a Series of 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I, a series of Astrum Partners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VII, a series of Astrum Partners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XI, a series of Astrum Partners LLC</w:t>
            </w:r>
          </w:p>
        </w:tc>
      </w:tr>
    </w:tbl>
    <w:p>
      <w:pPr>
        <w:pStyle w:val="TextBody"/>
        <w:bidi w:val="0"/>
        <w:spacing w:before="0" w:after="283"/>
        <w:jc w:val="left"/>
        <w:rPr/>
      </w:pPr>
      <w:r>
        <w:rPr/>
        <w:t> </w:t>
      </w:r>
    </w:p>
    <w:tbl>
      <w:tblPr>
        <w:tblW w:w="5800" w:type="dxa"/>
        <w:jc w:val="left"/>
        <w:tblInd w:w="0" w:type="dxa"/>
        <w:tblLayout w:type="fixed"/>
        <w:tblCellMar>
          <w:top w:w="0" w:type="dxa"/>
          <w:left w:w="0" w:type="dxa"/>
          <w:bottom w:w="0" w:type="dxa"/>
          <w:right w:w="0" w:type="dxa"/>
        </w:tblCellMar>
      </w:tblPr>
      <w:tblGrid>
        <w:gridCol w:w="215"/>
        <w:gridCol w:w="558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Affiliated Funds Advised by Magnetar Financial (UK) LLP:</w:t>
            </w:r>
          </w:p>
        </w:tc>
      </w:tr>
    </w:tbl>
    <w:p>
      <w:pPr>
        <w:pStyle w:val="TextBody"/>
        <w:bidi w:val="0"/>
        <w:spacing w:before="0" w:after="283"/>
        <w:jc w:val="left"/>
        <w:rPr/>
      </w:pPr>
      <w:r>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Realta Investments Ireland Designated Activity Company</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states that he or she has duly executed the attached Amendment No. 1 to the Application dated October 1, 2026 for and on behalf of the Applicants, as the case may be, that he or she holds the office with each such entity as indicated below and that all actions by stockholders, officers, directors, and other bodies necessary to authorize the undersigned to execute and file such Application have been taken. The undersigned further states that he or she is familiar with the instrument and the contents thereof, and that the facts set forth therein are true to the best of his or her knowledge, information, and belief.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 CAPITAL LENDING,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SPORTS,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SRCI ADVISORS,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AE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AV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SW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SVDS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llc</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VII,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XI,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XVIII</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Credit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credit opportunity 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opportunity 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Longhorn Special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longhorn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2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Opportunity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Ventures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ai ventures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Alpha Star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ALPHA STAR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Fund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CAPITAL FUND ii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Capital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Constellation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Constellation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(UK) LLP</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APPK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appk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Lake Credit Fund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Longhorn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longhorn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8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8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Opportunity A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2025-3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2025-3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2025-4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2025-4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2025-A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5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5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6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6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7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7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Special Situations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special situations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Special Situations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Structured Credit Fund, LP DBA Constellation onshore fund</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general partner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Alternative Credit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A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C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Xing He Fund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Xing He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MCP Investing LLC</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Mustang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Mustang opportunities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F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T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Realta Investments Ireland Designated Activity Company</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560"/>
        <w:gridCol w:w="161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1,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2026-1,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2026-2,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of the Board of Directors of Neostellar Capital Corp. (the “Fund”)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deems it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on behalf of the Fund and in its name to prepare, execute, and cause to be filed with the Commission an Application for an order of exemption, substantially in the form attached hereto as Exhibit A, and any amendments thereto, pursuant to Section 17(d) of the 1940 Act; and be it further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to take such further action and execute such other documents as such officer or officers shall deem necessary or advisable in order to effectuate the intent of the foregoing resolution; and be it further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July 15,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Marked Copies of the Application Showing Changes from the Final Versions of the Two Applications Identified as Substantially Identical Under Rule 0-5(e)(3)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 No. </w:t>
      </w:r>
      <w:r>
        <w:rPr>
          <w:rFonts w:ascii="Times New Roman;Times;Serif" w:hAnsi="Times New Roman;Times;Serif"/>
          <w:b w:val="false"/>
          <w:i w:val="false"/>
          <w:caps w:val="false"/>
          <w:smallCaps w:val="false"/>
          <w:strike/>
          <w:color w:val="FF0000"/>
          <w:sz w:val="20"/>
        </w:rPr>
        <w:t>812-15805</w:t>
      </w:r>
      <w:r>
        <w:rPr>
          <w:rFonts w:ascii="Times New Roman;Times;Serif" w:hAnsi="Times New Roman;Times;Serif"/>
          <w:b w:val="false"/>
          <w:i w:val="false"/>
          <w:caps w:val="false"/>
          <w:smallCaps w:val="false"/>
          <w:color w:val="0000FF"/>
          <w:sz w:val="20"/>
          <w:u w:val="single"/>
        </w:rPr>
        <w:t>812-16066</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U.S. 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EXPEDITED REVIEW REQUESTED UNDER 17 CFR 270.0-5(d)</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 NEOSTELLAR ADVISORS LLC, GSV CAPITAL LENDING, LLC, SURO CAPITAL SPORTS, LLC, SRCI ADVISORS, LLC, GSVC AE HOLDINGS, INC., GSVC AV HOLDINGS, INC., GSVC SW HOLDINGS, INC., GSVC SVDS HOLDINGS, INC.,</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PRIVATE REAL ESTATE FUND, BLUEROCK HIGH INCOME INSTITUTIONAL CREDIT FUND, BLUEROCK FUND ADVISOR, LLC AND BLUEROCK CREDIT FUND ADVISOR, LLC</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919 Third</w:t>
      </w:r>
      <w:r>
        <w:rPr>
          <w:rFonts w:ascii="Times New Roman;Times;Serif" w:hAnsi="Times New Roman;Times;Serif"/>
          <w:b/>
          <w:i w:val="false"/>
          <w:caps w:val="false"/>
          <w:smallCaps w:val="false"/>
          <w:color w:val="0000FF"/>
          <w:sz w:val="20"/>
          <w:u w:val="single"/>
        </w:rPr>
        <w:t>640 Fifth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Avenue, </w:t>
      </w:r>
      <w:r>
        <w:rPr>
          <w:rFonts w:ascii="Times New Roman;Times;Serif" w:hAnsi="Times New Roman;Times;Serif"/>
          <w:b w:val="false"/>
          <w:i w:val="false"/>
          <w:caps w:val="false"/>
          <w:smallCaps w:val="false"/>
          <w:strike/>
          <w:color w:val="FF0000"/>
          <w:sz w:val="20"/>
        </w:rPr>
        <w:t>40th</w:t>
      </w:r>
      <w:r>
        <w:rPr>
          <w:rFonts w:ascii="Times New Roman;Times;Serif" w:hAnsi="Times New Roman;Times;Serif"/>
          <w:b/>
          <w:i w:val="false"/>
          <w:caps w:val="false"/>
          <w:smallCaps w:val="false"/>
          <w:color w:val="0000FF"/>
          <w:sz w:val="20"/>
          <w:u w:val="single"/>
        </w:rPr>
        <w:t>12th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York, NY </w:t>
      </w:r>
      <w:r>
        <w:rPr>
          <w:rFonts w:ascii="Times New Roman;Times;Serif" w:hAnsi="Times New Roman;Times;Serif"/>
          <w:b w:val="false"/>
          <w:i w:val="false"/>
          <w:caps w:val="false"/>
          <w:smallCaps w:val="false"/>
          <w:strike/>
          <w:color w:val="FF0000"/>
          <w:sz w:val="20"/>
        </w:rPr>
        <w:t>10022</w:t>
      </w:r>
      <w:r>
        <w:rPr>
          <w:rFonts w:ascii="Times New Roman;Times;Serif" w:hAnsi="Times New Roman;Times;Serif"/>
          <w:b/>
          <w:i w:val="false"/>
          <w:caps w:val="false"/>
          <w:smallCaps w:val="false"/>
          <w:color w:val="0000FF"/>
          <w:sz w:val="20"/>
          <w:u w:val="single"/>
        </w:rPr>
        <w:t>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(212) </w:t>
      </w:r>
      <w:r>
        <w:rPr>
          <w:rFonts w:ascii="Times New Roman;Times;Serif" w:hAnsi="Times New Roman;Times;Serif"/>
          <w:b w:val="false"/>
          <w:i w:val="false"/>
          <w:caps w:val="false"/>
          <w:smallCaps w:val="false"/>
          <w:strike/>
          <w:color w:val="FF0000"/>
          <w:sz w:val="20"/>
        </w:rPr>
        <w:t>843 -1601</w:t>
      </w:r>
      <w:r>
        <w:rPr>
          <w:rFonts w:ascii="Times New Roman;Times;Serif" w:hAnsi="Times New Roman;Times;Serif"/>
          <w:b/>
          <w:i w:val="false"/>
          <w:caps w:val="false"/>
          <w:smallCaps w:val="false"/>
          <w:color w:val="0000FF"/>
          <w:sz w:val="20"/>
          <w:u w:val="single"/>
        </w:rPr>
        <w:t>931-6331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 D. Klein</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Allison Green</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931-6331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agreen@neostellaradvisors.com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mklein@neostellaradvisors.com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 Wachter,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Michael L. Butler,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mike.butler@magnetar.com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caps w:val="false"/>
          <w:smallCaps w:val="false"/>
          <w:color w:val="0000FF"/>
          <w:sz w:val="20"/>
          <w:u w:val="single"/>
        </w:rPr>
        <w:t>Copies to</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Washington, D.C. 20001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(202) 383-0100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payam.siadatpour@eversheds-sutherland.com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Jason Emala</w:t>
      </w:r>
      <w:r>
        <w:rPr>
          <w:rFonts w:ascii="Times New Roman;Times;Serif" w:hAnsi="Times New Roman;Times;Serif"/>
          <w:b/>
          <w:i w:val="false"/>
          <w:caps w:val="false"/>
          <w:smallCaps w:val="false"/>
          <w:color w:val="0000FF"/>
          <w:sz w:val="20"/>
          <w:u w:val="single"/>
        </w:rPr>
        <w:t>Clifford R. Cone</w:t>
      </w:r>
      <w:r>
        <w:rPr>
          <w:rFonts w:ascii="Times New Roman;Times;Serif" w:hAnsi="Times New Roman;Times;Serif"/>
          <w:b/>
          <w:i w:val="false"/>
          <w:caps w:val="false"/>
          <w:smallCaps w:val="false"/>
          <w:sz w:val="20"/>
        </w:rPr>
        <w:t>, Esq.</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Asset Management,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919 Third </w:t>
      </w:r>
      <w:r>
        <w:rPr>
          <w:rFonts w:ascii="Times New Roman;Times;Serif" w:hAnsi="Times New Roman;Times;Serif"/>
          <w:b/>
          <w:i w:val="false"/>
          <w:caps w:val="false"/>
          <w:smallCaps w:val="false"/>
          <w:color w:val="0000FF"/>
          <w:sz w:val="20"/>
          <w:u w:val="single"/>
        </w:rPr>
        <w:t>Sidley Austin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 xml:space="preserve">787 Seventh </w:t>
      </w:r>
      <w:r>
        <w:rPr>
          <w:rFonts w:ascii="Times New Roman;Times;Serif" w:hAnsi="Times New Roman;Times;Serif"/>
          <w:b/>
          <w:i w:val="false"/>
          <w:caps w:val="false"/>
          <w:smallCaps w:val="false"/>
          <w:sz w:val="20"/>
        </w:rPr>
        <w:t>Avenue</w:t>
      </w:r>
      <w:r>
        <w:rPr>
          <w:rFonts w:ascii="Times New Roman;Times;Serif" w:hAnsi="Times New Roman;Times;Serif"/>
          <w:b/>
          <w:i w:val="false"/>
          <w:caps w:val="false"/>
          <w:smallCaps w:val="false"/>
          <w:strike/>
          <w:color w:val="FF0000"/>
          <w:sz w:val="20"/>
        </w:rPr>
        <w:t>, 40th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 York, NY </w:t>
      </w:r>
      <w:r>
        <w:rPr>
          <w:rFonts w:ascii="Times New Roman;Times;Serif" w:hAnsi="Times New Roman;Times;Serif"/>
          <w:b/>
          <w:i w:val="false"/>
          <w:caps w:val="false"/>
          <w:smallCaps w:val="false"/>
          <w:strike/>
          <w:color w:val="FF0000"/>
          <w:sz w:val="20"/>
        </w:rPr>
        <w:t>10022</w:t>
      </w:r>
      <w:r>
        <w:rPr>
          <w:rFonts w:ascii="Times New Roman;Times;Serif" w:hAnsi="Times New Roman;Times;Serif"/>
          <w:b/>
          <w:i w:val="false"/>
          <w:caps w:val="false"/>
          <w:smallCaps w:val="false"/>
          <w:color w:val="0000FF"/>
          <w:sz w:val="20"/>
          <w:u w:val="single"/>
        </w:rPr>
        <w:t>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Telephone: </w:t>
      </w:r>
      <w:r>
        <w:rPr>
          <w:rFonts w:ascii="Times New Roman;Times;Serif" w:hAnsi="Times New Roman;Times;Serif"/>
          <w:b/>
          <w:i w:val="false"/>
          <w:caps w:val="false"/>
          <w:smallCaps w:val="false"/>
          <w:sz w:val="20"/>
        </w:rPr>
        <w:t xml:space="preserve">(212) </w:t>
      </w:r>
      <w:r>
        <w:rPr>
          <w:rFonts w:ascii="Times New Roman;Times;Serif" w:hAnsi="Times New Roman;Times;Serif"/>
          <w:b/>
          <w:i w:val="false"/>
          <w:caps w:val="false"/>
          <w:smallCaps w:val="false"/>
          <w:strike/>
          <w:color w:val="FF0000"/>
          <w:sz w:val="20"/>
        </w:rPr>
        <w:t>843-1601</w:t>
      </w:r>
      <w:r>
        <w:rPr>
          <w:rFonts w:ascii="Times New Roman;Times;Serif" w:hAnsi="Times New Roman;Times;Serif"/>
          <w:b/>
          <w:i w:val="false"/>
          <w:caps w:val="false"/>
          <w:smallCaps w:val="false"/>
          <w:color w:val="0000FF"/>
          <w:sz w:val="20"/>
          <w:u w:val="single"/>
        </w:rPr>
        <w:t>839-5300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cliff.cone@sidley.com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Copies to:</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Nicole Simon</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Stradley Ronon Stevens &amp; Young, LLP</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100 Park Avenue, Suite 2000</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New York, NY 10017</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Telephone: (212) 812-4137</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June 8</w:t>
      </w:r>
      <w:r>
        <w:rPr>
          <w:rFonts w:ascii="Times New Roman;Times;Serif" w:hAnsi="Times New Roman;Times;Serif"/>
          <w:b w:val="false"/>
          <w:i w:val="false"/>
          <w:caps w:val="false"/>
          <w:smallCaps w:val="false"/>
          <w:color w:val="0000FF"/>
          <w:sz w:val="20"/>
          <w:u w:val="single"/>
        </w:rPr>
        <w:t>October 1</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UNITED STATES OF AMERICA</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BEFORE THE</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SECURITIES AND EXCHANGE COMMISSION</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7588"/>
        <w:gridCol w:w="80"/>
        <w:gridCol w:w="2537"/>
      </w:tblGrid>
      <w:tr>
        <w:trPr/>
        <w:tc>
          <w:tcPr>
            <w:tcW w:w="10205" w:type="dxa"/>
            <w:gridSpan w:val="3"/>
            <w:tcBorders>
              <w:top w:val="double" w:sz="4" w:space="0" w:color="000000"/>
              <w:bottom w:val="single" w:sz="8" w:space="0" w:color="000000"/>
            </w:tcBorders>
            <w:shd w:fill="E6E6FA" w:val="clear"/>
            <w:vAlign w:val="center"/>
          </w:tcPr>
          <w:p>
            <w:pPr>
              <w:pStyle w:val="TableContents"/>
              <w:bidi w:val="0"/>
              <w:spacing w:before="0" w:after="0"/>
              <w:ind w:left="0" w:right="0" w:hanging="0"/>
              <w:jc w:val="center"/>
              <w:rPr>
                <w:caps w:val="false"/>
                <w:smallCaps w:val="false"/>
                <w:color w:val="0000FF"/>
              </w:rPr>
            </w:pPr>
            <w:r>
              <w:rPr>
                <w:caps w:val="false"/>
                <w:smallCaps w:val="false"/>
                <w:color w:val="0000FF"/>
              </w:rPr>
              <w:t> </w:t>
            </w:r>
          </w:p>
          <w:p>
            <w:pPr>
              <w:pStyle w:val="TableContents"/>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UNITED STATES OF AMERICA</w:t>
            </w:r>
          </w:p>
          <w:p>
            <w:pPr>
              <w:pStyle w:val="TableContents"/>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BEFORE THE</w:t>
            </w:r>
          </w:p>
          <w:p>
            <w:pPr>
              <w:pStyle w:val="TableContents"/>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SECURITIES AND EXCHANGE COMMISSION</w:t>
            </w:r>
          </w:p>
          <w:p>
            <w:pPr>
              <w:pStyle w:val="TableContents"/>
              <w:bidi w:val="0"/>
              <w:spacing w:before="0" w:after="0"/>
              <w:ind w:left="0" w:right="0" w:hanging="0"/>
              <w:jc w:val="center"/>
              <w:rPr>
                <w:caps w:val="false"/>
                <w:smallCaps w:val="false"/>
                <w:color w:val="0000FF"/>
              </w:rPr>
            </w:pPr>
            <w:r>
              <w:rPr>
                <w:caps w:val="false"/>
                <w:smallCaps w:val="false"/>
                <w:color w:val="0000FF"/>
              </w:rPr>
              <w:t> </w:t>
            </w:r>
          </w:p>
        </w:tc>
      </w:tr>
      <w:tr>
        <w:trPr/>
        <w:tc>
          <w:tcPr>
            <w:tcW w:w="7588" w:type="dxa"/>
            <w:tcBorders/>
            <w:shd w:fill="E6E6FA"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br/>
              <w:t>IN THE MATTER OF</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 NEOSTELLAR ADVISORS LLC, GSV CAPITAL LENDING, LLC, SURO CAPITAL SPORTS, LLC, SRCI ADVISORS, LLC, GSVC AE HOLDINGS, INC., GSVC AV HOLDINGS, INC., GSVC SW HOLDINGS, INC., GSVC SVDS HOLDINGS, INC.</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br/>
              <w:t>NEW YORK, NY 10019</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1603 Orrington Avenue, 13th Floor</w:t>
              <w:br/>
              <w:t>Evanston, IL 60201</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File No. 812-16066</w:t>
            </w:r>
          </w:p>
        </w:tc>
        <w:tc>
          <w:tcPr>
            <w:tcW w:w="80" w:type="dxa"/>
            <w:tcBorders/>
            <w:shd w:fill="E6E6FA"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tc>
        <w:tc>
          <w:tcPr>
            <w:tcW w:w="2537" w:type="dxa"/>
            <w:tcBorders/>
            <w:shd w:fill="E6E6FA" w:val="clear"/>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br/>
              <w:t>AMENDMENT NO. 1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tc>
      </w:tr>
    </w:tbl>
    <w:p>
      <w:pPr>
        <w:pStyle w:val="TextBody"/>
        <w:bidi w:val="0"/>
        <w:spacing w:before="0" w:after="0"/>
        <w:ind w:left="720" w:right="0" w:hanging="720"/>
        <w:jc w:val="both"/>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55"/>
        <w:gridCol w:w="27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APPLICATION</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strike/>
              </w:rPr>
            </w:pPr>
            <w:r>
              <w:rPr>
                <w:caps w:val="false"/>
                <w:smallCaps w:val="false"/>
                <w:strike/>
              </w:rPr>
              <w:t>●</w:t>
            </w:r>
          </w:p>
        </w:tc>
        <w:tc>
          <w:tcPr>
            <w:tcW w:w="10020" w:type="dxa"/>
            <w:tcBorders/>
            <w:vAlign w:val="center"/>
          </w:tcPr>
          <w:p>
            <w:pPr>
              <w:pStyle w:val="TableContents"/>
              <w:bidi w:val="0"/>
              <w:spacing w:before="0" w:after="283"/>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Bluerock Private Real Estate Fund (“</w:t>
            </w:r>
            <w:r>
              <w:rPr>
                <w:rFonts w:ascii="Times New Roman;Times;Serif" w:hAnsi="Times New Roman;Times;Serif"/>
                <w:b/>
                <w:i/>
                <w:caps w:val="false"/>
                <w:smallCaps w:val="false"/>
                <w:strike/>
                <w:sz w:val="20"/>
              </w:rPr>
              <w:t>BPRE</w:t>
            </w:r>
            <w:r>
              <w:rPr>
                <w:rFonts w:ascii="Times New Roman;Times;Serif" w:hAnsi="Times New Roman;Times;Serif"/>
                <w:b w:val="false"/>
                <w:i w:val="false"/>
                <w:caps w:val="false"/>
                <w:smallCaps w:val="false"/>
                <w:strike/>
                <w:sz w:val="20"/>
              </w:rPr>
              <w:t>”), an externally managed, non-diversified closed-end management investment company registered under the 1940 Act and listed on the New York Stock Exchange;</w:t>
            </w:r>
          </w:p>
        </w:tc>
      </w:tr>
    </w:tbl>
    <w:p>
      <w:pPr>
        <w:pStyle w:val="TextBody"/>
        <w:bidi w:val="0"/>
        <w:spacing w:before="0" w:after="0"/>
        <w:ind w:left="720" w:right="0" w:hanging="720"/>
        <w:jc w:val="both"/>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Bluerock High Income Institutional Credit Fund (“</w:t>
            </w:r>
            <w:r>
              <w:rPr>
                <w:rFonts w:ascii="Times New Roman;Times;Serif" w:hAnsi="Times New Roman;Times;Serif"/>
                <w:b/>
                <w:i/>
                <w:caps w:val="false"/>
                <w:smallCaps w:val="false"/>
                <w:strike/>
                <w:color w:val="FF0000"/>
                <w:sz w:val="20"/>
              </w:rPr>
              <w:t>HI</w:t>
            </w:r>
            <w:r>
              <w:rPr>
                <w:rFonts w:ascii="Times New Roman;Times;Serif" w:hAnsi="Times New Roman;Times;Serif"/>
                <w:b w:val="false"/>
                <w:i w:val="false"/>
                <w:caps w:val="false"/>
                <w:smallCaps w:val="false"/>
                <w:strike/>
                <w:color w:val="FF0000"/>
                <w:sz w:val="20"/>
              </w:rPr>
              <w:t xml:space="preserve">” and, together with BPRE, </w:t>
            </w:r>
            <w:r>
              <w:rPr>
                <w:rFonts w:ascii="Times New Roman;Times;Serif" w:hAnsi="Times New Roman;Times;Serif"/>
                <w:b w:val="false"/>
                <w:i w:val="false"/>
                <w:caps w:val="false"/>
                <w:smallCaps w:val="false"/>
                <w:color w:val="0000FF"/>
                <w:sz w:val="20"/>
                <w:u w:val="single"/>
              </w:rPr>
              <w:t>Neostellar Capital Corp.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 xml:space="preserve">Existing Regulated </w:t>
            </w:r>
            <w:r>
              <w:rPr>
                <w:rFonts w:ascii="Times New Roman;Times;Serif" w:hAnsi="Times New Roman;Times;Serif"/>
                <w:b/>
                <w:i/>
                <w:caps w:val="false"/>
                <w:smallCaps w:val="false"/>
                <w:strike/>
                <w:color w:val="FF0000"/>
                <w:sz w:val="20"/>
              </w:rPr>
              <w:t>Funds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i/>
                <w:caps w:val="false"/>
                <w:smallCaps w:val="false"/>
                <w:color w:val="0000FF"/>
                <w:sz w:val="20"/>
                <w:u w:val="single"/>
              </w:rPr>
              <w:t>Fund</w:t>
            </w:r>
            <w:r>
              <w:rPr>
                <w:rFonts w:ascii="Times New Roman;Times;Serif" w:hAnsi="Times New Roman;Times;Serif"/>
                <w:b w:val="false"/>
                <w:i w:val="false"/>
                <w:caps w:val="false"/>
                <w:smallCaps w:val="false"/>
                <w:color w:val="0000FF"/>
                <w:sz w:val="20"/>
                <w:u w:val="single"/>
              </w:rPr>
              <w:t>”), a Maryland corporation that operates as</w:t>
            </w:r>
            <w:r>
              <w:rPr>
                <w:rFonts w:ascii="Times New Roman;Times;Serif" w:hAnsi="Times New Roman;Times;Serif"/>
                <w:b w:val="false"/>
                <w:i w:val="false"/>
                <w:caps w:val="false"/>
                <w:smallCaps w:val="false"/>
                <w:sz w:val="20"/>
              </w:rPr>
              <w:t xml:space="preserve"> an externally managed, </w:t>
            </w:r>
            <w:r>
              <w:rPr>
                <w:rFonts w:ascii="Times New Roman;Times;Serif" w:hAnsi="Times New Roman;Times;Serif"/>
                <w:b w:val="false"/>
                <w:i w:val="false"/>
                <w:caps w:val="false"/>
                <w:smallCaps w:val="false"/>
                <w:strike/>
                <w:color w:val="FF0000"/>
                <w:sz w:val="20"/>
              </w:rPr>
              <w:t xml:space="preserve">non-diversified </w:t>
            </w:r>
            <w:r>
              <w:rPr>
                <w:rFonts w:ascii="Times New Roman;Times;Serif" w:hAnsi="Times New Roman;Times;Serif"/>
                <w:b w:val="false"/>
                <w:i w:val="false"/>
                <w:caps w:val="false"/>
                <w:smallCaps w:val="false"/>
                <w:sz w:val="20"/>
              </w:rPr>
              <w:t xml:space="preserve">closed-end </w:t>
            </w:r>
            <w:r>
              <w:rPr>
                <w:rFonts w:ascii="Times New Roman;Times;Serif" w:hAnsi="Times New Roman;Times;Serif"/>
                <w:b w:val="false"/>
                <w:i w:val="false"/>
                <w:caps w:val="false"/>
                <w:smallCaps w:val="false"/>
                <w:color w:val="0000FF"/>
                <w:sz w:val="20"/>
                <w:u w:val="single"/>
              </w:rPr>
              <w:t xml:space="preserve">non-diversified </w:t>
            </w:r>
            <w:r>
              <w:rPr>
                <w:rFonts w:ascii="Times New Roman;Times;Serif" w:hAnsi="Times New Roman;Times;Serif"/>
                <w:b w:val="false"/>
                <w:i w:val="false"/>
                <w:caps w:val="false"/>
                <w:smallCaps w:val="false"/>
                <w:sz w:val="20"/>
              </w:rPr>
              <w:t xml:space="preserve">management investment company </w:t>
            </w:r>
            <w:r>
              <w:rPr>
                <w:rFonts w:ascii="Times New Roman;Times;Serif" w:hAnsi="Times New Roman;Times;Serif"/>
                <w:b w:val="false"/>
                <w:i w:val="false"/>
                <w:caps w:val="false"/>
                <w:smallCaps w:val="false"/>
                <w:strike/>
                <w:color w:val="FF0000"/>
                <w:sz w:val="20"/>
              </w:rPr>
              <w:t>registered</w:t>
            </w:r>
            <w:r>
              <w:rPr>
                <w:rFonts w:ascii="Times New Roman;Times;Serif" w:hAnsi="Times New Roman;Times;Serif"/>
                <w:b w:val="false"/>
                <w:i w:val="false"/>
                <w:caps w:val="false"/>
                <w:smallCaps w:val="false"/>
                <w:color w:val="0000FF"/>
                <w:sz w:val="20"/>
                <w:u w:val="single"/>
              </w:rPr>
              <w:t>that has elected to be regulated as a business development company (“</w:t>
            </w:r>
            <w:r>
              <w:rPr>
                <w:rFonts w:ascii="Times New Roman;Times;Serif" w:hAnsi="Times New Roman;Times;Serif"/>
                <w:b/>
                <w:i/>
                <w:caps w:val="false"/>
                <w:smallCaps w:val="false"/>
                <w:color w:val="0000FF"/>
                <w:sz w:val="20"/>
                <w:u w:val="single"/>
              </w:rPr>
              <w:t>BDC</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under the 1940 Act;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strike/>
              </w:rPr>
            </w:pPr>
            <w:r>
              <w:rPr>
                <w:caps w:val="false"/>
                <w:smallCaps w:val="false"/>
                <w:strike/>
              </w:rPr>
              <w:t>●</w:t>
            </w:r>
          </w:p>
        </w:tc>
        <w:tc>
          <w:tcPr>
            <w:tcW w:w="10020" w:type="dxa"/>
            <w:tcBorders/>
            <w:vAlign w:val="center"/>
          </w:tcPr>
          <w:p>
            <w:pPr>
              <w:pStyle w:val="TableContents"/>
              <w:bidi w:val="0"/>
              <w:spacing w:before="0" w:after="283"/>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Bluerock Fund Advisor, LLC and its successors</w:t>
            </w:r>
            <w:r>
              <w:rPr>
                <w:rFonts w:ascii="Times New Roman;Times;Serif" w:hAnsi="Times New Roman;Times;Serif"/>
                <w:b w:val="false"/>
                <w:i w:val="false"/>
                <w:caps w:val="false"/>
                <w:smallCaps w:val="false"/>
                <w:strike/>
                <w:position w:val="7"/>
                <w:sz w:val="16"/>
                <w:sz w:val="20"/>
              </w:rPr>
              <w:t>2</w:t>
            </w:r>
            <w:r>
              <w:rPr>
                <w:rFonts w:ascii="Times New Roman;Times;Serif" w:hAnsi="Times New Roman;Times;Serif"/>
                <w:b w:val="false"/>
                <w:i w:val="false"/>
                <w:caps w:val="false"/>
                <w:smallCaps w:val="false"/>
                <w:strike/>
                <w:sz w:val="20"/>
              </w:rPr>
              <w:t>(“</w:t>
            </w:r>
            <w:r>
              <w:rPr>
                <w:rFonts w:ascii="Times New Roman;Times;Serif" w:hAnsi="Times New Roman;Times;Serif"/>
                <w:b/>
                <w:i/>
                <w:caps w:val="false"/>
                <w:smallCaps w:val="false"/>
                <w:strike/>
                <w:sz w:val="20"/>
              </w:rPr>
              <w:t>BFA</w:t>
            </w:r>
            <w:r>
              <w:rPr>
                <w:rFonts w:ascii="Times New Roman;Times;Serif" w:hAnsi="Times New Roman;Times;Serif"/>
                <w:b w:val="false"/>
                <w:i w:val="false"/>
                <w:caps w:val="false"/>
                <w:smallCaps w:val="false"/>
                <w:strike/>
                <w:sz w:val="20"/>
              </w:rPr>
              <w:t>”), an indirect, majority-owned subsidiary of BAM (as defined below) and the investment adviser to BPRE. BFA is registered with the SEC as an investment adviser under the Investment Advisers Act of 1940 (the “</w:t>
            </w:r>
            <w:r>
              <w:rPr>
                <w:rFonts w:ascii="Times New Roman;Times;Serif" w:hAnsi="Times New Roman;Times;Serif"/>
                <w:b/>
                <w:i/>
                <w:caps w:val="false"/>
                <w:smallCaps w:val="false"/>
                <w:strike/>
                <w:sz w:val="20"/>
              </w:rPr>
              <w:t>Advisers Act</w:t>
            </w:r>
            <w:r>
              <w:rPr>
                <w:rFonts w:ascii="Times New Roman;Times;Serif" w:hAnsi="Times New Roman;Times;Serif"/>
                <w:b/>
                <w:i w:val="false"/>
                <w:caps w:val="false"/>
                <w:smallCaps w:val="false"/>
                <w:strike/>
                <w:sz w:val="20"/>
              </w:rPr>
              <w:t>”</w:t>
            </w:r>
            <w:r>
              <w:rPr>
                <w:rFonts w:ascii="Times New Roman;Times;Serif" w:hAnsi="Times New Roman;Times;Serif"/>
                <w:b w:val="false"/>
                <w:i w:val="false"/>
                <w:caps w:val="false"/>
                <w:smallCaps w:val="false"/>
                <w:strike/>
                <w:sz w:val="20"/>
              </w:rPr>
              <w:t>);</w:t>
            </w:r>
          </w:p>
        </w:tc>
      </w:tr>
    </w:tbl>
    <w:p>
      <w:pPr>
        <w:pStyle w:val="TextBody"/>
        <w:bidi w:val="0"/>
        <w:spacing w:before="0" w:after="0"/>
        <w:ind w:left="720" w:right="0" w:hanging="720"/>
        <w:jc w:val="both"/>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strike/>
              </w:rPr>
            </w:pPr>
            <w:r>
              <w:rPr>
                <w:caps w:val="false"/>
                <w:smallCaps w:val="false"/>
                <w:strike/>
              </w:rPr>
              <w:t>●</w:t>
            </w:r>
          </w:p>
        </w:tc>
        <w:tc>
          <w:tcPr>
            <w:tcW w:w="10020" w:type="dxa"/>
            <w:tcBorders/>
            <w:vAlign w:val="center"/>
          </w:tcPr>
          <w:p>
            <w:pPr>
              <w:pStyle w:val="TableContents"/>
              <w:bidi w:val="0"/>
              <w:spacing w:before="0" w:after="283"/>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Bluerock Credit Fund Advisor, LLC and its successors (“</w:t>
            </w:r>
            <w:r>
              <w:rPr>
                <w:rFonts w:ascii="Times New Roman;Times;Serif" w:hAnsi="Times New Roman;Times;Serif"/>
                <w:b/>
                <w:i/>
                <w:caps w:val="false"/>
                <w:smallCaps w:val="false"/>
                <w:strike/>
                <w:sz w:val="20"/>
              </w:rPr>
              <w:t>CFA</w:t>
            </w:r>
            <w:r>
              <w:rPr>
                <w:rFonts w:ascii="Times New Roman;Times;Serif" w:hAnsi="Times New Roman;Times;Serif"/>
                <w:b w:val="false"/>
                <w:i w:val="false"/>
                <w:caps w:val="false"/>
                <w:smallCaps w:val="false"/>
                <w:strike/>
                <w:sz w:val="20"/>
              </w:rPr>
              <w:t>” and, together with the Existing Regulated Funds and BFA, the “</w:t>
            </w:r>
            <w:r>
              <w:rPr>
                <w:rFonts w:ascii="Times New Roman;Times;Serif" w:hAnsi="Times New Roman;Times;Serif"/>
                <w:b/>
                <w:i/>
                <w:caps w:val="false"/>
                <w:smallCaps w:val="false"/>
                <w:strike/>
                <w:sz w:val="20"/>
              </w:rPr>
              <w:t>Applicants</w:t>
            </w:r>
            <w:r>
              <w:rPr>
                <w:rFonts w:ascii="Times New Roman;Times;Serif" w:hAnsi="Times New Roman;Times;Serif"/>
                <w:b w:val="false"/>
                <w:i w:val="false"/>
                <w:caps w:val="false"/>
                <w:smallCaps w:val="false"/>
                <w:strike/>
                <w:sz w:val="20"/>
              </w:rPr>
              <w:t>”), an indirect, majority-owned subsidiary of BAM and the investment adviser to HI.</w:t>
            </w:r>
            <w:r>
              <w:rPr>
                <w:rFonts w:ascii="Times New Roman;Times;Serif" w:hAnsi="Times New Roman;Times;Serif"/>
                <w:b w:val="false"/>
                <w:i w:val="false"/>
                <w:caps w:val="false"/>
                <w:smallCaps w:val="false"/>
                <w:strike/>
                <w:position w:val="7"/>
                <w:sz w:val="16"/>
                <w:sz w:val="20"/>
              </w:rPr>
              <w:t>3</w:t>
            </w:r>
            <w:r>
              <w:rPr>
                <w:rFonts w:ascii="Times New Roman;Times;Serif" w:hAnsi="Times New Roman;Times;Serif"/>
                <w:b w:val="false"/>
                <w:i w:val="false"/>
                <w:caps w:val="false"/>
                <w:smallCaps w:val="false"/>
                <w:strike/>
                <w:sz w:val="20"/>
              </w:rPr>
              <w:t>CFA is registered with the SEC as an investment adviser under the Advisers Act.</w:t>
            </w:r>
          </w:p>
        </w:tc>
      </w:tr>
    </w:tbl>
    <w:p>
      <w:pPr>
        <w:pStyle w:val="TextBody"/>
        <w:bidi w:val="0"/>
        <w:spacing w:before="0" w:after="0"/>
        <w:ind w:left="720" w:right="0" w:hanging="720"/>
        <w:jc w:val="both"/>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Neostellar Advisors LLC (the “</w:t>
            </w:r>
            <w:r>
              <w:rPr>
                <w:rFonts w:ascii="Times New Roman;Times;Serif" w:hAnsi="Times New Roman;Times;Serif"/>
                <w:b/>
                <w:i/>
                <w:caps w:val="false"/>
                <w:smallCaps w:val="false"/>
                <w:sz w:val="20"/>
                <w:u w:val="single"/>
              </w:rPr>
              <w:t>BDC Adviser</w:t>
            </w:r>
            <w:r>
              <w:rPr>
                <w:rFonts w:ascii="Times New Roman;Times;Serif" w:hAnsi="Times New Roman;Times;Serif"/>
                <w:b w:val="false"/>
                <w:i w:val="false"/>
                <w:caps w:val="false"/>
                <w:smallCaps w:val="false"/>
                <w:sz w:val="20"/>
                <w:u w:val="single"/>
              </w:rPr>
              <w:t>”), a Delaware limited liability company that is an investment adviser registered under the Investment Advisers Act of 1940, as amended (the “</w:t>
            </w:r>
            <w:r>
              <w:rPr>
                <w:rFonts w:ascii="Times New Roman;Times;Serif" w:hAnsi="Times New Roman;Times;Serif"/>
                <w:b/>
                <w:i/>
                <w:caps w:val="false"/>
                <w:smallCaps w:val="false"/>
                <w:sz w:val="20"/>
                <w:u w:val="single"/>
              </w:rPr>
              <w:t>Advisers Act</w:t>
            </w:r>
            <w:r>
              <w:rPr>
                <w:rFonts w:ascii="Times New Roman;Times;Serif" w:hAnsi="Times New Roman;Times;Serif"/>
                <w:b w:val="false"/>
                <w:i w:val="false"/>
                <w:caps w:val="false"/>
                <w:smallCaps w:val="false"/>
                <w:sz w:val="20"/>
                <w:u w:val="single"/>
              </w:rPr>
              <w:t>”), and that serves as the investment adviser to the Existing Regulated Fund, on behalf of itself and its successors;</w:t>
            </w:r>
            <w:r>
              <w:rPr>
                <w:rFonts w:ascii="Times New Roman;Times;Serif" w:hAnsi="Times New Roman;Times;Serif"/>
                <w:b w:val="false"/>
                <w:i w:val="false"/>
                <w:caps w:val="false"/>
                <w:smallCaps w:val="false"/>
                <w:position w:val="7"/>
                <w:sz w:val="16"/>
                <w:sz w:val="20"/>
                <w:u w:val="single"/>
              </w:rPr>
              <w:t>2</w:t>
            </w:r>
          </w:p>
        </w:tc>
      </w:tr>
    </w:tbl>
    <w:p>
      <w:pPr>
        <w:pStyle w:val="TextBody"/>
        <w:bidi w:val="0"/>
        <w:spacing w:before="0" w:after="0"/>
        <w:ind w:left="360" w:right="0" w:hanging="360"/>
        <w:jc w:val="both"/>
        <w:rPr>
          <w:caps w:val="false"/>
          <w:smallCaps w:val="false"/>
          <w:color w:val="0000FF"/>
        </w:rPr>
      </w:pPr>
      <w:r>
        <w:rPr>
          <w:caps w:val="false"/>
          <w:smallCaps w:val="false"/>
          <w:color w:val="0000FF"/>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Financial LLC (“</w:t>
            </w:r>
            <w:r>
              <w:rPr>
                <w:rFonts w:ascii="Times New Roman;Times;Serif" w:hAnsi="Times New Roman;Times;Serif"/>
                <w:b/>
                <w:i/>
                <w:caps w:val="false"/>
                <w:smallCaps w:val="false"/>
                <w:sz w:val="20"/>
                <w:u w:val="single"/>
              </w:rPr>
              <w:t>Magnetar Financial</w:t>
            </w:r>
            <w:r>
              <w:rPr>
                <w:rFonts w:ascii="Times New Roman;Times;Serif" w:hAnsi="Times New Roman;Times;Serif"/>
                <w:b w:val="false"/>
                <w:i w:val="false"/>
                <w:caps w:val="false"/>
                <w:smallCaps w:val="false"/>
                <w:sz w:val="20"/>
                <w:u w:val="single"/>
              </w:rPr>
              <w:t>”), a Delaware limited liability company that is an investment adviser registered under the Advisers Act, and that serves as the investment adviser to certain Existing Affiliated Funds (as defined below);</w:t>
            </w:r>
          </w:p>
        </w:tc>
      </w:tr>
    </w:tbl>
    <w:p>
      <w:pPr>
        <w:pStyle w:val="TextBody"/>
        <w:bidi w:val="0"/>
        <w:spacing w:before="0" w:after="0"/>
        <w:ind w:left="360" w:right="0" w:hanging="360"/>
        <w:jc w:val="both"/>
        <w:rPr>
          <w:caps w:val="false"/>
          <w:smallCaps w:val="false"/>
          <w:color w:val="0000FF"/>
        </w:rPr>
      </w:pPr>
      <w:r>
        <w:rPr>
          <w:caps w:val="false"/>
          <w:smallCaps w:val="false"/>
          <w:color w:val="0000FF"/>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Financial (UK) LLP (“</w:t>
            </w:r>
            <w:r>
              <w:rPr>
                <w:rFonts w:ascii="Times New Roman;Times;Serif" w:hAnsi="Times New Roman;Times;Serif"/>
                <w:b/>
                <w:i/>
                <w:caps w:val="false"/>
                <w:smallCaps w:val="false"/>
                <w:sz w:val="20"/>
                <w:u w:val="single"/>
              </w:rPr>
              <w:t>Magnetar UK</w:t>
            </w:r>
            <w:r>
              <w:rPr>
                <w:rFonts w:ascii="Times New Roman;Times;Serif" w:hAnsi="Times New Roman;Times;Serif"/>
                <w:b w:val="false"/>
                <w:i w:val="false"/>
                <w:caps w:val="false"/>
                <w:smallCaps w:val="false"/>
                <w:sz w:val="20"/>
                <w:u w:val="single"/>
              </w:rPr>
              <w:t>”), a United Kingdom limited liability partnership that is not registered under the Advisers Act and the investment adviser to certain Existing Affiliated Funds (and together with the BDC Adviser and Magnetar Financial, the “</w:t>
            </w:r>
            <w:r>
              <w:rPr>
                <w:rFonts w:ascii="Times New Roman;Times;Serif" w:hAnsi="Times New Roman;Times;Serif"/>
                <w:b/>
                <w:i/>
                <w:caps w:val="false"/>
                <w:smallCaps w:val="false"/>
                <w:sz w:val="20"/>
                <w:u w:val="single"/>
              </w:rPr>
              <w:t>Existing Advisers</w:t>
            </w:r>
            <w:r>
              <w:rPr>
                <w:rFonts w:ascii="Times New Roman;Times;Serif" w:hAnsi="Times New Roman;Times;Serif"/>
                <w:b w:val="false"/>
                <w:i w:val="false"/>
                <w:caps w:val="false"/>
                <w:smallCaps w:val="false"/>
                <w:sz w:val="20"/>
                <w:u w:val="single"/>
              </w:rPr>
              <w:t>”);</w:t>
            </w:r>
          </w:p>
        </w:tc>
      </w:tr>
    </w:tbl>
    <w:p>
      <w:pPr>
        <w:pStyle w:val="TextBody"/>
        <w:bidi w:val="0"/>
        <w:spacing w:before="0" w:after="0"/>
        <w:ind w:left="360" w:right="0" w:hanging="360"/>
        <w:jc w:val="both"/>
        <w:rPr>
          <w:caps w:val="false"/>
          <w:smallCaps w:val="false"/>
          <w:color w:val="0000FF"/>
        </w:rPr>
      </w:pPr>
      <w:r>
        <w:rPr>
          <w:caps w:val="false"/>
          <w:smallCaps w:val="false"/>
          <w:color w:val="0000FF"/>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MCP Investing LLC, an entity wholly owned by an affiliate of the Existing Advisers that, from time to time, will hold various financial assets in a principal capacity and that currently intends to participate in Co-Investment Transactions (in such capacity, the “</w:t>
            </w:r>
            <w:r>
              <w:rPr>
                <w:rFonts w:ascii="Times New Roman;Times;Serif" w:hAnsi="Times New Roman;Times;Serif"/>
                <w:b/>
                <w:i/>
                <w:caps w:val="false"/>
                <w:smallCaps w:val="false"/>
                <w:sz w:val="20"/>
                <w:u w:val="single"/>
              </w:rPr>
              <w:t>Existing Proprietary Account</w:t>
            </w:r>
            <w:r>
              <w:rPr>
                <w:rFonts w:ascii="Times New Roman;Times;Serif" w:hAnsi="Times New Roman;Times;Serif"/>
                <w:b w:val="false"/>
                <w:i w:val="false"/>
                <w:caps w:val="false"/>
                <w:smallCaps w:val="false"/>
                <w:sz w:val="20"/>
                <w:u w:val="single"/>
              </w:rPr>
              <w:t>”);</w:t>
            </w:r>
          </w:p>
        </w:tc>
      </w:tr>
    </w:tbl>
    <w:p>
      <w:pPr>
        <w:pStyle w:val="TextBody"/>
        <w:bidi w:val="0"/>
        <w:spacing w:before="0" w:after="0"/>
        <w:ind w:left="360" w:right="0" w:hanging="360"/>
        <w:jc w:val="both"/>
        <w:rPr>
          <w:caps w:val="false"/>
          <w:smallCaps w:val="false"/>
          <w:color w:val="0000FF"/>
        </w:rPr>
      </w:pPr>
      <w:r>
        <w:rPr>
          <w:caps w:val="false"/>
          <w:smallCaps w:val="false"/>
          <w:color w:val="0000FF"/>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Certain vehicles (as identified on Schedule A hereto) (the “</w:t>
            </w:r>
            <w:r>
              <w:rPr>
                <w:rFonts w:ascii="Times New Roman;Times;Serif" w:hAnsi="Times New Roman;Times;Serif"/>
                <w:b/>
                <w:i/>
                <w:caps w:val="false"/>
                <w:smallCaps w:val="false"/>
                <w:sz w:val="20"/>
                <w:u w:val="single"/>
              </w:rPr>
              <w:t>Existing Wholly-Owned Subsidiaries</w:t>
            </w:r>
            <w:r>
              <w:rPr>
                <w:rFonts w:ascii="Times New Roman;Times;Serif" w:hAnsi="Times New Roman;Times;Serif"/>
                <w:b w:val="false"/>
                <w:i w:val="false"/>
                <w:caps w:val="false"/>
                <w:smallCaps w:val="false"/>
                <w:sz w:val="20"/>
                <w:u w:val="single"/>
              </w:rPr>
              <w:t>”), each of which is a separate and distinct legal entity and each of which is a Wholly-Owned Investment Sub (as defined below) of the Existing Regulated Fund; and</w:t>
            </w:r>
          </w:p>
        </w:tc>
      </w:tr>
    </w:tbl>
    <w:p>
      <w:pPr>
        <w:pStyle w:val="TextBody"/>
        <w:bidi w:val="0"/>
        <w:spacing w:before="0" w:after="0"/>
        <w:ind w:left="360" w:right="0" w:hanging="360"/>
        <w:jc w:val="both"/>
        <w:rPr>
          <w:caps w:val="false"/>
          <w:smallCaps w:val="false"/>
          <w:color w:val="0000FF"/>
        </w:rPr>
      </w:pPr>
      <w:r>
        <w:rPr>
          <w:caps w:val="false"/>
          <w:smallCaps w:val="false"/>
          <w:color w:val="0000FF"/>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investment vehicles identified on Schedule B hereto, each of which is a separate and distinct legal entity and each of which would be an investment company but for Sections 3(c)(1), 3(c)(5) or 3(c)(7) of the 1940 Act (the “</w:t>
            </w:r>
            <w:r>
              <w:rPr>
                <w:rFonts w:ascii="Times New Roman;Times;Serif" w:hAnsi="Times New Roman;Times;Serif"/>
                <w:b/>
                <w:i/>
                <w:caps w:val="false"/>
                <w:smallCaps w:val="false"/>
                <w:sz w:val="20"/>
                <w:u w:val="single"/>
              </w:rPr>
              <w:t>Existing Affiliated Funds</w:t>
            </w:r>
            <w:r>
              <w:rPr>
                <w:rFonts w:ascii="Times New Roman;Times;Serif" w:hAnsi="Times New Roman;Times;Serif"/>
                <w:b w:val="false"/>
                <w:i w:val="false"/>
                <w:caps w:val="false"/>
                <w:smallCaps w:val="false"/>
                <w:sz w:val="20"/>
                <w:u w:val="single"/>
              </w:rPr>
              <w:t>” and, together with the Existing Regulated Fund, the Existing Advisers, the Existing Proprietary Account and the Existing Wholly-Owned Subsidiaries, the “</w:t>
            </w:r>
            <w:r>
              <w:rPr>
                <w:rFonts w:ascii="Times New Roman;Times;Serif" w:hAnsi="Times New Roman;Times;Serif"/>
                <w:b/>
                <w:i/>
                <w:caps w:val="false"/>
                <w:smallCaps w:val="false"/>
                <w:sz w:val="20"/>
                <w:u w:val="single"/>
              </w:rPr>
              <w:t>Applicants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position w:val="7"/>
                <w:sz w:val="16"/>
                <w:sz w:val="20"/>
                <w:u w:val="single"/>
              </w:rPr>
              <w:t>3</w:t>
            </w:r>
          </w:p>
        </w:tc>
      </w:tr>
    </w:tbl>
    <w:p>
      <w:pPr>
        <w:pStyle w:val="TextBody"/>
        <w:bidi w:val="0"/>
        <w:spacing w:before="0" w:after="0"/>
        <w:ind w:left="360" w:right="0" w:hanging="360"/>
        <w:jc w:val="both"/>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Unless otherwise indicated, all section and rule references herein are to the 1940 Act and rules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2</w:t>
      </w:r>
      <w:r>
        <w:rPr>
          <w:rFonts w:ascii="Times New Roman;Times;Serif" w:hAnsi="Times New Roman;Times;Serif"/>
          <w:b w:val="false"/>
          <w:i w:val="false"/>
          <w:caps w:val="false"/>
          <w:smallCaps w:val="false"/>
          <w:strike/>
          <w:color w:val="FF0000"/>
          <w:sz w:val="20"/>
        </w:rPr>
        <w:t xml:space="preserve"> The term “successor,” as applied to each Adviser (as defined below), means an entity that results from a reorganization into another jurisdiction or change in the type of business organization.</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3</w:t>
      </w:r>
      <w:r>
        <w:rPr>
          <w:rFonts w:ascii="Times New Roman;Times;Serif" w:hAnsi="Times New Roman;Times;Serif"/>
          <w:b w:val="false"/>
          <w:i w:val="false"/>
          <w:caps w:val="false"/>
          <w:smallCaps w:val="false"/>
          <w:strike/>
          <w:color w:val="FF0000"/>
          <w:sz w:val="20"/>
        </w:rPr>
        <w:t xml:space="preserve"> 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position w:val="7"/>
          <w:sz w:val="16"/>
          <w:sz w:val="20"/>
          <w:u w:val="single"/>
        </w:rPr>
        <w:t>2</w:t>
      </w:r>
      <w:r>
        <w:rPr>
          <w:rFonts w:ascii="Times New Roman;Times;Serif" w:hAnsi="Times New Roman;Times;Serif"/>
          <w:b w:val="false"/>
          <w:i w:val="false"/>
          <w:caps w:val="false"/>
          <w:smallCaps w:val="false"/>
          <w:color w:val="0000FF"/>
          <w:sz w:val="20"/>
          <w:u w:val="single"/>
        </w:rPr>
        <w:t xml:space="preserve"> The term “</w:t>
      </w:r>
      <w:r>
        <w:rPr>
          <w:rFonts w:ascii="Times New Roman;Times;Serif" w:hAnsi="Times New Roman;Times;Serif"/>
          <w:b/>
          <w:i/>
          <w:caps w:val="false"/>
          <w:smallCaps w:val="false"/>
          <w:color w:val="0000FF"/>
          <w:sz w:val="20"/>
          <w:u w:val="single"/>
        </w:rPr>
        <w:t>successor</w:t>
      </w:r>
      <w:r>
        <w:rPr>
          <w:rFonts w:ascii="Times New Roman;Times;Serif" w:hAnsi="Times New Roman;Times;Serif"/>
          <w:b w:val="false"/>
          <w:i w:val="false"/>
          <w:caps w:val="false"/>
          <w:smallCaps w:val="false"/>
          <w:color w:val="0000FF"/>
          <w:sz w:val="20"/>
          <w:u w:val="single"/>
        </w:rPr>
        <w:t>” means an entity that results from a reorganization into another jurisdiction or change in the type of business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position w:val="7"/>
          <w:sz w:val="16"/>
          <w:sz w:val="20"/>
          <w:u w:val="single"/>
        </w:rPr>
        <w:t>3</w:t>
      </w:r>
      <w:r>
        <w:rPr>
          <w:rFonts w:ascii="Times New Roman;Times;Serif" w:hAnsi="Times New Roman;Times;Serif"/>
          <w:b w:val="false"/>
          <w:i w:val="false"/>
          <w:caps w:val="false"/>
          <w:smallCaps w:val="false"/>
          <w:color w:val="0000FF"/>
          <w:sz w:val="20"/>
          <w:u w:val="single"/>
        </w:rPr>
        <w:t xml:space="preserve"> 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would allow a Regulated Fund</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one or more Affiliated Entities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Regulated Fund</w:t>
      </w:r>
      <w:r>
        <w:rPr>
          <w:rFonts w:ascii="Times New Roman;Times;Serif" w:hAnsi="Times New Roman;Times;Serif"/>
          <w:b w:val="false"/>
          <w:i w:val="false"/>
          <w:caps w:val="false"/>
          <w:smallCaps w:val="false"/>
          <w:sz w:val="20"/>
        </w:rPr>
        <w:t xml:space="preserve">” means the Existing Regulated </w:t>
      </w:r>
      <w:r>
        <w:rPr>
          <w:rFonts w:ascii="Times New Roman;Times;Serif" w:hAnsi="Times New Roman;Times;Serif"/>
          <w:b w:val="false"/>
          <w:i w:val="false"/>
          <w:caps w:val="false"/>
          <w:smallCaps w:val="false"/>
          <w:strike/>
          <w:color w:val="FF0000"/>
          <w:sz w:val="20"/>
        </w:rPr>
        <w:t>Funds</w:t>
      </w:r>
      <w:r>
        <w:rPr>
          <w:rFonts w:ascii="Times New Roman;Times;Serif" w:hAnsi="Times New Roman;Times;Serif"/>
          <w:b w:val="false"/>
          <w:i w:val="false"/>
          <w:caps w:val="false"/>
          <w:smallCaps w:val="false"/>
          <w:color w:val="0000FF"/>
          <w:sz w:val="20"/>
          <w:u w:val="single"/>
        </w:rPr>
        <w:t>Fund</w:t>
      </w:r>
      <w:r>
        <w:rPr>
          <w:rFonts w:ascii="Times New Roman;Times;Serif" w:hAnsi="Times New Roman;Times;Serif"/>
          <w:b w:val="false"/>
          <w:i w:val="false"/>
          <w:caps w:val="false"/>
          <w:smallCaps w:val="false"/>
          <w:sz w:val="20"/>
        </w:rPr>
        <w:t xml:space="preserve">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BFA, CFA</w:t>
      </w:r>
      <w:r>
        <w:rPr>
          <w:rFonts w:ascii="Times New Roman;Times;Serif" w:hAnsi="Times New Roman;Times;Serif"/>
          <w:b w:val="false"/>
          <w:i w:val="false"/>
          <w:caps w:val="false"/>
          <w:smallCaps w:val="false"/>
          <w:color w:val="0000FF"/>
          <w:sz w:val="20"/>
          <w:u w:val="single"/>
        </w:rPr>
        <w:t>the Existing Advisers</w:t>
      </w:r>
      <w:r>
        <w:rPr>
          <w:rFonts w:ascii="Times New Roman;Times;Serif" w:hAnsi="Times New Roman;Times;Serif"/>
          <w:b w:val="false"/>
          <w:i w:val="false"/>
          <w:caps w:val="false"/>
          <w:smallCaps w:val="false"/>
          <w:sz w:val="20"/>
        </w:rPr>
        <w:t>, and any other investment adviser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controlling, controlled by, or under common control with </w:t>
      </w:r>
      <w:r>
        <w:rPr>
          <w:rFonts w:ascii="Times New Roman;Times;Serif" w:hAnsi="Times New Roman;Times;Serif"/>
          <w:b w:val="false"/>
          <w:i w:val="false"/>
          <w:caps w:val="false"/>
          <w:smallCaps w:val="false"/>
          <w:strike/>
          <w:color w:val="FF0000"/>
          <w:sz w:val="20"/>
        </w:rPr>
        <w:t>BFA and/or CFA</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The term “Adviser” also includes any internally-managed Regulated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Massachusetts Mutual Life Insurance Co. (pub. avail. June 7, 2000), Massachusetts Mutual Life Insurance Co. (pub. avail. July 28, 2000) and SMC Capital, Inc. (pub. avail. Sept. 5, 1995).</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30"/>
        <w:gridCol w:w="443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tc>
        <w:tc>
          <w:tcPr>
            <w:tcW w:w="4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DESCRIPTION OF THE APPLICANTS</w:t>
            </w:r>
          </w:p>
        </w:tc>
      </w:tr>
    </w:tbl>
    <w:p>
      <w:pPr>
        <w:pStyle w:val="TextBody"/>
        <w:bidi w:val="0"/>
        <w:spacing w:before="0" w:after="0"/>
        <w:ind w:left="720" w:right="0" w:hanging="720"/>
        <w:jc w:val="both"/>
        <w:rPr>
          <w:caps/>
        </w:rPr>
      </w:pPr>
      <w:r>
        <w:rPr>
          <w:caps/>
        </w:rPr>
        <w:t> </w:t>
      </w:r>
    </w:p>
    <w:p>
      <w:pPr>
        <w:pStyle w:val="TextBody"/>
        <w:bidi w:val="0"/>
        <w:ind w:left="720" w:right="0" w:hanging="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Bluerock Asset Management, LLC (“BAM”), a Delaware limited liability company formed in 2022, and/or one or more of its affiliates (collectively with BAM, “Bluerock Control Entities”) have controlling interests in each of the Advisers, and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thus may be deemed to indirectly control the Regulated Funds. However, the Bluerock Control Entities are holding companies; they do not currently offer investment advisory services to any person, are not expected to do so in the future, and will not be the source of any Co-Investment Transactions under the requested Order. Accordingly, none of the Bluerock Control Entities have been included as Applicants.</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3168" w:type="dxa"/>
        <w:jc w:val="left"/>
        <w:tblInd w:w="0" w:type="dxa"/>
        <w:tblLayout w:type="fixed"/>
        <w:tblCellMar>
          <w:top w:w="0" w:type="dxa"/>
          <w:left w:w="0" w:type="dxa"/>
          <w:bottom w:w="0" w:type="dxa"/>
          <w:right w:w="0" w:type="dxa"/>
        </w:tblCellMar>
      </w:tblPr>
      <w:tblGrid>
        <w:gridCol w:w="38"/>
        <w:gridCol w:w="20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BPRE</w:t>
            </w:r>
            <w:r>
              <w:rPr>
                <w:rFonts w:ascii="Times New Roman;Times;Serif" w:hAnsi="Times New Roman;Times;Serif"/>
                <w:b w:val="false"/>
                <w:i w:val="false"/>
                <w:caps w:val="false"/>
                <w:smallCaps w:val="false"/>
                <w:color w:val="0000FF"/>
                <w:sz w:val="20"/>
                <w:u w:val="single"/>
              </w:rPr>
              <w:t>The Existing Regulated Fund</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Regulated Fund (formerly known as SuRo Capital Corp., Sutter Rock Capital Corp., and GSV Capital Corp.) was incorporated in Maryland on January 6, 2011, and commenced operations upon completion of its initial public offering in May 2011. The Existing Regulated Fund elected to be regulated as a BDC under the 1940 Act upon completion of its initial public offering in May 2011 and operates as a closed-end non-diversified management investment company. The Existing Regulated Fund has elected to be treated as a regulated investment company under Subchapter M of the Internal Revenue Code of 1986, as amended, and intends to continue to make such election in the future. The Existing Regulated Fund’s principal place of business is 640 Fifth Avenue, 12th Floor, New York, NY 10019.</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BPRE (formerly, Bluerock Total Income+ Real Estate Fund) is a Delaware statutory trust formed on May 25, 2012. BPRE is registered under the 1940 Act as a closed-end management investment company. BPRE commenced operations on October 22, 2012. BPRE’s common shares commenced trading on the New York Stock Exchange on December 16, 2025. BPRE is currently treated as a regulated investment company under Sub-Chapter M of the Internal Revenue Code of 1986, as amended (the “</w:t>
      </w:r>
      <w:r>
        <w:rPr>
          <w:rFonts w:ascii="Times New Roman;Times;Serif" w:hAnsi="Times New Roman;Times;Serif"/>
          <w:b/>
          <w:i/>
          <w:caps w:val="false"/>
          <w:smallCaps w:val="false"/>
          <w:strike/>
          <w:color w:val="FF0000"/>
          <w:sz w:val="20"/>
        </w:rPr>
        <w:t>Code</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BPRE’s primary investment objective is to generate current income while secondarily seeking long-term capital appreciation with low to moderate volatility and low correlation to the broader markets.</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BPRE has a six-member board of trustees (the “</w:t>
      </w:r>
      <w:r>
        <w:rPr>
          <w:rFonts w:ascii="Times New Roman;Times;Serif" w:hAnsi="Times New Roman;Times;Serif"/>
          <w:b/>
          <w:i/>
          <w:caps w:val="false"/>
          <w:smallCaps w:val="false"/>
          <w:strike/>
          <w:color w:val="FF0000"/>
          <w:sz w:val="20"/>
        </w:rPr>
        <w:t>BPRE Board</w:t>
      </w:r>
      <w:r>
        <w:rPr>
          <w:rFonts w:ascii="Times New Roman;Times;Serif" w:hAnsi="Times New Roman;Times;Serif"/>
          <w:b w:val="false"/>
          <w:i w:val="false"/>
          <w:caps w:val="false"/>
          <w:smallCaps w:val="false"/>
          <w:strike/>
          <w:color w:val="FF0000"/>
          <w:sz w:val="20"/>
        </w:rPr>
        <w:t>”), of which four members are not “interested” persons of BPRE within the meaning of Section 2(a)(19) of the 1940 Act.</w:t>
      </w:r>
      <w:r>
        <w:rPr>
          <w:rFonts w:ascii="Times New Roman;Times;Serif" w:hAnsi="Times New Roman;Times;Serif"/>
          <w:b w:val="false"/>
          <w:i w:val="false"/>
          <w:caps w:val="false"/>
          <w:smallCaps w:val="false"/>
          <w:strike/>
          <w:color w:val="FF0000"/>
          <w:position w:val="7"/>
          <w:sz w:val="16"/>
          <w:sz w:val="20"/>
        </w:rPr>
        <w:t>9</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445" w:type="dxa"/>
        <w:jc w:val="left"/>
        <w:tblInd w:w="0" w:type="dxa"/>
        <w:tblLayout w:type="fixed"/>
        <w:tblCellMar>
          <w:top w:w="0" w:type="dxa"/>
          <w:left w:w="0" w:type="dxa"/>
          <w:bottom w:w="0" w:type="dxa"/>
          <w:right w:w="0" w:type="dxa"/>
        </w:tblCellMar>
      </w:tblPr>
      <w:tblGrid>
        <w:gridCol w:w="215"/>
        <w:gridCol w:w="23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HI</w:t>
            </w:r>
          </w:p>
        </w:tc>
      </w:tr>
    </w:tbl>
    <w:p>
      <w:pPr>
        <w:pStyle w:val="TextBody"/>
        <w:bidi w:val="0"/>
        <w:spacing w:before="0" w:after="0"/>
        <w:ind w:left="1440" w:right="0" w:hanging="144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HI is a Delaware statutory trust formed on August 19, 2021. HI is registered under the 1940 Act as a closed-end management investment company that operates as an interval fund pursuant to Rule 23c-3 under the 1940 Act. HI commenced operations on June 21, 2022. HI is currently treated as a regulated investment company under Sub-Chapter M of the Code.</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HI’s primary investment objective is to generate high current income, while secondarily seeking attractive, long-term risk-adjusted returns, with low correlation to the broader markets.</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9</w:t>
      </w:r>
      <w:r>
        <w:rPr>
          <w:rFonts w:ascii="Times New Roman;Times;Serif" w:hAnsi="Times New Roman;Times;Serif"/>
          <w:b w:val="false"/>
          <w:i w:val="false"/>
          <w:caps w:val="false"/>
          <w:smallCaps w:val="false"/>
          <w:strike/>
          <w:color w:val="FF0000"/>
          <w:sz w:val="20"/>
        </w:rPr>
        <w:t xml:space="preserve"> The Board of each Future Regulated Fund will consist of a majority of members who are not “interested persons” of such Future Regulated Fund within the meaning of Section 2(a)(19) of the 1940 Act.</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HI has a six-member board of trustees (the “</w:t>
      </w:r>
      <w:r>
        <w:rPr>
          <w:rFonts w:ascii="Times New Roman;Times;Serif" w:hAnsi="Times New Roman;Times;Serif"/>
          <w:b/>
          <w:i/>
          <w:caps w:val="false"/>
          <w:smallCaps w:val="false"/>
          <w:strike/>
          <w:color w:val="FF0000"/>
          <w:sz w:val="20"/>
        </w:rPr>
        <w:t>HI</w:t>
      </w:r>
      <w:r>
        <w:rPr>
          <w:rFonts w:ascii="Times New Roman;Times;Serif" w:hAnsi="Times New Roman;Times;Serif"/>
          <w:b w:val="false"/>
          <w:i w:val="false"/>
          <w:caps w:val="false"/>
          <w:smallCaps w:val="false"/>
          <w:color w:val="0000FF"/>
          <w:sz w:val="20"/>
          <w:u w:val="single"/>
        </w:rPr>
        <w:t>The Existing Regulated Fund’s investment objective is to maximize its portfolio’s total return, principally by seeking capital gains on its equity and equity-related investments and, to a lesser extent, income from debt investments. The Existing Regulated Fund’s business and affairs are managed under the direction of its board of directors (the “</w:t>
      </w:r>
      <w:r>
        <w:rPr>
          <w:rFonts w:ascii="Times New Roman;Times;Serif" w:hAnsi="Times New Roman;Times;Serif"/>
          <w:b/>
          <w:i/>
          <w:caps w:val="false"/>
          <w:smallCaps w:val="false"/>
          <w:color w:val="0000FF"/>
          <w:sz w:val="20"/>
          <w:u w:val="single"/>
        </w:rPr>
        <w:t>Existing Regulated Fund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Board</w:t>
      </w:r>
      <w:r>
        <w:rPr>
          <w:rFonts w:ascii="Times New Roman;Times;Serif" w:hAnsi="Times New Roman;Times;Serif"/>
          <w:b/>
          <w:i/>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together with </w:t>
      </w:r>
      <w:r>
        <w:rPr>
          <w:rFonts w:ascii="Times New Roman;Times;Serif" w:hAnsi="Times New Roman;Times;Serif"/>
          <w:b w:val="false"/>
          <w:i w:val="false"/>
          <w:caps w:val="false"/>
          <w:smallCaps w:val="false"/>
          <w:strike/>
          <w:color w:val="FF0000"/>
          <w:sz w:val="20"/>
        </w:rPr>
        <w:t xml:space="preserve">the BPRE Board, and </w:t>
      </w:r>
      <w:r>
        <w:rPr>
          <w:rFonts w:ascii="Times New Roman;Times;Serif" w:hAnsi="Times New Roman;Times;Serif"/>
          <w:b w:val="false"/>
          <w:i w:val="false"/>
          <w:caps w:val="false"/>
          <w:smallCaps w:val="false"/>
          <w:sz w:val="20"/>
        </w:rPr>
        <w:t>any Future Regulated Fund’s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0000FF"/>
          <w:sz w:val="20"/>
          <w:u w:val="single"/>
        </w:rPr>
        <w:t>. The Existing Regulated Fund Board consists of seven members</w:t>
      </w:r>
      <w:r>
        <w:rPr>
          <w:rFonts w:ascii="Times New Roman;Times;Serif" w:hAnsi="Times New Roman;Times;Serif"/>
          <w:b w:val="false"/>
          <w:i w:val="false"/>
          <w:caps w:val="false"/>
          <w:smallCaps w:val="false"/>
          <w:sz w:val="20"/>
        </w:rPr>
        <w:t xml:space="preserve">, of which </w:t>
      </w:r>
      <w:r>
        <w:rPr>
          <w:rFonts w:ascii="Times New Roman;Times;Serif" w:hAnsi="Times New Roman;Times;Serif"/>
          <w:b w:val="false"/>
          <w:i w:val="false"/>
          <w:caps w:val="false"/>
          <w:smallCaps w:val="false"/>
          <w:strike/>
          <w:color w:val="FF0000"/>
          <w:sz w:val="20"/>
        </w:rPr>
        <w:t>four</w:t>
      </w:r>
      <w:r>
        <w:rPr>
          <w:rFonts w:ascii="Times New Roman;Times;Serif" w:hAnsi="Times New Roman;Times;Serif"/>
          <w:b w:val="false"/>
          <w:i w:val="false"/>
          <w:caps w:val="false"/>
          <w:smallCaps w:val="false"/>
          <w:color w:val="0000FF"/>
          <w:sz w:val="20"/>
          <w:u w:val="single"/>
        </w:rPr>
        <w:t>five</w:t>
      </w:r>
      <w:r>
        <w:rPr>
          <w:rFonts w:ascii="Times New Roman;Times;Serif" w:hAnsi="Times New Roman;Times;Serif"/>
          <w:b w:val="false"/>
          <w:i w:val="false"/>
          <w:caps w:val="false"/>
          <w:smallCaps w:val="false"/>
          <w:sz w:val="20"/>
        </w:rPr>
        <w:t xml:space="preserve"> members are not “interested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persons</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trike/>
          <w:color w:val="FF0000"/>
          <w:sz w:val="20"/>
        </w:rPr>
        <w:t>HI</w:t>
      </w:r>
      <w:r>
        <w:rPr>
          <w:rFonts w:ascii="Times New Roman;Times;Serif" w:hAnsi="Times New Roman;Times;Serif"/>
          <w:b w:val="false"/>
          <w:i w:val="false"/>
          <w:caps w:val="false"/>
          <w:smallCaps w:val="false"/>
          <w:color w:val="0000FF"/>
          <w:sz w:val="20"/>
          <w:u w:val="single"/>
        </w:rPr>
        <w:t>the Existing Regulated Fund</w:t>
      </w:r>
      <w:r>
        <w:rPr>
          <w:rFonts w:ascii="Times New Roman;Times;Serif" w:hAnsi="Times New Roman;Times;Serif"/>
          <w:b w:val="false"/>
          <w:i w:val="false"/>
          <w:caps w:val="false"/>
          <w:smallCaps w:val="false"/>
          <w:sz w:val="20"/>
        </w:rPr>
        <w:t xml:space="preserve"> within the meaning of Section 2(a)(19) of the 1940 Act.</w:t>
      </w:r>
      <w:r>
        <w:rPr>
          <w:rFonts w:ascii="Times New Roman;Times;Serif" w:hAnsi="Times New Roman;Times;Serif"/>
          <w:b w:val="false"/>
          <w:i w:val="false"/>
          <w:caps w:val="false"/>
          <w:smallCaps w:val="false"/>
          <w:color w:val="0000FF"/>
          <w:position w:val="7"/>
          <w:sz w:val="16"/>
          <w:sz w:val="20"/>
          <w:u w:val="single"/>
        </w:rPr>
        <w:t>9</w:t>
      </w:r>
    </w:p>
    <w:p>
      <w:pPr>
        <w:pStyle w:val="TextBody"/>
        <w:bidi w:val="0"/>
        <w:spacing w:before="0" w:after="0"/>
        <w:ind w:left="0" w:right="0" w:firstLine="36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20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Affiliated Funds and Existing Proprietary Accounts</w:t>
            </w:r>
          </w:p>
        </w:tc>
      </w:tr>
    </w:tbl>
    <w:p>
      <w:pPr>
        <w:pStyle w:val="TextBody"/>
        <w:bidi w:val="0"/>
        <w:spacing w:before="0" w:after="0"/>
        <w:ind w:left="1440" w:right="0" w:hanging="108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Affiliated Funds are investment funds, each of whose investment adviser is an Existing Adviser and each of which would be an investment company but for Sections 3(c)(1), 3(c)(5) or 3(c)(7) of the 1940 Act.</w:t>
      </w:r>
      <w:r>
        <w:rPr>
          <w:rFonts w:ascii="Times New Roman;Times;Serif" w:hAnsi="Times New Roman;Times;Serif"/>
          <w:b w:val="false"/>
          <w:i w:val="false"/>
          <w:caps w:val="false"/>
          <w:smallCaps w:val="false"/>
          <w:color w:val="0000FF"/>
          <w:position w:val="7"/>
          <w:sz w:val="16"/>
          <w:sz w:val="20"/>
          <w:u w:val="single"/>
        </w:rPr>
        <w:t>10</w:t>
      </w:r>
      <w:r>
        <w:rPr>
          <w:rFonts w:ascii="Times New Roman;Times;Serif" w:hAnsi="Times New Roman;Times;Serif"/>
          <w:b w:val="false"/>
          <w:i w:val="false"/>
          <w:caps w:val="false"/>
          <w:smallCaps w:val="false"/>
          <w:color w:val="0000FF"/>
          <w:sz w:val="20"/>
          <w:u w:val="single"/>
        </w:rPr>
        <w:t xml:space="preserve"> A list of the Existing Affiliated Funds and their respective investment adviser is included on Schedule B hereto.</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Proprietary Account will, from time to time, hold various financial assets in a principal capacity. The Existing Advisers and their affiliates operate various business lines directly or through their wholly- or majority-owned subsidiaries, and the affiliate that exists and currently intends to participate in Co-Investment Transactions has been included as an Applicant herein.</w:t>
      </w:r>
    </w:p>
    <w:p>
      <w:pPr>
        <w:pStyle w:val="TextBody"/>
        <w:bidi w:val="0"/>
        <w:spacing w:before="0" w:after="0"/>
        <w:ind w:left="0" w:right="0" w:firstLine="360"/>
        <w:jc w:val="both"/>
        <w:rPr>
          <w:caps w:val="false"/>
          <w:smallCaps w:val="false"/>
          <w:color w:val="0000FF"/>
        </w:rPr>
      </w:pPr>
      <w:r>
        <w:rPr>
          <w:caps w:val="false"/>
          <w:smallCaps w:val="false"/>
          <w:color w:val="0000FF"/>
        </w:rPr>
        <w:t> </w:t>
      </w:r>
    </w:p>
    <w:tbl>
      <w:tblPr>
        <w:tblW w:w="3213" w:type="dxa"/>
        <w:jc w:val="left"/>
        <w:tblInd w:w="0" w:type="dxa"/>
        <w:tblLayout w:type="fixed"/>
        <w:tblCellMar>
          <w:top w:w="0" w:type="dxa"/>
          <w:left w:w="0" w:type="dxa"/>
          <w:bottom w:w="0" w:type="dxa"/>
          <w:right w:w="0" w:type="dxa"/>
        </w:tblCellMar>
      </w:tblPr>
      <w:tblGrid>
        <w:gridCol w:w="38"/>
        <w:gridCol w:w="20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BFA and CFA</w:t>
            </w:r>
            <w:r>
              <w:rPr>
                <w:rFonts w:ascii="Times New Roman;Times;Serif" w:hAnsi="Times New Roman;Times;Serif"/>
                <w:b w:val="false"/>
                <w:i w:val="false"/>
                <w:caps w:val="false"/>
                <w:smallCaps w:val="false"/>
                <w:color w:val="0000FF"/>
                <w:sz w:val="20"/>
                <w:u w:val="single"/>
              </w:rPr>
              <w:t>The Existing Advisers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BDC Adviser serves as the investment adviser of the Existing Regulated Fund and, as identified on Schedule B, an Existing Adviser serves as investment adviser to each of the Existing Affiliated Funds, and an Existing Adviser or another Adviser will serve as the investment adviser to any Future Regulated Fund. On the date of this Application, the clients of the Existing Advisers that intend to rely on this Application are the Existing Regulated Fund and the Existing Affiliated Funds identified on Schedule B hereto.</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BFA</w:t>
      </w:r>
      <w:r>
        <w:rPr>
          <w:rFonts w:ascii="Times New Roman;Times;Serif" w:hAnsi="Times New Roman;Times;Serif"/>
          <w:b w:val="false"/>
          <w:i w:val="false"/>
          <w:caps w:val="false"/>
          <w:smallCaps w:val="false"/>
          <w:color w:val="0000FF"/>
          <w:sz w:val="20"/>
          <w:u w:val="single"/>
        </w:rPr>
        <w:t>The BDC Adviser</w:t>
      </w:r>
      <w:r>
        <w:rPr>
          <w:rFonts w:ascii="Times New Roman;Times;Serif" w:hAnsi="Times New Roman;Times;Serif"/>
          <w:b w:val="false"/>
          <w:i w:val="false"/>
          <w:caps w:val="false"/>
          <w:smallCaps w:val="false"/>
          <w:sz w:val="20"/>
        </w:rPr>
        <w:t xml:space="preserve"> is a Delaware limited liability company </w:t>
      </w:r>
      <w:r>
        <w:rPr>
          <w:rFonts w:ascii="Times New Roman;Times;Serif" w:hAnsi="Times New Roman;Times;Serif"/>
          <w:b w:val="false"/>
          <w:i w:val="false"/>
          <w:caps w:val="false"/>
          <w:smallCaps w:val="false"/>
          <w:strike/>
          <w:color w:val="FF0000"/>
          <w:sz w:val="20"/>
        </w:rPr>
        <w:t>formed on May 11, 2012. BFA</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is registered </w:t>
      </w:r>
      <w:r>
        <w:rPr>
          <w:rFonts w:ascii="Times New Roman;Times;Serif" w:hAnsi="Times New Roman;Times;Serif"/>
          <w:b w:val="false"/>
          <w:i w:val="false"/>
          <w:caps w:val="false"/>
          <w:smallCaps w:val="false"/>
          <w:strike/>
          <w:color w:val="FF0000"/>
          <w:sz w:val="20"/>
        </w:rPr>
        <w:t>with the SEC</w:t>
      </w:r>
      <w:r>
        <w:rPr>
          <w:rFonts w:ascii="Times New Roman;Times;Serif" w:hAnsi="Times New Roman;Times;Serif"/>
          <w:b w:val="false"/>
          <w:i w:val="false"/>
          <w:caps w:val="false"/>
          <w:smallCaps w:val="false"/>
          <w:sz w:val="20"/>
        </w:rPr>
        <w:t xml:space="preserve"> as an investment adviser </w:t>
      </w:r>
      <w:r>
        <w:rPr>
          <w:rFonts w:ascii="Times New Roman;Times;Serif" w:hAnsi="Times New Roman;Times;Serif"/>
          <w:b w:val="false"/>
          <w:i w:val="false"/>
          <w:caps w:val="false"/>
          <w:smallCaps w:val="false"/>
          <w:color w:val="0000FF"/>
          <w:sz w:val="20"/>
          <w:u w:val="single"/>
        </w:rPr>
        <w:t xml:space="preserve">with the Commission </w:t>
      </w:r>
      <w:r>
        <w:rPr>
          <w:rFonts w:ascii="Times New Roman;Times;Serif" w:hAnsi="Times New Roman;Times;Serif"/>
          <w:b w:val="false"/>
          <w:i w:val="false"/>
          <w:caps w:val="false"/>
          <w:smallCaps w:val="false"/>
          <w:sz w:val="20"/>
        </w:rPr>
        <w:t xml:space="preserve">under the Advisers Act. </w:t>
      </w:r>
      <w:r>
        <w:rPr>
          <w:rFonts w:ascii="Times New Roman;Times;Serif" w:hAnsi="Times New Roman;Times;Serif"/>
          <w:b w:val="false"/>
          <w:i w:val="false"/>
          <w:caps w:val="false"/>
          <w:smallCaps w:val="false"/>
          <w:strike/>
          <w:color w:val="FF0000"/>
          <w:sz w:val="20"/>
        </w:rPr>
        <w:t>BFA is an indirect, majority-owned subsidiary of BAM and serves as</w:t>
      </w:r>
      <w:r>
        <w:rPr>
          <w:rFonts w:ascii="Times New Roman;Times;Serif" w:hAnsi="Times New Roman;Times;Serif"/>
          <w:b w:val="false"/>
          <w:i w:val="false"/>
          <w:caps w:val="false"/>
          <w:smallCaps w:val="false"/>
          <w:color w:val="0000FF"/>
          <w:sz w:val="20"/>
          <w:u w:val="single"/>
        </w:rPr>
        <w:t>The BDC Adviser’s principal place of business is 640 Fifth Avenue, 12th Floor, New York, NY 10019. Neostellar Administrative Services LLC, an affiliate of the BDC Adviser (the “</w:t>
      </w:r>
      <w:r>
        <w:rPr>
          <w:rFonts w:ascii="Times New Roman;Times;Serif" w:hAnsi="Times New Roman;Times;Serif"/>
          <w:b/>
          <w:i/>
          <w:caps w:val="false"/>
          <w:smallCaps w:val="false"/>
          <w:color w:val="0000FF"/>
          <w:sz w:val="20"/>
          <w:u w:val="single"/>
        </w:rPr>
        <w:t>Administrator</w:t>
      </w:r>
      <w:r>
        <w:rPr>
          <w:rFonts w:ascii="Times New Roman;Times;Serif" w:hAnsi="Times New Roman;Times;Serif"/>
          <w:b w:val="false"/>
          <w:i w:val="false"/>
          <w:caps w:val="false"/>
          <w:smallCaps w:val="false"/>
          <w:color w:val="0000FF"/>
          <w:sz w:val="20"/>
          <w:u w:val="single"/>
        </w:rPr>
        <w:t>”), provides administrative services to the Existing Regulated Fund under an administrative services agreement. The BDC Adviser is jointly owned and controlled by Magnetar Holdings LLC (“</w:t>
      </w:r>
      <w:r>
        <w:rPr>
          <w:rFonts w:ascii="Times New Roman;Times;Serif" w:hAnsi="Times New Roman;Times;Serif"/>
          <w:b/>
          <w:i/>
          <w:caps w:val="false"/>
          <w:smallCaps w:val="false"/>
          <w:color w:val="0000FF"/>
          <w:sz w:val="20"/>
          <w:u w:val="single"/>
        </w:rPr>
        <w:t>Magnetar Holdings</w:t>
      </w:r>
      <w:r>
        <w:rPr>
          <w:rFonts w:ascii="Times New Roman;Times;Serif" w:hAnsi="Times New Roman;Times;Serif"/>
          <w:b w:val="false"/>
          <w:i w:val="false"/>
          <w:caps w:val="false"/>
          <w:smallCaps w:val="false"/>
          <w:color w:val="0000FF"/>
          <w:sz w:val="20"/>
          <w:u w:val="single"/>
        </w:rPr>
        <w:t>”) and by a vehicle that is in turn owned and controlled by certain officers of the Existing Regulated Fund. Magnetar Holdings is wholly-owned and controlled by Magnetar Capital Partners LP (“</w:t>
      </w:r>
      <w:r>
        <w:rPr>
          <w:rFonts w:ascii="Times New Roman;Times;Serif" w:hAnsi="Times New Roman;Times;Serif"/>
          <w:b/>
          <w:i/>
          <w:caps w:val="false"/>
          <w:smallCaps w:val="false"/>
          <w:color w:val="0000FF"/>
          <w:sz w:val="20"/>
          <w:u w:val="single"/>
        </w:rPr>
        <w:t>MCP LP</w:t>
      </w:r>
      <w:r>
        <w:rPr>
          <w:rFonts w:ascii="Times New Roman;Times;Serif" w:hAnsi="Times New Roman;Times;Serif"/>
          <w:b w:val="false"/>
          <w:i w:val="false"/>
          <w:caps w:val="false"/>
          <w:smallCaps w:val="false"/>
          <w:color w:val="0000FF"/>
          <w:sz w:val="20"/>
          <w:u w:val="single"/>
        </w:rPr>
        <w:t>”). Each of Magnetar Financial and Magnetar UK is a direct or indirect wholly-owned subsidiary of MCP LP, and MCP LP, through Magnetar Holdings, indirectly controls the BDC Adviser. Accordingly, the Existing Advisers are under common control and are affiliated persons of each other. MCP LP is not an</w:t>
      </w:r>
      <w:r>
        <w:rPr>
          <w:rFonts w:ascii="Times New Roman;Times;Serif" w:hAnsi="Times New Roman;Times;Serif"/>
          <w:b w:val="false"/>
          <w:i w:val="false"/>
          <w:caps w:val="false"/>
          <w:smallCaps w:val="false"/>
          <w:sz w:val="20"/>
        </w:rPr>
        <w:t xml:space="preserve"> investment adviser </w:t>
      </w:r>
      <w:r>
        <w:rPr>
          <w:rFonts w:ascii="Times New Roman;Times;Serif" w:hAnsi="Times New Roman;Times;Serif"/>
          <w:b w:val="false"/>
          <w:i w:val="false"/>
          <w:caps w:val="false"/>
          <w:smallCaps w:val="false"/>
          <w:strike/>
          <w:color w:val="FF0000"/>
          <w:sz w:val="20"/>
        </w:rPr>
        <w:t>to BPRE</w:t>
      </w:r>
      <w:r>
        <w:rPr>
          <w:rFonts w:ascii="Times New Roman;Times;Serif" w:hAnsi="Times New Roman;Times;Serif"/>
          <w:b w:val="false"/>
          <w:i w:val="false"/>
          <w:caps w:val="false"/>
          <w:smallCaps w:val="false"/>
          <w:color w:val="0000FF"/>
          <w:sz w:val="20"/>
          <w:u w:val="single"/>
        </w:rPr>
        <w:t>and does not currently intend to rely upon the requested Order. As a result, MCP LP is not named as an Applicant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position w:val="7"/>
          <w:sz w:val="16"/>
          <w:sz w:val="20"/>
          <w:u w:val="single"/>
        </w:rPr>
        <w:t>9</w:t>
      </w:r>
      <w:r>
        <w:rPr>
          <w:rFonts w:ascii="Times New Roman;Times;Serif" w:hAnsi="Times New Roman;Times;Serif"/>
          <w:b w:val="false"/>
          <w:i w:val="false"/>
          <w:caps w:val="false"/>
          <w:smallCaps w:val="false"/>
          <w:color w:val="0000FF"/>
          <w:sz w:val="20"/>
          <w:u w:val="single"/>
        </w:rPr>
        <w:t xml:space="preserve"> The Board of each Future Regulated Fund will consist of a majority of members who are not “interested persons” of such Future Regulated Fund within the meaning of Section 2(a)(19) of the 1940 Act.</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position w:val="7"/>
          <w:sz w:val="16"/>
          <w:sz w:val="20"/>
          <w:u w:val="single"/>
        </w:rPr>
        <w:t>10</w:t>
      </w:r>
      <w:r>
        <w:rPr>
          <w:rFonts w:ascii="Times New Roman;Times;Serif" w:hAnsi="Times New Roman;Times;Serif"/>
          <w:b w:val="false"/>
          <w:i w:val="false"/>
          <w:caps w:val="false"/>
          <w:smallCaps w:val="false"/>
          <w:color w:val="0000FF"/>
          <w:sz w:val="20"/>
          <w:u w:val="single"/>
        </w:rPr>
        <w:t xml:space="preserve"> In the future, an Existing Affiliated Fund may register as an investment company under the Act and, if so registered, will be considered a Regulated Fund for purposes of this application.</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CFA</w:t>
      </w:r>
      <w:r>
        <w:rPr>
          <w:rFonts w:ascii="Times New Roman;Times;Serif" w:hAnsi="Times New Roman;Times;Serif"/>
          <w:b w:val="false"/>
          <w:i w:val="false"/>
          <w:caps w:val="false"/>
          <w:smallCaps w:val="false"/>
          <w:color w:val="0000FF"/>
          <w:sz w:val="20"/>
          <w:u w:val="single"/>
        </w:rPr>
        <w:t>Magnetar Financial</w:t>
      </w:r>
      <w:r>
        <w:rPr>
          <w:rFonts w:ascii="Times New Roman;Times;Serif" w:hAnsi="Times New Roman;Times;Serif"/>
          <w:b w:val="false"/>
          <w:i w:val="false"/>
          <w:caps w:val="false"/>
          <w:smallCaps w:val="false"/>
          <w:sz w:val="20"/>
        </w:rPr>
        <w:t xml:space="preserve"> is a Delaware limited liability company </w:t>
      </w:r>
      <w:r>
        <w:rPr>
          <w:rFonts w:ascii="Times New Roman;Times;Serif" w:hAnsi="Times New Roman;Times;Serif"/>
          <w:b w:val="false"/>
          <w:i w:val="false"/>
          <w:caps w:val="false"/>
          <w:smallCaps w:val="false"/>
          <w:strike/>
          <w:color w:val="FF0000"/>
          <w:sz w:val="20"/>
        </w:rPr>
        <w:t>formed on November 29, 2017. CFA</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is registered </w:t>
      </w:r>
      <w:r>
        <w:rPr>
          <w:rFonts w:ascii="Times New Roman;Times;Serif" w:hAnsi="Times New Roman;Times;Serif"/>
          <w:b w:val="false"/>
          <w:i w:val="false"/>
          <w:caps w:val="false"/>
          <w:smallCaps w:val="false"/>
          <w:strike/>
          <w:color w:val="FF0000"/>
          <w:sz w:val="20"/>
        </w:rPr>
        <w:t xml:space="preserve">with the SEC </w:t>
      </w:r>
      <w:r>
        <w:rPr>
          <w:rFonts w:ascii="Times New Roman;Times;Serif" w:hAnsi="Times New Roman;Times;Serif"/>
          <w:b w:val="false"/>
          <w:i w:val="false"/>
          <w:caps w:val="false"/>
          <w:smallCaps w:val="false"/>
          <w:sz w:val="20"/>
        </w:rPr>
        <w:t xml:space="preserve">as an investment adviser </w:t>
      </w:r>
      <w:r>
        <w:rPr>
          <w:rFonts w:ascii="Times New Roman;Times;Serif" w:hAnsi="Times New Roman;Times;Serif"/>
          <w:b w:val="false"/>
          <w:i w:val="false"/>
          <w:caps w:val="false"/>
          <w:smallCaps w:val="false"/>
          <w:color w:val="0000FF"/>
          <w:sz w:val="20"/>
          <w:u w:val="single"/>
        </w:rPr>
        <w:t xml:space="preserve">with the Commission </w:t>
      </w:r>
      <w:r>
        <w:rPr>
          <w:rFonts w:ascii="Times New Roman;Times;Serif" w:hAnsi="Times New Roman;Times;Serif"/>
          <w:b w:val="false"/>
          <w:i w:val="false"/>
          <w:caps w:val="false"/>
          <w:smallCaps w:val="false"/>
          <w:sz w:val="20"/>
        </w:rPr>
        <w:t xml:space="preserve">under the Advisers Act. </w:t>
      </w:r>
      <w:r>
        <w:rPr>
          <w:rFonts w:ascii="Times New Roman;Times;Serif" w:hAnsi="Times New Roman;Times;Serif"/>
          <w:b w:val="false"/>
          <w:i w:val="false"/>
          <w:caps w:val="false"/>
          <w:smallCaps w:val="false"/>
          <w:strike/>
          <w:color w:val="FF0000"/>
          <w:sz w:val="20"/>
        </w:rPr>
        <w:t>CFA is an indirect, majority-owned subsidiary of BAM and serves as</w:t>
      </w:r>
      <w:r>
        <w:rPr>
          <w:rFonts w:ascii="Times New Roman;Times;Serif" w:hAnsi="Times New Roman;Times;Serif"/>
          <w:b w:val="false"/>
          <w:i w:val="false"/>
          <w:caps w:val="false"/>
          <w:smallCaps w:val="false"/>
          <w:color w:val="0000FF"/>
          <w:sz w:val="20"/>
          <w:u w:val="single"/>
        </w:rPr>
        <w:t>Magnetar UK is a United Kingdom limited liability partnership and is registered with the Financial Conduct Authority. Magnetar UK is not registered under the Advisers Act and is not an exempt reporting adviser. However, all of the Applicants’ investment activities are conducted within a global, centralized investment committee and allocation process, which is overseen by a unified global compliance program that has complete transparency into the activities of all of the Advisers from within the U.S., regardless of their regulatory status under the Advisers Act. The principal place of business of Magnetar Financial is 1603 Orrington Avenue, 13th Floor, Evanston, IL 60201. The principal place of business of Magnetar UK is 25 Great Pulteney Street, 3rd Floor, London W1F 9LT, United Kingdom. Either Magnetar UK or Magnetar Financial serves as the</w:t>
      </w:r>
      <w:r>
        <w:rPr>
          <w:rFonts w:ascii="Times New Roman;Times;Serif" w:hAnsi="Times New Roman;Times;Serif"/>
          <w:b w:val="false"/>
          <w:i w:val="false"/>
          <w:caps w:val="false"/>
          <w:smallCaps w:val="false"/>
          <w:sz w:val="20"/>
        </w:rPr>
        <w:t xml:space="preserve"> investment adviser to </w:t>
      </w:r>
      <w:r>
        <w:rPr>
          <w:rFonts w:ascii="Times New Roman;Times;Serif" w:hAnsi="Times New Roman;Times;Serif"/>
          <w:b w:val="false"/>
          <w:i w:val="false"/>
          <w:caps w:val="false"/>
          <w:smallCaps w:val="false"/>
          <w:strike/>
          <w:color w:val="FF0000"/>
          <w:sz w:val="20"/>
        </w:rPr>
        <w:t>HI</w:t>
      </w:r>
      <w:r>
        <w:rPr>
          <w:rFonts w:ascii="Times New Roman;Times;Serif" w:hAnsi="Times New Roman;Times;Serif"/>
          <w:b w:val="false"/>
          <w:i w:val="false"/>
          <w:caps w:val="false"/>
          <w:smallCaps w:val="false"/>
          <w:color w:val="0000FF"/>
          <w:sz w:val="20"/>
          <w:u w:val="single"/>
        </w:rPr>
        <w:t>each of the Existing Affiliated Funds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investment management business that Magnetar Financial and Magnetar UK are a part of is a multi-strategy, multi-product alternative investment platform (“Magnetar”) founded in 2005 with approximately $17.8 billion in assets under management as of December 31, 2025 and approximately 224 professionals globally as of March 31, 2026. Magnetar is headquartered in Evanston, Illinois and operates from offices in New York, London, Menlo Park, and Austin. Magnetar’s investment strategies include alternative credit and fixed income, quantitative investing, and ventures.</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an investment advisory agreement with </w:t>
      </w:r>
      <w:r>
        <w:rPr>
          <w:rFonts w:ascii="Times New Roman;Times;Serif" w:hAnsi="Times New Roman;Times;Serif"/>
          <w:b w:val="false"/>
          <w:i w:val="false"/>
          <w:caps w:val="false"/>
          <w:smallCaps w:val="false"/>
          <w:strike/>
          <w:color w:val="FF0000"/>
          <w:sz w:val="20"/>
        </w:rPr>
        <w:t>BPRE and HI, BFA and CFA, respectively,</w:t>
      </w:r>
      <w:r>
        <w:rPr>
          <w:rFonts w:ascii="Times New Roman;Times;Serif" w:hAnsi="Times New Roman;Times;Serif"/>
          <w:b w:val="false"/>
          <w:i w:val="false"/>
          <w:caps w:val="false"/>
          <w:smallCaps w:val="false"/>
          <w:color w:val="0000FF"/>
          <w:sz w:val="20"/>
          <w:u w:val="single"/>
        </w:rPr>
        <w:t>the Existing Regulated Fund and each Existing Affiliated Fund, as applicable, the Existing Advisers</w:t>
      </w:r>
      <w:r>
        <w:rPr>
          <w:rFonts w:ascii="Times New Roman;Times;Serif" w:hAnsi="Times New Roman;Times;Serif"/>
          <w:b w:val="false"/>
          <w:i w:val="false"/>
          <w:caps w:val="false"/>
          <w:smallCaps w:val="false"/>
          <w:sz w:val="20"/>
        </w:rPr>
        <w:t xml:space="preserve"> will, among other things, manage the investment portfolio, direct purchases and sales of portfolio securities and report thereon to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Existing Regulated Fund’s </w:t>
      </w:r>
      <w:r>
        <w:rPr>
          <w:rFonts w:ascii="Times New Roman;Times;Serif" w:hAnsi="Times New Roman;Times;Serif"/>
          <w:b w:val="false"/>
          <w:i w:val="false"/>
          <w:caps w:val="false"/>
          <w:smallCaps w:val="false"/>
          <w:color w:val="0000FF"/>
          <w:sz w:val="20"/>
          <w:u w:val="single"/>
        </w:rPr>
        <w:t xml:space="preserve">and each Existing Affiliated Fund’s </w:t>
      </w:r>
      <w:r>
        <w:rPr>
          <w:rFonts w:ascii="Times New Roman;Times;Serif" w:hAnsi="Times New Roman;Times;Serif"/>
          <w:b w:val="false"/>
          <w:i w:val="false"/>
          <w:caps w:val="false"/>
          <w:smallCaps w:val="false"/>
          <w:sz w:val="20"/>
        </w:rPr>
        <w:t>officers and directors</w:t>
      </w:r>
      <w:r>
        <w:rPr>
          <w:rFonts w:ascii="Times New Roman;Times;Serif" w:hAnsi="Times New Roman;Times;Serif"/>
          <w:b w:val="false"/>
          <w:i w:val="false"/>
          <w:caps w:val="false"/>
          <w:smallCaps w:val="false"/>
          <w:color w:val="0000FF"/>
          <w:sz w:val="20"/>
          <w:u w:val="single"/>
        </w:rPr>
        <w:t>/trustees/manager</w:t>
      </w:r>
      <w:r>
        <w:rPr>
          <w:rFonts w:ascii="Times New Roman;Times;Serif" w:hAnsi="Times New Roman;Times;Serif"/>
          <w:b w:val="false"/>
          <w:i w:val="false"/>
          <w:caps w:val="false"/>
          <w:smallCaps w:val="false"/>
          <w:sz w:val="20"/>
        </w:rPr>
        <w:t xml:space="preserve"> regularly.</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05"/>
        <w:gridCol w:w="1970"/>
      </w:tblGrid>
      <w:tr>
        <w:trPr/>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ORDER REQUESTED</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firstLine="36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0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Applicable Law</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strike/>
          <w:color w:val="FF0000"/>
          <w:position w:val="7"/>
          <w:sz w:val="16"/>
          <w:sz w:val="20"/>
        </w:rPr>
        <w:t>10</w:t>
      </w:r>
      <w:r>
        <w:rPr>
          <w:rFonts w:ascii="Times New Roman;Times;Serif" w:hAnsi="Times New Roman;Times;Serif"/>
          <w:b w:val="false"/>
          <w:i w:val="false"/>
          <w:caps w:val="false"/>
          <w:smallCaps w:val="false"/>
          <w:color w:val="0000FF"/>
          <w:position w:val="7"/>
          <w:sz w:val="16"/>
          <w:sz w:val="20"/>
          <w:u w:val="single"/>
        </w:rPr>
        <w:t>11</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10</w:t>
      </w:r>
      <w:r>
        <w:rPr>
          <w:rFonts w:ascii="Times New Roman;Times;Serif" w:hAnsi="Times New Roman;Times;Serif"/>
          <w:b w:val="false"/>
          <w:i w:val="false"/>
          <w:caps w:val="false"/>
          <w:smallCaps w:val="false"/>
          <w:color w:val="0000FF"/>
          <w:position w:val="7"/>
          <w:sz w:val="16"/>
          <w:sz w:val="20"/>
          <w:u w:val="single"/>
        </w:rPr>
        <w:t>11</w:t>
      </w:r>
      <w:r>
        <w:rPr>
          <w:rFonts w:ascii="Times New Roman;Times;Serif" w:hAnsi="Times New Roman;Times;Serif"/>
          <w:b w:val="false"/>
          <w:i w:val="false"/>
          <w:caps w:val="false"/>
          <w:smallCaps w:val="false"/>
          <w:sz w:val="20"/>
        </w:rPr>
        <w:t xml:space="preserve"> 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firstLine="36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0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8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Need for Relief</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w:t>
      </w:r>
      <w:r>
        <w:rPr>
          <w:rFonts w:ascii="Times New Roman;Times;Serif" w:hAnsi="Times New Roman;Times;Serif"/>
          <w:b w:val="false"/>
          <w:i w:val="false"/>
          <w:caps w:val="false"/>
          <w:smallCaps w:val="false"/>
          <w:color w:val="0000FF"/>
          <w:sz w:val="20"/>
          <w:u w:val="single"/>
        </w:rPr>
        <w:t xml:space="preserve">fund </w:t>
      </w:r>
      <w:r>
        <w:rPr>
          <w:rFonts w:ascii="Times New Roman;Times;Serif" w:hAnsi="Times New Roman;Times;Serif"/>
          <w:b w:val="false"/>
          <w:i w:val="false"/>
          <w:caps w:val="false"/>
          <w:smallCaps w:val="false"/>
          <w:sz w:val="20"/>
        </w:rPr>
        <w:t>or closed-end fund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or a business development company, respectively, including a sub-adviser. Thus, an Adviser and any Affiliated Entities that it advises could be deemed to be persons related to Regulated Funds in a manner described by Sections 17(d) and 57(b). </w:t>
      </w:r>
      <w:r>
        <w:rPr>
          <w:rFonts w:ascii="Times New Roman;Times;Serif" w:hAnsi="Times New Roman;Times;Serif"/>
          <w:b w:val="false"/>
          <w:i w:val="false"/>
          <w:caps w:val="false"/>
          <w:smallCaps w:val="false"/>
          <w:strike/>
          <w:color w:val="FF0000"/>
          <w:sz w:val="20"/>
        </w:rPr>
        <w:t>BFA and CFA are each majority-owned by BAM,</w:t>
      </w:r>
      <w:r>
        <w:rPr>
          <w:rFonts w:ascii="Times New Roman;Times;Serif" w:hAnsi="Times New Roman;Times;Serif"/>
          <w:b w:val="false"/>
          <w:i w:val="false"/>
          <w:caps w:val="false"/>
          <w:smallCaps w:val="false"/>
          <w:color w:val="0000FF"/>
          <w:sz w:val="20"/>
          <w:u w:val="single"/>
        </w:rPr>
        <w:t>The Existing Advisers</w:t>
      </w:r>
      <w:r>
        <w:rPr>
          <w:rFonts w:ascii="Times New Roman;Times;Serif" w:hAnsi="Times New Roman;Times;Serif"/>
          <w:b w:val="false"/>
          <w:i w:val="false"/>
          <w:caps w:val="false"/>
          <w:smallCaps w:val="false"/>
          <w:sz w:val="20"/>
        </w:rPr>
        <w:t xml:space="preserve"> are under common control, and are thus affiliated persons of each other.</w:t>
      </w:r>
    </w:p>
    <w:p>
      <w:pPr>
        <w:pStyle w:val="TextBody"/>
        <w:bidi w:val="0"/>
        <w:spacing w:before="0" w:after="0"/>
        <w:ind w:left="0" w:right="0" w:firstLine="360"/>
        <w:jc w:val="both"/>
        <w:rPr>
          <w:caps w:val="false"/>
          <w:smallCaps w:val="false"/>
          <w:color w:val="FF0000"/>
        </w:rPr>
      </w:pPr>
      <w:r>
        <w:rPr>
          <w:caps w:val="false"/>
          <w:smallCaps w:val="false"/>
          <w:color w:val="FF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with respect to </w:t>
      </w:r>
      <w:r>
        <w:rPr>
          <w:rFonts w:ascii="Times New Roman;Times;Serif" w:hAnsi="Times New Roman;Times;Serif"/>
          <w:b w:val="false"/>
          <w:i w:val="false"/>
          <w:caps w:val="false"/>
          <w:smallCaps w:val="false"/>
          <w:strike/>
          <w:color w:val="FF0000"/>
          <w:sz w:val="20"/>
        </w:rPr>
        <w:t>BFA and CFA</w:t>
      </w:r>
      <w:r>
        <w:rPr>
          <w:rFonts w:ascii="Times New Roman;Times;Serif" w:hAnsi="Times New Roman;Times;Serif"/>
          <w:b w:val="false"/>
          <w:i w:val="false"/>
          <w:caps w:val="false"/>
          <w:smallCaps w:val="false"/>
          <w:color w:val="0000FF"/>
          <w:sz w:val="20"/>
          <w:u w:val="single"/>
        </w:rPr>
        <w:t>the Existing Advisers</w:t>
      </w:r>
      <w:r>
        <w:rPr>
          <w:rFonts w:ascii="Times New Roman;Times;Serif" w:hAnsi="Times New Roman;Times;Serif"/>
          <w:b w:val="false"/>
          <w:i w:val="false"/>
          <w:caps w:val="false"/>
          <w:smallCaps w:val="false"/>
          <w:sz w:val="20"/>
        </w:rPr>
        <w:t xml:space="preserve">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w:t>
      </w:r>
      <w:r>
        <w:rPr>
          <w:rFonts w:ascii="Times New Roman;Times;Serif" w:hAnsi="Times New Roman;Times;Serif"/>
          <w:b w:val="false"/>
          <w:i w:val="false"/>
          <w:caps w:val="false"/>
          <w:smallCaps w:val="false"/>
          <w:strike/>
          <w:color w:val="FF0000"/>
          <w:sz w:val="20"/>
        </w:rPr>
        <w:t>BFA, CFA,</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w:t>
      </w:r>
    </w:p>
    <w:p>
      <w:pPr>
        <w:pStyle w:val="TextBody"/>
        <w:bidi w:val="0"/>
        <w:spacing w:before="0" w:after="0"/>
        <w:ind w:left="0" w:right="0" w:firstLine="36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0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95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Same Terms</w:t>
      </w:r>
      <w:r>
        <w:rPr>
          <w:rFonts w:ascii="Times New Roman;Times;Serif" w:hAnsi="Times New Roman;Times;Serif"/>
          <w:b w:val="false"/>
          <w:i w:val="false"/>
          <w:caps w:val="false"/>
          <w:smallCaps w:val="false"/>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strike/>
          <w:color w:val="FF0000"/>
          <w:position w:val="7"/>
          <w:sz w:val="16"/>
          <w:sz w:val="20"/>
        </w:rPr>
        <w:t>11</w:t>
      </w:r>
      <w:r>
        <w:rPr>
          <w:rFonts w:ascii="Times New Roman;Times;Serif" w:hAnsi="Times New Roman;Times;Serif"/>
          <w:b w:val="false"/>
          <w:i w:val="false"/>
          <w:caps w:val="false"/>
          <w:smallCaps w:val="false"/>
          <w:color w:val="0000FF"/>
          <w:position w:val="7"/>
          <w:sz w:val="16"/>
          <w:sz w:val="20"/>
          <w:u w:val="single"/>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11</w:t>
      </w:r>
      <w:r>
        <w:rPr>
          <w:rFonts w:ascii="Times New Roman;Times;Serif" w:hAnsi="Times New Roman;Times;Serif"/>
          <w:b w:val="false"/>
          <w:i w:val="false"/>
          <w:caps w:val="false"/>
          <w:smallCaps w:val="false"/>
          <w:color w:val="0000FF"/>
          <w:position w:val="7"/>
          <w:sz w:val="16"/>
          <w:sz w:val="20"/>
          <w:u w:val="single"/>
        </w:rPr>
        <w:t>12</w:t>
      </w:r>
      <w:r>
        <w:rPr>
          <w:rFonts w:ascii="Times New Roman;Times;Serif" w:hAnsi="Times New Roman;Times;Serif"/>
          <w:b w:val="false"/>
          <w:i w:val="false"/>
          <w:caps w:val="false"/>
          <w:smallCaps w:val="false"/>
          <w:sz w:val="20"/>
        </w:rPr>
        <w:t xml:space="preserve"> Such a Board can also, consistent with applicable fund documents, facilitate this opportunity by delegating the authority to veto the selection of such person to a committee of the Board.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strike/>
          <w:color w:val="FF0000"/>
          <w:position w:val="7"/>
          <w:sz w:val="16"/>
          <w:sz w:val="20"/>
        </w:rPr>
        <w:t>12</w:t>
      </w:r>
      <w:r>
        <w:rPr>
          <w:rFonts w:ascii="Times New Roman;Times;Serif" w:hAnsi="Times New Roman;Times;Serif"/>
          <w:b w:val="false"/>
          <w:i w:val="false"/>
          <w:caps w:val="false"/>
          <w:smallCaps w:val="false"/>
          <w:color w:val="0000FF"/>
          <w:position w:val="7"/>
          <w:sz w:val="16"/>
          <w:sz w:val="20"/>
          <w:u w:val="single"/>
        </w:rPr>
        <w:t>13</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strike/>
          <w:color w:val="FF0000"/>
          <w:position w:val="7"/>
          <w:sz w:val="16"/>
          <w:sz w:val="20"/>
        </w:rPr>
        <w:t>13</w:t>
      </w:r>
      <w:r>
        <w:rPr>
          <w:rFonts w:ascii="Times New Roman;Times;Serif" w:hAnsi="Times New Roman;Times;Serif"/>
          <w:b w:val="false"/>
          <w:i w:val="false"/>
          <w:caps w:val="false"/>
          <w:smallCaps w:val="false"/>
          <w:color w:val="0000FF"/>
          <w:position w:val="7"/>
          <w:sz w:val="16"/>
          <w:sz w:val="20"/>
          <w:u w:val="single"/>
        </w:rPr>
        <w:t>14</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strike/>
          <w:color w:val="FF0000"/>
          <w:position w:val="7"/>
          <w:sz w:val="16"/>
          <w:sz w:val="20"/>
        </w:rPr>
        <w:t>14</w:t>
      </w:r>
      <w:r>
        <w:rPr>
          <w:rFonts w:ascii="Times New Roman;Times;Serif" w:hAnsi="Times New Roman;Times;Serif"/>
          <w:b w:val="false"/>
          <w:i w:val="false"/>
          <w:caps w:val="false"/>
          <w:smallCaps w:val="false"/>
          <w:color w:val="0000FF"/>
          <w:position w:val="7"/>
          <w:sz w:val="16"/>
          <w:sz w:val="20"/>
          <w:u w:val="single"/>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strike/>
          <w:color w:val="FF0000"/>
          <w:position w:val="7"/>
          <w:sz w:val="16"/>
          <w:sz w:val="20"/>
        </w:rPr>
        <w:t>15</w:t>
      </w:r>
      <w:r>
        <w:rPr>
          <w:rFonts w:ascii="Times New Roman;Times;Serif" w:hAnsi="Times New Roman;Times;Serif"/>
          <w:b w:val="false"/>
          <w:i w:val="false"/>
          <w:caps w:val="false"/>
          <w:smallCaps w:val="false"/>
          <w:color w:val="0000FF"/>
          <w:position w:val="7"/>
          <w:sz w:val="16"/>
          <w:sz w:val="20"/>
          <w:u w:val="single"/>
        </w:rPr>
        <w:t>16</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12</w:t>
      </w:r>
      <w:r>
        <w:rPr>
          <w:rFonts w:ascii="Times New Roman;Times;Serif" w:hAnsi="Times New Roman;Times;Serif"/>
          <w:b w:val="false"/>
          <w:i w:val="false"/>
          <w:caps w:val="false"/>
          <w:smallCaps w:val="false"/>
          <w:color w:val="0000FF"/>
          <w:position w:val="7"/>
          <w:sz w:val="16"/>
          <w:sz w:val="20"/>
          <w:u w:val="single"/>
        </w:rPr>
        <w:t>13</w:t>
      </w:r>
      <w:r>
        <w:rPr>
          <w:rFonts w:ascii="Times New Roman;Times;Serif" w:hAnsi="Times New Roman;Times;Serif"/>
          <w:b w:val="false"/>
          <w:i w:val="false"/>
          <w:caps w:val="false"/>
          <w:smallCaps w:val="false"/>
          <w:sz w:val="20"/>
        </w:rPr>
        <w:t xml:space="preserve"> 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13</w:t>
      </w:r>
      <w:r>
        <w:rPr>
          <w:rFonts w:ascii="Times New Roman;Times;Serif" w:hAnsi="Times New Roman;Times;Serif"/>
          <w:b w:val="false"/>
          <w:i w:val="false"/>
          <w:caps w:val="false"/>
          <w:smallCaps w:val="false"/>
          <w:color w:val="0000FF"/>
          <w:position w:val="7"/>
          <w:sz w:val="16"/>
          <w:sz w:val="20"/>
          <w:u w:val="single"/>
        </w:rPr>
        <w:t>14</w:t>
      </w:r>
      <w:r>
        <w:rPr>
          <w:rFonts w:ascii="Times New Roman;Times;Serif" w:hAnsi="Times New Roman;Times;Serif"/>
          <w:b w:val="false"/>
          <w:i w:val="false"/>
          <w:caps w:val="false"/>
          <w:smallCaps w:val="false"/>
          <w:sz w:val="20"/>
        </w:rPr>
        <w:t xml:space="preserve"> 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14</w:t>
      </w:r>
      <w:r>
        <w:rPr>
          <w:rFonts w:ascii="Times New Roman;Times;Serif" w:hAnsi="Times New Roman;Times;Serif"/>
          <w:b w:val="false"/>
          <w:i w:val="false"/>
          <w:caps w:val="false"/>
          <w:smallCaps w:val="false"/>
          <w:color w:val="0000FF"/>
          <w:position w:val="7"/>
          <w:sz w:val="16"/>
          <w:sz w:val="20"/>
          <w:u w:val="single"/>
        </w:rPr>
        <w:t>15</w:t>
      </w:r>
      <w:r>
        <w:rPr>
          <w:rFonts w:ascii="Times New Roman;Times;Serif" w:hAnsi="Times New Roman;Times;Serif"/>
          <w:b w:val="false"/>
          <w:i w:val="false"/>
          <w:caps w:val="false"/>
          <w:smallCaps w:val="false"/>
          <w:sz w:val="20"/>
        </w:rPr>
        <w:t xml:space="preserve"> Expenses of an individual Participant that are incurred solely by the Participant due to its unique circumstances (such as legal and compliance expenses) will be borne by such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15</w:t>
      </w:r>
      <w:r>
        <w:rPr>
          <w:rFonts w:ascii="Times New Roman;Times;Serif" w:hAnsi="Times New Roman;Times;Serif"/>
          <w:b w:val="false"/>
          <w:i w:val="false"/>
          <w:caps w:val="false"/>
          <w:smallCaps w:val="false"/>
          <w:color w:val="0000FF"/>
          <w:position w:val="7"/>
          <w:sz w:val="16"/>
          <w:sz w:val="20"/>
          <w:u w:val="single"/>
        </w:rPr>
        <w:t>16</w:t>
      </w:r>
      <w:r>
        <w:rPr>
          <w:rFonts w:ascii="Times New Roman;Times;Serif" w:hAnsi="Times New Roman;Times;Serif"/>
          <w:b w:val="false"/>
          <w:i w:val="false"/>
          <w:caps w:val="false"/>
          <w:smallCaps w:val="false"/>
          <w:sz w:val="20"/>
        </w:rPr>
        <w:t xml:space="preserve"> Applicants are not requesting and the Commission is not providing any relief for transaction fees received in connection with any Co-Investment Transaction.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strike/>
          <w:color w:val="FF0000"/>
          <w:position w:val="7"/>
          <w:sz w:val="16"/>
          <w:sz w:val="20"/>
        </w:rPr>
        <w:t>16</w:t>
      </w:r>
      <w:r>
        <w:rPr>
          <w:rFonts w:ascii="Times New Roman;Times;Serif" w:hAnsi="Times New Roman;Times;Serif"/>
          <w:b w:val="false"/>
          <w:i w:val="false"/>
          <w:caps w:val="false"/>
          <w:smallCaps w:val="false"/>
          <w:color w:val="0000FF"/>
          <w:position w:val="7"/>
          <w:sz w:val="16"/>
          <w:sz w:val="20"/>
          <w:u w:val="single"/>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w:t>
            </w:r>
            <w:r>
              <w:rPr>
                <w:rFonts w:ascii="Times New Roman;Times;Serif" w:hAnsi="Times New Roman;Times;Serif"/>
                <w:b w:val="false"/>
                <w:i w:val="false"/>
                <w:caps w:val="false"/>
                <w:smallCaps w:val="false"/>
                <w:strike/>
                <w:color w:val="FF0000"/>
                <w:position w:val="7"/>
                <w:sz w:val="16"/>
                <w:sz w:val="20"/>
              </w:rPr>
              <w:t>17</w:t>
            </w:r>
            <w:r>
              <w:rPr>
                <w:rFonts w:ascii="Times New Roman;Times;Serif" w:hAnsi="Times New Roman;Times;Serif"/>
                <w:b w:val="false"/>
                <w:i w:val="false"/>
                <w:caps w:val="false"/>
                <w:smallCaps w:val="false"/>
                <w:color w:val="0000FF"/>
                <w:position w:val="7"/>
                <w:sz w:val="16"/>
                <w:sz w:val="20"/>
                <w:u w:val="single"/>
              </w:rPr>
              <w:t>18</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strike/>
                <w:color w:val="FF0000"/>
                <w:position w:val="7"/>
                <w:sz w:val="16"/>
                <w:sz w:val="20"/>
              </w:rPr>
              <w:t>18</w:t>
            </w:r>
            <w:r>
              <w:rPr>
                <w:rFonts w:ascii="Times New Roman;Times;Serif" w:hAnsi="Times New Roman;Times;Serif"/>
                <w:b w:val="false"/>
                <w:i w:val="false"/>
                <w:caps w:val="false"/>
                <w:smallCaps w:val="false"/>
                <w:color w:val="0000FF"/>
                <w:position w:val="7"/>
                <w:sz w:val="16"/>
                <w:sz w:val="20"/>
                <w:u w:val="single"/>
              </w:rPr>
              <w:t>19</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Board Oversight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Fund’s directors will oversee the Regulated Fund’s participation in the co-investment program in the exercise of their reasonable business judgment.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16</w:t>
      </w:r>
      <w:r>
        <w:rPr>
          <w:rFonts w:ascii="Times New Roman;Times;Serif" w:hAnsi="Times New Roman;Times;Serif"/>
          <w:b w:val="false"/>
          <w:i w:val="false"/>
          <w:caps w:val="false"/>
          <w:smallCaps w:val="false"/>
          <w:color w:val="0000FF"/>
          <w:position w:val="7"/>
          <w:sz w:val="16"/>
          <w:sz w:val="20"/>
          <w:u w:val="single"/>
        </w:rPr>
        <w:t>17</w:t>
      </w:r>
      <w:r>
        <w:rPr>
          <w:rFonts w:ascii="Times New Roman;Times;Serif" w:hAnsi="Times New Roman;Times;Serif"/>
          <w:b w:val="false"/>
          <w:i w:val="false"/>
          <w:caps w:val="false"/>
          <w:smallCaps w:val="false"/>
          <w:sz w:val="20"/>
        </w:rPr>
        <w:t xml:space="preserve"> The Affiliated Entities may adopt shared Co-Investment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17</w:t>
      </w:r>
      <w:r>
        <w:rPr>
          <w:rFonts w:ascii="Times New Roman;Times;Serif" w:hAnsi="Times New Roman;Times;Serif"/>
          <w:b w:val="false"/>
          <w:i w:val="false"/>
          <w:caps w:val="false"/>
          <w:smallCaps w:val="false"/>
          <w:color w:val="0000FF"/>
          <w:position w:val="7"/>
          <w:sz w:val="16"/>
          <w:sz w:val="20"/>
          <w:u w:val="single"/>
        </w:rPr>
        <w:t>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the sale, exchange, transfer or other disposition of an interest in a security of an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18</w:t>
      </w:r>
      <w:r>
        <w:rPr>
          <w:rFonts w:ascii="Times New Roman;Times;Serif" w:hAnsi="Times New Roman;Times;Serif"/>
          <w:b w:val="false"/>
          <w:i w:val="false"/>
          <w:caps w:val="false"/>
          <w:smallCaps w:val="false"/>
          <w:color w:val="0000FF"/>
          <w:position w:val="7"/>
          <w:sz w:val="16"/>
          <w:sz w:val="20"/>
          <w:u w:val="single"/>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Tradable Security</w:t>
      </w:r>
      <w:r>
        <w:rPr>
          <w:rFonts w:ascii="Times New Roman;Times;Serif" w:hAnsi="Times New Roman;Times;Serif"/>
          <w:b w:val="false"/>
          <w:i w:val="false"/>
          <w:caps w:val="false"/>
          <w:smallCaps w:val="false"/>
          <w:sz w:val="20"/>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strike/>
          <w:color w:val="FF0000"/>
          <w:position w:val="7"/>
          <w:sz w:val="16"/>
          <w:sz w:val="20"/>
        </w:rPr>
        <w:t>19</w:t>
      </w:r>
      <w:r>
        <w:rPr>
          <w:rFonts w:ascii="Times New Roman;Times;Serif" w:hAnsi="Times New Roman;Times;Serif"/>
          <w:b w:val="false"/>
          <w:i w:val="false"/>
          <w:caps w:val="false"/>
          <w:smallCaps w:val="false"/>
          <w:color w:val="0000FF"/>
          <w:position w:val="7"/>
          <w:sz w:val="16"/>
          <w:sz w:val="20"/>
          <w:u w:val="single"/>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19</w:t>
      </w:r>
      <w:r>
        <w:rPr>
          <w:rFonts w:ascii="Times New Roman;Times;Serif" w:hAnsi="Times New Roman;Times;Serif"/>
          <w:b w:val="false"/>
          <w:i w:val="false"/>
          <w:caps w:val="false"/>
          <w:smallCaps w:val="false"/>
          <w:color w:val="0000FF"/>
          <w:position w:val="7"/>
          <w:sz w:val="16"/>
          <w:sz w:val="20"/>
          <w:u w:val="single"/>
        </w:rPr>
        <w:t>20</w:t>
      </w:r>
      <w:r>
        <w:rPr>
          <w:rFonts w:ascii="Times New Roman;Times;Serif" w:hAnsi="Times New Roman;Times;Serif"/>
          <w:b w:val="false"/>
          <w:i w:val="false"/>
          <w:caps w:val="false"/>
          <w:smallCaps w:val="false"/>
          <w:sz w:val="20"/>
        </w:rPr>
        <w:t xml:space="preserve"> 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90"/>
        <w:gridCol w:w="48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w:t>
            </w:r>
          </w:p>
        </w:tc>
        <w:tc>
          <w:tcPr>
            <w:tcW w:w="4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IN SUPPORT OF RELIEF REQUESTED</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0" w:right="0" w:firstLine="36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20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Benefits to the Regulated Funds and their Shareholders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0" w:right="0" w:firstLine="36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0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204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Protections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Co-Investment Transaction would be subject to the terms and conditions of this Application. The Conditions are designed to address the concerns underlying Sections 17(d) and 57(a)(4) and Rule </w:t>
      </w:r>
      <w:r>
        <w:rPr>
          <w:rFonts w:ascii="Times New Roman;Times;Serif" w:hAnsi="Times New Roman;Times;Serif"/>
          <w:b w:val="false"/>
          <w:i w:val="false"/>
          <w:caps w:val="false"/>
          <w:smallCaps w:val="false"/>
          <w:strike/>
          <w:color w:val="FF0000"/>
          <w:sz w:val="20"/>
        </w:rPr>
        <w:t>17d-1</w:t>
      </w:r>
      <w:r>
        <w:rPr>
          <w:rFonts w:ascii="Times New Roman;Times;Serif" w:hAnsi="Times New Roman;Times;Serif"/>
          <w:b w:val="false"/>
          <w:i w:val="false"/>
          <w:caps w:val="false"/>
          <w:smallCaps w:val="false"/>
          <w:color w:val="0000FF"/>
          <w:sz w:val="20"/>
          <w:u w:val="single"/>
        </w:rPr>
        <w:t>17d-l</w:t>
      </w:r>
      <w:r>
        <w:rPr>
          <w:rFonts w:ascii="Times New Roman;Times;Serif" w:hAnsi="Times New Roman;Times;Serif"/>
          <w:b w:val="false"/>
          <w:i w:val="false"/>
          <w:caps w:val="false"/>
          <w:smallCaps w:val="false"/>
          <w:sz w:val="20"/>
        </w:rPr>
        <w:t xml:space="preserve">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w:t>
      </w:r>
      <w:r>
        <w:rPr>
          <w:rFonts w:ascii="Times New Roman;Times;Serif" w:hAnsi="Times New Roman;Times;Serif"/>
          <w:b w:val="false"/>
          <w:i w:val="false"/>
          <w:caps w:val="false"/>
          <w:smallCaps w:val="false"/>
          <w:strike/>
          <w:color w:val="FF0000"/>
          <w:sz w:val="20"/>
        </w:rPr>
        <w:t>Co Investment</w:t>
      </w:r>
      <w:r>
        <w:rPr>
          <w:rFonts w:ascii="Times New Roman;Times;Serif" w:hAnsi="Times New Roman;Times;Serif"/>
          <w:b w:val="false"/>
          <w:i w:val="false"/>
          <w:caps w:val="false"/>
          <w:smallCaps w:val="false"/>
          <w:color w:val="0000FF"/>
          <w:sz w:val="20"/>
          <w:u w:val="single"/>
        </w:rPr>
        <w:t>Co-Investment</w:t>
      </w:r>
      <w:r>
        <w:rPr>
          <w:rFonts w:ascii="Times New Roman;Times;Serif" w:hAnsi="Times New Roman;Times;Serif"/>
          <w:b w:val="false"/>
          <w:i w:val="false"/>
          <w:caps w:val="false"/>
          <w:smallCaps w:val="false"/>
          <w:sz w:val="20"/>
        </w:rPr>
        <w:t xml:space="preserve">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ind w:left="0" w:right="0" w:firstLine="36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13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PRECEDENTS</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position w:val="7"/>
          <w:sz w:val="16"/>
          <w:sz w:val="20"/>
        </w:rPr>
        <w:t>20</w:t>
      </w:r>
      <w:r>
        <w:rPr>
          <w:rFonts w:ascii="Times New Roman;Times;Serif" w:hAnsi="Times New Roman;Times;Serif"/>
          <w:b w:val="false"/>
          <w:i w:val="false"/>
          <w:caps w:val="false"/>
          <w:smallCaps w:val="false"/>
          <w:color w:val="0000FF"/>
          <w:position w:val="7"/>
          <w:sz w:val="16"/>
          <w:sz w:val="20"/>
          <w:u w:val="single"/>
        </w:rPr>
        <w:t>21</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20</w:t>
      </w:r>
      <w:r>
        <w:rPr>
          <w:rFonts w:ascii="Times New Roman;Times;Serif" w:hAnsi="Times New Roman;Times;Serif"/>
          <w:b w:val="false"/>
          <w:i w:val="false"/>
          <w:caps w:val="false"/>
          <w:smallCaps w:val="false"/>
          <w:color w:val="0000FF"/>
          <w:position w:val="7"/>
          <w:sz w:val="16"/>
          <w:sz w:val="20"/>
          <w:u w:val="single"/>
        </w:rPr>
        <w:t>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xml:space="preserve">., FS Credit Opportunities Corp.,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812-15706), Release No. IC-35520 (April 3, 2025) (notice), Release No. IC-35561 (April 29, 2025) (order); Sixth Street Specialty Lending, Inc.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812-15729), Release No. IC-35531 (April 10, 2025) (notice), Release No. IC-35570 (May 6, 2025) (order); Blue Owl Capital Corporation,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812-15715), Release No. IC-35530 (April 9, 2025) (notice), Release No. IC-35573 (May 6, 2025) (order);  BlackRock Growth Equity Fund LP,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(File No. 812-15712), Release No. IC-35525 (April 8, 2025) (notice), Release No. IC-35572 (May 6, 2025) (order).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PROCEDURAL MATTERS</w:t>
            </w:r>
          </w:p>
        </w:tc>
      </w:tr>
    </w:tbl>
    <w:p>
      <w:pPr>
        <w:pStyle w:val="TextBody"/>
        <w:bidi w:val="0"/>
        <w:spacing w:before="0" w:after="0"/>
        <w:ind w:left="720" w:right="0" w:hanging="720"/>
        <w:jc w:val="both"/>
        <w:rPr>
          <w:caps/>
        </w:rPr>
      </w:pPr>
      <w:r>
        <w:rPr>
          <w:caps/>
        </w:rPr>
        <w:t> </w:t>
      </w:r>
    </w:p>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44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Communications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Jason Emala, Esq.</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Asset Management, LLC</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919 Third Avenue, 40th Floor</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New York, NY 10022</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Telephone: (212) 843-1601</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 D. Klein</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Allison Green</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931-6331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agreen@neostellaradvisors.com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mklein@neostellaradvisors.com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 Wachter,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Michael L. Butler,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mike.butler@magnetar.com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Washington, DC 20001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payam.siadatpour@eversheds-sutherland.com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Telephone (202) 383-0100</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Nicole Simon</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Stradley Ronon Stevens &amp; Young,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color w:val="FF0000"/>
          <w:sz w:val="20"/>
        </w:rPr>
        <w:t xml:space="preserve">100 Park </w:t>
      </w:r>
      <w:r>
        <w:rPr>
          <w:rFonts w:ascii="Times New Roman;Times;Serif" w:hAnsi="Times New Roman;Times;Serif"/>
          <w:b/>
          <w:i w:val="false"/>
          <w:caps w:val="false"/>
          <w:smallCaps w:val="false"/>
          <w:color w:val="0000FF"/>
          <w:sz w:val="20"/>
          <w:u w:val="single"/>
        </w:rPr>
        <w:t>Clifford R. Cone,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Sidley Austin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FF"/>
          <w:sz w:val="20"/>
          <w:u w:val="single"/>
        </w:rPr>
        <w:t xml:space="preserve">787 Seventh </w:t>
      </w:r>
      <w:r>
        <w:rPr>
          <w:rFonts w:ascii="Times New Roman;Times;Serif" w:hAnsi="Times New Roman;Times;Serif"/>
          <w:b/>
          <w:i w:val="false"/>
          <w:caps w:val="false"/>
          <w:smallCaps w:val="false"/>
          <w:sz w:val="20"/>
        </w:rPr>
        <w:t>Avenue</w:t>
      </w:r>
      <w:r>
        <w:rPr>
          <w:rFonts w:ascii="Times New Roman;Times;Serif" w:hAnsi="Times New Roman;Times;Serif"/>
          <w:b/>
          <w:i w:val="false"/>
          <w:caps w:val="false"/>
          <w:smallCaps w:val="false"/>
          <w:strike/>
          <w:color w:val="FF0000"/>
          <w:sz w:val="20"/>
        </w:rPr>
        <w:t>, Suite 2000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 York, NY </w:t>
      </w:r>
      <w:r>
        <w:rPr>
          <w:rFonts w:ascii="Times New Roman;Times;Serif" w:hAnsi="Times New Roman;Times;Serif"/>
          <w:b/>
          <w:i w:val="false"/>
          <w:caps w:val="false"/>
          <w:smallCaps w:val="false"/>
          <w:strike/>
          <w:color w:val="FF0000"/>
          <w:sz w:val="20"/>
        </w:rPr>
        <w:t>10017</w:t>
      </w:r>
      <w:r>
        <w:rPr>
          <w:rFonts w:ascii="Times New Roman;Times;Serif" w:hAnsi="Times New Roman;Times;Serif"/>
          <w:b/>
          <w:i w:val="false"/>
          <w:caps w:val="false"/>
          <w:smallCaps w:val="false"/>
          <w:color w:val="0000FF"/>
          <w:sz w:val="20"/>
          <w:u w:val="single"/>
        </w:rPr>
        <w:t>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color w:val="FF0000"/>
          <w:sz w:val="20"/>
        </w:rPr>
        <w:t xml:space="preserve">Telephone: </w:t>
      </w:r>
      <w:r>
        <w:rPr>
          <w:rFonts w:ascii="Times New Roman;Times;Serif" w:hAnsi="Times New Roman;Times;Serif"/>
          <w:b/>
          <w:i w:val="false"/>
          <w:caps w:val="false"/>
          <w:smallCaps w:val="false"/>
          <w:sz w:val="20"/>
        </w:rPr>
        <w:t xml:space="preserve">(212) </w:t>
      </w:r>
      <w:r>
        <w:rPr>
          <w:rFonts w:ascii="Times New Roman;Times;Serif" w:hAnsi="Times New Roman;Times;Serif"/>
          <w:b/>
          <w:i w:val="false"/>
          <w:caps w:val="false"/>
          <w:smallCaps w:val="false"/>
          <w:strike/>
          <w:color w:val="FF0000"/>
          <w:sz w:val="20"/>
        </w:rPr>
        <w:t>812-4137</w:t>
      </w:r>
      <w:r>
        <w:rPr>
          <w:rFonts w:ascii="Times New Roman;Times;Serif" w:hAnsi="Times New Roman;Times;Serif"/>
          <w:b/>
          <w:i w:val="false"/>
          <w:caps w:val="false"/>
          <w:smallCaps w:val="false"/>
          <w:color w:val="0000FF"/>
          <w:sz w:val="20"/>
          <w:u w:val="single"/>
        </w:rPr>
        <w:t>839-5300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cliff.cone@sidley.com</w:t>
      </w:r>
    </w:p>
    <w:p>
      <w:pPr>
        <w:pStyle w:val="TextBody"/>
        <w:bidi w:val="0"/>
        <w:spacing w:before="0" w:after="0"/>
        <w:ind w:left="0" w:right="0" w:hanging="0"/>
        <w:jc w:val="center"/>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20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6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Authorizations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filing of this Application for the Order sought hereby and the taking of all acts reasonably necessary to obtain the relief requested herein was authorized by the Board of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Existing Regulated Fund pursuant to resolutions duly adopted by the Board. Copies of the resolutions are provided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Rule 0-2(c), Applicants hereby state that each Applicant has authorized to cause to be prepared and to execute and file with the Commission this Application and any amendment thereto for an order pursuant to </w:t>
      </w:r>
      <w:r>
        <w:rPr>
          <w:rFonts w:ascii="Times New Roman;Times;Serif" w:hAnsi="Times New Roman;Times;Serif"/>
          <w:b w:val="false"/>
          <w:i w:val="false"/>
          <w:caps w:val="false"/>
          <w:smallCaps w:val="false"/>
          <w:strike/>
          <w:color w:val="FF0000"/>
          <w:sz w:val="20"/>
        </w:rPr>
        <w:t>Sections 17(d) and</w:t>
      </w:r>
      <w:r>
        <w:rPr>
          <w:rFonts w:ascii="Times New Roman;Times;Serif" w:hAnsi="Times New Roman;Times;Serif"/>
          <w:b w:val="false"/>
          <w:i w:val="false"/>
          <w:caps w:val="false"/>
          <w:smallCaps w:val="false"/>
          <w:color w:val="0000FF"/>
          <w:sz w:val="20"/>
          <w:u w:val="single"/>
        </w:rPr>
        <w:t>Section</w:t>
      </w:r>
      <w:r>
        <w:rPr>
          <w:rFonts w:ascii="Times New Roman;Times;Serif" w:hAnsi="Times New Roman;Times;Serif"/>
          <w:b w:val="false"/>
          <w:i w:val="false"/>
          <w:caps w:val="false"/>
          <w:smallCaps w:val="false"/>
          <w:sz w:val="20"/>
        </w:rPr>
        <w:t xml:space="preserve">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In accordance with the requirements for a request for expedited review of this Application, marked copies of two recent applications seeking the same relief as Applicants that are substantially identical as required by Rule 0-5(e) of the 1940 Act are attached as Exhibit C. In accordance with Rule 0-5(f)(2)(i)(A) under the 1940 Act, included as Exhibit D to this Application is a marked copy of the Application showing changes from the Application filed with the Commission on August 3, 2026.</w:t>
      </w:r>
    </w:p>
    <w:p>
      <w:pPr>
        <w:pStyle w:val="TextBody"/>
        <w:bidi w:val="0"/>
        <w:spacing w:before="0" w:after="0"/>
        <w:ind w:left="0" w:right="0" w:firstLine="36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Applicants have caused this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to the Application to be duly signed on their behalf on the </w:t>
      </w:r>
      <w:r>
        <w:rPr>
          <w:rFonts w:ascii="Times New Roman;Times;Serif" w:hAnsi="Times New Roman;Times;Serif"/>
          <w:b w:val="false"/>
          <w:i w:val="false"/>
          <w:caps w:val="false"/>
          <w:smallCaps w:val="false"/>
          <w:strike/>
          <w:color w:val="FF0000"/>
          <w:sz w:val="20"/>
        </w:rPr>
        <w:t>8th</w:t>
      </w:r>
      <w:r>
        <w:rPr>
          <w:rFonts w:ascii="Times New Roman;Times;Serif" w:hAnsi="Times New Roman;Times;Serif"/>
          <w:b w:val="false"/>
          <w:i w:val="false"/>
          <w:caps w:val="false"/>
          <w:smallCaps w:val="false"/>
          <w:color w:val="0000FF"/>
          <w:sz w:val="20"/>
          <w:u w:val="single"/>
        </w:rPr>
        <w:t>1st</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trike/>
          <w:color w:val="FF0000"/>
          <w:sz w:val="20"/>
        </w:rPr>
        <w:t>June</w:t>
      </w:r>
      <w:r>
        <w:rPr>
          <w:rFonts w:ascii="Times New Roman;Times;Serif" w:hAnsi="Times New Roman;Times;Serif"/>
          <w:b w:val="false"/>
          <w:i w:val="false"/>
          <w:caps w:val="false"/>
          <w:smallCaps w:val="false"/>
          <w:color w:val="0000FF"/>
          <w:sz w:val="20"/>
          <w:u w:val="single"/>
        </w:rPr>
        <w:t>October</w:t>
      </w:r>
      <w:r>
        <w:rPr>
          <w:rFonts w:ascii="Times New Roman;Times;Serif" w:hAnsi="Times New Roman;Times;Serif"/>
          <w:b w:val="false"/>
          <w:i w:val="false"/>
          <w:caps w:val="false"/>
          <w:smallCaps w:val="false"/>
          <w:sz w:val="20"/>
        </w:rPr>
        <w:t>,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Chairman, 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ADVISORS LLC</w:t>
      </w:r>
    </w:p>
    <w:p>
      <w:pPr>
        <w:pStyle w:val="TextBody"/>
        <w:bidi w:val="0"/>
        <w:spacing w:before="0" w:after="0"/>
        <w:ind w:left="0" w:right="0" w:hanging="0"/>
        <w:jc w:val="left"/>
        <w:rPr>
          <w:caps w:val="false"/>
          <w:smallCaps w:val="false"/>
          <w:color w:val="0000FF"/>
          <w:u w:val="single"/>
        </w:rPr>
      </w:pPr>
      <w:r>
        <w:rPr>
          <w:caps w:val="false"/>
          <w:smallCaps w:val="false"/>
          <w:color w:val="0000FF"/>
          <w:u w:val="single"/>
        </w:rPr>
        <w:t> </w:t>
      </w:r>
    </w:p>
    <w:tbl>
      <w:tblPr>
        <w:tblW w:w="8109" w:type="dxa"/>
        <w:jc w:val="left"/>
        <w:tblInd w:w="0" w:type="dxa"/>
        <w:tblLayout w:type="fixed"/>
        <w:tblCellMar>
          <w:top w:w="0" w:type="dxa"/>
          <w:left w:w="0" w:type="dxa"/>
          <w:bottom w:w="0" w:type="dxa"/>
          <w:right w:w="0" w:type="dxa"/>
        </w:tblCellMar>
      </w:tblPr>
      <w:tblGrid>
        <w:gridCol w:w="560"/>
        <w:gridCol w:w="7194"/>
        <w:gridCol w:w="355"/>
      </w:tblGrid>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75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Private Real Estate Fund (formerly, Bluerock Total Income+ Real Estate Fund)</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71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Allison Green</w:t>
            </w:r>
          </w:p>
        </w:tc>
        <w:tc>
          <w:tcPr>
            <w:tcW w:w="35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719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Allison Green</w:t>
            </w:r>
          </w:p>
        </w:tc>
        <w:tc>
          <w:tcPr>
            <w:tcW w:w="35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719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c>
          <w:tcPr>
            <w:tcW w:w="35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 CAPITAL LENDING,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3190" w:type="dxa"/>
        <w:jc w:val="left"/>
        <w:tblInd w:w="0" w:type="dxa"/>
        <w:tblLayout w:type="fixed"/>
        <w:tblCellMar>
          <w:top w:w="0" w:type="dxa"/>
          <w:left w:w="0" w:type="dxa"/>
          <w:bottom w:w="0" w:type="dxa"/>
          <w:right w:w="0" w:type="dxa"/>
        </w:tblCellMar>
      </w:tblPr>
      <w:tblGrid>
        <w:gridCol w:w="560"/>
        <w:gridCol w:w="255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SURO CAPITAL SPORTS, LLC</w:t>
      </w:r>
    </w:p>
    <w:p>
      <w:pPr>
        <w:pStyle w:val="TextBody"/>
        <w:bidi w:val="0"/>
        <w:spacing w:before="0" w:after="0"/>
        <w:ind w:left="0" w:right="0" w:hanging="0"/>
        <w:jc w:val="left"/>
        <w:rPr>
          <w:caps w:val="false"/>
          <w:smallCaps w:val="false"/>
          <w:color w:val="0000FF"/>
          <w:u w:val="single"/>
        </w:rPr>
      </w:pPr>
      <w:r>
        <w:rPr>
          <w:caps w:val="false"/>
          <w:smallCaps w:val="false"/>
          <w:color w:val="0000FF"/>
          <w:u w:val="singl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SRCI ADVISORS,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AE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6115" w:type="dxa"/>
        <w:jc w:val="left"/>
        <w:tblInd w:w="0" w:type="dxa"/>
        <w:tblLayout w:type="fixed"/>
        <w:tblCellMar>
          <w:top w:w="0" w:type="dxa"/>
          <w:left w:w="0" w:type="dxa"/>
          <w:bottom w:w="0" w:type="dxa"/>
          <w:right w:w="0" w:type="dxa"/>
        </w:tblCellMar>
      </w:tblPr>
      <w:tblGrid>
        <w:gridCol w:w="560"/>
        <w:gridCol w:w="548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5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Bluerock High Income Institutional Credit Fund</w:t>
            </w:r>
            <w:r>
              <w:rPr>
                <w:rFonts w:ascii="Times New Roman;Times;Serif" w:hAnsi="Times New Roman;Times;Serif"/>
                <w:b w:val="false"/>
                <w:i/>
                <w:caps w:val="false"/>
                <w:smallCaps w:val="false"/>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AV HOLDINGS, INC.</w:t>
      </w:r>
    </w:p>
    <w:p>
      <w:pPr>
        <w:pStyle w:val="TextBody"/>
        <w:bidi w:val="0"/>
        <w:spacing w:before="0" w:after="0"/>
        <w:ind w:left="0" w:right="0" w:hanging="0"/>
        <w:jc w:val="left"/>
        <w:rPr>
          <w:caps w:val="false"/>
          <w:smallCaps w:val="false"/>
          <w:color w:val="0000FF"/>
          <w:u w:val="single"/>
        </w:rPr>
      </w:pPr>
      <w:r>
        <w:rPr>
          <w:caps w:val="false"/>
          <w:smallCaps w:val="false"/>
          <w:color w:val="0000FF"/>
          <w:u w:val="single"/>
        </w:rPr>
        <w:t> </w:t>
      </w:r>
    </w:p>
    <w:tbl>
      <w:tblPr>
        <w:tblW w:w="3190" w:type="dxa"/>
        <w:jc w:val="left"/>
        <w:tblInd w:w="0" w:type="dxa"/>
        <w:tblLayout w:type="fixed"/>
        <w:tblCellMar>
          <w:top w:w="0" w:type="dxa"/>
          <w:left w:w="0" w:type="dxa"/>
          <w:bottom w:w="0" w:type="dxa"/>
          <w:right w:w="0" w:type="dxa"/>
        </w:tblCellMar>
      </w:tblPr>
      <w:tblGrid>
        <w:gridCol w:w="560"/>
        <w:gridCol w:w="255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SW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SVDS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4480" w:type="dxa"/>
        <w:jc w:val="left"/>
        <w:tblInd w:w="0" w:type="dxa"/>
        <w:tblLayout w:type="fixed"/>
        <w:tblCellMar>
          <w:top w:w="0" w:type="dxa"/>
          <w:left w:w="0" w:type="dxa"/>
          <w:bottom w:w="0" w:type="dxa"/>
          <w:right w:w="0" w:type="dxa"/>
        </w:tblCellMar>
      </w:tblPr>
      <w:tblGrid>
        <w:gridCol w:w="560"/>
        <w:gridCol w:w="384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Bluerock Fund Advisor, LLC</w:t>
            </w:r>
            <w:r>
              <w:rPr>
                <w:rFonts w:ascii="Times New Roman;Times;Serif" w:hAnsi="Times New Roman;Times;Serif"/>
                <w:b w:val="false"/>
                <w:i/>
                <w:caps w:val="false"/>
                <w:smallCaps w:val="false"/>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VII,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3145" w:type="dxa"/>
        <w:jc w:val="left"/>
        <w:tblInd w:w="0" w:type="dxa"/>
        <w:tblLayout w:type="fixed"/>
        <w:tblCellMar>
          <w:top w:w="0" w:type="dxa"/>
          <w:left w:w="0" w:type="dxa"/>
          <w:bottom w:w="0" w:type="dxa"/>
          <w:right w:w="0" w:type="dxa"/>
        </w:tblCellMar>
      </w:tblPr>
      <w:tblGrid>
        <w:gridCol w:w="560"/>
        <w:gridCol w:w="251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caps w:val="false"/>
                <w:smallCaps w:val="false"/>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XI,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XVIII</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Credit Opportunity 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credit opportunity 2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opportunity 2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Longhorn Special Opportunities Fund LP</w:t>
      </w:r>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283"/>
              <w:jc w:val="left"/>
              <w:rPr>
                <w:b/>
                <w:strike/>
                <w:color w:val="FF0000"/>
                <w:sz w:val="20"/>
              </w:rPr>
            </w:pPr>
            <w:r>
              <w:rPr>
                <w:b/>
                <w:strike/>
                <w:color w:val="FF0000"/>
                <w:sz w:val="20"/>
              </w:rPr>
              <w:t>Bluerock Credit Fund Advisor, LLC</w:t>
            </w:r>
          </w:p>
        </w:tc>
      </w:tr>
    </w:tbl>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2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3145" w:type="dxa"/>
        <w:jc w:val="left"/>
        <w:tblInd w:w="0" w:type="dxa"/>
        <w:tblLayout w:type="fixed"/>
        <w:tblCellMar>
          <w:top w:w="0" w:type="dxa"/>
          <w:left w:w="0" w:type="dxa"/>
          <w:bottom w:w="0" w:type="dxa"/>
          <w:right w:w="0" w:type="dxa"/>
        </w:tblCellMar>
      </w:tblPr>
      <w:tblGrid>
        <w:gridCol w:w="560"/>
        <w:gridCol w:w="2510"/>
        <w:gridCol w:w="75"/>
      </w:tblGrid>
      <w:tr>
        <w:trPr/>
        <w:tc>
          <w:tcPr>
            <w:tcW w:w="560" w:type="dxa"/>
            <w:tcBorders/>
            <w:vAlign w:val="center"/>
          </w:tcPr>
          <w:p>
            <w:pPr>
              <w:pStyle w:val="TableContents"/>
              <w:bidi w:val="0"/>
              <w:spacing w:before="0" w:after="283"/>
              <w:jc w:val="left"/>
              <w:rPr>
                <w:sz w:val="20"/>
              </w:rPr>
            </w:pPr>
            <w:r>
              <w:rPr>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sz w:val="20"/>
              </w:rPr>
            </w:pPr>
            <w:r>
              <w:rPr>
                <w:i/>
                <w:sz w:val="20"/>
              </w:rPr>
              <w:t xml:space="preserve">/s/ </w:t>
            </w:r>
            <w:r>
              <w:rPr>
                <w:strike/>
                <w:color w:val="FF0000"/>
                <w:sz w:val="20"/>
              </w:rPr>
              <w:t>Jordan Ruddy</w:t>
            </w:r>
            <w:r>
              <w:rPr>
                <w:i/>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2510" w:type="dxa"/>
            <w:tcBorders/>
            <w:vAlign w:val="center"/>
          </w:tcPr>
          <w:p>
            <w:pPr>
              <w:pStyle w:val="TableContents"/>
              <w:bidi w:val="0"/>
              <w:spacing w:before="0" w:after="283"/>
              <w:jc w:val="left"/>
              <w:rPr/>
            </w:pPr>
            <w:r>
              <w:rPr>
                <w:strike/>
                <w:color w:val="FF0000"/>
                <w:sz w:val="20"/>
              </w:rPr>
              <w:t>Jordan Ruddy</w:t>
            </w: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2510" w:type="dxa"/>
            <w:tcBorders/>
            <w:vAlign w:val="center"/>
          </w:tcPr>
          <w:p>
            <w:pPr>
              <w:pStyle w:val="TableContents"/>
              <w:bidi w:val="0"/>
              <w:spacing w:before="0" w:after="283"/>
              <w:jc w:val="left"/>
              <w:rPr/>
            </w:pPr>
            <w:r>
              <w:rPr>
                <w:strike/>
                <w:color w:val="FF0000"/>
                <w:sz w:val="20"/>
              </w:rPr>
              <w:t>President</w:t>
            </w: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Opportunity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VERIFICATION</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The undersigned states that he has duly executed the foregoing Application for and on behalf of Bluerock Private Real Estate Fund (formerly, Bluerock Total Income+ Real Estate Fund)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pStyle w:val="TextBody"/>
        <w:bidi w:val="0"/>
        <w:jc w:val="both"/>
        <w:rPr>
          <w:caps w:val="false"/>
          <w:smallCaps w:val="false"/>
          <w:color w:val="FF0000"/>
        </w:rPr>
      </w:pPr>
      <w:r>
        <w:rPr>
          <w:caps w:val="false"/>
          <w:smallCaps w:val="false"/>
          <w:color w:val="FF0000"/>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Ventures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ai ventures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Alpha Star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ALPHA STAR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Fund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CAPITAL FUND ii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Master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Master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(UK) LLP</w:t>
      </w:r>
    </w:p>
    <w:p>
      <w:pPr>
        <w:pStyle w:val="TextBody"/>
        <w:bidi w:val="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APPK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appk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9520" w:type="dxa"/>
        <w:jc w:val="left"/>
        <w:tblInd w:w="0" w:type="dxa"/>
        <w:tblLayout w:type="fixed"/>
        <w:tblCellMar>
          <w:top w:w="0" w:type="dxa"/>
          <w:left w:w="0" w:type="dxa"/>
          <w:bottom w:w="0" w:type="dxa"/>
          <w:right w:w="0" w:type="dxa"/>
        </w:tblCellMar>
      </w:tblPr>
      <w:tblGrid>
        <w:gridCol w:w="560"/>
        <w:gridCol w:w="888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8885" w:type="dxa"/>
            <w:tcBorders>
              <w:bottom w:val="single" w:sz="8" w:space="0" w:color="000000"/>
            </w:tcBorders>
            <w:tcMar>
              <w:bottom w:w="28" w:type="dxa"/>
            </w:tcMar>
            <w:vAlign w:val="center"/>
          </w:tcPr>
          <w:p>
            <w:pPr>
              <w:pStyle w:val="TableContents"/>
              <w:bidi w:val="0"/>
              <w:spacing w:before="0" w:after="283"/>
              <w:jc w:val="left"/>
              <w:rPr/>
            </w:pPr>
            <w:r>
              <w:rPr>
                <w:b/>
                <w:strike/>
                <w:color w:val="FF0000"/>
                <w:sz w:val="20"/>
              </w:rPr>
              <w:t>Bluerock Private Real Estate Fund (formerly, Bluerock Total Income+ Real Estate Fund)</w:t>
            </w: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888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888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Lake Credit Fund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3145" w:type="dxa"/>
        <w:jc w:val="left"/>
        <w:tblInd w:w="0" w:type="dxa"/>
        <w:tblLayout w:type="fixed"/>
        <w:tblCellMar>
          <w:top w:w="0" w:type="dxa"/>
          <w:left w:w="0" w:type="dxa"/>
          <w:bottom w:w="0" w:type="dxa"/>
          <w:right w:w="0" w:type="dxa"/>
        </w:tblCellMar>
      </w:tblPr>
      <w:tblGrid>
        <w:gridCol w:w="560"/>
        <w:gridCol w:w="2510"/>
        <w:gridCol w:w="75"/>
      </w:tblGrid>
      <w:tr>
        <w:trPr/>
        <w:tc>
          <w:tcPr>
            <w:tcW w:w="560" w:type="dxa"/>
            <w:tcBorders/>
            <w:vAlign w:val="center"/>
          </w:tcPr>
          <w:p>
            <w:pPr>
              <w:pStyle w:val="TableContents"/>
              <w:bidi w:val="0"/>
              <w:spacing w:before="0" w:after="283"/>
              <w:jc w:val="left"/>
              <w:rPr>
                <w:sz w:val="20"/>
              </w:rPr>
            </w:pPr>
            <w:r>
              <w:rPr>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sz w:val="20"/>
              </w:rPr>
            </w:pPr>
            <w:r>
              <w:rPr>
                <w:i/>
                <w:sz w:val="20"/>
              </w:rPr>
              <w:t xml:space="preserve">/s/ </w:t>
            </w:r>
            <w:r>
              <w:rPr>
                <w:strike/>
                <w:color w:val="FF0000"/>
                <w:sz w:val="20"/>
              </w:rPr>
              <w:t>Jordan Ruddy</w:t>
            </w:r>
            <w:r>
              <w:rPr>
                <w:i/>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2510" w:type="dxa"/>
            <w:tcBorders/>
            <w:vAlign w:val="center"/>
          </w:tcPr>
          <w:p>
            <w:pPr>
              <w:pStyle w:val="TableContents"/>
              <w:bidi w:val="0"/>
              <w:spacing w:before="0" w:after="283"/>
              <w:jc w:val="left"/>
              <w:rPr/>
            </w:pPr>
            <w:r>
              <w:rPr>
                <w:strike/>
                <w:color w:val="FF0000"/>
                <w:sz w:val="20"/>
              </w:rPr>
              <w:t>Jordan Ruddy</w:t>
            </w: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2510" w:type="dxa"/>
            <w:tcBorders/>
            <w:vAlign w:val="center"/>
          </w:tcPr>
          <w:p>
            <w:pPr>
              <w:pStyle w:val="TableContents"/>
              <w:bidi w:val="0"/>
              <w:spacing w:before="0" w:after="283"/>
              <w:jc w:val="left"/>
              <w:rPr/>
            </w:pPr>
            <w:r>
              <w:rPr>
                <w:strike/>
                <w:color w:val="FF0000"/>
                <w:sz w:val="20"/>
              </w:rPr>
              <w:t>President</w:t>
            </w: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Longhorn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8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8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A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2025-2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2025-3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2025-3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2025-4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2025-4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2025-A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5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5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6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6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7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7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special situations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Master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Structured Credit Fund, LP DBA Constellation onshore fund</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general partner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Alternative Credit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A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C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Fund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Master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MCP Investing LLC</w:t>
      </w:r>
    </w:p>
    <w:p>
      <w:pPr>
        <w:pStyle w:val="TextBody"/>
        <w:bidi w:val="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Mustang Opportunities Fund LP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VERIFICATION</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The undersigned states that he has duly executed the foregoing Application for and on behalf of Bluerock High Income Institutional Credit Fund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Mustang opportunities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F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6070" w:type="dxa"/>
        <w:jc w:val="left"/>
        <w:tblInd w:w="0" w:type="dxa"/>
        <w:tblLayout w:type="fixed"/>
        <w:tblCellMar>
          <w:top w:w="0" w:type="dxa"/>
          <w:left w:w="0" w:type="dxa"/>
          <w:bottom w:w="0" w:type="dxa"/>
          <w:right w:w="0" w:type="dxa"/>
        </w:tblCellMar>
      </w:tblPr>
      <w:tblGrid>
        <w:gridCol w:w="560"/>
        <w:gridCol w:w="543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5435" w:type="dxa"/>
            <w:tcBorders>
              <w:bottom w:val="single" w:sz="8" w:space="0" w:color="000000"/>
            </w:tcBorders>
            <w:tcMar>
              <w:bottom w:w="28" w:type="dxa"/>
            </w:tcMar>
            <w:vAlign w:val="center"/>
          </w:tcPr>
          <w:p>
            <w:pPr>
              <w:pStyle w:val="TableContents"/>
              <w:bidi w:val="0"/>
              <w:spacing w:before="0" w:after="283"/>
              <w:jc w:val="left"/>
              <w:rPr/>
            </w:pPr>
            <w:r>
              <w:rPr>
                <w:b/>
                <w:strike/>
                <w:color w:val="FF0000"/>
                <w:sz w:val="20"/>
              </w:rPr>
              <w:t>Bluerock High Income Institutional Credit Fund</w:t>
            </w: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543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543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T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3160" w:type="dxa"/>
        <w:jc w:val="left"/>
        <w:tblInd w:w="0" w:type="dxa"/>
        <w:tblLayout w:type="fixed"/>
        <w:tblCellMar>
          <w:top w:w="0" w:type="dxa"/>
          <w:left w:w="0" w:type="dxa"/>
          <w:bottom w:w="0" w:type="dxa"/>
          <w:right w:w="0" w:type="dxa"/>
        </w:tblCellMar>
      </w:tblPr>
      <w:tblGrid>
        <w:gridCol w:w="560"/>
        <w:gridCol w:w="2525"/>
        <w:gridCol w:w="75"/>
      </w:tblGrid>
      <w:tr>
        <w:trPr/>
        <w:tc>
          <w:tcPr>
            <w:tcW w:w="560" w:type="dxa"/>
            <w:tcBorders/>
            <w:vAlign w:val="center"/>
          </w:tcPr>
          <w:p>
            <w:pPr>
              <w:pStyle w:val="TableContents"/>
              <w:bidi w:val="0"/>
              <w:spacing w:before="0" w:after="283"/>
              <w:jc w:val="left"/>
              <w:rPr>
                <w:sz w:val="20"/>
              </w:rPr>
            </w:pPr>
            <w:r>
              <w:rPr>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sz w:val="20"/>
              </w:rPr>
            </w:pPr>
            <w:r>
              <w:rPr>
                <w:i/>
                <w:sz w:val="20"/>
              </w:rPr>
              <w:t xml:space="preserve">/s/ </w:t>
            </w:r>
            <w:r>
              <w:rPr>
                <w:strike/>
                <w:color w:val="FF0000"/>
                <w:sz w:val="20"/>
              </w:rPr>
              <w:t>Jordan Ruddy</w:t>
            </w:r>
            <w:r>
              <w:rPr>
                <w:i/>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2525" w:type="dxa"/>
            <w:tcBorders/>
            <w:vAlign w:val="center"/>
          </w:tcPr>
          <w:p>
            <w:pPr>
              <w:pStyle w:val="TableContents"/>
              <w:bidi w:val="0"/>
              <w:spacing w:before="0" w:after="283"/>
              <w:jc w:val="left"/>
              <w:rPr/>
            </w:pPr>
            <w:r>
              <w:rPr>
                <w:strike/>
                <w:color w:val="FF0000"/>
                <w:sz w:val="20"/>
              </w:rPr>
              <w:t>Jordan Ruddy</w:t>
            </w: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2525" w:type="dxa"/>
            <w:tcBorders/>
            <w:vAlign w:val="center"/>
          </w:tcPr>
          <w:p>
            <w:pPr>
              <w:pStyle w:val="TableContents"/>
              <w:bidi w:val="0"/>
              <w:spacing w:before="0" w:after="283"/>
              <w:jc w:val="left"/>
              <w:rPr/>
            </w:pPr>
            <w:r>
              <w:rPr>
                <w:strike/>
                <w:color w:val="FF0000"/>
                <w:sz w:val="20"/>
              </w:rPr>
              <w:t>President</w:t>
            </w: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Realta Investments Ireland Designated Activity Company</w:t>
      </w:r>
    </w:p>
    <w:p>
      <w:pPr>
        <w:pStyle w:val="TextBody"/>
        <w:bidi w:val="0"/>
        <w:jc w:val="left"/>
        <w:rPr>
          <w:caps w:val="false"/>
          <w:smallCaps w:val="false"/>
          <w:color w:val="0000FF"/>
        </w:rPr>
      </w:pPr>
      <w:r>
        <w:rPr>
          <w:caps w:val="false"/>
          <w:smallCaps w:val="false"/>
          <w:color w:val="0000FF"/>
        </w:rPr>
        <w:t> </w:t>
      </w:r>
    </w:p>
    <w:tbl>
      <w:tblPr>
        <w:tblW w:w="2245" w:type="dxa"/>
        <w:jc w:val="left"/>
        <w:tblInd w:w="0" w:type="dxa"/>
        <w:tblLayout w:type="fixed"/>
        <w:tblCellMar>
          <w:top w:w="0" w:type="dxa"/>
          <w:left w:w="0" w:type="dxa"/>
          <w:bottom w:w="0" w:type="dxa"/>
          <w:right w:w="0" w:type="dxa"/>
        </w:tblCellMar>
      </w:tblPr>
      <w:tblGrid>
        <w:gridCol w:w="560"/>
        <w:gridCol w:w="161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61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610" w:type="dxa"/>
            <w:tcBorders/>
            <w:vAlign w:val="center"/>
          </w:tcPr>
          <w:p>
            <w:pPr>
              <w:pStyle w:val="TableContents"/>
              <w:bidi w:val="0"/>
              <w:spacing w:before="0" w:after="283"/>
              <w:jc w:val="left"/>
              <w:rPr>
                <w:color w:val="0000FF"/>
                <w:sz w:val="20"/>
                <w:u w:val="single"/>
              </w:rPr>
            </w:pPr>
            <w:r>
              <w:rPr>
                <w:color w:val="0000FF"/>
                <w:sz w:val="20"/>
                <w:u w:val="single"/>
              </w:rPr>
              <w:t>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61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1, A Series of 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 A Series of 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2026-1, a Series of 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2026-2, a Series of 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center"/>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Schedule A — Existing Wholly-Owned Subsidiaries</w:t>
      </w:r>
    </w:p>
    <w:p>
      <w:pPr>
        <w:pStyle w:val="TextBody"/>
        <w:bidi w:val="0"/>
        <w:jc w:val="center"/>
        <w:rPr>
          <w:caps w:val="false"/>
          <w:smallCaps w:val="false"/>
          <w:color w:val="0000FF"/>
        </w:rPr>
      </w:pPr>
      <w:r>
        <w:rPr>
          <w:caps w:val="false"/>
          <w:smallCaps w:val="false"/>
          <w:color w:val="0000FF"/>
        </w:rPr>
        <w:t> </w:t>
      </w:r>
    </w:p>
    <w:p>
      <w:pPr>
        <w:pStyle w:val="TextBody"/>
        <w:bidi w:val="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Wholly-owned subsidiaries (each, 100% owned) of Neostellar Capital Corp.:</w:t>
      </w:r>
    </w:p>
    <w:p>
      <w:pPr>
        <w:pStyle w:val="TextBody"/>
        <w:bidi w:val="0"/>
        <w:jc w:val="both"/>
        <w:rPr>
          <w:caps w:val="false"/>
          <w:smallCaps w:val="false"/>
          <w:color w:val="0000FF"/>
        </w:rPr>
      </w:pPr>
      <w:r>
        <w:rPr>
          <w:caps w:val="false"/>
          <w:smallCaps w:val="false"/>
          <w:color w:val="0000FF"/>
        </w:rPr>
        <w:t> </w:t>
      </w:r>
    </w:p>
    <w:tbl>
      <w:tblPr>
        <w:tblW w:w="5000" w:type="pct"/>
        <w:jc w:val="left"/>
        <w:tblInd w:w="0" w:type="dxa"/>
        <w:tblLayout w:type="fixed"/>
        <w:tblCellMar>
          <w:top w:w="0" w:type="dxa"/>
          <w:left w:w="0" w:type="dxa"/>
          <w:bottom w:w="0" w:type="dxa"/>
          <w:right w:w="0" w:type="dxa"/>
        </w:tblCellMar>
      </w:tblPr>
      <w:tblGrid>
        <w:gridCol w:w="61"/>
        <w:gridCol w:w="323"/>
        <w:gridCol w:w="9821"/>
      </w:tblGrid>
      <w:tr>
        <w:trPr/>
        <w:tc>
          <w:tcPr>
            <w:tcW w:w="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u w:val="single"/>
              </w:rPr>
            </w:pPr>
            <w:r>
              <w:rPr>
                <w:u w:val="single"/>
              </w:rPr>
              <w:t>1.</w:t>
            </w:r>
          </w:p>
        </w:tc>
        <w:tc>
          <w:tcPr>
            <w:tcW w:w="9821" w:type="dxa"/>
            <w:tcBorders/>
            <w:vAlign w:val="center"/>
          </w:tcPr>
          <w:p>
            <w:pPr>
              <w:pStyle w:val="TableContents"/>
              <w:bidi w:val="0"/>
              <w:spacing w:before="0" w:after="283"/>
              <w:jc w:val="both"/>
              <w:rPr>
                <w:u w:val="single"/>
              </w:rPr>
            </w:pPr>
            <w:r>
              <w:rPr>
                <w:u w:val="single"/>
              </w:rPr>
              <w:t>GSV Capital Lending, LLC (Delaware, formed April 13, 2012)</w:t>
            </w:r>
          </w:p>
        </w:tc>
      </w:tr>
    </w:tbl>
    <w:p>
      <w:pPr>
        <w:pStyle w:val="TextBody"/>
        <w:bidi w:val="0"/>
        <w:ind w:left="1440" w:right="0" w:hanging="720"/>
        <w:jc w:val="both"/>
        <w:rPr>
          <w:caps w:val="false"/>
          <w:smallCaps w:val="false"/>
          <w:color w:val="0000FF"/>
        </w:rPr>
      </w:pPr>
      <w:r>
        <w:rPr>
          <w:caps w:val="false"/>
          <w:smallCaps w:val="false"/>
          <w:color w:val="0000FF"/>
        </w:rPr>
        <w:t> </w:t>
      </w:r>
    </w:p>
    <w:tbl>
      <w:tblPr>
        <w:tblW w:w="5000" w:type="pct"/>
        <w:jc w:val="left"/>
        <w:tblInd w:w="0" w:type="dxa"/>
        <w:tblLayout w:type="fixed"/>
        <w:tblCellMar>
          <w:top w:w="0" w:type="dxa"/>
          <w:left w:w="0" w:type="dxa"/>
          <w:bottom w:w="0" w:type="dxa"/>
          <w:right w:w="0" w:type="dxa"/>
        </w:tblCellMar>
      </w:tblPr>
      <w:tblGrid>
        <w:gridCol w:w="61"/>
        <w:gridCol w:w="325"/>
        <w:gridCol w:w="9819"/>
      </w:tblGrid>
      <w:tr>
        <w:trPr/>
        <w:tc>
          <w:tcPr>
            <w:tcW w:w="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u w:val="single"/>
              </w:rPr>
            </w:pPr>
            <w:r>
              <w:rPr>
                <w:u w:val="single"/>
              </w:rPr>
              <w:t>2.</w:t>
            </w:r>
          </w:p>
        </w:tc>
        <w:tc>
          <w:tcPr>
            <w:tcW w:w="9819" w:type="dxa"/>
            <w:tcBorders/>
            <w:vAlign w:val="center"/>
          </w:tcPr>
          <w:p>
            <w:pPr>
              <w:pStyle w:val="TableContents"/>
              <w:bidi w:val="0"/>
              <w:spacing w:before="0" w:after="283"/>
              <w:jc w:val="both"/>
              <w:rPr>
                <w:u w:val="single"/>
              </w:rPr>
            </w:pPr>
            <w:r>
              <w:rPr>
                <w:u w:val="single"/>
              </w:rPr>
              <w:t>SuRo Capital Sports, LLC (Delaware, formed March 19, 2021)</w:t>
            </w:r>
          </w:p>
        </w:tc>
      </w:tr>
    </w:tbl>
    <w:p>
      <w:pPr>
        <w:pStyle w:val="TextBody"/>
        <w:bidi w:val="0"/>
        <w:ind w:left="1440" w:right="0" w:hanging="720"/>
        <w:jc w:val="both"/>
        <w:rPr>
          <w:caps w:val="false"/>
          <w:smallCaps w:val="false"/>
          <w:color w:val="0000FF"/>
        </w:rPr>
      </w:pPr>
      <w:r>
        <w:rPr>
          <w:caps w:val="false"/>
          <w:smallCaps w:val="false"/>
          <w:color w:val="0000FF"/>
        </w:rPr>
        <w:t> </w:t>
      </w:r>
    </w:p>
    <w:tbl>
      <w:tblPr>
        <w:tblW w:w="5000" w:type="pct"/>
        <w:jc w:val="left"/>
        <w:tblInd w:w="0" w:type="dxa"/>
        <w:tblLayout w:type="fixed"/>
        <w:tblCellMar>
          <w:top w:w="0" w:type="dxa"/>
          <w:left w:w="0" w:type="dxa"/>
          <w:bottom w:w="0" w:type="dxa"/>
          <w:right w:w="0" w:type="dxa"/>
        </w:tblCellMar>
      </w:tblPr>
      <w:tblGrid>
        <w:gridCol w:w="63"/>
        <w:gridCol w:w="336"/>
        <w:gridCol w:w="9806"/>
      </w:tblGrid>
      <w:tr>
        <w:trPr/>
        <w:tc>
          <w:tcPr>
            <w:tcW w:w="6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u w:val="single"/>
              </w:rPr>
            </w:pPr>
            <w:r>
              <w:rPr>
                <w:u w:val="single"/>
              </w:rPr>
              <w:t>3.</w:t>
            </w:r>
          </w:p>
        </w:tc>
        <w:tc>
          <w:tcPr>
            <w:tcW w:w="9806" w:type="dxa"/>
            <w:tcBorders/>
            <w:vAlign w:val="center"/>
          </w:tcPr>
          <w:p>
            <w:pPr>
              <w:pStyle w:val="TableContents"/>
              <w:bidi w:val="0"/>
              <w:spacing w:before="0" w:after="283"/>
              <w:jc w:val="both"/>
              <w:rPr>
                <w:u w:val="single"/>
              </w:rPr>
            </w:pPr>
            <w:r>
              <w:rPr>
                <w:u w:val="single"/>
              </w:rPr>
              <w:t>SRCI Advisors, LLC (Delaware, formed September 9, 2025)</w:t>
            </w:r>
          </w:p>
        </w:tc>
      </w:tr>
    </w:tbl>
    <w:p>
      <w:pPr>
        <w:pStyle w:val="TextBody"/>
        <w:bidi w:val="0"/>
        <w:ind w:left="1440" w:right="0" w:hanging="720"/>
        <w:jc w:val="both"/>
        <w:rPr>
          <w:caps w:val="false"/>
          <w:smallCaps w:val="false"/>
          <w:color w:val="0000FF"/>
        </w:rPr>
      </w:pPr>
      <w:r>
        <w:rPr>
          <w:caps w:val="false"/>
          <w:smallCaps w:val="false"/>
          <w:color w:val="0000FF"/>
        </w:rPr>
        <w:t> </w:t>
      </w:r>
    </w:p>
    <w:tbl>
      <w:tblPr>
        <w:tblW w:w="5000" w:type="pct"/>
        <w:jc w:val="left"/>
        <w:tblInd w:w="0" w:type="dxa"/>
        <w:tblLayout w:type="fixed"/>
        <w:tblCellMar>
          <w:top w:w="0" w:type="dxa"/>
          <w:left w:w="0" w:type="dxa"/>
          <w:bottom w:w="0" w:type="dxa"/>
          <w:right w:w="0" w:type="dxa"/>
        </w:tblCellMar>
      </w:tblPr>
      <w:tblGrid>
        <w:gridCol w:w="43"/>
        <w:gridCol w:w="232"/>
        <w:gridCol w:w="9930"/>
      </w:tblGrid>
      <w:tr>
        <w:trPr/>
        <w:tc>
          <w:tcPr>
            <w:tcW w:w="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u w:val="single"/>
              </w:rPr>
            </w:pPr>
            <w:r>
              <w:rPr>
                <w:u w:val="single"/>
              </w:rPr>
              <w:t>4.</w:t>
            </w:r>
          </w:p>
        </w:tc>
        <w:tc>
          <w:tcPr>
            <w:tcW w:w="9930" w:type="dxa"/>
            <w:tcBorders/>
            <w:vAlign w:val="center"/>
          </w:tcPr>
          <w:p>
            <w:pPr>
              <w:pStyle w:val="TableContents"/>
              <w:bidi w:val="0"/>
              <w:spacing w:before="0" w:after="283"/>
              <w:jc w:val="both"/>
              <w:rPr>
                <w:u w:val="single"/>
              </w:rPr>
            </w:pPr>
            <w:r>
              <w:rPr>
                <w:u w:val="single"/>
              </w:rPr>
              <w:t>GSVC AE Holdings, Inc. — Taxable Subsidiary (Delaware, formed November 28, 2012)</w:t>
            </w:r>
          </w:p>
        </w:tc>
      </w:tr>
    </w:tbl>
    <w:p>
      <w:pPr>
        <w:pStyle w:val="TextBody"/>
        <w:bidi w:val="0"/>
        <w:ind w:left="1440" w:right="0" w:hanging="720"/>
        <w:jc w:val="both"/>
        <w:rPr>
          <w:caps w:val="false"/>
          <w:smallCaps w:val="false"/>
          <w:color w:val="0000FF"/>
        </w:rPr>
      </w:pPr>
      <w:r>
        <w:rPr>
          <w:caps w:val="false"/>
          <w:smallCaps w:val="false"/>
          <w:color w:val="0000FF"/>
        </w:rPr>
        <w:t> </w:t>
      </w:r>
    </w:p>
    <w:tbl>
      <w:tblPr>
        <w:tblW w:w="5000" w:type="pct"/>
        <w:jc w:val="left"/>
        <w:tblInd w:w="0" w:type="dxa"/>
        <w:tblLayout w:type="fixed"/>
        <w:tblCellMar>
          <w:top w:w="0" w:type="dxa"/>
          <w:left w:w="0" w:type="dxa"/>
          <w:bottom w:w="0" w:type="dxa"/>
          <w:right w:w="0" w:type="dxa"/>
        </w:tblCellMar>
      </w:tblPr>
      <w:tblGrid>
        <w:gridCol w:w="43"/>
        <w:gridCol w:w="231"/>
        <w:gridCol w:w="9931"/>
      </w:tblGrid>
      <w:tr>
        <w:trPr/>
        <w:tc>
          <w:tcPr>
            <w:tcW w:w="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u w:val="single"/>
              </w:rPr>
            </w:pPr>
            <w:r>
              <w:rPr>
                <w:u w:val="single"/>
              </w:rPr>
              <w:t>5.</w:t>
            </w:r>
          </w:p>
        </w:tc>
        <w:tc>
          <w:tcPr>
            <w:tcW w:w="9931" w:type="dxa"/>
            <w:tcBorders/>
            <w:vAlign w:val="center"/>
          </w:tcPr>
          <w:p>
            <w:pPr>
              <w:pStyle w:val="TableContents"/>
              <w:bidi w:val="0"/>
              <w:spacing w:before="0" w:after="283"/>
              <w:jc w:val="both"/>
              <w:rPr>
                <w:u w:val="single"/>
              </w:rPr>
            </w:pPr>
            <w:r>
              <w:rPr>
                <w:u w:val="single"/>
              </w:rPr>
              <w:t>GSVC AV Holdings, Inc. — Taxable Subsidiary (Delaware, formed November 28, 2012)</w:t>
            </w:r>
          </w:p>
        </w:tc>
      </w:tr>
    </w:tbl>
    <w:p>
      <w:pPr>
        <w:pStyle w:val="TextBody"/>
        <w:bidi w:val="0"/>
        <w:ind w:left="1440" w:right="0" w:hanging="720"/>
        <w:jc w:val="both"/>
        <w:rPr>
          <w:caps w:val="false"/>
          <w:smallCaps w:val="false"/>
          <w:color w:val="0000FF"/>
        </w:rPr>
      </w:pPr>
      <w:r>
        <w:rPr>
          <w:caps w:val="false"/>
          <w:smallCaps w:val="false"/>
          <w:color w:val="0000FF"/>
        </w:rPr>
        <w:t> </w:t>
      </w:r>
    </w:p>
    <w:tbl>
      <w:tblPr>
        <w:tblW w:w="5000" w:type="pct"/>
        <w:jc w:val="left"/>
        <w:tblInd w:w="0" w:type="dxa"/>
        <w:tblLayout w:type="fixed"/>
        <w:tblCellMar>
          <w:top w:w="0" w:type="dxa"/>
          <w:left w:w="0" w:type="dxa"/>
          <w:bottom w:w="0" w:type="dxa"/>
          <w:right w:w="0" w:type="dxa"/>
        </w:tblCellMar>
      </w:tblPr>
      <w:tblGrid>
        <w:gridCol w:w="43"/>
        <w:gridCol w:w="231"/>
        <w:gridCol w:w="9931"/>
      </w:tblGrid>
      <w:tr>
        <w:trPr/>
        <w:tc>
          <w:tcPr>
            <w:tcW w:w="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u w:val="single"/>
              </w:rPr>
            </w:pPr>
            <w:r>
              <w:rPr>
                <w:u w:val="single"/>
              </w:rPr>
              <w:t>6.</w:t>
            </w:r>
          </w:p>
        </w:tc>
        <w:tc>
          <w:tcPr>
            <w:tcW w:w="9931" w:type="dxa"/>
            <w:tcBorders/>
            <w:vAlign w:val="center"/>
          </w:tcPr>
          <w:p>
            <w:pPr>
              <w:pStyle w:val="TableContents"/>
              <w:bidi w:val="0"/>
              <w:spacing w:before="0" w:after="283"/>
              <w:jc w:val="both"/>
              <w:rPr>
                <w:u w:val="single"/>
              </w:rPr>
            </w:pPr>
            <w:r>
              <w:rPr>
                <w:u w:val="single"/>
              </w:rPr>
              <w:t>GSVC SW Holdings, Inc. — Taxable Subsidiary (Delaware, formed November 28, 2012)</w:t>
            </w:r>
          </w:p>
        </w:tc>
      </w:tr>
    </w:tbl>
    <w:p>
      <w:pPr>
        <w:pStyle w:val="TextBody"/>
        <w:bidi w:val="0"/>
        <w:ind w:left="1440" w:right="0" w:hanging="720"/>
        <w:jc w:val="both"/>
        <w:rPr>
          <w:caps w:val="false"/>
          <w:smallCaps w:val="false"/>
          <w:color w:val="0000FF"/>
        </w:rPr>
      </w:pPr>
      <w:r>
        <w:rPr>
          <w:caps w:val="false"/>
          <w:smallCaps w:val="false"/>
          <w:color w:val="0000FF"/>
        </w:rPr>
        <w:t> </w:t>
      </w:r>
    </w:p>
    <w:tbl>
      <w:tblPr>
        <w:tblW w:w="5000" w:type="pct"/>
        <w:jc w:val="left"/>
        <w:tblInd w:w="0" w:type="dxa"/>
        <w:tblLayout w:type="fixed"/>
        <w:tblCellMar>
          <w:top w:w="0" w:type="dxa"/>
          <w:left w:w="0" w:type="dxa"/>
          <w:bottom w:w="0" w:type="dxa"/>
          <w:right w:w="0" w:type="dxa"/>
        </w:tblCellMar>
      </w:tblPr>
      <w:tblGrid>
        <w:gridCol w:w="44"/>
        <w:gridCol w:w="232"/>
        <w:gridCol w:w="9929"/>
      </w:tblGrid>
      <w:tr>
        <w:trPr/>
        <w:tc>
          <w:tcPr>
            <w:tcW w:w="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u w:val="single"/>
              </w:rPr>
            </w:pPr>
            <w:r>
              <w:rPr>
                <w:u w:val="single"/>
              </w:rPr>
              <w:t>7.</w:t>
            </w:r>
          </w:p>
        </w:tc>
        <w:tc>
          <w:tcPr>
            <w:tcW w:w="9929" w:type="dxa"/>
            <w:tcBorders/>
            <w:vAlign w:val="center"/>
          </w:tcPr>
          <w:p>
            <w:pPr>
              <w:pStyle w:val="TableContents"/>
              <w:bidi w:val="0"/>
              <w:spacing w:before="0" w:after="283"/>
              <w:jc w:val="both"/>
              <w:rPr>
                <w:u w:val="single"/>
              </w:rPr>
            </w:pPr>
            <w:r>
              <w:rPr>
                <w:u w:val="single"/>
              </w:rPr>
              <w:t>GSVC SVDS Holdings, Inc. — Taxable Subsidiary (Delaware, formed August 13, 2013)</w:t>
            </w:r>
          </w:p>
        </w:tc>
      </w:tr>
    </w:tbl>
    <w:p>
      <w:pPr>
        <w:pStyle w:val="TextBody"/>
        <w:bidi w:val="0"/>
        <w:ind w:left="1440" w:right="0" w:hanging="72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Schedule B —Existing Affiliated Funds</w:t>
      </w:r>
    </w:p>
    <w:p>
      <w:pPr>
        <w:pStyle w:val="TextBody"/>
        <w:bidi w:val="0"/>
        <w:jc w:val="center"/>
        <w:rPr>
          <w:caps w:val="false"/>
          <w:smallCaps w:val="false"/>
          <w:color w:val="0000FF"/>
        </w:rPr>
      </w:pPr>
      <w:r>
        <w:rPr>
          <w:caps w:val="false"/>
          <w:smallCaps w:val="false"/>
          <w:color w:val="0000FF"/>
        </w:rPr>
        <w:t> </w:t>
      </w:r>
    </w:p>
    <w:p>
      <w:pPr>
        <w:pStyle w:val="TextBody"/>
        <w:bidi w:val="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 Existing Affiliated Funds are advised by an Adviser as set forth below:</w:t>
      </w:r>
    </w:p>
    <w:p>
      <w:pPr>
        <w:pStyle w:val="TextBody"/>
        <w:bidi w:val="0"/>
        <w:jc w:val="both"/>
        <w:rPr>
          <w:caps w:val="false"/>
          <w:smallCaps w:val="false"/>
          <w:color w:val="0000FF"/>
        </w:rPr>
      </w:pPr>
      <w:r>
        <w:rPr>
          <w:caps w:val="false"/>
          <w:smallCaps w:val="false"/>
          <w:color w:val="0000FF"/>
        </w:rPr>
        <w:t> </w:t>
      </w:r>
    </w:p>
    <w:tbl>
      <w:tblPr>
        <w:tblW w:w="6250" w:type="dxa"/>
        <w:jc w:val="left"/>
        <w:tblInd w:w="0" w:type="dxa"/>
        <w:tblLayout w:type="fixed"/>
        <w:tblCellMar>
          <w:top w:w="0" w:type="dxa"/>
          <w:left w:w="0" w:type="dxa"/>
          <w:bottom w:w="0" w:type="dxa"/>
          <w:right w:w="0" w:type="dxa"/>
        </w:tblCellMar>
      </w:tblPr>
      <w:tblGrid>
        <w:gridCol w:w="275"/>
        <w:gridCol w:w="5975"/>
      </w:tblGrid>
      <w:tr>
        <w:trPr/>
        <w:tc>
          <w:tcPr>
            <w:tcW w:w="275" w:type="dxa"/>
            <w:tcBorders/>
            <w:vAlign w:val="center"/>
          </w:tcPr>
          <w:p>
            <w:pPr>
              <w:pStyle w:val="TableContents"/>
              <w:bidi w:val="0"/>
              <w:spacing w:before="0" w:after="283"/>
              <w:jc w:val="left"/>
              <w:rPr>
                <w:color w:val="0000FF"/>
                <w:u w:val="single"/>
              </w:rPr>
            </w:pPr>
            <w:r>
              <w:rPr>
                <w:color w:val="0000FF"/>
                <w:u w:val="single"/>
              </w:rPr>
              <w:t>A.</w:t>
            </w:r>
          </w:p>
        </w:tc>
        <w:tc>
          <w:tcPr>
            <w:tcW w:w="5975" w:type="dxa"/>
            <w:tcBorders/>
            <w:vAlign w:val="center"/>
          </w:tcPr>
          <w:p>
            <w:pPr>
              <w:pStyle w:val="TableContents"/>
              <w:bidi w:val="0"/>
              <w:spacing w:before="0" w:after="283"/>
              <w:jc w:val="both"/>
              <w:rPr>
                <w:color w:val="0000FF"/>
                <w:u w:val="single"/>
              </w:rPr>
            </w:pPr>
            <w:r>
              <w:rPr>
                <w:color w:val="0000FF"/>
                <w:u w:val="single"/>
              </w:rPr>
              <w:t>Existing Affiliated Funds advised by Magnetar Financial LLC:</w:t>
            </w:r>
          </w:p>
        </w:tc>
      </w:tr>
    </w:tbl>
    <w:p>
      <w:pPr>
        <w:pStyle w:val="TextBody"/>
        <w:bidi w:val="0"/>
        <w:ind w:left="720" w:right="0" w:hanging="720"/>
        <w:jc w:val="both"/>
        <w:rPr>
          <w:caps w:val="false"/>
          <w:smallCaps w:val="false"/>
          <w:color w:val="0000FF"/>
        </w:rPr>
      </w:pPr>
      <w:r>
        <w:rPr>
          <w:caps w:val="false"/>
          <w:smallCaps w:val="false"/>
          <w:color w:val="0000FF"/>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Astrum Partners II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Astrum Partners LLC, Series XV</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Astrum Partners LLC, Series XVIII</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CW Credit Opportunity 2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CW Opportunity 2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CW Opportunity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Longhorn Special Opportunities Fund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ACFI Strategic Ventures 2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ACFI Strategic Ventures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AI Opportunity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AI Ventures Fund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Alpha Star Fund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Capital Fund II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Capital Master Fund, Ltd</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Constellation Fund, Ltd.</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Constellation Master Fund, Ltd</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Investment APPK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Investment Opportunity Series Fund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Lake Credit Fund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Longhorn Fund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8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A Ltd</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2025-2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2025-3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2025-4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2025-A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5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6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Opportunity 7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Special Situations Fund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Special Situations Master Fund Ltd</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Structured Credit Fund, LP DBA Constellation Onshore Fund</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Waterfront Alternative Credit Fund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Waterfront Series A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Waterfront Series C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Xing He Fund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Magnetar Xing He Master Fund Ltd</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Mustang Opportunities Fund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Purpose Alternative Credit Fund – F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Purpose Alternative Credit Fund – T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Series 1, A Series of Astrum Partners II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Series 2, A Series of Astrum Partners II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Series 2026-1, a Series of Magnetar Investment Opportunity Series Fund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Series 2026-2, a Series of Magnetar Investment Opportunity Series Fund LP</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Series I, a series of Astrum Partners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Series VII, a series of Astrum Partners LLC</w:t>
            </w:r>
          </w:p>
        </w:tc>
      </w:tr>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u w:val="single"/>
              </w:rPr>
            </w:pPr>
            <w:r>
              <w:rPr>
                <w:u w:val="single"/>
              </w:rPr>
              <w:t>●</w:t>
            </w:r>
          </w:p>
        </w:tc>
        <w:tc>
          <w:tcPr>
            <w:tcW w:w="9921" w:type="dxa"/>
            <w:tcBorders/>
            <w:vAlign w:val="center"/>
          </w:tcPr>
          <w:p>
            <w:pPr>
              <w:pStyle w:val="TableContents"/>
              <w:bidi w:val="0"/>
              <w:spacing w:before="0" w:after="283"/>
              <w:jc w:val="both"/>
              <w:rPr>
                <w:u w:val="single"/>
              </w:rPr>
            </w:pPr>
            <w:r>
              <w:rPr>
                <w:u w:val="single"/>
              </w:rPr>
              <w:t>Series XI, a series of Astrum Partners LLC</w:t>
            </w:r>
          </w:p>
        </w:tc>
      </w:tr>
    </w:tbl>
    <w:p>
      <w:pPr>
        <w:pStyle w:val="TextBody"/>
        <w:bidi w:val="0"/>
        <w:ind w:left="1440" w:right="0" w:hanging="360"/>
        <w:jc w:val="both"/>
        <w:rPr>
          <w:caps w:val="false"/>
          <w:smallCaps w:val="false"/>
          <w:color w:val="0000FF"/>
        </w:rPr>
      </w:pPr>
      <w:r>
        <w:rPr>
          <w:caps w:val="false"/>
          <w:smallCaps w:val="false"/>
          <w:color w:val="0000FF"/>
        </w:rPr>
        <w:t> </w:t>
      </w:r>
    </w:p>
    <w:tbl>
      <w:tblPr>
        <w:tblW w:w="6850" w:type="dxa"/>
        <w:jc w:val="left"/>
        <w:tblInd w:w="0" w:type="dxa"/>
        <w:tblLayout w:type="fixed"/>
        <w:tblCellMar>
          <w:top w:w="0" w:type="dxa"/>
          <w:left w:w="0" w:type="dxa"/>
          <w:bottom w:w="0" w:type="dxa"/>
          <w:right w:w="0" w:type="dxa"/>
        </w:tblCellMar>
      </w:tblPr>
      <w:tblGrid>
        <w:gridCol w:w="260"/>
        <w:gridCol w:w="6590"/>
      </w:tblGrid>
      <w:tr>
        <w:trPr/>
        <w:tc>
          <w:tcPr>
            <w:tcW w:w="260" w:type="dxa"/>
            <w:tcBorders/>
            <w:vAlign w:val="center"/>
          </w:tcPr>
          <w:p>
            <w:pPr>
              <w:pStyle w:val="TableContents"/>
              <w:bidi w:val="0"/>
              <w:spacing w:before="0" w:after="283"/>
              <w:jc w:val="left"/>
              <w:rPr>
                <w:color w:val="0000FF"/>
                <w:u w:val="single"/>
              </w:rPr>
            </w:pPr>
            <w:r>
              <w:rPr>
                <w:color w:val="0000FF"/>
                <w:u w:val="single"/>
              </w:rPr>
              <w:t>B.</w:t>
            </w:r>
          </w:p>
        </w:tc>
        <w:tc>
          <w:tcPr>
            <w:tcW w:w="6590" w:type="dxa"/>
            <w:tcBorders/>
            <w:vAlign w:val="center"/>
          </w:tcPr>
          <w:p>
            <w:pPr>
              <w:pStyle w:val="TableContents"/>
              <w:bidi w:val="0"/>
              <w:spacing w:before="0" w:after="283"/>
              <w:jc w:val="both"/>
              <w:rPr>
                <w:color w:val="0000FF"/>
                <w:u w:val="single"/>
              </w:rPr>
            </w:pPr>
            <w:r>
              <w:rPr>
                <w:color w:val="0000FF"/>
                <w:u w:val="single"/>
              </w:rPr>
              <w:t>Existing Affiliated Funds Advised by Magnetar Financial (UK) LLP:</w:t>
            </w:r>
          </w:p>
        </w:tc>
      </w:tr>
    </w:tbl>
    <w:p>
      <w:pPr>
        <w:pStyle w:val="TextBody"/>
        <w:bidi w:val="0"/>
        <w:ind w:left="720" w:right="0" w:hanging="720"/>
        <w:jc w:val="both"/>
        <w:rPr>
          <w:caps w:val="false"/>
          <w:smallCaps w:val="false"/>
          <w:color w:val="0000FF"/>
        </w:rPr>
      </w:pPr>
      <w:r>
        <w:rPr>
          <w:caps w:val="false"/>
          <w:smallCaps w:val="false"/>
          <w:color w:val="0000FF"/>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u w:val="single"/>
              </w:rPr>
            </w:pPr>
            <w:r>
              <w:rPr>
                <w:u w:val="single"/>
              </w:rPr>
              <w:t>●</w:t>
            </w:r>
          </w:p>
        </w:tc>
        <w:tc>
          <w:tcPr>
            <w:tcW w:w="5480" w:type="dxa"/>
            <w:tcBorders/>
            <w:vAlign w:val="center"/>
          </w:tcPr>
          <w:p>
            <w:pPr>
              <w:pStyle w:val="TableContents"/>
              <w:bidi w:val="0"/>
              <w:spacing w:before="0" w:after="283"/>
              <w:jc w:val="both"/>
              <w:rPr>
                <w:u w:val="single"/>
              </w:rPr>
            </w:pPr>
            <w:r>
              <w:rPr>
                <w:u w:val="single"/>
              </w:rPr>
              <w:t>Realta Investments Ireland Designated Activity Company</w:t>
            </w:r>
          </w:p>
        </w:tc>
      </w:tr>
    </w:tbl>
    <w:p>
      <w:pPr>
        <w:pStyle w:val="TextBody"/>
        <w:bidi w:val="0"/>
        <w:ind w:left="1440" w:right="0" w:hanging="36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A</w:t>
      </w:r>
    </w:p>
    <w:p>
      <w:pPr>
        <w:pStyle w:val="TextBody"/>
        <w:bidi w:val="0"/>
        <w:jc w:val="right"/>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states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has duly executed the </w:t>
      </w:r>
      <w:r>
        <w:rPr>
          <w:rFonts w:ascii="Times New Roman;Times;Serif" w:hAnsi="Times New Roman;Times;Serif"/>
          <w:b w:val="false"/>
          <w:i w:val="false"/>
          <w:caps w:val="false"/>
          <w:smallCaps w:val="false"/>
          <w:strike/>
          <w:color w:val="FF0000"/>
          <w:sz w:val="20"/>
        </w:rPr>
        <w:t>foregoing</w:t>
      </w:r>
      <w:r>
        <w:rPr>
          <w:rFonts w:ascii="Times New Roman;Times;Serif" w:hAnsi="Times New Roman;Times;Serif"/>
          <w:b w:val="false"/>
          <w:i w:val="false"/>
          <w:caps w:val="false"/>
          <w:smallCaps w:val="false"/>
          <w:color w:val="0000FF"/>
          <w:sz w:val="20"/>
          <w:u w:val="single"/>
        </w:rPr>
        <w:t>attached Amendment No. 1 to the</w:t>
      </w:r>
      <w:r>
        <w:rPr>
          <w:rFonts w:ascii="Times New Roman;Times;Serif" w:hAnsi="Times New Roman;Times;Serif"/>
          <w:b w:val="false"/>
          <w:i w:val="false"/>
          <w:caps w:val="false"/>
          <w:smallCaps w:val="false"/>
          <w:sz w:val="20"/>
        </w:rPr>
        <w:t xml:space="preserve"> Application </w:t>
      </w:r>
      <w:r>
        <w:rPr>
          <w:rFonts w:ascii="Times New Roman;Times;Serif" w:hAnsi="Times New Roman;Times;Serif"/>
          <w:b w:val="false"/>
          <w:i w:val="false"/>
          <w:caps w:val="false"/>
          <w:smallCaps w:val="false"/>
          <w:color w:val="0000FF"/>
          <w:sz w:val="20"/>
          <w:u w:val="single"/>
        </w:rPr>
        <w:t xml:space="preserve">dated October 1, 2026 </w:t>
      </w:r>
      <w:r>
        <w:rPr>
          <w:rFonts w:ascii="Times New Roman;Times;Serif" w:hAnsi="Times New Roman;Times;Serif"/>
          <w:b w:val="false"/>
          <w:i w:val="false"/>
          <w:caps w:val="false"/>
          <w:smallCaps w:val="false"/>
          <w:sz w:val="20"/>
        </w:rPr>
        <w:t xml:space="preserve">for and on behalf of </w:t>
      </w:r>
      <w:r>
        <w:rPr>
          <w:rFonts w:ascii="Times New Roman;Times;Serif" w:hAnsi="Times New Roman;Times;Serif"/>
          <w:b w:val="false"/>
          <w:i w:val="false"/>
          <w:caps w:val="false"/>
          <w:smallCaps w:val="false"/>
          <w:strike/>
          <w:color w:val="FF0000"/>
          <w:sz w:val="20"/>
        </w:rPr>
        <w:t>Bluerock Fund Advisor, LLC</w:t>
      </w:r>
      <w:r>
        <w:rPr>
          <w:rFonts w:ascii="Times New Roman;Times;Serif" w:hAnsi="Times New Roman;Times;Serif"/>
          <w:b w:val="false"/>
          <w:i w:val="false"/>
          <w:caps w:val="false"/>
          <w:smallCaps w:val="false"/>
          <w:color w:val="0000FF"/>
          <w:sz w:val="20"/>
          <w:u w:val="single"/>
        </w:rPr>
        <w:t>the Applicants, as the case may be,</w:t>
      </w:r>
      <w:r>
        <w:rPr>
          <w:rFonts w:ascii="Times New Roman;Times;Serif" w:hAnsi="Times New Roman;Times;Serif"/>
          <w:b w:val="false"/>
          <w:i w:val="false"/>
          <w:caps w:val="false"/>
          <w:smallCaps w:val="false"/>
          <w:sz w:val="20"/>
        </w:rPr>
        <w:t xml:space="preserve"> that he </w:t>
      </w:r>
      <w:r>
        <w:rPr>
          <w:rFonts w:ascii="Times New Roman;Times;Serif" w:hAnsi="Times New Roman;Times;Serif"/>
          <w:b w:val="false"/>
          <w:i w:val="false"/>
          <w:caps w:val="false"/>
          <w:smallCaps w:val="false"/>
          <w:strike/>
          <w:color w:val="FF0000"/>
          <w:sz w:val="20"/>
        </w:rPr>
        <w:t>is</w:t>
      </w:r>
      <w:r>
        <w:rPr>
          <w:rFonts w:ascii="Times New Roman;Times;Serif" w:hAnsi="Times New Roman;Times;Serif"/>
          <w:b w:val="false"/>
          <w:i w:val="false"/>
          <w:caps w:val="false"/>
          <w:smallCaps w:val="false"/>
          <w:color w:val="0000FF"/>
          <w:sz w:val="20"/>
          <w:u w:val="single"/>
        </w:rPr>
        <w:t>or she holds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President of</w:t>
      </w:r>
      <w:r>
        <w:rPr>
          <w:rFonts w:ascii="Times New Roman;Times;Serif" w:hAnsi="Times New Roman;Times;Serif"/>
          <w:b w:val="false"/>
          <w:i w:val="false"/>
          <w:caps w:val="false"/>
          <w:smallCaps w:val="false"/>
          <w:color w:val="0000FF"/>
          <w:sz w:val="20"/>
          <w:u w:val="single"/>
        </w:rPr>
        <w:t>office with each</w:t>
      </w:r>
      <w:r>
        <w:rPr>
          <w:rFonts w:ascii="Times New Roman;Times;Serif" w:hAnsi="Times New Roman;Times;Serif"/>
          <w:b w:val="false"/>
          <w:i w:val="false"/>
          <w:caps w:val="false"/>
          <w:smallCaps w:val="false"/>
          <w:sz w:val="20"/>
        </w:rPr>
        <w:t xml:space="preserve"> such entity </w:t>
      </w:r>
      <w:r>
        <w:rPr>
          <w:rFonts w:ascii="Times New Roman;Times;Serif" w:hAnsi="Times New Roman;Times;Serif"/>
          <w:b w:val="false"/>
          <w:i w:val="false"/>
          <w:caps w:val="false"/>
          <w:smallCaps w:val="false"/>
          <w:color w:val="0000FF"/>
          <w:sz w:val="20"/>
          <w:u w:val="single"/>
        </w:rPr>
        <w:t xml:space="preserve">as indicated below </w:t>
      </w:r>
      <w:r>
        <w:rPr>
          <w:rFonts w:ascii="Times New Roman;Times;Serif" w:hAnsi="Times New Roman;Times;Serif"/>
          <w:b w:val="false"/>
          <w:i w:val="false"/>
          <w:caps w:val="false"/>
          <w:smallCaps w:val="false"/>
          <w:sz w:val="20"/>
        </w:rPr>
        <w:t xml:space="preserve">and that all </w:t>
      </w:r>
      <w:r>
        <w:rPr>
          <w:rFonts w:ascii="Times New Roman;Times;Serif" w:hAnsi="Times New Roman;Times;Serif"/>
          <w:b w:val="false"/>
          <w:i w:val="false"/>
          <w:caps w:val="false"/>
          <w:smallCaps w:val="false"/>
          <w:strike/>
          <w:color w:val="FF0000"/>
          <w:sz w:val="20"/>
        </w:rPr>
        <w:t>action by</w:t>
      </w:r>
      <w:r>
        <w:rPr>
          <w:rFonts w:ascii="Times New Roman;Times;Serif" w:hAnsi="Times New Roman;Times;Serif"/>
          <w:b w:val="false"/>
          <w:i w:val="false"/>
          <w:caps w:val="false"/>
          <w:smallCaps w:val="false"/>
          <w:color w:val="0000FF"/>
          <w:sz w:val="20"/>
          <w:u w:val="single"/>
        </w:rPr>
        <w:t>actions by stockholders,</w:t>
      </w:r>
      <w:r>
        <w:rPr>
          <w:rFonts w:ascii="Times New Roman;Times;Serif" w:hAnsi="Times New Roman;Times;Serif"/>
          <w:b w:val="false"/>
          <w:i w:val="false"/>
          <w:caps w:val="false"/>
          <w:smallCaps w:val="false"/>
          <w:sz w:val="20"/>
        </w:rPr>
        <w:t xml:space="preserve"> officers, directors, and other bodies necessary to authorize </w:t>
      </w:r>
      <w:r>
        <w:rPr>
          <w:rFonts w:ascii="Times New Roman;Times;Serif" w:hAnsi="Times New Roman;Times;Serif"/>
          <w:b w:val="false"/>
          <w:i w:val="false"/>
          <w:caps w:val="false"/>
          <w:smallCaps w:val="false"/>
          <w:strike/>
          <w:color w:val="FF0000"/>
          <w:sz w:val="20"/>
        </w:rPr>
        <w:t>deponent</w:t>
      </w:r>
      <w:r>
        <w:rPr>
          <w:rFonts w:ascii="Times New Roman;Times;Serif" w:hAnsi="Times New Roman;Times;Serif"/>
          <w:b w:val="false"/>
          <w:i w:val="false"/>
          <w:caps w:val="false"/>
          <w:smallCaps w:val="false"/>
          <w:color w:val="0000FF"/>
          <w:sz w:val="20"/>
          <w:u w:val="single"/>
        </w:rPr>
        <w:t>the undersigned</w:t>
      </w:r>
      <w:r>
        <w:rPr>
          <w:rFonts w:ascii="Times New Roman;Times;Serif" w:hAnsi="Times New Roman;Times;Serif"/>
          <w:b w:val="false"/>
          <w:i w:val="false"/>
          <w:caps w:val="false"/>
          <w:smallCaps w:val="false"/>
          <w:sz w:val="20"/>
        </w:rPr>
        <w:t xml:space="preserve"> to execute and file such </w:t>
      </w:r>
      <w:r>
        <w:rPr>
          <w:rFonts w:ascii="Times New Roman;Times;Serif" w:hAnsi="Times New Roman;Times;Serif"/>
          <w:b w:val="false"/>
          <w:i w:val="false"/>
          <w:caps w:val="false"/>
          <w:smallCaps w:val="false"/>
          <w:strike/>
          <w:color w:val="FF0000"/>
          <w:sz w:val="20"/>
        </w:rPr>
        <w:t>instrument has</w:t>
      </w:r>
      <w:r>
        <w:rPr>
          <w:rFonts w:ascii="Times New Roman;Times;Serif" w:hAnsi="Times New Roman;Times;Serif"/>
          <w:b w:val="false"/>
          <w:i w:val="false"/>
          <w:caps w:val="false"/>
          <w:smallCaps w:val="false"/>
          <w:color w:val="0000FF"/>
          <w:sz w:val="20"/>
          <w:u w:val="single"/>
        </w:rPr>
        <w:t>Application have</w:t>
      </w:r>
      <w:r>
        <w:rPr>
          <w:rFonts w:ascii="Times New Roman;Times;Serif" w:hAnsi="Times New Roman;Times;Serif"/>
          <w:b w:val="false"/>
          <w:i w:val="false"/>
          <w:caps w:val="false"/>
          <w:smallCaps w:val="false"/>
          <w:sz w:val="20"/>
        </w:rPr>
        <w:t xml:space="preserve"> been taken. The undersigned further states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is familiar with </w:t>
      </w:r>
      <w:r>
        <w:rPr>
          <w:rFonts w:ascii="Times New Roman;Times;Serif" w:hAnsi="Times New Roman;Times;Serif"/>
          <w:b w:val="false"/>
          <w:i w:val="false"/>
          <w:caps w:val="false"/>
          <w:smallCaps w:val="false"/>
          <w:strike/>
          <w:color w:val="FF0000"/>
          <w:sz w:val="20"/>
        </w:rPr>
        <w:t>such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instrument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and the contents thereof, and that the facts </w:t>
      </w:r>
      <w:r>
        <w:rPr>
          <w:rFonts w:ascii="Times New Roman;Times;Serif" w:hAnsi="Times New Roman;Times;Serif"/>
          <w:b w:val="false"/>
          <w:i w:val="false"/>
          <w:caps w:val="false"/>
          <w:smallCaps w:val="false"/>
          <w:strike/>
          <w:color w:val="FF0000"/>
          <w:sz w:val="20"/>
        </w:rPr>
        <w:t xml:space="preserve">therein </w:t>
      </w:r>
      <w:r>
        <w:rPr>
          <w:rFonts w:ascii="Times New Roman;Times;Serif" w:hAnsi="Times New Roman;Times;Serif"/>
          <w:b w:val="false"/>
          <w:i w:val="false"/>
          <w:caps w:val="false"/>
          <w:smallCaps w:val="false"/>
          <w:sz w:val="20"/>
        </w:rPr>
        <w:t xml:space="preserve">set forth </w:t>
      </w:r>
      <w:r>
        <w:rPr>
          <w:rFonts w:ascii="Times New Roman;Times;Serif" w:hAnsi="Times New Roman;Times;Serif"/>
          <w:b w:val="false"/>
          <w:i w:val="false"/>
          <w:caps w:val="false"/>
          <w:smallCaps w:val="false"/>
          <w:color w:val="0000FF"/>
          <w:sz w:val="20"/>
          <w:u w:val="single"/>
        </w:rPr>
        <w:t xml:space="preserve">therein </w:t>
      </w:r>
      <w:r>
        <w:rPr>
          <w:rFonts w:ascii="Times New Roman;Times;Serif" w:hAnsi="Times New Roman;Times;Serif"/>
          <w:b w:val="false"/>
          <w:i w:val="false"/>
          <w:caps w:val="false"/>
          <w:smallCaps w:val="false"/>
          <w:sz w:val="20"/>
        </w:rPr>
        <w:t xml:space="preserve">are true to the best of his </w:t>
      </w:r>
      <w:r>
        <w:rPr>
          <w:rFonts w:ascii="Times New Roman;Times;Serif" w:hAnsi="Times New Roman;Times;Serif"/>
          <w:b w:val="false"/>
          <w:i w:val="false"/>
          <w:caps w:val="false"/>
          <w:smallCaps w:val="false"/>
          <w:color w:val="0000FF"/>
          <w:sz w:val="20"/>
          <w:u w:val="single"/>
        </w:rPr>
        <w:t xml:space="preserve">or her </w:t>
      </w:r>
      <w:r>
        <w:rPr>
          <w:rFonts w:ascii="Times New Roman;Times;Serif" w:hAnsi="Times New Roman;Times;Serif"/>
          <w:b w:val="false"/>
          <w:i w:val="false"/>
          <w:caps w:val="false"/>
          <w:smallCaps w:val="false"/>
          <w:sz w:val="20"/>
        </w:rPr>
        <w:t>knowledge, information</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belief.</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jc w:val="left"/>
        <w:rPr>
          <w:caps w:val="false"/>
          <w:smallCaps w:val="false"/>
          <w:color w:val="0000FF"/>
        </w:rPr>
      </w:pPr>
      <w:r>
        <w:rPr>
          <w:caps w:val="false"/>
          <w:smallCaps w:val="false"/>
          <w:color w:val="0000FF"/>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396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3965" w:type="dxa"/>
            <w:tcBorders/>
            <w:vAlign w:val="center"/>
          </w:tcPr>
          <w:p>
            <w:pPr>
              <w:pStyle w:val="TableContents"/>
              <w:bidi w:val="0"/>
              <w:spacing w:before="0" w:after="283"/>
              <w:jc w:val="left"/>
              <w:rPr>
                <w:color w:val="0000FF"/>
                <w:sz w:val="20"/>
                <w:u w:val="single"/>
              </w:rPr>
            </w:pPr>
            <w:r>
              <w:rPr>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3965" w:type="dxa"/>
            <w:tcBorders/>
            <w:vAlign w:val="center"/>
          </w:tcPr>
          <w:p>
            <w:pPr>
              <w:pStyle w:val="TableContents"/>
              <w:bidi w:val="0"/>
              <w:spacing w:before="0" w:after="283"/>
              <w:jc w:val="left"/>
              <w:rPr>
                <w:color w:val="0000FF"/>
                <w:sz w:val="20"/>
                <w:u w:val="single"/>
              </w:rPr>
            </w:pPr>
            <w:r>
              <w:rPr>
                <w:color w:val="0000FF"/>
                <w:sz w:val="20"/>
                <w:u w:val="single"/>
              </w:rPr>
              <w:t>Chairman, 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ADVISORS LLC</w:t>
      </w:r>
    </w:p>
    <w:p>
      <w:pPr>
        <w:pStyle w:val="TextBody"/>
        <w:bidi w:val="0"/>
        <w:jc w:val="left"/>
        <w:rPr>
          <w:caps w:val="false"/>
          <w:smallCaps w:val="false"/>
          <w:color w:val="0000FF"/>
        </w:rPr>
      </w:pPr>
      <w:r>
        <w:rPr>
          <w:caps w:val="false"/>
          <w:smallCaps w:val="false"/>
          <w:color w:val="0000FF"/>
        </w:rPr>
        <w:t> </w:t>
      </w:r>
    </w:p>
    <w:tbl>
      <w:tblPr>
        <w:tblW w:w="4495" w:type="dxa"/>
        <w:jc w:val="left"/>
        <w:tblInd w:w="0" w:type="dxa"/>
        <w:tblLayout w:type="fixed"/>
        <w:tblCellMar>
          <w:top w:w="0" w:type="dxa"/>
          <w:left w:w="0" w:type="dxa"/>
          <w:bottom w:w="0" w:type="dxa"/>
          <w:right w:w="0" w:type="dxa"/>
        </w:tblCellMar>
      </w:tblPr>
      <w:tblGrid>
        <w:gridCol w:w="560"/>
        <w:gridCol w:w="386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3860" w:type="dxa"/>
            <w:tcBorders>
              <w:bottom w:val="single" w:sz="8" w:space="0" w:color="000000"/>
            </w:tcBorders>
            <w:tcMar>
              <w:bottom w:w="28" w:type="dxa"/>
            </w:tcMar>
            <w:vAlign w:val="center"/>
          </w:tcPr>
          <w:p>
            <w:pPr>
              <w:pStyle w:val="TableContents"/>
              <w:bidi w:val="0"/>
              <w:spacing w:before="0" w:after="283"/>
              <w:jc w:val="left"/>
              <w:rPr/>
            </w:pPr>
            <w:r>
              <w:rPr>
                <w:b/>
                <w:strike/>
                <w:color w:val="FF0000"/>
                <w:sz w:val="20"/>
              </w:rPr>
              <w:t>Bluerock Fund Advisor, LLC</w:t>
            </w:r>
            <w:r>
              <w:rPr>
                <w:i/>
                <w:color w:val="0000FF"/>
                <w:sz w:val="20"/>
                <w:u w:val="single"/>
              </w:rPr>
              <w:t>/s/ 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3860" w:type="dxa"/>
            <w:tcBorders/>
            <w:vAlign w:val="center"/>
          </w:tcPr>
          <w:p>
            <w:pPr>
              <w:pStyle w:val="TableContents"/>
              <w:bidi w:val="0"/>
              <w:spacing w:before="0" w:after="283"/>
              <w:jc w:val="left"/>
              <w:rPr>
                <w:color w:val="0000FF"/>
                <w:sz w:val="20"/>
                <w:u w:val="single"/>
              </w:rPr>
            </w:pPr>
            <w:r>
              <w:rPr>
                <w:color w:val="0000FF"/>
                <w:sz w:val="20"/>
                <w:u w:val="single"/>
              </w:rPr>
              <w:t>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386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 CAPITAL LENDING, LLC</w:t>
      </w:r>
    </w:p>
    <w:p>
      <w:pPr>
        <w:pStyle w:val="TextBody"/>
        <w:bidi w:val="0"/>
        <w:jc w:val="left"/>
        <w:rPr>
          <w:caps w:val="false"/>
          <w:smallCaps w:val="false"/>
          <w:color w:val="0000FF"/>
        </w:rPr>
      </w:pPr>
      <w:r>
        <w:rPr>
          <w:caps w:val="false"/>
          <w:smallCaps w:val="false"/>
          <w:color w:val="0000FF"/>
        </w:rPr>
        <w:t> </w:t>
      </w:r>
    </w:p>
    <w:tbl>
      <w:tblPr>
        <w:tblW w:w="3190" w:type="dxa"/>
        <w:jc w:val="left"/>
        <w:tblInd w:w="0" w:type="dxa"/>
        <w:tblLayout w:type="fixed"/>
        <w:tblCellMar>
          <w:top w:w="0" w:type="dxa"/>
          <w:left w:w="0" w:type="dxa"/>
          <w:bottom w:w="0" w:type="dxa"/>
          <w:right w:w="0" w:type="dxa"/>
        </w:tblCellMar>
      </w:tblPr>
      <w:tblGrid>
        <w:gridCol w:w="560"/>
        <w:gridCol w:w="2555"/>
        <w:gridCol w:w="75"/>
      </w:tblGrid>
      <w:tr>
        <w:trPr/>
        <w:tc>
          <w:tcPr>
            <w:tcW w:w="560" w:type="dxa"/>
            <w:tcBorders/>
            <w:vAlign w:val="center"/>
          </w:tcPr>
          <w:p>
            <w:pPr>
              <w:pStyle w:val="TableContents"/>
              <w:bidi w:val="0"/>
              <w:spacing w:before="0" w:after="283"/>
              <w:jc w:val="left"/>
              <w:rPr>
                <w:sz w:val="20"/>
              </w:rPr>
            </w:pPr>
            <w:r>
              <w:rPr>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sz w:val="20"/>
              </w:rPr>
            </w:pPr>
            <w:r>
              <w:rPr>
                <w:i/>
                <w:sz w:val="20"/>
              </w:rPr>
              <w:t xml:space="preserve">/s/ </w:t>
            </w:r>
            <w:r>
              <w:rPr>
                <w:strike/>
                <w:color w:val="FF0000"/>
                <w:sz w:val="20"/>
              </w:rPr>
              <w:t>Jordan Ruddy</w:t>
            </w:r>
            <w:r>
              <w:rPr>
                <w:i/>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2555" w:type="dxa"/>
            <w:tcBorders/>
            <w:vAlign w:val="center"/>
          </w:tcPr>
          <w:p>
            <w:pPr>
              <w:pStyle w:val="TableContents"/>
              <w:bidi w:val="0"/>
              <w:spacing w:before="0" w:after="283"/>
              <w:jc w:val="left"/>
              <w:rPr/>
            </w:pPr>
            <w:r>
              <w:rPr>
                <w:strike/>
                <w:color w:val="FF0000"/>
                <w:sz w:val="20"/>
              </w:rPr>
              <w:t>Jordan Ruddy</w:t>
            </w:r>
            <w:r>
              <w:rPr>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2555" w:type="dxa"/>
            <w:tcBorders/>
            <w:vAlign w:val="center"/>
          </w:tcPr>
          <w:p>
            <w:pPr>
              <w:pStyle w:val="TableContents"/>
              <w:bidi w:val="0"/>
              <w:spacing w:before="0" w:after="283"/>
              <w:jc w:val="left"/>
              <w:rPr/>
            </w:pPr>
            <w:r>
              <w:rPr>
                <w:strike/>
                <w:color w:val="FF0000"/>
                <w:sz w:val="20"/>
              </w:rPr>
              <w:t>President</w:t>
            </w: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SURO CAPITAL SPORTS, LLC</w:t>
      </w:r>
    </w:p>
    <w:p>
      <w:pPr>
        <w:pStyle w:val="TextBody"/>
        <w:bidi w:val="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SRCI ADVISORS, LLC</w:t>
      </w:r>
    </w:p>
    <w:p>
      <w:pPr>
        <w:pStyle w:val="TextBody"/>
        <w:bidi w:val="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AE HOLDINGS, INC.</w:t>
      </w:r>
    </w:p>
    <w:p>
      <w:pPr>
        <w:pStyle w:val="TextBody"/>
        <w:bidi w:val="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AV HOLDINGS, INC.</w:t>
      </w:r>
    </w:p>
    <w:p>
      <w:pPr>
        <w:pStyle w:val="TextBody"/>
        <w:bidi w:val="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SW HOLDINGS, INC.</w:t>
      </w:r>
    </w:p>
    <w:p>
      <w:pPr>
        <w:pStyle w:val="TextBody"/>
        <w:bidi w:val="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SVDS HOLDINGS, INC.</w:t>
      </w:r>
    </w:p>
    <w:p>
      <w:pPr>
        <w:pStyle w:val="TextBody"/>
        <w:bidi w:val="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w:t>
      </w:r>
    </w:p>
    <w:p>
      <w:pPr>
        <w:pStyle w:val="TextBody"/>
        <w:bidi w:val="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I, a series of Astrum Partners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VII, a series of Astrum Partners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XI, a series of Astrum Partners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XVIII</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Credit Opportunity 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credit opportunity 2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opportunity 2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VERIFICATION</w:t>
      </w:r>
      <w:r>
        <w:rPr>
          <w:rFonts w:ascii="Times New Roman;Times;Serif" w:hAnsi="Times New Roman;Times;Serif"/>
          <w:b/>
          <w:i w:val="false"/>
          <w:caps/>
          <w:color w:val="0000FF"/>
          <w:sz w:val="20"/>
          <w:u w:val="single"/>
        </w:rPr>
        <w:t>CW Opportunity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The undersigned states that he has duly executed the foregoing Application for and on behalf of Bluerock Credit Fund Advisor, LLC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pStyle w:val="TextBody"/>
        <w:bidi w:val="0"/>
        <w:jc w:val="both"/>
        <w:rPr>
          <w:caps w:val="false"/>
          <w:smallCaps w:val="false"/>
          <w:color w:val="FF0000"/>
        </w:rPr>
      </w:pPr>
      <w:r>
        <w:rPr>
          <w:caps w:val="false"/>
          <w:smallCaps w:val="false"/>
          <w:color w:val="FF0000"/>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Longhorn Special Opportunities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2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5065" w:type="dxa"/>
        <w:jc w:val="left"/>
        <w:tblInd w:w="0" w:type="dxa"/>
        <w:tblLayout w:type="fixed"/>
        <w:tblCellMar>
          <w:top w:w="0" w:type="dxa"/>
          <w:left w:w="0" w:type="dxa"/>
          <w:bottom w:w="0" w:type="dxa"/>
          <w:right w:w="0" w:type="dxa"/>
        </w:tblCellMar>
      </w:tblPr>
      <w:tblGrid>
        <w:gridCol w:w="560"/>
        <w:gridCol w:w="443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4430" w:type="dxa"/>
            <w:tcBorders>
              <w:bottom w:val="single" w:sz="8" w:space="0" w:color="000000"/>
            </w:tcBorders>
            <w:tcMar>
              <w:bottom w:w="28" w:type="dxa"/>
            </w:tcMar>
            <w:vAlign w:val="center"/>
          </w:tcPr>
          <w:p>
            <w:pPr>
              <w:pStyle w:val="TableContents"/>
              <w:bidi w:val="0"/>
              <w:spacing w:before="0" w:after="283"/>
              <w:jc w:val="left"/>
              <w:rPr/>
            </w:pPr>
            <w:r>
              <w:rPr>
                <w:b/>
                <w:strike/>
                <w:color w:val="FF0000"/>
                <w:sz w:val="20"/>
              </w:rPr>
              <w:t>Bluerock Credit Fund Advisor, LLC</w:t>
            </w: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443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443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3145" w:type="dxa"/>
        <w:jc w:val="left"/>
        <w:tblInd w:w="0" w:type="dxa"/>
        <w:tblLayout w:type="fixed"/>
        <w:tblCellMar>
          <w:top w:w="0" w:type="dxa"/>
          <w:left w:w="0" w:type="dxa"/>
          <w:bottom w:w="0" w:type="dxa"/>
          <w:right w:w="0" w:type="dxa"/>
        </w:tblCellMar>
      </w:tblPr>
      <w:tblGrid>
        <w:gridCol w:w="560"/>
        <w:gridCol w:w="2510"/>
        <w:gridCol w:w="75"/>
      </w:tblGrid>
      <w:tr>
        <w:trPr/>
        <w:tc>
          <w:tcPr>
            <w:tcW w:w="560" w:type="dxa"/>
            <w:tcBorders/>
            <w:vAlign w:val="center"/>
          </w:tcPr>
          <w:p>
            <w:pPr>
              <w:pStyle w:val="TableContents"/>
              <w:bidi w:val="0"/>
              <w:spacing w:before="0" w:after="283"/>
              <w:jc w:val="left"/>
              <w:rPr>
                <w:sz w:val="20"/>
              </w:rPr>
            </w:pPr>
            <w:r>
              <w:rPr>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sz w:val="20"/>
              </w:rPr>
            </w:pPr>
            <w:r>
              <w:rPr>
                <w:i/>
                <w:sz w:val="20"/>
              </w:rPr>
              <w:t xml:space="preserve">/s/ </w:t>
            </w:r>
            <w:r>
              <w:rPr>
                <w:strike/>
                <w:color w:val="FF0000"/>
                <w:sz w:val="20"/>
              </w:rPr>
              <w:t>Jordan Ruddy</w:t>
            </w:r>
            <w:r>
              <w:rPr>
                <w:i/>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2510" w:type="dxa"/>
            <w:tcBorders/>
            <w:vAlign w:val="center"/>
          </w:tcPr>
          <w:p>
            <w:pPr>
              <w:pStyle w:val="TableContents"/>
              <w:bidi w:val="0"/>
              <w:spacing w:before="0" w:after="283"/>
              <w:jc w:val="left"/>
              <w:rPr/>
            </w:pPr>
            <w:r>
              <w:rPr>
                <w:strike/>
                <w:color w:val="FF0000"/>
                <w:sz w:val="20"/>
              </w:rPr>
              <w:t>Jordan Ruddy</w:t>
            </w: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2510" w:type="dxa"/>
            <w:tcBorders/>
            <w:vAlign w:val="center"/>
          </w:tcPr>
          <w:p>
            <w:pPr>
              <w:pStyle w:val="TableContents"/>
              <w:bidi w:val="0"/>
              <w:spacing w:before="0" w:after="283"/>
              <w:jc w:val="left"/>
              <w:rPr/>
            </w:pPr>
            <w:r>
              <w:rPr>
                <w:strike/>
                <w:color w:val="FF0000"/>
                <w:sz w:val="20"/>
              </w:rPr>
              <w:t>President</w:t>
            </w: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Opportunity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Ventures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ai ventures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Alpha Star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ALPHA STAR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Fund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CAPITAL FUND ii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Master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Master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(UK) LLP</w:t>
      </w:r>
    </w:p>
    <w:p>
      <w:pPr>
        <w:pStyle w:val="TextBody"/>
        <w:bidi w:val="0"/>
        <w:jc w:val="left"/>
        <w:rPr>
          <w:caps w:val="false"/>
          <w:smallCaps w:val="false"/>
          <w:color w:val="0000FF"/>
        </w:rPr>
      </w:pPr>
      <w:r>
        <w:rPr>
          <w:caps w:val="false"/>
          <w:smallCaps w:val="false"/>
          <w:color w:val="0000FF"/>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52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520" w:type="dxa"/>
            <w:tcBorders/>
            <w:vAlign w:val="center"/>
          </w:tcPr>
          <w:p>
            <w:pPr>
              <w:pStyle w:val="TableContents"/>
              <w:bidi w:val="0"/>
              <w:spacing w:before="0" w:after="283"/>
              <w:jc w:val="left"/>
              <w:rPr>
                <w:color w:val="0000FF"/>
                <w:sz w:val="20"/>
                <w:u w:val="single"/>
              </w:rPr>
            </w:pPr>
            <w:r>
              <w:rPr>
                <w:color w:val="0000FF"/>
                <w:sz w:val="20"/>
                <w:u w:val="single"/>
              </w:rPr>
              <w:t>Authorized Person</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APPK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appk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Lake Credit Fund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Longhorn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8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8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A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2025-2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2025-3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2025-3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2025-4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2025-4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2025-A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5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5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6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6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7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7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special situations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Master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Structured Credit Fund, LP DBA Constellation onshore fund</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general partner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Alternative Credit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A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C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Fund LLC</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left"/>
        <w:rPr>
          <w:caps w:val="false"/>
          <w:smallCaps w:val="false"/>
          <w:color w:val="0000FF"/>
        </w:rPr>
      </w:pPr>
      <w:r>
        <w:rPr>
          <w:caps w:val="false"/>
          <w:smallCaps w:val="false"/>
          <w:color w:val="0000FF"/>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7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70" w:type="dxa"/>
            <w:tcBorders/>
            <w:vAlign w:val="center"/>
          </w:tcPr>
          <w:p>
            <w:pPr>
              <w:pStyle w:val="TableContents"/>
              <w:bidi w:val="0"/>
              <w:spacing w:before="0" w:after="283"/>
              <w:jc w:val="left"/>
              <w:rPr>
                <w:color w:val="0000FF"/>
                <w:sz w:val="20"/>
                <w:u w:val="single"/>
              </w:rPr>
            </w:pPr>
            <w:r>
              <w:rPr>
                <w:color w:val="0000FF"/>
                <w:sz w:val="20"/>
                <w:u w:val="single"/>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Master Fund Ltd</w:t>
      </w:r>
    </w:p>
    <w:p>
      <w:pPr>
        <w:pStyle w:val="TextBody"/>
        <w:bidi w:val="0"/>
        <w:jc w:val="left"/>
        <w:rPr>
          <w:caps w:val="false"/>
          <w:smallCaps w:val="false"/>
          <w:color w:val="0000FF"/>
        </w:rPr>
      </w:pPr>
      <w:r>
        <w:rPr>
          <w:caps w:val="false"/>
          <w:smallCaps w:val="false"/>
          <w:color w:val="0000FF"/>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34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34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MCP Investing LLC</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Mustang Opportunities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Mustang opportunities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F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shd w:fill="E6E6FA" w:val="clear"/>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shd w:fill="E6E6FA" w:val="clear"/>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shd w:fill="E6E6FA" w:val="clear"/>
            <w:vAlign w:val="center"/>
          </w:tcPr>
          <w:p>
            <w:pPr>
              <w:pStyle w:val="TableContents"/>
              <w:bidi w:val="0"/>
              <w:spacing w:before="0" w:after="283"/>
              <w:jc w:val="left"/>
              <w:rPr/>
            </w:pPr>
            <w:r>
              <w:rPr/>
              <w:t> </w:t>
            </w:r>
          </w:p>
        </w:tc>
      </w:tr>
      <w:tr>
        <w:trPr/>
        <w:tc>
          <w:tcPr>
            <w:tcW w:w="560" w:type="dxa"/>
            <w:tcBorders/>
            <w:shd w:fill="E6E6FA" w:val="clear"/>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shd w:fill="E6E6FA" w:val="clear"/>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shd w:fill="E6E6FA" w:val="clear"/>
            <w:vAlign w:val="center"/>
          </w:tcPr>
          <w:p>
            <w:pPr>
              <w:pStyle w:val="TableContents"/>
              <w:bidi w:val="0"/>
              <w:spacing w:before="0" w:after="283"/>
              <w:jc w:val="left"/>
              <w:rPr/>
            </w:pPr>
            <w:r>
              <w:rPr/>
              <w:t> </w:t>
            </w:r>
          </w:p>
        </w:tc>
      </w:tr>
      <w:tr>
        <w:trPr/>
        <w:tc>
          <w:tcPr>
            <w:tcW w:w="560" w:type="dxa"/>
            <w:tcBorders/>
            <w:shd w:fill="E6E6FA" w:val="clear"/>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shd w:fill="E6E6FA" w:val="clear"/>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shd w:fill="E6E6FA" w:val="clear"/>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T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left"/>
        <w:rPr>
          <w:caps/>
          <w:color w:val="0000FF"/>
        </w:rPr>
      </w:pPr>
      <w:r>
        <w:rPr>
          <w:caps/>
          <w:color w:val="0000FF"/>
        </w:rPr>
        <w:t> </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Realta Investments Ireland Designated Activity Company</w:t>
      </w:r>
    </w:p>
    <w:p>
      <w:pPr>
        <w:pStyle w:val="TextBody"/>
        <w:bidi w:val="0"/>
        <w:jc w:val="left"/>
        <w:rPr>
          <w:caps w:val="false"/>
          <w:smallCaps w:val="false"/>
          <w:color w:val="0000FF"/>
        </w:rPr>
      </w:pPr>
      <w:r>
        <w:rPr>
          <w:caps w:val="false"/>
          <w:smallCaps w:val="false"/>
          <w:color w:val="0000FF"/>
        </w:rPr>
        <w:t> </w:t>
      </w:r>
    </w:p>
    <w:tbl>
      <w:tblPr>
        <w:tblW w:w="2245" w:type="dxa"/>
        <w:jc w:val="left"/>
        <w:tblInd w:w="0" w:type="dxa"/>
        <w:tblLayout w:type="fixed"/>
        <w:tblCellMar>
          <w:top w:w="0" w:type="dxa"/>
          <w:left w:w="0" w:type="dxa"/>
          <w:bottom w:w="0" w:type="dxa"/>
          <w:right w:w="0" w:type="dxa"/>
        </w:tblCellMar>
      </w:tblPr>
      <w:tblGrid>
        <w:gridCol w:w="560"/>
        <w:gridCol w:w="1610"/>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610"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610" w:type="dxa"/>
            <w:tcBorders/>
            <w:vAlign w:val="center"/>
          </w:tcPr>
          <w:p>
            <w:pPr>
              <w:pStyle w:val="TableContents"/>
              <w:bidi w:val="0"/>
              <w:spacing w:before="0" w:after="283"/>
              <w:jc w:val="left"/>
              <w:rPr>
                <w:color w:val="0000FF"/>
                <w:sz w:val="20"/>
                <w:u w:val="single"/>
              </w:rPr>
            </w:pPr>
            <w:r>
              <w:rPr>
                <w:color w:val="0000FF"/>
                <w:sz w:val="20"/>
                <w:u w:val="single"/>
              </w:rPr>
              <w:t>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610" w:type="dxa"/>
            <w:tcBorders/>
            <w:vAlign w:val="center"/>
          </w:tcPr>
          <w:p>
            <w:pPr>
              <w:pStyle w:val="TableContents"/>
              <w:bidi w:val="0"/>
              <w:spacing w:before="0" w:after="283"/>
              <w:jc w:val="left"/>
              <w:rPr>
                <w:color w:val="0000FF"/>
                <w:sz w:val="20"/>
                <w:u w:val="single"/>
              </w:rPr>
            </w:pPr>
            <w:r>
              <w:rPr>
                <w:color w:val="0000FF"/>
                <w:sz w:val="20"/>
                <w:u w:val="single"/>
              </w:rPr>
              <w:t>Director</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1, A Series of 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 A Series of 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2026-1, a Series of 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both"/>
        <w:rPr>
          <w:caps/>
          <w:color w:val="0000FF"/>
        </w:rPr>
      </w:pPr>
      <w:r>
        <w:rPr>
          <w:caps/>
          <w:color w:val="0000FF"/>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2026-2, a Series of 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left"/>
        <w:rPr>
          <w:caps w:val="false"/>
          <w:smallCaps w:val="false"/>
          <w:color w:val="0000FF"/>
        </w:rPr>
      </w:pPr>
      <w:r>
        <w:rPr>
          <w:caps w:val="false"/>
          <w:smallCaps w:val="false"/>
          <w:color w:val="0000FF"/>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By:</w:t>
            </w:r>
          </w:p>
        </w:tc>
        <w:tc>
          <w:tcPr>
            <w:tcW w:w="1775" w:type="dxa"/>
            <w:tcBorders>
              <w:bottom w:val="single" w:sz="8" w:space="0" w:color="000000"/>
            </w:tcBorders>
            <w:tcMar>
              <w:bottom w:w="28" w:type="dxa"/>
            </w:tcMar>
            <w:vAlign w:val="center"/>
          </w:tcPr>
          <w:p>
            <w:pPr>
              <w:pStyle w:val="TableContents"/>
              <w:bidi w:val="0"/>
              <w:spacing w:before="0" w:after="283"/>
              <w:jc w:val="left"/>
              <w:rPr>
                <w:i/>
                <w:color w:val="0000FF"/>
                <w:sz w:val="20"/>
                <w:u w:val="single"/>
              </w:rPr>
            </w:pPr>
            <w:r>
              <w:rPr>
                <w:i/>
                <w:color w:val="0000FF"/>
                <w:sz w:val="20"/>
                <w:u w:val="single"/>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Name: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olor w:val="0000FF"/>
                <w:sz w:val="20"/>
                <w:u w:val="single"/>
              </w:rPr>
            </w:pPr>
            <w:r>
              <w:rPr>
                <w:color w:val="0000FF"/>
                <w:sz w:val="20"/>
                <w:u w:val="single"/>
              </w:rPr>
              <w:t>Title:</w:t>
            </w:r>
          </w:p>
        </w:tc>
        <w:tc>
          <w:tcPr>
            <w:tcW w:w="1775" w:type="dxa"/>
            <w:tcBorders/>
            <w:vAlign w:val="center"/>
          </w:tcPr>
          <w:p>
            <w:pPr>
              <w:pStyle w:val="TableContents"/>
              <w:bidi w:val="0"/>
              <w:spacing w:before="0" w:after="283"/>
              <w:jc w:val="left"/>
              <w:rPr>
                <w:color w:val="0000FF"/>
                <w:sz w:val="20"/>
                <w:u w:val="single"/>
              </w:rPr>
            </w:pPr>
            <w:r>
              <w:rPr>
                <w:color w:val="0000FF"/>
                <w:sz w:val="20"/>
                <w:u w:val="single"/>
              </w:rPr>
              <w:t>Authorized Signatory</w:t>
            </w:r>
          </w:p>
        </w:tc>
        <w:tc>
          <w:tcPr>
            <w:tcW w:w="75" w:type="dxa"/>
            <w:tcBorders/>
            <w:vAlign w:val="center"/>
          </w:tcPr>
          <w:p>
            <w:pPr>
              <w:pStyle w:val="TableContents"/>
              <w:bidi w:val="0"/>
              <w:spacing w:before="0" w:after="283"/>
              <w:jc w:val="left"/>
              <w:rPr/>
            </w:pPr>
            <w:r>
              <w:rPr/>
              <w:t> </w:t>
            </w:r>
          </w:p>
        </w:tc>
      </w:tr>
    </w:tbl>
    <w:p>
      <w:pPr>
        <w:pStyle w:val="TextBody"/>
        <w:bidi w:val="0"/>
        <w:jc w:val="righ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0000FF"/>
        </w:rPr>
      </w:pPr>
      <w:r>
        <w:rPr>
          <w:caps w:val="false"/>
          <w:smallCaps w:val="false"/>
          <w:color w:val="0000FF"/>
        </w:rPr>
        <w:t> </w:t>
      </w:r>
    </w:p>
    <w:p>
      <w:pPr>
        <w:pStyle w:val="TextBody"/>
        <w:bidi w:val="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B</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EXHIBIT A</w:t>
      </w:r>
    </w:p>
    <w:p>
      <w:pPr>
        <w:pStyle w:val="TextBody"/>
        <w:bidi w:val="0"/>
        <w:jc w:val="center"/>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val="false"/>
          <w:i w:val="false"/>
          <w:caps w:val="false"/>
          <w:smallCaps w:val="false"/>
          <w:strike/>
          <w:color w:val="FF0000"/>
          <w:sz w:val="20"/>
          <w:u w:val="single"/>
        </w:rPr>
      </w:pPr>
      <w:r>
        <w:rPr>
          <w:rFonts w:ascii="Times New Roman;Times;Serif" w:hAnsi="Times New Roman;Times;Serif"/>
          <w:b w:val="false"/>
          <w:i w:val="false"/>
          <w:caps w:val="false"/>
          <w:smallCaps w:val="false"/>
          <w:strike/>
          <w:color w:val="FF0000"/>
          <w:sz w:val="20"/>
          <w:u w:val="single"/>
        </w:rPr>
        <w:t>Resolutions of Board of Directors of Bluerock Private Real Estate Fund (formerly, Bluerock Total Income+ Real Estate Fund)</w:t>
      </w:r>
    </w:p>
    <w:p>
      <w:pPr>
        <w:pStyle w:val="TextBody"/>
        <w:bidi w:val="0"/>
        <w:jc w:val="center"/>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Approval of Filing Section 17(d) Application for Co-Investment Relief</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WHEREAS, </w:t>
      </w:r>
      <w:r>
        <w:rPr>
          <w:rFonts w:ascii="Times New Roman;Times;Serif" w:hAnsi="Times New Roman;Times;Serif"/>
          <w:b w:val="false"/>
          <w:i w:val="false"/>
          <w:caps w:val="false"/>
          <w:smallCaps w:val="false"/>
          <w:strike/>
          <w:color w:val="FF0000"/>
          <w:sz w:val="20"/>
        </w:rPr>
        <w:t>the Board deems it is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NOW, THEREFORE, BE IT RESOLVED, </w:t>
      </w:r>
      <w:r>
        <w:rPr>
          <w:rFonts w:ascii="Times New Roman;Times;Serif" w:hAnsi="Times New Roman;Times;Serif"/>
          <w:b w:val="false"/>
          <w:i w:val="false"/>
          <w:caps w:val="false"/>
          <w:smallCaps w:val="false"/>
          <w:strike/>
          <w:color w:val="FF0000"/>
          <w:sz w:val="20"/>
        </w:rPr>
        <w:t>that the officers of Bluerock Fund Advisor, LLC and the Fund be, and each of them hereby is, authorized and directed on behalf of the Fund and in its name and on behalf of the Fund, to prepare, execute, and cause to be filed with the Commission an Application for an Order of Exemption, substantially in the form attached hereto as Exhibit A, and any amendments thereto, pursuant to Section 17(d) of the 1940 Act, and Rule 17d-1 promulgated under the 1940 Act, authorizing certain joint transactions that otherwise may be prohibited by Section 17(d) of the 1940 Act; and it is further</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RESOLVED, </w:t>
      </w:r>
      <w:r>
        <w:rPr>
          <w:rFonts w:ascii="Times New Roman;Times;Serif" w:hAnsi="Times New Roman;Times;Serif"/>
          <w:b w:val="false"/>
          <w:i w:val="false"/>
          <w:caps w:val="false"/>
          <w:smallCaps w:val="false"/>
          <w:strike/>
          <w:color w:val="FF0000"/>
          <w:sz w:val="20"/>
        </w:rPr>
        <w:t>that the officers of the Fund be, and each of them hereby is, authorized and directed to take such further action and execute such other documents as such officer or officers shall deem necessary or advisable in order to effectuate the intent of the foregoing resolution; and it is further</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RESOLVED, </w:t>
      </w:r>
      <w:r>
        <w:rPr>
          <w:rFonts w:ascii="Times New Roman;Times;Serif" w:hAnsi="Times New Roman;Times;Serif"/>
          <w:b w:val="false"/>
          <w:i w:val="false"/>
          <w:caps w:val="false"/>
          <w:smallCaps w:val="false"/>
          <w:strike/>
          <w:color w:val="FF0000"/>
          <w:sz w:val="20"/>
        </w:rPr>
        <w:t>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p>
    <w:p>
      <w:pPr>
        <w:pStyle w:val="TextBody"/>
        <w:bidi w:val="0"/>
        <w:jc w:val="both"/>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Resolutions of the Board of </w:t>
      </w:r>
      <w:r>
        <w:rPr>
          <w:rFonts w:ascii="Times New Roman;Times;Serif" w:hAnsi="Times New Roman;Times;Serif"/>
          <w:b/>
          <w:i w:val="false"/>
          <w:caps w:val="false"/>
          <w:smallCaps w:val="false"/>
          <w:strike/>
          <w:color w:val="FF0000"/>
          <w:sz w:val="20"/>
          <w:u w:val="single"/>
        </w:rPr>
        <w:t xml:space="preserve">Trustees of Bluerock High Income Institutional Credit </w:t>
      </w:r>
      <w:r>
        <w:rPr>
          <w:rFonts w:ascii="Times New Roman;Times;Serif" w:hAnsi="Times New Roman;Times;Serif"/>
          <w:b/>
          <w:i w:val="false"/>
          <w:caps w:val="false"/>
          <w:smallCaps w:val="false"/>
          <w:color w:val="0000FF"/>
          <w:sz w:val="20"/>
          <w:u w:val="single"/>
        </w:rPr>
        <w:t>Directors of Neostellar Capital Corp. (the “</w:t>
      </w:r>
      <w:r>
        <w:rPr>
          <w:rFonts w:ascii="Times New Roman;Times;Serif" w:hAnsi="Times New Roman;Times;Serif"/>
          <w:b/>
          <w:i w:val="false"/>
          <w:caps w:val="false"/>
          <w:smallCaps w:val="false"/>
          <w:sz w:val="20"/>
        </w:rPr>
        <w:t>Fund</w:t>
      </w:r>
      <w:r>
        <w:rPr>
          <w:rFonts w:ascii="Times New Roman;Times;Serif" w:hAnsi="Times New Roman;Times;Serif"/>
          <w:b/>
          <w:i w:val="false"/>
          <w:caps w:val="false"/>
          <w:smallCaps w:val="false"/>
          <w:color w:val="0000FF"/>
          <w:sz w:val="20"/>
          <w:u w:val="single"/>
        </w:rPr>
        <w: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Approval of Filing Section 17(d) Application for Co-Investment Relief</w:t>
      </w:r>
    </w:p>
    <w:p>
      <w:pPr>
        <w:pStyle w:val="TextBody"/>
        <w:bidi w:val="0"/>
        <w:jc w:val="both"/>
        <w:rPr>
          <w:caps w:val="false"/>
          <w:smallCaps w:val="false"/>
          <w:color w:val="FF0000"/>
        </w:rPr>
      </w:pPr>
      <w:r>
        <w:rPr>
          <w:caps w:val="false"/>
          <w:smallCaps w:val="false"/>
          <w:color w:val="FF0000"/>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deems 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now therefore be 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NOW, THEREFORE, BE IT </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the officers of </w:t>
      </w:r>
      <w:r>
        <w:rPr>
          <w:rFonts w:ascii="Times New Roman;Times;Serif" w:hAnsi="Times New Roman;Times;Serif"/>
          <w:b w:val="false"/>
          <w:i w:val="false"/>
          <w:caps w:val="false"/>
          <w:smallCaps w:val="false"/>
          <w:strike/>
          <w:color w:val="FF0000"/>
          <w:sz w:val="20"/>
        </w:rPr>
        <w:t xml:space="preserve">Bluerock Credit Fund Advisor, LLC and </w:t>
      </w:r>
      <w:r>
        <w:rPr>
          <w:rFonts w:ascii="Times New Roman;Times;Serif" w:hAnsi="Times New Roman;Times;Serif"/>
          <w:b w:val="false"/>
          <w:i w:val="false"/>
          <w:caps w:val="false"/>
          <w:smallCaps w:val="false"/>
          <w:sz w:val="20"/>
        </w:rPr>
        <w:t xml:space="preserve">the Fund be, and each of them hereby is, authorized and directed on behalf of the Fund and in its name </w:t>
      </w:r>
      <w:r>
        <w:rPr>
          <w:rFonts w:ascii="Times New Roman;Times;Serif" w:hAnsi="Times New Roman;Times;Serif"/>
          <w:b w:val="false"/>
          <w:i w:val="false"/>
          <w:caps w:val="false"/>
          <w:smallCaps w:val="false"/>
          <w:strike/>
          <w:color w:val="FF0000"/>
          <w:sz w:val="20"/>
        </w:rPr>
        <w:t xml:space="preserve">and on behalf of the Fund, </w:t>
      </w:r>
      <w:r>
        <w:rPr>
          <w:rFonts w:ascii="Times New Roman;Times;Serif" w:hAnsi="Times New Roman;Times;Serif"/>
          <w:b w:val="false"/>
          <w:i w:val="false"/>
          <w:caps w:val="false"/>
          <w:smallCaps w:val="false"/>
          <w:sz w:val="20"/>
        </w:rPr>
        <w:t xml:space="preserve">to prepare, execute, and cause to be filed with the Commission an Application for an </w:t>
      </w:r>
      <w:r>
        <w:rPr>
          <w:rFonts w:ascii="Times New Roman;Times;Serif" w:hAnsi="Times New Roman;Times;Serif"/>
          <w:b w:val="false"/>
          <w:i w:val="false"/>
          <w:caps w:val="false"/>
          <w:smallCaps w:val="false"/>
          <w:strike/>
          <w:color w:val="FF0000"/>
          <w:sz w:val="20"/>
        </w:rPr>
        <w:t>Order</w:t>
      </w:r>
      <w:r>
        <w:rPr>
          <w:rFonts w:ascii="Times New Roman;Times;Serif" w:hAnsi="Times New Roman;Times;Serif"/>
          <w:b w:val="false"/>
          <w:i w:val="false"/>
          <w:caps w:val="false"/>
          <w:smallCaps w:val="false"/>
          <w:color w:val="0000FF"/>
          <w:sz w:val="20"/>
          <w:u w:val="single"/>
        </w:rPr>
        <w:t>order</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trike/>
          <w:color w:val="FF0000"/>
          <w:sz w:val="20"/>
        </w:rPr>
        <w:t>Exemption</w:t>
      </w:r>
      <w:r>
        <w:rPr>
          <w:rFonts w:ascii="Times New Roman;Times;Serif" w:hAnsi="Times New Roman;Times;Serif"/>
          <w:b w:val="false"/>
          <w:i w:val="false"/>
          <w:caps w:val="false"/>
          <w:smallCaps w:val="false"/>
          <w:color w:val="0000FF"/>
          <w:sz w:val="20"/>
          <w:u w:val="single"/>
        </w:rPr>
        <w:t>exemption</w:t>
      </w:r>
      <w:r>
        <w:rPr>
          <w:rFonts w:ascii="Times New Roman;Times;Serif" w:hAnsi="Times New Roman;Times;Serif"/>
          <w:b w:val="false"/>
          <w:i w:val="false"/>
          <w:caps w:val="false"/>
          <w:smallCaps w:val="false"/>
          <w:sz w:val="20"/>
        </w:rPr>
        <w:t>, substantially in the form attached hereto as Exhibit A, and any amendments thereto, pursuant to Section 17(d) of the 1940 Act</w:t>
      </w:r>
      <w:r>
        <w:rPr>
          <w:rFonts w:ascii="Times New Roman;Times;Serif" w:hAnsi="Times New Roman;Times;Serif"/>
          <w:b w:val="false"/>
          <w:i w:val="false"/>
          <w:caps w:val="false"/>
          <w:smallCaps w:val="false"/>
          <w:strike/>
          <w:color w:val="FF0000"/>
          <w:sz w:val="20"/>
        </w:rPr>
        <w:t>, and Rule 17d-1 promulgated under the 1940 Act, authorizing certain joint transactions that otherwise may be prohibited by Section 17(d) of the 1940 Act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 xml:space="preserve">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further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the officers of the Fund be, and each of them hereby is, authorized and directed to take such further action and execute such other documents as such officer or officers shall deem necessary or advisable in order to effectuate the intent of the foregoing resolution; and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 xml:space="preserve">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further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Adopted July 15, 2026</w:t>
      </w:r>
    </w:p>
    <w:p>
      <w:pPr>
        <w:pStyle w:val="TextBody"/>
        <w:bidi w:val="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color w:val="0000FF"/>
        </w:rPr>
      </w:pPr>
      <w:r>
        <w:rPr>
          <w:caps w:val="false"/>
          <w:smallCaps w:val="false"/>
          <w:color w:val="0000FF"/>
        </w:rPr>
        <w:t> </w:t>
      </w:r>
    </w:p>
    <w:p>
      <w:pPr>
        <w:pStyle w:val="TextBody"/>
        <w:bidi w:val="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C</w:t>
      </w:r>
    </w:p>
    <w:p>
      <w:pPr>
        <w:pStyle w:val="TextBody"/>
        <w:bidi w:val="0"/>
        <w:jc w:val="right"/>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Marked Copies of the Application Showing Changes from the Final Versions of the Two Applications Identified as Substantially Identical Under Rule 0-5(e)(3)</w:t>
      </w:r>
    </w:p>
    <w:p>
      <w:pPr>
        <w:pStyle w:val="TextBody"/>
        <w:bidi w:val="0"/>
        <w:jc w:val="center"/>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color w:val="0000FF"/>
        </w:rPr>
      </w:pPr>
      <w:r>
        <w:rPr>
          <w:caps w:val="false"/>
          <w:smallCaps w:val="false"/>
          <w:color w:val="0000FF"/>
        </w:rPr>
        <w:t> </w:t>
      </w:r>
    </w:p>
    <w:p>
      <w:pPr>
        <w:pStyle w:val="TextBody"/>
        <w:bidi w:val="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D</w:t>
      </w:r>
    </w:p>
    <w:p>
      <w:pPr>
        <w:pStyle w:val="TextBody"/>
        <w:bidi w:val="0"/>
        <w:jc w:val="right"/>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Marked Copy of Amendment No. 1 to the Application Showing Changes from the Application Filed with the Commission on August 3, 2026</w:t>
      </w:r>
    </w:p>
    <w:p>
      <w:pPr>
        <w:pStyle w:val="TextBody"/>
        <w:bidi w:val="0"/>
        <w:jc w:val="center"/>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color w:val="0000FF"/>
        </w:rPr>
      </w:pPr>
      <w:r>
        <w:rPr>
          <w:caps w:val="false"/>
          <w:smallCaps w:val="false"/>
          <w:color w:val="0000FF"/>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 No. </w:t>
      </w:r>
      <w:r>
        <w:rPr>
          <w:rFonts w:ascii="Times New Roman;Times;Serif" w:hAnsi="Times New Roman;Times;Serif"/>
          <w:b w:val="false"/>
          <w:i w:val="false"/>
          <w:caps w:val="false"/>
          <w:smallCaps w:val="false"/>
          <w:strike/>
          <w:color w:val="FF0000"/>
          <w:sz w:val="20"/>
        </w:rPr>
        <w:t>812-15960</w:t>
      </w:r>
      <w:r>
        <w:rPr>
          <w:rFonts w:ascii="Times New Roman;Times;Serif" w:hAnsi="Times New Roman;Times;Serif"/>
          <w:b w:val="false"/>
          <w:i w:val="false"/>
          <w:caps w:val="false"/>
          <w:smallCaps w:val="false"/>
          <w:color w:val="0000FF"/>
          <w:sz w:val="20"/>
          <w:u w:val="single"/>
        </w:rPr>
        <w:t>812-16066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U.S. 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EXPEDITED REVIEW REQUESTED UNDER 17 CFR 270.0-5(d)</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Income Fund, Keystone National Group, LLC, Keystone Private Market</w:t>
        <w:br/>
        <w:t>Opportunities IX (Q), LP, Keystone Private Market Opportunities IX, LP, Keystone Real Estate Lending Fund, LLC, Keystone Real Estate Investment Trust, LLC</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60 E. South Temple, Suite 2100</w:t>
        <w:br/>
        <w:t>Salt Lake City, Utah 84111</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 NEOSTELLAR ADVISORS LLC, GSV CAPITAL LENDING, LLC, SURO CAPITAL SPORTS, LLC, SRCI ADVISORS, LLC, GSVC AE HOLDINGS, INC., GSVC AV HOLDINGS, INC., GSVC SW HOLDINGS, INC., GSVC SVDS HOLDINGS, INC.,</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br/>
        <w:t>New York, NY 10019</w:t>
        <w:br/>
        <w:t>(212) 931-6331</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jc w:val="center"/>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br/>
        <w:t>Evanston, IL 60201</w:t>
        <w:br/>
        <w:t>(847) 905-4400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 NO. </w:t>
      </w:r>
      <w:r>
        <w:rPr>
          <w:rFonts w:ascii="Times New Roman;Times;Serif" w:hAnsi="Times New Roman;Times;Serif"/>
          <w:b w:val="false"/>
          <w:i w:val="false"/>
          <w:caps w:val="false"/>
          <w:smallCaps w:val="false"/>
          <w:strike/>
          <w:color w:val="FF0000"/>
          <w:sz w:val="20"/>
        </w:rPr>
        <w:t>2</w:t>
      </w: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strike/>
          <w:color w:val="FF0000"/>
          <w:sz w:val="20"/>
        </w:rPr>
        <w:t>J. Troy Beatty</w:t>
        <w:br/>
        <w:t>General Counsel</w:t>
        <w:br/>
        <w:t>60 E. South Temple, Suite 2100</w:t>
        <w:br/>
        <w:t>Salt Lake City, Utah 84111</w:t>
        <w:br/>
        <w:t>(925) 480-6050</w:t>
        <w:br/>
      </w:r>
      <w:r>
        <w:rPr>
          <w:rFonts w:ascii="Times New Roman;Times;Serif" w:hAnsi="Times New Roman;Times;Serif"/>
          <w:b w:val="false"/>
          <w:i w:val="false"/>
          <w:caps w:val="false"/>
          <w:smallCaps w:val="false"/>
          <w:strike/>
          <w:color w:val="FF0000"/>
          <w:sz w:val="20"/>
          <w:u w:val="single"/>
        </w:rPr>
        <w:t>troy@keystonenational.com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 D. Klein</w:t>
        <w:br/>
        <w:t>Allison Green</w:t>
        <w:br/>
        <w:t>Neostellar Capital Corp.</w:t>
        <w:br/>
        <w:t>640 Fifth Avenue, 12th Floor</w:t>
        <w:br/>
        <w:t>New York, NY 10019</w:t>
        <w:br/>
        <w:t>(212) 931-6331</w:t>
        <w:br/>
        <w:t>agreen@neostellaradvisors.com</w:t>
        <w:br/>
        <w:t>mklein@neostellaradvisors.com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 Wachter, Esq.</w:t>
        <w:br/>
        <w:t>Michael L. Butler, Esq.</w:t>
        <w:br/>
        <w:t>Magnetar Financial LLC</w:t>
        <w:br/>
        <w:t>1603 Orrington Avenue, 13th Floor</w:t>
        <w:br/>
        <w:t>Evanston, IL 60201</w:t>
        <w:br/>
        <w:t>(847) 905-4400</w:t>
        <w:br/>
        <w:t>karl.wachter@magnetar.com</w:t>
        <w:br/>
        <w:t>mike.butler@magnetar.com</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Copies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strike/>
          <w:color w:val="FF0000"/>
          <w:sz w:val="20"/>
        </w:rPr>
        <w:t>James E. Anderson</w:t>
        <w:br/>
        <w:t>Haofei Liu</w:t>
        <w:br/>
        <w:t>Willkie Farr &amp; Gallagher LLP</w:t>
        <w:br/>
        <w:t>1875 K St NW</w:t>
        <w:br/>
        <w:t>Washington, DC 20006</w:t>
        <w:br/>
        <w:t>(202) 303-1000</w:t>
        <w:br/>
      </w:r>
      <w:r>
        <w:rPr>
          <w:rFonts w:ascii="Times New Roman;Times;Serif" w:hAnsi="Times New Roman;Times;Serif"/>
          <w:b w:val="false"/>
          <w:i w:val="false"/>
          <w:caps w:val="false"/>
          <w:smallCaps w:val="false"/>
          <w:strike/>
          <w:color w:val="FF0000"/>
          <w:sz w:val="20"/>
          <w:u w:val="single"/>
        </w:rPr>
        <w:t>JAnderson@willkie.com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 G. Oberndorf, Esq.</w:t>
        <w:br/>
        <w:t>Payam Siadatpour, Esq.</w:t>
        <w:br/>
        <w:t>Eversheds Sutherland (US) LLP</w:t>
        <w:br/>
        <w:t>700 Sixth Street, N.W., Suite 700</w:t>
        <w:br/>
        <w:t>Washington, D.C. 20001</w:t>
        <w:br/>
        <w:t>(202) 383-0100</w:t>
        <w:br/>
        <w:t>anne.oberndorf@eversheds-sutherland.com</w:t>
        <w:br/>
        <w:t>payam.siadatpour@eversheds-sutherland.com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Clifford R. Cone, Esq.</w:t>
        <w:br/>
        <w:t>Sidley Austin LLP</w:t>
        <w:br/>
        <w:t>787 Seventh Avenue</w:t>
        <w:br/>
        <w:t>New York, NY 10019</w:t>
        <w:br/>
        <w:t>(212) 839-5300</w:t>
        <w:br/>
        <w:t>cliff.cone@sidley.com</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May 8</w:t>
      </w:r>
      <w:r>
        <w:rPr>
          <w:rFonts w:ascii="Times New Roman;Times;Serif" w:hAnsi="Times New Roman;Times;Serif"/>
          <w:b w:val="false"/>
          <w:i w:val="false"/>
          <w:caps w:val="false"/>
          <w:smallCaps w:val="false"/>
          <w:color w:val="0000FF"/>
          <w:sz w:val="20"/>
          <w:u w:val="single"/>
        </w:rPr>
        <w:t>October 1</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40" w:type="dxa"/>
          <w:left w:w="0" w:type="dxa"/>
          <w:bottom w:w="240" w:type="dxa"/>
          <w:right w:w="0" w:type="dxa"/>
        </w:tblCellMar>
      </w:tblPr>
      <w:tblGrid>
        <w:gridCol w:w="7586"/>
        <w:gridCol w:w="80"/>
        <w:gridCol w:w="2539"/>
      </w:tblGrid>
      <w:tr>
        <w:trPr/>
        <w:tc>
          <w:tcPr>
            <w:tcW w:w="10205" w:type="dxa"/>
            <w:gridSpan w:val="3"/>
            <w:tcBorders>
              <w:top w:val="double" w:sz="4"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 OF AMERICA</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BEFORE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p>
        </w:tc>
      </w:tr>
      <w:tr>
        <w:trPr/>
        <w:tc>
          <w:tcPr>
            <w:tcW w:w="7586"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MATTER OF</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INCOME FUND, KEYSTONE NATIONAL GROUP, LLC, KEYSTONE PRIVATE MARKET OPPORTUNITIES IX (Q), LP, KEYSTONE PRIVATE MARKET OPPORTUNITIES IX, LP, KEYSTONE REAL ESTATE LENDING FUND, LLC, KEYSTONE REAL ESTATE INVESTMENT TRUST, LLC</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60 E. South Temple, Suite 2100</w:t>
              <w:br/>
              <w:t>Salt Lake City, Utah 84111</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 NEOSTELLAR ADVISORS LLC, GSV CAPITAL LENDING, LLC, SURO CAPITAL SPORTS, LLC, SRCI ADVISORS, LLC, GSVC AE HOLDINGS, INC., GSVC AV HOLDINGS, INC., GSVC SW HOLDINGS, INC., GSVC SVDS HOLDINGS, INC.</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br/>
              <w:t>NEW YORK, NY 10019</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ableContents"/>
              <w:bidi w:val="0"/>
              <w:spacing w:before="0" w:after="0"/>
              <w:ind w:left="0" w:right="0" w:hanging="0"/>
              <w:jc w:val="left"/>
              <w:rPr>
                <w:caps w:val="false"/>
                <w:smallCaps w:val="false"/>
                <w:color w:val="0000FF"/>
              </w:rPr>
            </w:pPr>
            <w:r>
              <w:rPr>
                <w:caps w:val="false"/>
                <w:smallCaps w:val="false"/>
                <w:color w:val="0000FF"/>
              </w:rPr>
              <w:t> </w:t>
            </w:r>
          </w:p>
          <w:p>
            <w:pPr>
              <w:pStyle w:val="TableContents"/>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1603 Orrington Avenue, 13th Floor</w:t>
              <w:br/>
              <w:t>Evanston, IL 60201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No. </w:t>
            </w:r>
            <w:r>
              <w:rPr>
                <w:rFonts w:ascii="Times New Roman;Times;Serif" w:hAnsi="Times New Roman;Times;Serif"/>
                <w:b/>
                <w:i w:val="false"/>
                <w:caps w:val="false"/>
                <w:smallCaps w:val="false"/>
                <w:strike/>
                <w:color w:val="FF0000"/>
                <w:sz w:val="20"/>
              </w:rPr>
              <w:t>812-15960</w:t>
            </w:r>
            <w:r>
              <w:rPr>
                <w:rFonts w:ascii="Times New Roman;Times;Serif" w:hAnsi="Times New Roman;Times;Serif"/>
                <w:b/>
                <w:i w:val="false"/>
                <w:caps w:val="false"/>
                <w:smallCaps w:val="false"/>
                <w:color w:val="0000FF"/>
                <w:sz w:val="20"/>
                <w:u w:val="single"/>
              </w:rPr>
              <w:t>812-16066</w:t>
            </w:r>
          </w:p>
        </w:tc>
        <w:tc>
          <w:tcPr>
            <w:tcW w:w="80" w:type="dxa"/>
            <w:tcBorders/>
            <w:tcMar>
              <w:top w:w="0" w:type="dxa"/>
              <w:bottom w:w="0" w:type="dxa"/>
            </w:tcMar>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39" w:type="dxa"/>
            <w:tcBorders/>
            <w:tcMar>
              <w:top w:w="0" w:type="dxa"/>
              <w:bottom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w:t>
            </w:r>
            <w:r>
              <w:rPr>
                <w:rFonts w:ascii="Times New Roman;Times;Serif" w:hAnsi="Times New Roman;Times;Serif"/>
                <w:b/>
                <w:i w:val="false"/>
                <w:caps w:val="false"/>
                <w:smallCaps w:val="false"/>
                <w:strike/>
                <w:color w:val="FF0000"/>
                <w:sz w:val="20"/>
              </w:rPr>
              <w:t>2</w:t>
            </w:r>
            <w:r>
              <w:rPr>
                <w:rFonts w:ascii="Times New Roman;Times;Serif" w:hAnsi="Times New Roman;Times;Serif"/>
                <w:b/>
                <w:i w:val="false"/>
                <w:caps w:val="false"/>
                <w:smallCaps w:val="false"/>
                <w:color w:val="0000FF"/>
                <w:sz w:val="20"/>
                <w:u w:val="single"/>
              </w:rPr>
              <w:t>1</w:t>
            </w:r>
            <w:r>
              <w:rPr>
                <w:rFonts w:ascii="Times New Roman;Times;Serif" w:hAnsi="Times New Roman;Times;Serif"/>
                <w:b/>
                <w:i w:val="false"/>
                <w:caps w:val="false"/>
                <w:smallCaps w:val="false"/>
                <w:sz w:val="20"/>
              </w:rPr>
              <w:t xml:space="preserve">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55"/>
        <w:gridCol w:w="27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APPLICATION</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Neostellar Capital Corp. (the “</w:t>
            </w:r>
            <w:r>
              <w:rPr>
                <w:rFonts w:ascii="Times New Roman;Times;Serif" w:hAnsi="Times New Roman;Times;Serif"/>
                <w:b/>
                <w:i/>
                <w:caps w:val="false"/>
                <w:smallCaps w:val="false"/>
                <w:sz w:val="20"/>
                <w:u w:val="single"/>
              </w:rPr>
              <w:t>Existing Regulated Fund</w:t>
            </w:r>
            <w:r>
              <w:rPr>
                <w:rFonts w:ascii="Times New Roman;Times;Serif" w:hAnsi="Times New Roman;Times;Serif"/>
                <w:b w:val="false"/>
                <w:i w:val="false"/>
                <w:caps w:val="false"/>
                <w:smallCaps w:val="false"/>
                <w:sz w:val="20"/>
                <w:u w:val="single"/>
              </w:rPr>
              <w:t>”), a Maryland corporation that operates as an externally managed, closed-end non-diversified management investment company that has elected to be regulated as a business development company (“</w:t>
            </w:r>
            <w:r>
              <w:rPr>
                <w:rFonts w:ascii="Times New Roman;Times;Serif" w:hAnsi="Times New Roman;Times;Serif"/>
                <w:b/>
                <w:i/>
                <w:caps w:val="false"/>
                <w:smallCaps w:val="false"/>
                <w:sz w:val="20"/>
                <w:u w:val="single"/>
              </w:rPr>
              <w:t>BDC</w:t>
            </w:r>
            <w:r>
              <w:rPr>
                <w:rFonts w:ascii="Times New Roman;Times;Serif" w:hAnsi="Times New Roman;Times;Serif"/>
                <w:b w:val="false"/>
                <w:i w:val="false"/>
                <w:caps w:val="false"/>
                <w:smallCaps w:val="false"/>
                <w:sz w:val="20"/>
                <w:u w:val="single"/>
              </w:rPr>
              <w:t>”) under the 1940 Act;</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strike/>
              </w:rPr>
            </w:pPr>
            <w:r>
              <w:rPr>
                <w:caps w:val="false"/>
                <w:smallCaps w:val="false"/>
                <w:strike/>
              </w:rPr>
              <w:t>●</w:t>
            </w:r>
          </w:p>
        </w:tc>
        <w:tc>
          <w:tcPr>
            <w:tcW w:w="9960" w:type="dxa"/>
            <w:tcBorders/>
            <w:vAlign w:val="center"/>
          </w:tcPr>
          <w:p>
            <w:pPr>
              <w:pStyle w:val="TableContents"/>
              <w:bidi w:val="0"/>
              <w:spacing w:before="0" w:after="283"/>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Keystone Private Income Fund, a Delaware statutory trust which is an externally managed, closed-end management investment company that is registered under the 1940 Act (“</w:t>
            </w:r>
            <w:r>
              <w:rPr>
                <w:rFonts w:ascii="Times New Roman;Times;Serif" w:hAnsi="Times New Roman;Times;Serif"/>
                <w:b/>
                <w:i/>
                <w:caps w:val="false"/>
                <w:smallCaps w:val="false"/>
                <w:strike/>
                <w:sz w:val="20"/>
              </w:rPr>
              <w:t>Existing Regulated Fund</w:t>
            </w:r>
            <w:r>
              <w:rPr>
                <w:rFonts w:ascii="Times New Roman;Times;Serif" w:hAnsi="Times New Roman;Times;Serif"/>
                <w:b w:val="false"/>
                <w:i w:val="false"/>
                <w:caps w:val="false"/>
                <w:smallCaps w:val="false"/>
                <w:strike/>
                <w:sz w:val="20"/>
              </w:rPr>
              <w:t>” or “</w:t>
            </w:r>
            <w:r>
              <w:rPr>
                <w:rFonts w:ascii="Times New Roman;Times;Serif" w:hAnsi="Times New Roman;Times;Serif"/>
                <w:b/>
                <w:i/>
                <w:caps w:val="false"/>
                <w:smallCaps w:val="false"/>
                <w:strike/>
                <w:sz w:val="20"/>
              </w:rPr>
              <w:t>KPIF</w:t>
            </w:r>
            <w:r>
              <w:rPr>
                <w:rFonts w:ascii="Times New Roman;Times;Serif" w:hAnsi="Times New Roman;Times;Serif"/>
                <w:b w:val="false"/>
                <w:i w:val="false"/>
                <w:caps w:val="false"/>
                <w:smallCaps w:val="false"/>
                <w:strik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strike/>
              </w:rPr>
            </w:pPr>
            <w:r>
              <w:rPr>
                <w:caps w:val="false"/>
                <w:smallCaps w:val="false"/>
                <w:strike/>
              </w:rPr>
              <w:t>●</w:t>
            </w:r>
          </w:p>
        </w:tc>
        <w:tc>
          <w:tcPr>
            <w:tcW w:w="9960" w:type="dxa"/>
            <w:tcBorders/>
            <w:vAlign w:val="center"/>
          </w:tcPr>
          <w:p>
            <w:pPr>
              <w:pStyle w:val="TableContents"/>
              <w:bidi w:val="0"/>
              <w:spacing w:before="0" w:after="283"/>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Keystone Private Market Opportunities IX (Q), LP, which is an entity whose investment adviser is Keystone National Group, LLC and that would be an investment company but for Section 3(c)(7) of the 1940 Act; (“</w:t>
            </w:r>
            <w:r>
              <w:rPr>
                <w:rFonts w:ascii="Times New Roman;Times;Serif" w:hAnsi="Times New Roman;Times;Serif"/>
                <w:b/>
                <w:i/>
                <w:caps w:val="false"/>
                <w:smallCaps w:val="false"/>
                <w:strike/>
                <w:sz w:val="20"/>
              </w:rPr>
              <w:t>KPMO IX Q</w:t>
            </w:r>
            <w:r>
              <w:rPr>
                <w:rFonts w:ascii="Times New Roman;Times;Serif" w:hAnsi="Times New Roman;Times;Serif"/>
                <w:b w:val="false"/>
                <w:i w:val="false"/>
                <w:caps w:val="false"/>
                <w:smallCaps w:val="false"/>
                <w:strik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strike/>
              </w:rPr>
            </w:pPr>
            <w:r>
              <w:rPr>
                <w:caps w:val="false"/>
                <w:smallCaps w:val="false"/>
                <w:strike/>
              </w:rPr>
              <w:t>●</w:t>
            </w:r>
          </w:p>
        </w:tc>
        <w:tc>
          <w:tcPr>
            <w:tcW w:w="9960" w:type="dxa"/>
            <w:tcBorders/>
            <w:vAlign w:val="center"/>
          </w:tcPr>
          <w:p>
            <w:pPr>
              <w:pStyle w:val="TableContents"/>
              <w:bidi w:val="0"/>
              <w:spacing w:before="0" w:after="283"/>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Keystone Private Market Opportunities IX, LP, which is an entity whose investment adviser is Keystone National Group, LLC and that would be an investment company but for Section 3(c)(1) of the 1940 Act (“</w:t>
            </w:r>
            <w:r>
              <w:rPr>
                <w:rFonts w:ascii="Times New Roman;Times;Serif" w:hAnsi="Times New Roman;Times;Serif"/>
                <w:b/>
                <w:i/>
                <w:caps w:val="false"/>
                <w:smallCaps w:val="false"/>
                <w:strike/>
                <w:sz w:val="20"/>
              </w:rPr>
              <w:t>KPMO IX</w:t>
            </w:r>
            <w:r>
              <w:rPr>
                <w:rFonts w:ascii="Times New Roman;Times;Serif" w:hAnsi="Times New Roman;Times;Serif"/>
                <w:b w:val="false"/>
                <w:i w:val="false"/>
                <w:caps w:val="false"/>
                <w:smallCaps w:val="false"/>
                <w:strik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strike/>
              </w:rPr>
            </w:pPr>
            <w:r>
              <w:rPr>
                <w:caps w:val="false"/>
                <w:smallCaps w:val="false"/>
                <w:strike/>
              </w:rPr>
              <w:t>●</w:t>
            </w:r>
          </w:p>
        </w:tc>
        <w:tc>
          <w:tcPr>
            <w:tcW w:w="9960" w:type="dxa"/>
            <w:tcBorders/>
            <w:vAlign w:val="center"/>
          </w:tcPr>
          <w:p>
            <w:pPr>
              <w:pStyle w:val="TableContents"/>
              <w:bidi w:val="0"/>
              <w:spacing w:before="0" w:after="283"/>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Keystone Real Estate Lending Fund, LLC, which is an entity whose investment adviser is Keystone National Group, LLC and that would be an investment company but for Section 3(c)(5) of the 1940 Act (“</w:t>
            </w:r>
            <w:r>
              <w:rPr>
                <w:rFonts w:ascii="Times New Roman;Times;Serif" w:hAnsi="Times New Roman;Times;Serif"/>
                <w:b/>
                <w:i/>
                <w:caps w:val="false"/>
                <w:smallCaps w:val="false"/>
                <w:strike/>
                <w:sz w:val="20"/>
              </w:rPr>
              <w:t>KRELF</w:t>
            </w:r>
            <w:r>
              <w:rPr>
                <w:rFonts w:ascii="Times New Roman;Times;Serif" w:hAnsi="Times New Roman;Times;Serif"/>
                <w:b w:val="false"/>
                <w:i w:val="false"/>
                <w:caps w:val="false"/>
                <w:smallCaps w:val="false"/>
                <w:strik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strike/>
              </w:rPr>
            </w:pPr>
            <w:r>
              <w:rPr>
                <w:caps w:val="false"/>
                <w:smallCaps w:val="false"/>
                <w:strike/>
              </w:rPr>
              <w:t>●</w:t>
            </w:r>
          </w:p>
        </w:tc>
        <w:tc>
          <w:tcPr>
            <w:tcW w:w="9960" w:type="dxa"/>
            <w:tcBorders/>
            <w:vAlign w:val="center"/>
          </w:tcPr>
          <w:p>
            <w:pPr>
              <w:pStyle w:val="TableContents"/>
              <w:bidi w:val="0"/>
              <w:spacing w:before="0" w:after="283"/>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Keystone Real Estate Investment Trust, LLC, which is an entity whose investment adviser is Keystone National Group, LLC and that would be an investment company but for Section 3(c)(5) of the 1940 Act (“</w:t>
            </w:r>
            <w:r>
              <w:rPr>
                <w:rFonts w:ascii="Times New Roman;Times;Serif" w:hAnsi="Times New Roman;Times;Serif"/>
                <w:b/>
                <w:i/>
                <w:caps w:val="false"/>
                <w:smallCaps w:val="false"/>
                <w:strike/>
                <w:sz w:val="20"/>
              </w:rPr>
              <w:t>KREIT</w:t>
            </w:r>
            <w:r>
              <w:rPr>
                <w:rFonts w:ascii="Times New Roman;Times;Serif" w:hAnsi="Times New Roman;Times;Serif"/>
                <w:b w:val="false"/>
                <w:i w:val="false"/>
                <w:caps w:val="false"/>
                <w:smallCaps w:val="false"/>
                <w:strike/>
                <w:sz w:val="20"/>
              </w:rPr>
              <w:t>” and, together with KPMO IX Q, KPMO IX, and KRELF, the “</w:t>
            </w:r>
            <w:r>
              <w:rPr>
                <w:rFonts w:ascii="Times New Roman;Times;Serif" w:hAnsi="Times New Roman;Times;Serif"/>
                <w:b/>
                <w:i w:val="false"/>
                <w:caps w:val="false"/>
                <w:smallCaps w:val="false"/>
                <w:strike/>
                <w:sz w:val="20"/>
              </w:rPr>
              <w:t>Existing Affiliated Entities</w:t>
            </w:r>
            <w:r>
              <w:rPr>
                <w:rFonts w:ascii="Times New Roman;Times;Serif" w:hAnsi="Times New Roman;Times;Serif"/>
                <w:b w:val="false"/>
                <w:i w:val="false"/>
                <w:caps w:val="false"/>
                <w:smallCaps w:val="false"/>
                <w:strike/>
                <w:sz w:val="20"/>
              </w:rPr>
              <w:t>”); and</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Keystone National Group, LLC and its successors</w:t>
            </w:r>
            <w:r>
              <w:rPr>
                <w:rFonts w:ascii="Times New Roman;Times;Serif" w:hAnsi="Times New Roman;Times;Serif"/>
                <w:b w:val="false"/>
                <w:i w:val="false"/>
                <w:caps w:val="false"/>
                <w:smallCaps w:val="false"/>
                <w:strike/>
                <w:color w:val="FF0000"/>
                <w:position w:val="7"/>
                <w:sz w:val="16"/>
                <w:sz w:val="20"/>
              </w:rPr>
              <w:t>2</w:t>
            </w:r>
            <w:r>
              <w:rPr>
                <w:rFonts w:ascii="Times New Roman;Times;Serif" w:hAnsi="Times New Roman;Times;Serif"/>
                <w:b w:val="false"/>
                <w:i w:val="false"/>
                <w:caps w:val="false"/>
                <w:smallCaps w:val="false"/>
                <w:strike/>
                <w:color w:val="FF0000"/>
                <w:sz w:val="20"/>
              </w:rPr>
              <w:t xml:space="preserve"> (collectively, “</w:t>
            </w:r>
            <w:r>
              <w:rPr>
                <w:rFonts w:ascii="Times New Roman;Times;Serif" w:hAnsi="Times New Roman;Times;Serif"/>
                <w:b/>
                <w:i/>
                <w:caps w:val="false"/>
                <w:smallCaps w:val="false"/>
                <w:strike/>
                <w:color w:val="FF0000"/>
                <w:sz w:val="20"/>
              </w:rPr>
              <w:t>KNG</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Neostellar Advisors LLC (the “</w:t>
            </w:r>
            <w:r>
              <w:rPr>
                <w:rFonts w:ascii="Times New Roman;Times;Serif" w:hAnsi="Times New Roman;Times;Serif"/>
                <w:b/>
                <w:i/>
                <w:caps w:val="false"/>
                <w:smallCaps w:val="false"/>
                <w:color w:val="0000FF"/>
                <w:sz w:val="20"/>
                <w:u w:val="single"/>
              </w:rPr>
              <w:t>BDC Adviser</w:t>
            </w:r>
            <w:r>
              <w:rPr>
                <w:rFonts w:ascii="Times New Roman;Times;Serif" w:hAnsi="Times New Roman;Times;Serif"/>
                <w:b w:val="false"/>
                <w:i w:val="false"/>
                <w:caps w:val="false"/>
                <w:smallCaps w:val="false"/>
                <w:color w:val="0000FF"/>
                <w:sz w:val="20"/>
                <w:u w:val="single"/>
              </w:rPr>
              <w:t>”), a Delaware limited liability company that is</w:t>
            </w:r>
            <w:r>
              <w:rPr>
                <w:rFonts w:ascii="Times New Roman;Times;Serif" w:hAnsi="Times New Roman;Times;Serif"/>
                <w:b w:val="false"/>
                <w:i w:val="false"/>
                <w:caps w:val="false"/>
                <w:smallCaps w:val="false"/>
                <w:sz w:val="20"/>
              </w:rPr>
              <w:t xml:space="preserve"> an investment adviser registered </w:t>
            </w:r>
            <w:r>
              <w:rPr>
                <w:rFonts w:ascii="Times New Roman;Times;Serif" w:hAnsi="Times New Roman;Times;Serif"/>
                <w:b w:val="false"/>
                <w:i w:val="false"/>
                <w:caps w:val="false"/>
                <w:smallCaps w:val="false"/>
                <w:strike/>
                <w:color w:val="FF0000"/>
                <w:sz w:val="20"/>
              </w:rPr>
              <w:t xml:space="preserve">with the Commission </w:t>
            </w:r>
            <w:r>
              <w:rPr>
                <w:rFonts w:ascii="Times New Roman;Times;Serif" w:hAnsi="Times New Roman;Times;Serif"/>
                <w:b w:val="false"/>
                <w:i w:val="false"/>
                <w:caps w:val="false"/>
                <w:smallCaps w:val="false"/>
                <w:sz w:val="20"/>
              </w:rPr>
              <w:t>under the Investment Advisers Act of 1940, as amended (the “</w:t>
            </w:r>
            <w:r>
              <w:rPr>
                <w:rFonts w:ascii="Times New Roman;Times;Serif" w:hAnsi="Times New Roman;Times;Serif"/>
                <w:b/>
                <w:i/>
                <w:caps w:val="false"/>
                <w:smallCaps w:val="false"/>
                <w:sz w:val="20"/>
              </w:rPr>
              <w:t>Advisers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which</w:t>
            </w:r>
            <w:r>
              <w:rPr>
                <w:rFonts w:ascii="Times New Roman;Times;Serif" w:hAnsi="Times New Roman;Times;Serif"/>
                <w:b w:val="false"/>
                <w:i w:val="false"/>
                <w:caps w:val="false"/>
                <w:smallCaps w:val="false"/>
                <w:color w:val="0000FF"/>
                <w:sz w:val="20"/>
                <w:u w:val="single"/>
              </w:rPr>
              <w:t>and that</w:t>
            </w:r>
            <w:r>
              <w:rPr>
                <w:rFonts w:ascii="Times New Roman;Times;Serif" w:hAnsi="Times New Roman;Times;Serif"/>
                <w:b w:val="false"/>
                <w:i w:val="false"/>
                <w:caps w:val="false"/>
                <w:smallCaps w:val="false"/>
                <w:sz w:val="20"/>
              </w:rPr>
              <w:t xml:space="preserve"> serves as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 xml:space="preserve">investment adviser to </w:t>
            </w:r>
            <w:r>
              <w:rPr>
                <w:rFonts w:ascii="Times New Roman;Times;Serif" w:hAnsi="Times New Roman;Times;Serif"/>
                <w:b w:val="false"/>
                <w:i w:val="false"/>
                <w:caps w:val="false"/>
                <w:smallCaps w:val="false"/>
                <w:strike/>
                <w:color w:val="FF0000"/>
                <w:sz w:val="20"/>
              </w:rPr>
              <w:t xml:space="preserve">each of </w:t>
            </w:r>
            <w:r>
              <w:rPr>
                <w:rFonts w:ascii="Times New Roman;Times;Serif" w:hAnsi="Times New Roman;Times;Serif"/>
                <w:b w:val="false"/>
                <w:i w:val="false"/>
                <w:caps w:val="false"/>
                <w:smallCaps w:val="false"/>
                <w:sz w:val="20"/>
              </w:rPr>
              <w:t xml:space="preserve">the Existing Regulated Fund </w:t>
            </w:r>
            <w:r>
              <w:rPr>
                <w:rFonts w:ascii="Times New Roman;Times;Serif" w:hAnsi="Times New Roman;Times;Serif"/>
                <w:b w:val="false"/>
                <w:i w:val="false"/>
                <w:caps w:val="false"/>
                <w:smallCaps w:val="false"/>
                <w:strike/>
                <w:color w:val="FF0000"/>
                <w:sz w:val="20"/>
              </w:rPr>
              <w:t>and Existing Affiliated Entities.</w:t>
            </w:r>
            <w:r>
              <w:rPr>
                <w:rFonts w:ascii="Times New Roman;Times;Serif" w:hAnsi="Times New Roman;Times;Serif"/>
                <w:b w:val="false"/>
                <w:i w:val="false"/>
                <w:caps w:val="false"/>
                <w:smallCaps w:val="false"/>
                <w:color w:val="0000FF"/>
                <w:sz w:val="20"/>
                <w:u w:val="single"/>
              </w:rPr>
              <w:t>, on behalf of itself and its successors;</w:t>
            </w:r>
            <w:r>
              <w:rPr>
                <w:rFonts w:ascii="Times New Roman;Times;Serif" w:hAnsi="Times New Roman;Times;Serif"/>
                <w:b w:val="false"/>
                <w:i w:val="false"/>
                <w:caps w:val="false"/>
                <w:smallCaps w:val="false"/>
                <w:color w:val="0000FF"/>
                <w:position w:val="7"/>
                <w:sz w:val="16"/>
                <w:sz w:val="20"/>
                <w:u w:val="single"/>
              </w:rPr>
              <w:t>2</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Unless otherwise indicated, all section and rule references herein are to the 1940 Act and rules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2</w:t>
      </w:r>
      <w:r>
        <w:rPr>
          <w:rFonts w:ascii="Times New Roman;Times;Serif" w:hAnsi="Times New Roman;Times;Serif"/>
          <w:b w:val="false"/>
          <w:i w:val="false"/>
          <w:caps w:val="false"/>
          <w:smallCaps w:val="false"/>
          <w:strike/>
          <w:color w:val="FF0000"/>
          <w:sz w:val="20"/>
        </w:rPr>
        <w:t xml:space="preserve"> The term “successor” means an entity that results from a reorganization into another jurisdiction or change in the type of business organization.</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position w:val="7"/>
          <w:sz w:val="16"/>
          <w:sz w:val="20"/>
          <w:u w:val="single"/>
        </w:rPr>
        <w:t>2</w:t>
      </w:r>
      <w:r>
        <w:rPr>
          <w:rFonts w:ascii="Times New Roman;Times;Serif" w:hAnsi="Times New Roman;Times;Serif"/>
          <w:b w:val="false"/>
          <w:i w:val="false"/>
          <w:caps w:val="false"/>
          <w:smallCaps w:val="false"/>
          <w:color w:val="0000FF"/>
          <w:sz w:val="20"/>
          <w:u w:val="single"/>
        </w:rPr>
        <w:t xml:space="preserve"> The term “</w:t>
      </w:r>
      <w:r>
        <w:rPr>
          <w:rFonts w:ascii="Times New Roman;Times;Serif" w:hAnsi="Times New Roman;Times;Serif"/>
          <w:b/>
          <w:i/>
          <w:caps w:val="false"/>
          <w:smallCaps w:val="false"/>
          <w:color w:val="0000FF"/>
          <w:sz w:val="20"/>
          <w:u w:val="single"/>
        </w:rPr>
        <w:t>successor</w:t>
      </w:r>
      <w:r>
        <w:rPr>
          <w:rFonts w:ascii="Times New Roman;Times;Serif" w:hAnsi="Times New Roman;Times;Serif"/>
          <w:b w:val="false"/>
          <w:i w:val="false"/>
          <w:caps w:val="false"/>
          <w:smallCaps w:val="false"/>
          <w:color w:val="0000FF"/>
          <w:sz w:val="20"/>
          <w:u w:val="single"/>
        </w:rPr>
        <w:t>” means an entity that results from a reorganization into another jurisdiction or change in the type of business organization.</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The Existing Regulated Fund, KNG and the Existing Affiliated Entities may be referred to herein as the “</w:t>
      </w:r>
      <w:r>
        <w:rPr>
          <w:rFonts w:ascii="Times New Roman;Times;Serif" w:hAnsi="Times New Roman;Times;Serif"/>
          <w:b/>
          <w:i/>
          <w:caps w:val="false"/>
          <w:smallCaps w:val="false"/>
          <w:strike/>
          <w:color w:val="FF0000"/>
          <w:sz w:val="20"/>
        </w:rPr>
        <w:t>Applicants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trike/>
          <w:color w:val="FF0000"/>
          <w:position w:val="7"/>
          <w:sz w:val="16"/>
          <w:sz w:val="20"/>
        </w:rPr>
        <w:t>3</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Financial LLC (“</w:t>
            </w:r>
            <w:r>
              <w:rPr>
                <w:rFonts w:ascii="Times New Roman;Times;Serif" w:hAnsi="Times New Roman;Times;Serif"/>
                <w:b/>
                <w:i/>
                <w:caps w:val="false"/>
                <w:smallCaps w:val="false"/>
                <w:sz w:val="20"/>
                <w:u w:val="single"/>
              </w:rPr>
              <w:t>Magnetar Financial</w:t>
            </w:r>
            <w:r>
              <w:rPr>
                <w:rFonts w:ascii="Times New Roman;Times;Serif" w:hAnsi="Times New Roman;Times;Serif"/>
                <w:b w:val="false"/>
                <w:i w:val="false"/>
                <w:caps w:val="false"/>
                <w:smallCaps w:val="false"/>
                <w:sz w:val="20"/>
                <w:u w:val="single"/>
              </w:rPr>
              <w:t>”), a Delaware limited liability company that is an investment adviser registered under the Advisers Act, and that serves as the investment adviser to certain Existing Affiliated Funds (as defined below);</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Financial (UK) LLP (“</w:t>
            </w:r>
            <w:r>
              <w:rPr>
                <w:rFonts w:ascii="Times New Roman;Times;Serif" w:hAnsi="Times New Roman;Times;Serif"/>
                <w:b/>
                <w:i/>
                <w:caps w:val="false"/>
                <w:smallCaps w:val="false"/>
                <w:sz w:val="20"/>
                <w:u w:val="single"/>
              </w:rPr>
              <w:t>Magnetar UK</w:t>
            </w:r>
            <w:r>
              <w:rPr>
                <w:rFonts w:ascii="Times New Roman;Times;Serif" w:hAnsi="Times New Roman;Times;Serif"/>
                <w:b w:val="false"/>
                <w:i w:val="false"/>
                <w:caps w:val="false"/>
                <w:smallCaps w:val="false"/>
                <w:sz w:val="20"/>
                <w:u w:val="single"/>
              </w:rPr>
              <w:t>”), a United Kingdom limited liability partnership that is not registered under the Advisers Act and the investment adviser to certain Existing Affiliated Funds (and together with the BDC Adviser and Magnetar Financial, the “</w:t>
            </w:r>
            <w:r>
              <w:rPr>
                <w:rFonts w:ascii="Times New Roman;Times;Serif" w:hAnsi="Times New Roman;Times;Serif"/>
                <w:b/>
                <w:i/>
                <w:caps w:val="false"/>
                <w:smallCaps w:val="false"/>
                <w:sz w:val="20"/>
                <w:u w:val="single"/>
              </w:rPr>
              <w:t>Existing Advisers</w:t>
            </w:r>
            <w:r>
              <w:rPr>
                <w:rFonts w:ascii="Times New Roman;Times;Serif" w:hAnsi="Times New Roman;Times;Serif"/>
                <w:b w:val="false"/>
                <w:i w:val="false"/>
                <w:caps w:val="false"/>
                <w:smallCaps w:val="false"/>
                <w:sz w:val="20"/>
                <w:u w:val="single"/>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MCP Investing LLC, an entity wholly owned by an affiliate of the Existing Advisers that, from time to time, will hold various financial assets in a principal capacity and that currently intends to participate in Co-Investment Transactions (in such capacity, the “</w:t>
            </w:r>
            <w:r>
              <w:rPr>
                <w:rFonts w:ascii="Times New Roman;Times;Serif" w:hAnsi="Times New Roman;Times;Serif"/>
                <w:b/>
                <w:i/>
                <w:caps w:val="false"/>
                <w:smallCaps w:val="false"/>
                <w:sz w:val="20"/>
                <w:u w:val="single"/>
              </w:rPr>
              <w:t>Existing Proprietary Account</w:t>
            </w:r>
            <w:r>
              <w:rPr>
                <w:rFonts w:ascii="Times New Roman;Times;Serif" w:hAnsi="Times New Roman;Times;Serif"/>
                <w:b w:val="false"/>
                <w:i w:val="false"/>
                <w:caps w:val="false"/>
                <w:smallCaps w:val="false"/>
                <w:sz w:val="20"/>
                <w:u w:val="single"/>
              </w:rPr>
              <w:t xml:space="preserv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Certain vehicles (as identified on Schedule A hereto) (the “</w:t>
            </w:r>
            <w:r>
              <w:rPr>
                <w:rFonts w:ascii="Times New Roman;Times;Serif" w:hAnsi="Times New Roman;Times;Serif"/>
                <w:b/>
                <w:i/>
                <w:caps w:val="false"/>
                <w:smallCaps w:val="false"/>
                <w:sz w:val="20"/>
                <w:u w:val="single"/>
              </w:rPr>
              <w:t>Existing Wholly-Owned Subsidiaries</w:t>
            </w:r>
            <w:r>
              <w:rPr>
                <w:rFonts w:ascii="Times New Roman;Times;Serif" w:hAnsi="Times New Roman;Times;Serif"/>
                <w:b w:val="false"/>
                <w:i w:val="false"/>
                <w:caps w:val="false"/>
                <w:smallCaps w:val="false"/>
                <w:sz w:val="20"/>
                <w:u w:val="single"/>
              </w:rPr>
              <w:t>”), each of which is a separate and distinct legal entity and each of which is a Wholly-Owned Investment Sub (as defined below) of the Existing Regulated Fund;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investment vehicles identified on Schedule B hereto, each of which is a separate and distinct legal entity and each of which would be an investment company but for Sections 3(c)(1), 3(c)(5) or 3(c)(7) of the 1940 Act (the “</w:t>
            </w:r>
            <w:r>
              <w:rPr>
                <w:rFonts w:ascii="Times New Roman;Times;Serif" w:hAnsi="Times New Roman;Times;Serif"/>
                <w:b/>
                <w:i/>
                <w:caps w:val="false"/>
                <w:smallCaps w:val="false"/>
                <w:sz w:val="20"/>
                <w:u w:val="single"/>
              </w:rPr>
              <w:t>Existing Affiliated Funds</w:t>
            </w:r>
            <w:r>
              <w:rPr>
                <w:rFonts w:ascii="Times New Roman;Times;Serif" w:hAnsi="Times New Roman;Times;Serif"/>
                <w:b w:val="false"/>
                <w:i w:val="false"/>
                <w:caps w:val="false"/>
                <w:smallCaps w:val="false"/>
                <w:sz w:val="20"/>
                <w:u w:val="single"/>
              </w:rPr>
              <w:t>” and, together with the Existing Regulated Fund, the Existing Advisers, the Existing Proprietary Account and the Existing Wholly-Owned Subsidiaries, the “</w:t>
            </w:r>
            <w:r>
              <w:rPr>
                <w:rFonts w:ascii="Times New Roman;Times;Serif" w:hAnsi="Times New Roman;Times;Serif"/>
                <w:b/>
                <w:i/>
                <w:caps w:val="false"/>
                <w:smallCaps w:val="false"/>
                <w:sz w:val="20"/>
                <w:u w:val="single"/>
              </w:rPr>
              <w:t>Applicants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position w:val="7"/>
                <w:sz w:val="16"/>
                <w:sz w:val="20"/>
                <w:u w:val="single"/>
              </w:rPr>
              <w:t>3</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3</w:t>
      </w:r>
      <w:r>
        <w:rPr>
          <w:rFonts w:ascii="Times New Roman;Times;Serif" w:hAnsi="Times New Roman;Times;Serif"/>
          <w:b w:val="false"/>
          <w:i w:val="false"/>
          <w:caps w:val="false"/>
          <w:smallCaps w:val="false"/>
          <w:strike/>
          <w:color w:val="FF0000"/>
          <w:sz w:val="20"/>
        </w:rPr>
        <w:t xml:space="preserve"> 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position w:val="7"/>
          <w:sz w:val="16"/>
          <w:sz w:val="20"/>
          <w:u w:val="single"/>
        </w:rPr>
        <w:t>3</w:t>
      </w:r>
      <w:r>
        <w:rPr>
          <w:rFonts w:ascii="Times New Roman;Times;Serif" w:hAnsi="Times New Roman;Times;Serif"/>
          <w:b w:val="false"/>
          <w:i w:val="false"/>
          <w:caps w:val="false"/>
          <w:smallCaps w:val="false"/>
          <w:color w:val="0000FF"/>
          <w:sz w:val="20"/>
          <w:u w:val="single"/>
        </w:rPr>
        <w:t xml:space="preserve"> 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would allow a Regulated Fund</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one or more Affiliated Entities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Regulated Fund</w:t>
      </w:r>
      <w:r>
        <w:rPr>
          <w:rFonts w:ascii="Times New Roman;Times;Serif" w:hAnsi="Times New Roman;Times;Serif"/>
          <w:b w:val="false"/>
          <w:i w:val="false"/>
          <w:caps w:val="false"/>
          <w:smallCaps w:val="false"/>
          <w:sz w:val="20"/>
        </w:rPr>
        <w:t>” means the Existing Regulated Fund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KNG</w:t>
      </w:r>
      <w:r>
        <w:rPr>
          <w:rFonts w:ascii="Times New Roman;Times;Serif" w:hAnsi="Times New Roman;Times;Serif"/>
          <w:b w:val="false"/>
          <w:i w:val="false"/>
          <w:caps w:val="false"/>
          <w:smallCaps w:val="false"/>
          <w:color w:val="0000FF"/>
          <w:sz w:val="20"/>
          <w:u w:val="single"/>
        </w:rPr>
        <w:t>the Existing Advisers,</w:t>
      </w:r>
      <w:r>
        <w:rPr>
          <w:rFonts w:ascii="Times New Roman;Times;Serif" w:hAnsi="Times New Roman;Times;Serif"/>
          <w:b w:val="false"/>
          <w:i w:val="false"/>
          <w:caps w:val="false"/>
          <w:smallCaps w:val="false"/>
          <w:sz w:val="20"/>
        </w:rPr>
        <w:t xml:space="preserve"> and any other investment adviser controlling, controlled by, or under common control with </w:t>
      </w:r>
      <w:r>
        <w:rPr>
          <w:rFonts w:ascii="Times New Roman;Times;Serif" w:hAnsi="Times New Roman;Times;Serif"/>
          <w:b w:val="false"/>
          <w:i w:val="false"/>
          <w:caps w:val="false"/>
          <w:smallCaps w:val="false"/>
          <w:strike/>
          <w:color w:val="FF0000"/>
          <w:sz w:val="20"/>
        </w:rPr>
        <w:t>KNG</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The term “Adviser” also includes any internally-managed Regulated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Massachusetts Mutual Life Insurance Co. (pub. avail. June 7, 2000), Massachusetts Mutual Life Insurance Co. (pub. avail. July 28, 2000) and SMC Capital, Inc. (pub. avail. Sept. 5, 1995).</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15"/>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tc>
        <w:tc>
          <w:tcPr>
            <w:tcW w:w="4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DESCRIPTION OF THE APPLICANTS</w:t>
            </w:r>
          </w:p>
        </w:tc>
      </w:tr>
    </w:tbl>
    <w:tbl>
      <w:tblPr>
        <w:tblW w:w="4698" w:type="dxa"/>
        <w:jc w:val="left"/>
        <w:tblInd w:w="0" w:type="dxa"/>
        <w:tblLayout w:type="fixed"/>
        <w:tblCellMar>
          <w:top w:w="0" w:type="dxa"/>
          <w:left w:w="0" w:type="dxa"/>
          <w:bottom w:w="0" w:type="dxa"/>
          <w:right w:w="0" w:type="dxa"/>
        </w:tblCellMar>
      </w:tblPr>
      <w:tblGrid>
        <w:gridCol w:w="38"/>
        <w:gridCol w:w="20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Keystone Private Income</w:t>
            </w:r>
            <w:r>
              <w:rPr>
                <w:rFonts w:ascii="Times New Roman;Times;Serif" w:hAnsi="Times New Roman;Times;Serif"/>
                <w:b w:val="false"/>
                <w:i w:val="false"/>
                <w:caps w:val="false"/>
                <w:smallCaps w:val="false"/>
                <w:color w:val="0000FF"/>
                <w:sz w:val="20"/>
                <w:u w:val="single"/>
              </w:rPr>
              <w:t>The Existing Regulated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Fund</w:t>
            </w:r>
          </w:p>
        </w:tc>
      </w:tr>
    </w:tbl>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Regulated Fund (formerly known as SuRo Capital Corp., Sutter Rock Capital Corp., and GSV Capital Corp.) was incorporated in Maryland on January 6, 2011, and commenced operations upon completion of its initial public offering in May 2011. The Existing Regulated Fund elected to be regulated as a BDC under the 1940 Act upon completion of its initial public offering in May 2011 and operates as a closed-end non-diversified management investment company. The Existing Regulated Fund has elected to be treated as a regulated investment company under Subchapter M of the Internal Revenue Code of 1986, as amended, and intends to continue to make such election in the future. The Existing Regulated Fund’s principal place of business is 640 Fifth Avenue, 12th Floor, New York, NY 10019.</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Regulated Fund’s investment objective is to maximize its portfolio’s total return, principally by seeking capital gains on its equity and equity-related investments and, to a lesser extent, income from debt investments. The Existing Regulated Fund’s business and affairs are managed under the direction of its board of directors (the “</w:t>
      </w:r>
      <w:r>
        <w:rPr>
          <w:rFonts w:ascii="Times New Roman;Times;Serif" w:hAnsi="Times New Roman;Times;Serif"/>
          <w:b/>
          <w:i/>
          <w:caps w:val="false"/>
          <w:smallCaps w:val="false"/>
          <w:color w:val="0000FF"/>
          <w:sz w:val="20"/>
          <w:u w:val="single"/>
        </w:rPr>
        <w:t>Existing Regulated Fund Board</w:t>
      </w:r>
      <w:r>
        <w:rPr>
          <w:rFonts w:ascii="Times New Roman;Times;Serif" w:hAnsi="Times New Roman;Times;Serif"/>
          <w:b w:val="false"/>
          <w:i w:val="false"/>
          <w:caps w:val="false"/>
          <w:smallCaps w:val="false"/>
          <w:color w:val="0000FF"/>
          <w:sz w:val="20"/>
          <w:u w:val="single"/>
        </w:rPr>
        <w:t>” and together with any Future Regulated Fund’s board of directors, the “</w:t>
      </w:r>
      <w:r>
        <w:rPr>
          <w:rFonts w:ascii="Times New Roman;Times;Serif" w:hAnsi="Times New Roman;Times;Serif"/>
          <w:b/>
          <w:i/>
          <w:caps w:val="false"/>
          <w:smallCaps w:val="false"/>
          <w:color w:val="0000FF"/>
          <w:sz w:val="20"/>
          <w:u w:val="single"/>
        </w:rPr>
        <w:t>Board</w:t>
      </w:r>
      <w:r>
        <w:rPr>
          <w:rFonts w:ascii="Times New Roman;Times;Serif" w:hAnsi="Times New Roman;Times;Serif"/>
          <w:b w:val="false"/>
          <w:i w:val="false"/>
          <w:caps w:val="false"/>
          <w:smallCaps w:val="false"/>
          <w:color w:val="0000FF"/>
          <w:sz w:val="20"/>
          <w:u w:val="single"/>
        </w:rPr>
        <w:t>”). The Existing Regulated Fund Board consists of seven members, of which five members are not “interested persons” of the Existing Regulated Fund within the meaning of Section 2(a)(19) of the 1940 Act.</w:t>
      </w:r>
      <w:r>
        <w:rPr>
          <w:rFonts w:ascii="Times New Roman;Times;Serif" w:hAnsi="Times New Roman;Times;Serif"/>
          <w:b w:val="false"/>
          <w:i w:val="false"/>
          <w:caps w:val="false"/>
          <w:smallCaps w:val="false"/>
          <w:color w:val="0000FF"/>
          <w:position w:val="7"/>
          <w:sz w:val="16"/>
          <w:sz w:val="20"/>
          <w:u w:val="single"/>
        </w:rPr>
        <w:t>9</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KPIF was organized on August 27, 2019 as Keystone Private Income Fund, a Delaware statutory trust, and commenced operations on July 1, 2020. KPIF has elected to be treated as a regulated investment company (“</w:t>
      </w:r>
      <w:r>
        <w:rPr>
          <w:rFonts w:ascii="Times New Roman;Times;Serif" w:hAnsi="Times New Roman;Times;Serif"/>
          <w:b/>
          <w:i/>
          <w:caps w:val="false"/>
          <w:smallCaps w:val="false"/>
          <w:strike/>
          <w:color w:val="FF0000"/>
          <w:sz w:val="20"/>
        </w:rPr>
        <w:t>RIC</w:t>
      </w:r>
      <w:r>
        <w:rPr>
          <w:rFonts w:ascii="Times New Roman;Times;Serif" w:hAnsi="Times New Roman;Times;Serif"/>
          <w:b w:val="false"/>
          <w:i w:val="false"/>
          <w:caps w:val="false"/>
          <w:smallCaps w:val="false"/>
          <w:strike/>
          <w:color w:val="FF0000"/>
          <w:sz w:val="20"/>
        </w:rPr>
        <w:t>”) under Subchapter M of the Internal Revenue Code of 1986, as amended, and intends to continue to so qualify. KPIF’s principal place of business is 60 E. South Temple, Suite 2100, Salt Lake City, Utah 84111.</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KPIF’s primary investment objective is to produce current income. KNG manages the KPIF’s portfolio with a view toward producing current income, managing liquidity and protecting against downside scenarios. KNG serves as the primary investment adviser to KPIF.</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KPIF has a 4-member board (the “</w:t>
      </w:r>
      <w:r>
        <w:rPr>
          <w:rFonts w:ascii="Times New Roman;Times;Serif" w:hAnsi="Times New Roman;Times;Serif"/>
          <w:b/>
          <w:i/>
          <w:caps w:val="false"/>
          <w:smallCaps w:val="false"/>
          <w:strike/>
          <w:color w:val="FF0000"/>
          <w:sz w:val="20"/>
        </w:rPr>
        <w:t>KPIF Board</w:t>
      </w:r>
      <w:r>
        <w:rPr>
          <w:rFonts w:ascii="Times New Roman;Times;Serif" w:hAnsi="Times New Roman;Times;Serif"/>
          <w:b w:val="false"/>
          <w:i w:val="false"/>
          <w:caps w:val="false"/>
          <w:smallCaps w:val="false"/>
          <w:strike/>
          <w:color w:val="FF0000"/>
          <w:sz w:val="20"/>
        </w:rPr>
        <w:t>”), of which 3 members are not “interested persons” of KPIF within the meaning of Section 2(a)(19) of the 1940 Act.</w:t>
      </w:r>
      <w:r>
        <w:rPr>
          <w:rFonts w:ascii="Times New Roman;Times;Serif" w:hAnsi="Times New Roman;Times;Serif"/>
          <w:b w:val="false"/>
          <w:i w:val="false"/>
          <w:caps w:val="false"/>
          <w:smallCaps w:val="false"/>
          <w:strike/>
          <w:color w:val="FF0000"/>
          <w:position w:val="7"/>
          <w:sz w:val="16"/>
          <w:sz w:val="20"/>
        </w:rPr>
        <w:t>9</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8058" w:type="dxa"/>
        <w:jc w:val="left"/>
        <w:tblInd w:w="0" w:type="dxa"/>
        <w:tblLayout w:type="fixed"/>
        <w:tblCellMar>
          <w:top w:w="0" w:type="dxa"/>
          <w:left w:w="0" w:type="dxa"/>
          <w:bottom w:w="0" w:type="dxa"/>
          <w:right w:w="0" w:type="dxa"/>
        </w:tblCellMar>
      </w:tblPr>
      <w:tblGrid>
        <w:gridCol w:w="38"/>
        <w:gridCol w:w="20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Keystone National Group, LLC</w:t>
            </w:r>
            <w:r>
              <w:rPr>
                <w:rFonts w:ascii="Times New Roman;Times;Serif" w:hAnsi="Times New Roman;Times;Serif"/>
                <w:b w:val="false"/>
                <w:i w:val="false"/>
                <w:caps w:val="false"/>
                <w:smallCaps w:val="false"/>
                <w:color w:val="0000FF"/>
                <w:sz w:val="20"/>
                <w:u w:val="single"/>
              </w:rPr>
              <w:t>The Existing Affiliated Funds and Existing Proprietary Accounts</w:t>
            </w:r>
          </w:p>
        </w:tc>
      </w:tr>
    </w:tbl>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Affiliated Funds are investment funds, each of whose investment adviser is an Existing Adviser and each of which would be an investment company but for Sections 3(c)(1), 3(c)(5) or 3(c)(7) of the 1940 Act.</w:t>
      </w:r>
      <w:r>
        <w:rPr>
          <w:rFonts w:ascii="Times New Roman;Times;Serif" w:hAnsi="Times New Roman;Times;Serif"/>
          <w:b w:val="false"/>
          <w:i w:val="false"/>
          <w:caps w:val="false"/>
          <w:smallCaps w:val="false"/>
          <w:color w:val="0000FF"/>
          <w:position w:val="7"/>
          <w:sz w:val="16"/>
          <w:sz w:val="20"/>
          <w:u w:val="single"/>
        </w:rPr>
        <w:t>10</w:t>
      </w:r>
      <w:r>
        <w:rPr>
          <w:rFonts w:ascii="Times New Roman;Times;Serif" w:hAnsi="Times New Roman;Times;Serif"/>
          <w:b w:val="false"/>
          <w:i w:val="false"/>
          <w:caps w:val="false"/>
          <w:smallCaps w:val="false"/>
          <w:color w:val="0000FF"/>
          <w:sz w:val="20"/>
          <w:u w:val="single"/>
        </w:rPr>
        <w:t xml:space="preserve"> A list of the Existing Affiliated Funds and their respective investment adviser is included on Schedule B hereto.</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Proprietary Account will, from time to time, hold various financial assets in a principal capacity. The Existing Advisers and their affiliates operate various business lines directly or through their wholly- or majority-owned subsidiaries, and the affiliate that exists and currently intends to participate in Co-Investment Transactions has been included as an Applicant herein.</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position w:val="7"/>
          <w:sz w:val="16"/>
          <w:sz w:val="20"/>
          <w:u w:val="single"/>
        </w:rPr>
        <w:t>9</w:t>
      </w:r>
      <w:r>
        <w:rPr>
          <w:rFonts w:ascii="Times New Roman;Times;Serif" w:hAnsi="Times New Roman;Times;Serif"/>
          <w:b w:val="false"/>
          <w:i w:val="false"/>
          <w:caps w:val="false"/>
          <w:smallCaps w:val="false"/>
          <w:color w:val="0000FF"/>
          <w:sz w:val="20"/>
          <w:u w:val="single"/>
        </w:rPr>
        <w:t xml:space="preserve"> The Board of each Future Regulated Fund will consist of a majority of members who are not “interested persons” of such Future Regulated Fund within the meaning of Section 2(a)(19) of the 1940 Act.</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9</w:t>
      </w:r>
      <w:r>
        <w:rPr>
          <w:rFonts w:ascii="Times New Roman;Times;Serif" w:hAnsi="Times New Roman;Times;Serif"/>
          <w:b w:val="false"/>
          <w:i w:val="false"/>
          <w:caps w:val="false"/>
          <w:smallCaps w:val="false"/>
          <w:strike/>
          <w:color w:val="FF0000"/>
          <w:sz w:val="20"/>
        </w:rPr>
        <w:t xml:space="preserve"> The Board of each Future Regulated Fund will consist of a majority of members who are not “interested persons” of such Future Regulated Fund within the meaning of Section 2(a)(19) of the 1940 Act.</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position w:val="7"/>
          <w:sz w:val="16"/>
          <w:sz w:val="20"/>
          <w:u w:val="single"/>
        </w:rPr>
        <w:t>10</w:t>
      </w:r>
      <w:r>
        <w:rPr>
          <w:rFonts w:ascii="Times New Roman;Times;Serif" w:hAnsi="Times New Roman;Times;Serif"/>
          <w:b w:val="false"/>
          <w:i w:val="false"/>
          <w:caps w:val="false"/>
          <w:smallCaps w:val="false"/>
          <w:color w:val="0000FF"/>
          <w:sz w:val="20"/>
          <w:u w:val="single"/>
        </w:rPr>
        <w:t xml:space="preserve"> In the future, an Existing Affiliated Fund may register as an investment company under the Act and, if so registered, will be considered a Regulated Fund for purposes of this application.</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color w:val="0000FF"/>
        </w:rPr>
      </w:pPr>
      <w:r>
        <w:rPr>
          <w:caps w:val="false"/>
          <w:smallCaps w:val="false"/>
          <w:color w:val="0000FF"/>
        </w:rPr>
        <w:t> </w:t>
      </w:r>
    </w:p>
    <w:tbl>
      <w:tblPr>
        <w:tblW w:w="2073" w:type="dxa"/>
        <w:jc w:val="left"/>
        <w:tblInd w:w="0" w:type="dxa"/>
        <w:tblLayout w:type="fixed"/>
        <w:tblCellMar>
          <w:top w:w="0" w:type="dxa"/>
          <w:left w:w="0" w:type="dxa"/>
          <w:bottom w:w="0" w:type="dxa"/>
          <w:right w:w="0" w:type="dxa"/>
        </w:tblCellMar>
      </w:tblPr>
      <w:tblGrid>
        <w:gridCol w:w="38"/>
        <w:gridCol w:w="20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Advisers</w:t>
            </w:r>
          </w:p>
        </w:tc>
      </w:tr>
    </w:tbl>
    <w:p>
      <w:pPr>
        <w:pStyle w:val="TextBody"/>
        <w:bidi w:val="0"/>
        <w:spacing w:before="0" w:after="0"/>
        <w:ind w:left="0" w:right="0" w:firstLine="360"/>
        <w:jc w:val="both"/>
        <w:rPr>
          <w:caps w:val="false"/>
          <w:smallCaps w:val="false"/>
          <w:color w:val="FF0000"/>
        </w:rPr>
      </w:pPr>
      <w:r>
        <w:rPr>
          <w:caps w:val="false"/>
          <w:smallCaps w:val="false"/>
          <w:color w:val="FF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KNG</w:t>
      </w:r>
      <w:r>
        <w:rPr>
          <w:rFonts w:ascii="Times New Roman;Times;Serif" w:hAnsi="Times New Roman;Times;Serif"/>
          <w:b w:val="false"/>
          <w:i w:val="false"/>
          <w:caps w:val="false"/>
          <w:smallCaps w:val="false"/>
          <w:color w:val="0000FF"/>
          <w:sz w:val="20"/>
          <w:u w:val="single"/>
        </w:rPr>
        <w:t>The BDC Adviser</w:t>
      </w:r>
      <w:r>
        <w:rPr>
          <w:rFonts w:ascii="Times New Roman;Times;Serif" w:hAnsi="Times New Roman;Times;Serif"/>
          <w:b w:val="false"/>
          <w:i w:val="false"/>
          <w:caps w:val="false"/>
          <w:smallCaps w:val="false"/>
          <w:sz w:val="20"/>
        </w:rPr>
        <w:t xml:space="preserve"> serves as the investment adviser of the Existing Regulated Fund and</w:t>
      </w:r>
      <w:r>
        <w:rPr>
          <w:rFonts w:ascii="Times New Roman;Times;Serif" w:hAnsi="Times New Roman;Times;Serif"/>
          <w:b w:val="false"/>
          <w:i w:val="false"/>
          <w:caps w:val="false"/>
          <w:smallCaps w:val="false"/>
          <w:color w:val="0000FF"/>
          <w:sz w:val="20"/>
          <w:u w:val="single"/>
        </w:rPr>
        <w:t>, as identified on Schedule B, an Existing Adviser serves as investment adviser to each of</w:t>
      </w:r>
      <w:r>
        <w:rPr>
          <w:rFonts w:ascii="Times New Roman;Times;Serif" w:hAnsi="Times New Roman;Times;Serif"/>
          <w:b w:val="false"/>
          <w:i w:val="false"/>
          <w:caps w:val="false"/>
          <w:smallCaps w:val="false"/>
          <w:sz w:val="20"/>
        </w:rPr>
        <w:t xml:space="preserve"> the Existing Affiliated </w:t>
      </w:r>
      <w:r>
        <w:rPr>
          <w:rFonts w:ascii="Times New Roman;Times;Serif" w:hAnsi="Times New Roman;Times;Serif"/>
          <w:b w:val="false"/>
          <w:i w:val="false"/>
          <w:caps w:val="false"/>
          <w:smallCaps w:val="false"/>
          <w:strike/>
          <w:color w:val="FF0000"/>
          <w:sz w:val="20"/>
        </w:rPr>
        <w:t>Entities</w:t>
      </w:r>
      <w:r>
        <w:rPr>
          <w:rFonts w:ascii="Times New Roman;Times;Serif" w:hAnsi="Times New Roman;Times;Serif"/>
          <w:b w:val="false"/>
          <w:i w:val="false"/>
          <w:caps w:val="false"/>
          <w:smallCaps w:val="false"/>
          <w:color w:val="0000FF"/>
          <w:sz w:val="20"/>
          <w:u w:val="single"/>
        </w:rPr>
        <w:t>Funds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color w:val="FF0000"/>
          <w:sz w:val="20"/>
        </w:rPr>
        <w:t>either it</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xml:space="preserve"> or another Adviser will serve as the investment adviser to any Future Regulated Fund. </w:t>
      </w:r>
      <w:r>
        <w:rPr>
          <w:rFonts w:ascii="Times New Roman;Times;Serif" w:hAnsi="Times New Roman;Times;Serif"/>
          <w:b w:val="false"/>
          <w:i w:val="false"/>
          <w:caps w:val="false"/>
          <w:smallCaps w:val="false"/>
          <w:strike/>
          <w:color w:val="FF0000"/>
          <w:sz w:val="20"/>
        </w:rPr>
        <w:t xml:space="preserve">KNG is a Delaware limited liability company that is registered with the Commission as an investment adviser under the Advisers Act. </w:t>
      </w:r>
      <w:r>
        <w:rPr>
          <w:rFonts w:ascii="Times New Roman;Times;Serif" w:hAnsi="Times New Roman;Times;Serif"/>
          <w:b w:val="false"/>
          <w:i w:val="false"/>
          <w:caps w:val="false"/>
          <w:smallCaps w:val="false"/>
          <w:sz w:val="20"/>
        </w:rPr>
        <w:t xml:space="preserve">On the date of this Application, </w:t>
      </w:r>
      <w:r>
        <w:rPr>
          <w:rFonts w:ascii="Times New Roman;Times;Serif" w:hAnsi="Times New Roman;Times;Serif"/>
          <w:b w:val="false"/>
          <w:i w:val="false"/>
          <w:caps w:val="false"/>
          <w:smallCaps w:val="false"/>
          <w:strike/>
          <w:color w:val="FF0000"/>
          <w:sz w:val="20"/>
        </w:rPr>
        <w:t>KNG’s</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clients </w:t>
      </w:r>
      <w:r>
        <w:rPr>
          <w:rFonts w:ascii="Times New Roman;Times;Serif" w:hAnsi="Times New Roman;Times;Serif"/>
          <w:b w:val="false"/>
          <w:i w:val="false"/>
          <w:caps w:val="false"/>
          <w:smallCaps w:val="false"/>
          <w:color w:val="0000FF"/>
          <w:sz w:val="20"/>
          <w:u w:val="single"/>
        </w:rPr>
        <w:t xml:space="preserve">of the Existing Advisers </w:t>
      </w:r>
      <w:r>
        <w:rPr>
          <w:rFonts w:ascii="Times New Roman;Times;Serif" w:hAnsi="Times New Roman;Times;Serif"/>
          <w:b w:val="false"/>
          <w:i w:val="false"/>
          <w:caps w:val="false"/>
          <w:smallCaps w:val="false"/>
          <w:sz w:val="20"/>
        </w:rPr>
        <w:t xml:space="preserve">that intend to rely on </w:t>
      </w:r>
      <w:r>
        <w:rPr>
          <w:rFonts w:ascii="Times New Roman;Times;Serif" w:hAnsi="Times New Roman;Times;Serif"/>
          <w:b w:val="false"/>
          <w:i w:val="false"/>
          <w:caps w:val="false"/>
          <w:smallCaps w:val="false"/>
          <w:strike/>
          <w:color w:val="FF0000"/>
          <w:sz w:val="20"/>
        </w:rPr>
        <w:t>the Order</w:t>
      </w:r>
      <w:r>
        <w:rPr>
          <w:rFonts w:ascii="Times New Roman;Times;Serif" w:hAnsi="Times New Roman;Times;Serif"/>
          <w:b w:val="false"/>
          <w:i w:val="false"/>
          <w:caps w:val="false"/>
          <w:smallCaps w:val="false"/>
          <w:color w:val="0000FF"/>
          <w:sz w:val="20"/>
          <w:u w:val="single"/>
        </w:rPr>
        <w:t>this Application</w:t>
      </w:r>
      <w:r>
        <w:rPr>
          <w:rFonts w:ascii="Times New Roman;Times;Serif" w:hAnsi="Times New Roman;Times;Serif"/>
          <w:b w:val="false"/>
          <w:i w:val="false"/>
          <w:caps w:val="false"/>
          <w:smallCaps w:val="false"/>
          <w:sz w:val="20"/>
        </w:rPr>
        <w:t xml:space="preserve"> are the Existing Regulated Fund and </w:t>
      </w:r>
      <w:r>
        <w:rPr>
          <w:rFonts w:ascii="Times New Roman;Times;Serif" w:hAnsi="Times New Roman;Times;Serif"/>
          <w:b w:val="false"/>
          <w:i w:val="false"/>
          <w:caps w:val="false"/>
          <w:smallCaps w:val="false"/>
          <w:strike/>
          <w:color w:val="FF0000"/>
          <w:sz w:val="20"/>
        </w:rPr>
        <w:t>each of KRELF and KREIT, which will co-invest with KPIF</w:t>
      </w:r>
      <w:r>
        <w:rPr>
          <w:rFonts w:ascii="Times New Roman;Times;Serif" w:hAnsi="Times New Roman;Times;Serif"/>
          <w:b w:val="false"/>
          <w:i w:val="false"/>
          <w:caps w:val="false"/>
          <w:smallCaps w:val="false"/>
          <w:color w:val="0000FF"/>
          <w:sz w:val="20"/>
          <w:u w:val="single"/>
        </w:rPr>
        <w:t>the Existing Affiliated Funds identified on Schedule B hereto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KNG is a private markets investment manager providing diversified investment products and strategies with a focus on current income, contractual cash flows and strong downside protection. KNG is headquartered in Salt Lake City, Utah and also has an office in Dallas, Texas.</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BDC Adviser is a Delaware limited liability company and is registered as an investment adviser with the Commission under the Advisers Act. The BDC Adviser’s principal place of business is 640 Fifth Avenue, 12th Floor, New York, NY 10019. Neostellar Administrative Services LLC, an affiliate of the BDC Adviser (the “</w:t>
      </w:r>
      <w:r>
        <w:rPr>
          <w:rFonts w:ascii="Times New Roman;Times;Serif" w:hAnsi="Times New Roman;Times;Serif"/>
          <w:b/>
          <w:i/>
          <w:caps w:val="false"/>
          <w:smallCaps w:val="false"/>
          <w:color w:val="0000FF"/>
          <w:sz w:val="20"/>
          <w:u w:val="single"/>
        </w:rPr>
        <w:t>Administrator</w:t>
      </w:r>
      <w:r>
        <w:rPr>
          <w:rFonts w:ascii="Times New Roman;Times;Serif" w:hAnsi="Times New Roman;Times;Serif"/>
          <w:b w:val="false"/>
          <w:i w:val="false"/>
          <w:caps w:val="false"/>
          <w:smallCaps w:val="false"/>
          <w:color w:val="0000FF"/>
          <w:sz w:val="20"/>
          <w:u w:val="single"/>
        </w:rPr>
        <w:t>”), provides administrative services to the Existing Regulated Fund under an administrative services agreement. The BDC Adviser is jointly owned and controlled by Magnetar Holdings LLC (“</w:t>
      </w:r>
      <w:r>
        <w:rPr>
          <w:rFonts w:ascii="Times New Roman;Times;Serif" w:hAnsi="Times New Roman;Times;Serif"/>
          <w:b/>
          <w:i/>
          <w:caps w:val="false"/>
          <w:smallCaps w:val="false"/>
          <w:color w:val="0000FF"/>
          <w:sz w:val="20"/>
          <w:u w:val="single"/>
        </w:rPr>
        <w:t>Magnetar Holdings</w:t>
      </w:r>
      <w:r>
        <w:rPr>
          <w:rFonts w:ascii="Times New Roman;Times;Serif" w:hAnsi="Times New Roman;Times;Serif"/>
          <w:b w:val="false"/>
          <w:i w:val="false"/>
          <w:caps w:val="false"/>
          <w:smallCaps w:val="false"/>
          <w:color w:val="0000FF"/>
          <w:sz w:val="20"/>
          <w:u w:val="single"/>
        </w:rPr>
        <w:t>”) and by a vehicle that is in turn owned and controlled by certain officers of the Existing Regulated Fund. Magnetar Holdings is wholly-owned and controlled by Magnetar Capital Partners LP (“</w:t>
      </w:r>
      <w:r>
        <w:rPr>
          <w:rFonts w:ascii="Times New Roman;Times;Serif" w:hAnsi="Times New Roman;Times;Serif"/>
          <w:b/>
          <w:i/>
          <w:caps w:val="false"/>
          <w:smallCaps w:val="false"/>
          <w:color w:val="0000FF"/>
          <w:sz w:val="20"/>
          <w:u w:val="single"/>
        </w:rPr>
        <w:t>MCP LP</w:t>
      </w:r>
      <w:r>
        <w:rPr>
          <w:rFonts w:ascii="Times New Roman;Times;Serif" w:hAnsi="Times New Roman;Times;Serif"/>
          <w:b w:val="false"/>
          <w:i w:val="false"/>
          <w:caps w:val="false"/>
          <w:smallCaps w:val="false"/>
          <w:color w:val="0000FF"/>
          <w:sz w:val="20"/>
          <w:u w:val="single"/>
        </w:rPr>
        <w:t>”). Each of Magnetar Financial and Magnetar UK is a direct or indirect wholly-owned subsidiary of MCP LP, and MCP LP, through Magnetar Holdings, indirectly controls the BDC Adviser. Accordingly, the Existing Advisers are under common control and are affiliated persons of each other. MCP LP is not an investment adviser and does not currently intend to rely upon the requested Order. As a result, MCP LP is not named as an Applicant.</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Financial is a Delaware limited liability company and is registered as an investment adviser with the Commission under the Advisers Act. Magnetar UK is a United Kingdom limited liability partnership and is registered with the Financial Conduct Authority. Magnetar UK is not registered under the Advisers Act and is not an exempt reporting adviser. However, all of the Applicants’ investment activities are conducted within a global, centralized investment committee and allocation process, which is overseen by a unified global compliance program that has complete transparency into the activities of all of the Advisers from within the U.S., regardless of their regulatory status under the Advisers Act. The principal place of business of Magnetar Financial is 1603 Orrington Avenue, 13th Floor, Evanston, IL 60201. The principal place of business of Magnetar UK is 25 Great Pulteney Street, 3rd Floor, London W1F 9LT, United Kingdom. Either Magnetar UK or Magnetar Financial serves as the investment adviser to each of the Existing Affiliated Funds.</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investment management business that Magnetar Financial and Magnetar UK are a part of is a multi-strategy, multi-product alternative investment platform (“Magnetar”) founded in 2005 with approximately $17.8 billion in assets under management as of December 31, 2025 and approximately 224 professionals globally as of March 31, 2026. Magnetar is headquartered in Evanston, Illinois and operates from offices in New York, London, Menlo Park, and Austin. Magnetar’s investment strategies include alternative credit and fixed income, quantitative investing, and ventures.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an investment advisory agreement with the Existing Regulated Fund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and each Existing Affiliated </w:t>
      </w:r>
      <w:r>
        <w:rPr>
          <w:rFonts w:ascii="Times New Roman;Times;Serif" w:hAnsi="Times New Roman;Times;Serif"/>
          <w:b w:val="false"/>
          <w:i w:val="false"/>
          <w:caps w:val="false"/>
          <w:smallCaps w:val="false"/>
          <w:strike/>
          <w:color w:val="FF0000"/>
          <w:sz w:val="20"/>
        </w:rPr>
        <w:t>Entities, respectively, KNG</w:t>
      </w:r>
      <w:r>
        <w:rPr>
          <w:rFonts w:ascii="Times New Roman;Times;Serif" w:hAnsi="Times New Roman;Times;Serif"/>
          <w:b w:val="false"/>
          <w:i w:val="false"/>
          <w:caps w:val="false"/>
          <w:smallCaps w:val="false"/>
          <w:color w:val="0000FF"/>
          <w:sz w:val="20"/>
          <w:u w:val="single"/>
        </w:rPr>
        <w:t>Fund, as applicable, the Existing Advisers</w:t>
      </w:r>
      <w:r>
        <w:rPr>
          <w:rFonts w:ascii="Times New Roman;Times;Serif" w:hAnsi="Times New Roman;Times;Serif"/>
          <w:b w:val="false"/>
          <w:i w:val="false"/>
          <w:caps w:val="false"/>
          <w:smallCaps w:val="false"/>
          <w:sz w:val="20"/>
        </w:rPr>
        <w:t xml:space="preserve"> will, among other things, manage the investment portfolio, direct purchases and sales of portfolio securities and report thereon to the Existing Regulated Fund’s </w:t>
      </w:r>
      <w:r>
        <w:rPr>
          <w:rFonts w:ascii="Times New Roman;Times;Serif" w:hAnsi="Times New Roman;Times;Serif"/>
          <w:b w:val="false"/>
          <w:i w:val="false"/>
          <w:caps w:val="false"/>
          <w:smallCaps w:val="false"/>
          <w:color w:val="0000FF"/>
          <w:sz w:val="20"/>
          <w:u w:val="single"/>
        </w:rPr>
        <w:t xml:space="preserve">and each Existing Affiliated Fund’s </w:t>
      </w:r>
      <w:r>
        <w:rPr>
          <w:rFonts w:ascii="Times New Roman;Times;Serif" w:hAnsi="Times New Roman;Times;Serif"/>
          <w:b w:val="false"/>
          <w:i w:val="false"/>
          <w:caps w:val="false"/>
          <w:smallCaps w:val="false"/>
          <w:sz w:val="20"/>
        </w:rPr>
        <w:t>officers and directors/trustees</w:t>
      </w:r>
      <w:r>
        <w:rPr>
          <w:rFonts w:ascii="Times New Roman;Times;Serif" w:hAnsi="Times New Roman;Times;Serif"/>
          <w:b w:val="false"/>
          <w:i w:val="false"/>
          <w:caps w:val="false"/>
          <w:smallCaps w:val="false"/>
          <w:color w:val="0000FF"/>
          <w:sz w:val="20"/>
          <w:u w:val="single"/>
        </w:rPr>
        <w:t>/manager</w:t>
      </w:r>
      <w:r>
        <w:rPr>
          <w:rFonts w:ascii="Times New Roman;Times;Serif" w:hAnsi="Times New Roman;Times;Serif"/>
          <w:b w:val="false"/>
          <w:i w:val="false"/>
          <w:caps w:val="false"/>
          <w:smallCaps w:val="false"/>
          <w:sz w:val="20"/>
        </w:rPr>
        <w:t xml:space="preserve"> regularly.</w:t>
      </w:r>
    </w:p>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Existing Affiliated Entities</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Each Existing Affiliated Entity is a Delaware limited liability company or limited partnership that is a privately-offered fund that would be an “investment company” but for Section 3(c)(1), Section 3(c)(5) or Section 3(c)(7) of the 1940 Act.</w:t>
      </w:r>
      <w:r>
        <w:rPr>
          <w:rFonts w:ascii="Times New Roman;Times;Serif" w:hAnsi="Times New Roman;Times;Serif"/>
          <w:b w:val="false"/>
          <w:i w:val="false"/>
          <w:caps w:val="false"/>
          <w:smallCaps w:val="false"/>
          <w:strike/>
          <w:color w:val="FF0000"/>
          <w:position w:val="7"/>
          <w:sz w:val="16"/>
          <w:sz w:val="20"/>
        </w:rPr>
        <w:t>10</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KPMO IX and KPMO IX Q were organized in July 2018 and March 2019, respectively, as Delaware limited partnerships. Their primary investment objective is to produce current income.</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KRELF was organized in November 2014 as a Delaware limited partnership and reorganized in January 2024 as a Delaware limited liability company. KRELF’s primary investment objective is to produce current income.</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KREIT was organized in January 2024 as a Delaware limited liability company. KREIT’s primary investment objective is to produce current income and capital appreciation through select real estate investments.</w:t>
      </w:r>
    </w:p>
    <w:p>
      <w:pPr>
        <w:pStyle w:val="TextBody"/>
        <w:bidi w:val="0"/>
        <w:spacing w:before="0" w:after="283"/>
        <w:jc w:val="left"/>
        <w:rPr/>
      </w:pPr>
      <w:r>
        <w:rPr/>
        <w:t> </w:t>
      </w:r>
    </w:p>
    <w:tbl>
      <w:tblPr>
        <w:tblW w:w="2275" w:type="dxa"/>
        <w:jc w:val="left"/>
        <w:tblInd w:w="0" w:type="dxa"/>
        <w:tblLayout w:type="fixed"/>
        <w:tblCellMar>
          <w:top w:w="0" w:type="dxa"/>
          <w:left w:w="0" w:type="dxa"/>
          <w:bottom w:w="0" w:type="dxa"/>
          <w:right w:w="0" w:type="dxa"/>
        </w:tblCellMar>
      </w:tblPr>
      <w:tblGrid>
        <w:gridCol w:w="305"/>
        <w:gridCol w:w="1970"/>
      </w:tblGrid>
      <w:tr>
        <w:trPr/>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ORDER REQUESTED</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firstLine="36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0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Applicable Law</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10</w:t>
      </w:r>
      <w:r>
        <w:rPr>
          <w:rFonts w:ascii="Times New Roman;Times;Serif" w:hAnsi="Times New Roman;Times;Serif"/>
          <w:b w:val="false"/>
          <w:i w:val="false"/>
          <w:caps w:val="false"/>
          <w:smallCaps w:val="false"/>
          <w:strike/>
          <w:color w:val="FF0000"/>
          <w:sz w:val="20"/>
        </w:rPr>
        <w:t xml:space="preserve"> In the future, an Existing Affiliated Entity may register as an investment company under the Act and, if so registered, will be considered a Regulated Fund for purposes of this application.</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firstLine="36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0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8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Need for Relief</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w:t>
      </w: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color w:val="0000FF"/>
          <w:sz w:val="20"/>
          <w:u w:val="single"/>
        </w:rPr>
        <w:t>an</w:t>
      </w:r>
      <w:r>
        <w:rPr>
          <w:rFonts w:ascii="Times New Roman;Times;Serif" w:hAnsi="Times New Roman;Times;Serif"/>
          <w:b w:val="false"/>
          <w:i w:val="false"/>
          <w:caps w:val="false"/>
          <w:smallCaps w:val="false"/>
          <w:sz w:val="20"/>
        </w:rPr>
        <w:t xml:space="preserve"> open-end fund or closed-end fund, or a business development company, respectively, including a sub-adviser. Thus, an Adviser and any Affiliated Entities that it advises could be deemed to be persons related to Regulated Funds in a manner described by Sections 17(d) and 57(b). </w:t>
      </w:r>
      <w:r>
        <w:rPr>
          <w:rFonts w:ascii="Times New Roman;Times;Serif" w:hAnsi="Times New Roman;Times;Serif"/>
          <w:b w:val="false"/>
          <w:i w:val="false"/>
          <w:caps w:val="false"/>
          <w:smallCaps w:val="false"/>
          <w:strike/>
          <w:color w:val="FF0000"/>
          <w:sz w:val="20"/>
        </w:rPr>
        <w:t>With respect to KNG</w:t>
      </w:r>
      <w:r>
        <w:rPr>
          <w:rFonts w:ascii="Times New Roman;Times;Serif" w:hAnsi="Times New Roman;Times;Serif"/>
          <w:b w:val="false"/>
          <w:i w:val="false"/>
          <w:caps w:val="false"/>
          <w:smallCaps w:val="false"/>
          <w:color w:val="0000FF"/>
          <w:sz w:val="20"/>
          <w:u w:val="single"/>
        </w:rPr>
        <w:t>The Existing Advisers are under common control, and are thus affiliated persons of each other. Accordingly, with respect to the Existing Advisers</w:t>
      </w:r>
      <w:r>
        <w:rPr>
          <w:rFonts w:ascii="Times New Roman;Times;Serif" w:hAnsi="Times New Roman;Times;Serif"/>
          <w:b w:val="false"/>
          <w:i w:val="false"/>
          <w:caps w:val="false"/>
          <w:smallCaps w:val="false"/>
          <w:sz w:val="20"/>
        </w:rPr>
        <w:t xml:space="preserve">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w:t>
      </w:r>
      <w:r>
        <w:rPr>
          <w:rFonts w:ascii="Times New Roman;Times;Serif" w:hAnsi="Times New Roman;Times;Serif"/>
          <w:b w:val="false"/>
          <w:i w:val="false"/>
          <w:caps w:val="false"/>
          <w:smallCaps w:val="false"/>
          <w:strike/>
          <w:color w:val="FF0000"/>
          <w:sz w:val="20"/>
        </w:rPr>
        <w:t>KNG</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w:t>
      </w:r>
    </w:p>
    <w:p>
      <w:pPr>
        <w:pStyle w:val="TextBody"/>
        <w:bidi w:val="0"/>
        <w:spacing w:before="0" w:after="0"/>
        <w:ind w:left="0" w:right="0" w:firstLine="36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0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95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Same Terms</w:t>
      </w:r>
      <w:r>
        <w:rPr>
          <w:rFonts w:ascii="Times New Roman;Times;Serif" w:hAnsi="Times New Roman;Times;Serif"/>
          <w:b w:val="false"/>
          <w:i w:val="false"/>
          <w:caps w:val="false"/>
          <w:smallCaps w:val="false"/>
          <w:sz w:val="20"/>
        </w:rPr>
        <w:t>. With respect to any Co-Investment Transaction, each Regulated Fund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Such a Board can also, consistent with applicable fund documents, facilitate this opportunity by delegating the authority to veto the selection of such person to a committee of the Board.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position w:val="7"/>
          <w:sz w:val="16"/>
          <w:sz w:val="2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Expenses of an individual Participant that are incurred solely by the Participant due to its unique circumstances (such as legal and compliance expenses) will be borne by such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Applicants are not requesting and the Commission is not providing any relief for transaction fees received in connection with any Co-Investment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The Affiliated Entities may adopt shared Co-Investment Policies.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w:t>
            </w: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position w:val="7"/>
                <w:sz w:val="16"/>
                <w:sz w:val="20"/>
              </w:rPr>
              <w:t>19</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Board Oversight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Fund’s directors will oversee the Regulated Fund’s participation in the co-investment program in the exercise of their reasonable business judgment.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the sale, exchange, transfer or other disposition of an interest in a security of an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Tradable Security</w:t>
      </w:r>
      <w:r>
        <w:rPr>
          <w:rFonts w:ascii="Times New Roman;Times;Serif" w:hAnsi="Times New Roman;Times;Serif"/>
          <w:b w:val="false"/>
          <w:i w:val="false"/>
          <w:caps w:val="false"/>
          <w:smallCaps w:val="false"/>
          <w:sz w:val="20"/>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position w:val="7"/>
          <w:sz w:val="16"/>
          <w:sz w:val="2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firstLine="72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90"/>
        <w:gridCol w:w="48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w:t>
            </w:r>
          </w:p>
        </w:tc>
        <w:tc>
          <w:tcPr>
            <w:tcW w:w="4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IN SUPPORT OF RELIEF REQUESTED</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0" w:right="0" w:firstLine="36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20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Benefits to the Regulated Funds and their Shareholders</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0" w:right="0" w:firstLine="36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0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204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Protections</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Co-Investment Transaction would be subject to the terms and conditions of this Application. The Conditions are designed to address the concerns underlying Sections 17(d) and 57(a)(4) and Rule </w:t>
      </w:r>
      <w:r>
        <w:rPr>
          <w:rFonts w:ascii="Times New Roman;Times;Serif" w:hAnsi="Times New Roman;Times;Serif"/>
          <w:b w:val="false"/>
          <w:i w:val="false"/>
          <w:caps w:val="false"/>
          <w:smallCaps w:val="false"/>
          <w:strike/>
          <w:color w:val="FF0000"/>
          <w:sz w:val="20"/>
        </w:rPr>
        <w:t>17d-1</w:t>
      </w:r>
      <w:r>
        <w:rPr>
          <w:rFonts w:ascii="Times New Roman;Times;Serif" w:hAnsi="Times New Roman;Times;Serif"/>
          <w:b w:val="false"/>
          <w:i w:val="false"/>
          <w:caps w:val="false"/>
          <w:smallCaps w:val="false"/>
          <w:color w:val="0000FF"/>
          <w:sz w:val="20"/>
          <w:u w:val="single"/>
        </w:rPr>
        <w:t>17d-l</w:t>
      </w:r>
      <w:r>
        <w:rPr>
          <w:rFonts w:ascii="Times New Roman;Times;Serif" w:hAnsi="Times New Roman;Times;Serif"/>
          <w:b w:val="false"/>
          <w:i w:val="false"/>
          <w:caps w:val="false"/>
          <w:smallCaps w:val="false"/>
          <w:sz w:val="20"/>
        </w:rPr>
        <w:t xml:space="preserve">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w:t>
      </w:r>
      <w:r>
        <w:rPr>
          <w:rFonts w:ascii="Times New Roman;Times;Serif" w:hAnsi="Times New Roman;Times;Serif"/>
          <w:b w:val="false"/>
          <w:i w:val="false"/>
          <w:caps w:val="false"/>
          <w:smallCaps w:val="false"/>
          <w:strike/>
          <w:color w:val="FF0000"/>
          <w:sz w:val="20"/>
        </w:rPr>
        <w:t>Co Investment</w:t>
      </w:r>
      <w:r>
        <w:rPr>
          <w:rFonts w:ascii="Times New Roman;Times;Serif" w:hAnsi="Times New Roman;Times;Serif"/>
          <w:b w:val="false"/>
          <w:i w:val="false"/>
          <w:caps w:val="false"/>
          <w:smallCaps w:val="false"/>
          <w:color w:val="0000FF"/>
          <w:sz w:val="20"/>
          <w:u w:val="single"/>
        </w:rPr>
        <w:t>Co-Investment</w:t>
      </w:r>
      <w:r>
        <w:rPr>
          <w:rFonts w:ascii="Times New Roman;Times;Serif" w:hAnsi="Times New Roman;Times;Serif"/>
          <w:b w:val="false"/>
          <w:i w:val="false"/>
          <w:caps w:val="false"/>
          <w:smallCaps w:val="false"/>
          <w:sz w:val="20"/>
        </w:rPr>
        <w:t xml:space="preserve">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578" w:type="dxa"/>
        <w:jc w:val="left"/>
        <w:tblInd w:w="0" w:type="dxa"/>
        <w:tblLayout w:type="fixed"/>
        <w:tblCellMar>
          <w:top w:w="0" w:type="dxa"/>
          <w:left w:w="0" w:type="dxa"/>
          <w:bottom w:w="0" w:type="dxa"/>
          <w:right w:w="0" w:type="dxa"/>
        </w:tblCellMar>
      </w:tblPr>
      <w:tblGrid>
        <w:gridCol w:w="38"/>
        <w:gridCol w:w="20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13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PRECEDENTS</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firstLine="36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275"/>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PROCEDURAL MATTERS</w:t>
            </w:r>
          </w:p>
        </w:tc>
      </w:tr>
    </w:tbl>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44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Communications</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hanging="0"/>
        <w:jc w:val="center"/>
        <w:rPr>
          <w:caps w:val="false"/>
          <w:smallCaps w:val="false"/>
          <w:strike/>
          <w:color w:val="FF0000"/>
        </w:rPr>
      </w:pPr>
      <w:r>
        <w:rPr>
          <w:caps w:val="false"/>
          <w:smallCaps w:val="false"/>
          <w:strik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Troy Beatty</w:t>
        <w:br/>
        <w:t>General Counsel</w:t>
        <w:br/>
        <w:t>60 E. South Temple, Suite 2100</w:t>
        <w:br/>
        <w:t>Salt Lake City, Utah 84111</w:t>
        <w:br/>
        <w:t>(925) 480-6050</w:t>
        <w:br/>
      </w:r>
      <w:r>
        <w:rPr>
          <w:rFonts w:ascii="Times New Roman;Times;Serif" w:hAnsi="Times New Roman;Times;Serif"/>
          <w:b w:val="false"/>
          <w:i w:val="false"/>
          <w:caps w:val="false"/>
          <w:smallCaps w:val="false"/>
          <w:strike/>
          <w:color w:val="FF0000"/>
          <w:sz w:val="20"/>
          <w:u w:val="single"/>
        </w:rPr>
        <w:t>troy@keystonenational.com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 D. Klein</w:t>
        <w:br/>
        <w:t>Allison Green</w:t>
        <w:br/>
        <w:t>Neostellar Capital Corp.</w:t>
        <w:br/>
        <w:t>640 Fifth Avenue, 12th Floor</w:t>
        <w:br/>
        <w:t>New York, NY 10019</w:t>
        <w:br/>
        <w:t>(212) 931-6331</w:t>
        <w:br/>
        <w:t>agreen@neostellaradvisors.com</w:t>
        <w:br/>
        <w:t>mklein@neostellaradvisors.com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 Wachter, Esq.</w:t>
        <w:br/>
        <w:t>Michael L. Butler, Esq.</w:t>
        <w:br/>
        <w:t>Magnetar Financial LLC</w:t>
        <w:br/>
        <w:t>1603 Orrington Avenue, 13th Floor</w:t>
        <w:br/>
        <w:t>Evanston, IL 60201</w:t>
        <w:br/>
        <w:t>(847) 905-4400</w:t>
        <w:br/>
        <w:t>karl.wachter@magnetar.com</w:t>
        <w:br/>
        <w:t>mike.butler@magnetar.com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xml:space="preserve">., FS Credit Opportunities Corp.,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812-15706), Release No. IC-35520 (April 3, 2025) (notice), Release No. IC-35561 (April 29, 2025) (order); Sixth Street Specialty Lending, Inc.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812-15729), Release No. IC-35531 (April 10, 2025) (notice), Release No. IC-35570 (May 6, 2025) (order); Blue Owl Capital Corporation,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812-15715), Release No. IC-35530 (April 9, 2025) (notice), Release No. IC-35573 (May 6, 2025) (order);  BlackRock Growth Equity Fund LP,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(File No. 812-15712), Release No. IC-35525 (April 8, 2025) (notice), Release No. IC-35572 (May 6, 2025) (order).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James E. Anderson</w:t>
        <w:br/>
        <w:t>Haofei Liu</w:t>
        <w:br/>
        <w:t>Willkie Farr &amp; Gallagher LLP</w:t>
        <w:br/>
        <w:t>1875 K St NW</w:t>
        <w:br/>
        <w:t>Washington, DC 20006</w:t>
        <w:br/>
        <w:t>(202) 303-1000</w:t>
        <w:br/>
      </w:r>
      <w:r>
        <w:rPr>
          <w:rFonts w:ascii="Times New Roman;Times;Serif" w:hAnsi="Times New Roman;Times;Serif"/>
          <w:b w:val="false"/>
          <w:i w:val="false"/>
          <w:caps w:val="false"/>
          <w:smallCaps w:val="false"/>
          <w:strike/>
          <w:color w:val="FF0000"/>
          <w:sz w:val="20"/>
          <w:u w:val="single"/>
        </w:rPr>
        <w:t>JAnderson@willkie.com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 G. Oberndorf, Esq.</w:t>
        <w:br/>
        <w:t>Payam Siadatpour, Esq.</w:t>
        <w:br/>
        <w:t>Eversheds Sutherland (US) LLP</w:t>
        <w:br/>
        <w:t>700 Sixth Street, NW, Suite 700</w:t>
        <w:br/>
        <w:t>Washington, DC 20001</w:t>
        <w:br/>
        <w:t>anne.oberndorf@eversheds-sutherland.com</w:t>
        <w:br/>
        <w:t>payam.siadatpour@eversheds-sutherland.com</w:t>
        <w:br/>
        <w:t>Telephone (202) 383-0100</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Clifford R. Cone, Esq.</w:t>
        <w:br/>
        <w:t>Sidley Austin LLP</w:t>
        <w:br/>
        <w:t>787 Seventh Avenue</w:t>
        <w:br/>
        <w:t>New York, NY 10019</w:t>
        <w:br/>
        <w:t>(212) 839-5300</w:t>
        <w:br/>
        <w:t>cliff.cone@sidley.com</w:t>
      </w:r>
    </w:p>
    <w:p>
      <w:pPr>
        <w:pStyle w:val="TextBody"/>
        <w:bidi w:val="0"/>
        <w:spacing w:before="0" w:after="0"/>
        <w:ind w:left="0" w:right="0" w:hanging="0"/>
        <w:jc w:val="center"/>
        <w:rPr>
          <w:caps w:val="false"/>
          <w:smallCaps w:val="false"/>
          <w:color w:val="0000FF"/>
        </w:rPr>
      </w:pPr>
      <w:r>
        <w:rPr>
          <w:caps w:val="false"/>
          <w:smallCaps w:val="false"/>
          <w:color w:val="0000FF"/>
        </w:rPr>
        <w:t> </w:t>
      </w:r>
    </w:p>
    <w:tbl>
      <w:tblPr>
        <w:tblW w:w="1503" w:type="dxa"/>
        <w:jc w:val="left"/>
        <w:tblInd w:w="0" w:type="dxa"/>
        <w:tblLayout w:type="fixed"/>
        <w:tblCellMar>
          <w:top w:w="0" w:type="dxa"/>
          <w:left w:w="0" w:type="dxa"/>
          <w:bottom w:w="0" w:type="dxa"/>
          <w:right w:w="0" w:type="dxa"/>
        </w:tblCellMar>
      </w:tblPr>
      <w:tblGrid>
        <w:gridCol w:w="38"/>
        <w:gridCol w:w="20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6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Authorizations</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Rule 0-2(c), Applicants hereby state that </w:t>
      </w:r>
      <w:r>
        <w:rPr>
          <w:rFonts w:ascii="Times New Roman;Times;Serif" w:hAnsi="Times New Roman;Times;Serif"/>
          <w:b w:val="false"/>
          <w:i w:val="false"/>
          <w:caps w:val="false"/>
          <w:smallCaps w:val="false"/>
          <w:strike/>
          <w:color w:val="FF0000"/>
          <w:sz w:val="20"/>
        </w:rPr>
        <w:t xml:space="preserve">the Existing Regulated Fund and </w:t>
      </w:r>
      <w:r>
        <w:rPr>
          <w:rFonts w:ascii="Times New Roman;Times;Serif" w:hAnsi="Times New Roman;Times;Serif"/>
          <w:b w:val="false"/>
          <w:i w:val="false"/>
          <w:caps w:val="false"/>
          <w:smallCaps w:val="false"/>
          <w:sz w:val="20"/>
        </w:rPr>
        <w:t xml:space="preserve">each Applicant has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w:t>
      </w:r>
      <w:r>
        <w:rPr>
          <w:rFonts w:ascii="Times New Roman;Times;Serif" w:hAnsi="Times New Roman;Times;Serif"/>
          <w:b w:val="false"/>
          <w:i w:val="false"/>
          <w:caps w:val="false"/>
          <w:smallCaps w:val="false"/>
          <w:strike/>
          <w:color w:val="FF0000"/>
          <w:sz w:val="20"/>
        </w:rPr>
        <w:t xml:space="preserve">or she </w:t>
      </w:r>
      <w:r>
        <w:rPr>
          <w:rFonts w:ascii="Times New Roman;Times;Serif" w:hAnsi="Times New Roman;Times;Serif"/>
          <w:b w:val="false"/>
          <w:i w:val="false"/>
          <w:caps w:val="false"/>
          <w:smallCaps w:val="false"/>
          <w:sz w:val="20"/>
        </w:rPr>
        <w:t xml:space="preserve">has duly executed the Application for and on behalf of the applicable entity listed; that he </w:t>
      </w:r>
      <w:r>
        <w:rPr>
          <w:rFonts w:ascii="Times New Roman;Times;Serif" w:hAnsi="Times New Roman;Times;Serif"/>
          <w:b w:val="false"/>
          <w:i w:val="false"/>
          <w:caps w:val="false"/>
          <w:smallCaps w:val="false"/>
          <w:strike/>
          <w:color w:val="FF0000"/>
          <w:sz w:val="20"/>
        </w:rPr>
        <w:t xml:space="preserve">or she </w:t>
      </w:r>
      <w:r>
        <w:rPr>
          <w:rFonts w:ascii="Times New Roman;Times;Serif" w:hAnsi="Times New Roman;Times;Serif"/>
          <w:b w:val="false"/>
          <w:i w:val="false"/>
          <w:caps w:val="false"/>
          <w:smallCaps w:val="false"/>
          <w:sz w:val="20"/>
        </w:rPr>
        <w:t>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firstLine="36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In accordance with the requirements for a request for expedited review of this Application, marked copies of two recent applications seeking the same relief as Applicants that are substantially identical as required by Rule 0-5(e) of the 1940 Act are attached as Exhibit C. In accordance with Rule 0-5(f)(2)(i)(A) under the 1940 Act, included as Exhibit D to this Application is a marked copy of the Application showing changes from the Application filed with the Commission on August 3, 2026.</w:t>
      </w:r>
    </w:p>
    <w:p>
      <w:pPr>
        <w:pStyle w:val="TextBody"/>
        <w:bidi w:val="0"/>
        <w:spacing w:before="0" w:after="0"/>
        <w:ind w:left="0" w:right="0" w:firstLine="36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Applicants have caused this Amendment No. </w:t>
      </w:r>
      <w:r>
        <w:rPr>
          <w:rFonts w:ascii="Times New Roman;Times;Serif" w:hAnsi="Times New Roman;Times;Serif"/>
          <w:b w:val="false"/>
          <w:i w:val="false"/>
          <w:caps w:val="false"/>
          <w:smallCaps w:val="false"/>
          <w:strike/>
          <w:color w:val="FF0000"/>
          <w:sz w:val="20"/>
        </w:rPr>
        <w:t>2</w:t>
      </w: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to the Application to be duly signed on their behalf on the </w:t>
      </w:r>
      <w:r>
        <w:rPr>
          <w:rFonts w:ascii="Times New Roman;Times;Serif" w:hAnsi="Times New Roman;Times;Serif"/>
          <w:b w:val="false"/>
          <w:i w:val="false"/>
          <w:caps w:val="false"/>
          <w:smallCaps w:val="false"/>
          <w:strike/>
          <w:color w:val="FF0000"/>
          <w:sz w:val="20"/>
        </w:rPr>
        <w:t>8th</w:t>
      </w:r>
      <w:r>
        <w:rPr>
          <w:rFonts w:ascii="Times New Roman;Times;Serif" w:hAnsi="Times New Roman;Times;Serif"/>
          <w:b w:val="false"/>
          <w:i w:val="false"/>
          <w:caps w:val="false"/>
          <w:smallCaps w:val="false"/>
          <w:color w:val="0000FF"/>
          <w:sz w:val="20"/>
          <w:u w:val="single"/>
        </w:rPr>
        <w:t>1st</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trike/>
          <w:color w:val="FF0000"/>
          <w:sz w:val="20"/>
        </w:rPr>
        <w:t>May</w:t>
      </w:r>
      <w:r>
        <w:rPr>
          <w:rFonts w:ascii="Times New Roman;Times;Serif" w:hAnsi="Times New Roman;Times;Serif"/>
          <w:b w:val="false"/>
          <w:i w:val="false"/>
          <w:caps w:val="false"/>
          <w:smallCaps w:val="false"/>
          <w:color w:val="0000FF"/>
          <w:sz w:val="20"/>
          <w:u w:val="single"/>
        </w:rPr>
        <w:t>October</w:t>
      </w:r>
      <w:r>
        <w:rPr>
          <w:rFonts w:ascii="Times New Roman;Times;Serif" w:hAnsi="Times New Roman;Times;Serif"/>
          <w:b w:val="false"/>
          <w:i w:val="false"/>
          <w:caps w:val="false"/>
          <w:smallCaps w:val="false"/>
          <w:sz w:val="20"/>
        </w:rPr>
        <w:t>,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spacing w:before="0" w:after="283"/>
        <w:jc w:val="left"/>
        <w:rPr/>
      </w:pPr>
      <w:r>
        <w:rPr/>
        <w:t> </w:t>
      </w:r>
    </w:p>
    <w:tbl>
      <w:tblPr>
        <w:tblW w:w="4540" w:type="dxa"/>
        <w:jc w:val="left"/>
        <w:tblInd w:w="0" w:type="dxa"/>
        <w:tblLayout w:type="fixed"/>
        <w:tblCellMar>
          <w:top w:w="0" w:type="dxa"/>
          <w:left w:w="0" w:type="dxa"/>
          <w:bottom w:w="0" w:type="dxa"/>
          <w:right w:w="0" w:type="dxa"/>
        </w:tblCellMar>
      </w:tblPr>
      <w:tblGrid>
        <w:gridCol w:w="560"/>
        <w:gridCol w:w="398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Chairman, Chief Executive Officer and President</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ADVISORS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Allison Green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Allison Green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 CAPITAL LENDING,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SURO CAPITAL SPORTS,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SRCI ADVISORS,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AE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AV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SW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SVDS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II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VII,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XI,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XVIII</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Credit Opportunity 2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credit opportunity 2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2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opportunity 2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Longhorn Special Opportunities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2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Opportunity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Ventures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ai ventures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Alpha Star Fund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ALPHA STAR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Fund II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CAPITAL FUND ii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Master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4315" w:type="dxa"/>
        <w:jc w:val="left"/>
        <w:tblInd w:w="0" w:type="dxa"/>
        <w:tblLayout w:type="fixed"/>
        <w:tblCellMar>
          <w:top w:w="0" w:type="dxa"/>
          <w:left w:w="0" w:type="dxa"/>
          <w:bottom w:w="0" w:type="dxa"/>
          <w:right w:w="0" w:type="dxa"/>
        </w:tblCellMar>
      </w:tblPr>
      <w:tblGrid>
        <w:gridCol w:w="560"/>
        <w:gridCol w:w="3755"/>
      </w:tblGrid>
      <w:tr>
        <w:trPr/>
        <w:tc>
          <w:tcPr>
            <w:tcW w:w="43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INCOME FUND</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Treasurer (Principal Financial Officer)</w:t>
            </w:r>
            <w:r>
              <w:rPr>
                <w:rFonts w:ascii="Times New Roman;Times;Serif" w:hAnsi="Times New Roman;Times;Serif"/>
                <w:b w:val="false"/>
                <w:i w:val="false"/>
                <w:caps w:val="false"/>
                <w:smallCaps w:val="false"/>
                <w:color w:val="0000FF"/>
                <w:sz w:val="20"/>
                <w:u w:val="single"/>
              </w:rPr>
              <w:t>Director</w:t>
            </w:r>
          </w:p>
        </w:tc>
      </w:tr>
      <w:tr>
        <w:trPr/>
        <w:tc>
          <w:tcPr>
            <w:tcW w:w="43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3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NATIONAL GROUP, LLC</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Master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(UK) LLP</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APPK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appk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Opportunity Series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Lake Credit Fund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5650" w:type="dxa"/>
        <w:jc w:val="left"/>
        <w:tblInd w:w="0" w:type="dxa"/>
        <w:tblLayout w:type="fixed"/>
        <w:tblCellMar>
          <w:top w:w="0" w:type="dxa"/>
          <w:left w:w="0" w:type="dxa"/>
          <w:bottom w:w="0" w:type="dxa"/>
          <w:right w:w="0" w:type="dxa"/>
        </w:tblCellMar>
      </w:tblPr>
      <w:tblGrid>
        <w:gridCol w:w="560"/>
        <w:gridCol w:w="50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Managing Partner and Chief Financial Officer</w:t>
            </w:r>
            <w:r>
              <w:rPr>
                <w:rFonts w:ascii="Times New Roman;Times;Serif" w:hAnsi="Times New Roman;Times;Serif"/>
                <w:b w:val="false"/>
                <w:i w:val="false"/>
                <w:caps w:val="false"/>
                <w:smallCaps w:val="false"/>
                <w:color w:val="0000FF"/>
                <w:sz w:val="20"/>
                <w:u w:val="single"/>
              </w:rPr>
              <w:t>General Counsel</w:t>
            </w:r>
          </w:p>
        </w:tc>
      </w:tr>
    </w:tbl>
    <w:tbl>
      <w:tblPr>
        <w:tblW w:w="5524" w:type="dxa"/>
        <w:jc w:val="left"/>
        <w:tblInd w:w="0" w:type="dxa"/>
        <w:tblLayout w:type="fixed"/>
        <w:tblCellMar>
          <w:top w:w="0" w:type="dxa"/>
          <w:left w:w="0" w:type="dxa"/>
          <w:bottom w:w="0" w:type="dxa"/>
          <w:right w:w="0" w:type="dxa"/>
        </w:tblCellMar>
      </w:tblPr>
      <w:tblGrid>
        <w:gridCol w:w="2760"/>
        <w:gridCol w:w="2764"/>
      </w:tblGrid>
      <w:tr>
        <w:trPr/>
        <w:tc>
          <w:tcPr>
            <w:tcW w:w="55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5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MARKET OPPORTUNITIES IX (Q), LP</w:t>
            </w:r>
          </w:p>
        </w:tc>
      </w:tr>
      <w:tr>
        <w:trPr/>
        <w:tc>
          <w:tcPr>
            <w:tcW w:w="2760"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Longhorn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8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8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A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2025-2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2025-2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2025-3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2025-3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2025-4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2025-4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2025-A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5209" w:type="dxa"/>
        <w:jc w:val="left"/>
        <w:tblInd w:w="0" w:type="dxa"/>
        <w:tblLayout w:type="fixed"/>
        <w:tblCellMar>
          <w:top w:w="0" w:type="dxa"/>
          <w:left w:w="0" w:type="dxa"/>
          <w:bottom w:w="0" w:type="dxa"/>
          <w:right w:w="0" w:type="dxa"/>
        </w:tblCellMar>
      </w:tblPr>
      <w:tblGrid>
        <w:gridCol w:w="1030"/>
        <w:gridCol w:w="4179"/>
      </w:tblGrid>
      <w:tr>
        <w:trPr/>
        <w:tc>
          <w:tcPr>
            <w:tcW w:w="1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Karl Wachter</w:t>
            </w:r>
          </w:p>
        </w:tc>
      </w:tr>
      <w:tr>
        <w:trPr/>
        <w:tc>
          <w:tcPr>
            <w:tcW w:w="1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1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General Counsel</w:t>
            </w:r>
          </w:p>
        </w:tc>
      </w:tr>
      <w:tr>
        <w:trPr/>
        <w:tc>
          <w:tcPr>
            <w:tcW w:w="52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2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MARKET OPPORTUNITIES IX, LP</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5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5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6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6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7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7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special situations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Master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Structured Credit Fund, LP DBA Constellation onshore fund</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general partner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4549" w:type="dxa"/>
        <w:jc w:val="left"/>
        <w:tblInd w:w="0" w:type="dxa"/>
        <w:tblLayout w:type="fixed"/>
        <w:tblCellMar>
          <w:top w:w="0" w:type="dxa"/>
          <w:left w:w="0" w:type="dxa"/>
          <w:bottom w:w="0" w:type="dxa"/>
          <w:right w:w="0" w:type="dxa"/>
        </w:tblCellMar>
      </w:tblPr>
      <w:tblGrid>
        <w:gridCol w:w="900"/>
        <w:gridCol w:w="3649"/>
      </w:tblGrid>
      <w:tr>
        <w:trPr/>
        <w:tc>
          <w:tcPr>
            <w:tcW w:w="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Karl Wachter</w:t>
            </w:r>
          </w:p>
        </w:tc>
      </w:tr>
      <w:tr>
        <w:trPr/>
        <w:tc>
          <w:tcPr>
            <w:tcW w:w="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General Counsel</w:t>
            </w:r>
          </w:p>
        </w:tc>
      </w:tr>
      <w:tr>
        <w:trPr/>
        <w:tc>
          <w:tcPr>
            <w:tcW w:w="45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5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REAL ESTATE LENDING FUND, LLC</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Alternative Credit Fund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A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C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Fund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Master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MCP Investing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5074" w:type="dxa"/>
        <w:jc w:val="left"/>
        <w:tblInd w:w="0" w:type="dxa"/>
        <w:tblLayout w:type="fixed"/>
        <w:tblCellMar>
          <w:top w:w="0" w:type="dxa"/>
          <w:left w:w="0" w:type="dxa"/>
          <w:bottom w:w="0" w:type="dxa"/>
          <w:right w:w="0" w:type="dxa"/>
        </w:tblCellMar>
      </w:tblPr>
      <w:tblGrid>
        <w:gridCol w:w="925"/>
        <w:gridCol w:w="4149"/>
      </w:tblGrid>
      <w:tr>
        <w:trPr/>
        <w:tc>
          <w:tcPr>
            <w:tcW w:w="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Karl Wachter</w:t>
            </w:r>
          </w:p>
        </w:tc>
      </w:tr>
      <w:tr>
        <w:trPr/>
        <w:tc>
          <w:tcPr>
            <w:tcW w:w="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Authorized Signatory</w:t>
            </w:r>
          </w:p>
        </w:tc>
      </w:tr>
      <w:tr>
        <w:trPr/>
        <w:tc>
          <w:tcPr>
            <w:tcW w:w="50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0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REAL ESTATE INVESTMENT TRUST, LLC</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Mustang Opportunities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Mustang opportunities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color w:val="0000FF"/>
          <w:u w:val="single"/>
        </w:rPr>
      </w:pPr>
      <w:r>
        <w:rPr>
          <w:caps/>
          <w:color w:val="0000FF"/>
          <w:u w:val="single"/>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F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T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Realta Investments Ireland Designated Activity Company</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3070" w:type="dxa"/>
        <w:jc w:val="left"/>
        <w:tblInd w:w="0" w:type="dxa"/>
        <w:tblLayout w:type="fixed"/>
        <w:tblCellMar>
          <w:top w:w="0" w:type="dxa"/>
          <w:left w:w="0" w:type="dxa"/>
          <w:bottom w:w="0" w:type="dxa"/>
          <w:right w:w="0" w:type="dxa"/>
        </w:tblCellMar>
      </w:tblPr>
      <w:tblGrid>
        <w:gridCol w:w="560"/>
        <w:gridCol w:w="251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Bronwyn Wright</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Bronwyn Wright</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1, A Series of Astrum Partners II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 A Series of Astrum Partners II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2026-1, a Series of Magnetar Investment Opportunity Series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2026-2, a Series of Magnetar Investment Opportunity Series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center"/>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Schedule A — Existing Wholly-Owned Subsidiaries</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Wholly-owned subsidiaries (each, 100% owned) of Neostellar Capital Corp.:</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GSV Capital Lending, LLC (Delaware, formed April 13,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SuRo Capital Sports, LLC (Delaware, formed March 19,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SRCI Advisors, LLC (Delaware, formed September 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GSVC AE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GSVC AV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GSVC SW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GSVC SVDS Holdings, Inc. — Taxable Subsidiary (Delaware, formed August 13, 2013)</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Schedule B —Existing Affiliated Funds</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 Existing Affiliated Funds are advised by an Adviser as set forth below:</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5350" w:type="dxa"/>
        <w:jc w:val="left"/>
        <w:tblInd w:w="0" w:type="dxa"/>
        <w:tblLayout w:type="fixed"/>
        <w:tblCellMar>
          <w:top w:w="0" w:type="dxa"/>
          <w:left w:w="0" w:type="dxa"/>
          <w:bottom w:w="0" w:type="dxa"/>
          <w:right w:w="0" w:type="dxa"/>
        </w:tblCellMar>
      </w:tblPr>
      <w:tblGrid>
        <w:gridCol w:w="215"/>
        <w:gridCol w:w="513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Existing Affiliated Funds advised by Magnetar Financial LLC:</w:t>
            </w:r>
          </w:p>
        </w:tc>
      </w:tr>
    </w:tbl>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Astrum Partners LLC, Series XV</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Astrum Partners LLC, Series XVIII</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CW Credit Opportunity 2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CW Opportunity 2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CW Opportunity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Longhorn Special Opportunities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ACFI Strategic Ventures 2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ACFI Strategic Ventures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AI Opportunity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AI Ventures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Alpha Star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Capital Fund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Capital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Constellation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Constellation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Investment APPK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Lake Credit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Longhorn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8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A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2025-2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2025-3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2025-4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2025-A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5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6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Opportunity 7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Special Situations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Special Situations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Structured Credit Fund, LP DBA Constellation Onshore Fund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Waterfront Alternative Credit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Waterfront Series A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Waterfront Series C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Xing He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Xing He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Mustang Opportunities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Purpose Alternative Credit Fund – F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Purpose Alternative Credit Fund – T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1, A Series of 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2, A Series of 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2026-1, a Series of 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2026-2, a Series of 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I, a series of Astrum Partners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VII, a series of Astrum Partners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XI, a series of Astrum Partners LLC</w:t>
            </w:r>
          </w:p>
        </w:tc>
      </w:tr>
    </w:tbl>
    <w:p>
      <w:pPr>
        <w:pStyle w:val="TextBody"/>
        <w:bidi w:val="0"/>
        <w:jc w:val="center"/>
        <w:rPr/>
      </w:pPr>
      <w:r>
        <w:rPr/>
        <w:t> </w:t>
      </w:r>
    </w:p>
    <w:tbl>
      <w:tblPr>
        <w:tblW w:w="5823" w:type="dxa"/>
        <w:jc w:val="left"/>
        <w:tblInd w:w="0" w:type="dxa"/>
        <w:tblLayout w:type="fixed"/>
        <w:tblCellMar>
          <w:top w:w="0" w:type="dxa"/>
          <w:left w:w="0" w:type="dxa"/>
          <w:bottom w:w="0" w:type="dxa"/>
          <w:right w:w="0" w:type="dxa"/>
        </w:tblCellMar>
      </w:tblPr>
      <w:tblGrid>
        <w:gridCol w:w="38"/>
        <w:gridCol w:w="20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Existing Affiliated Funds Advised by Magnetar Financial (UK) LLP:</w:t>
            </w:r>
          </w:p>
        </w:tc>
      </w:tr>
    </w:tbl>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u w:val="single"/>
              </w:rPr>
            </w:pPr>
            <w:r>
              <w:rPr>
                <w:caps w:val="false"/>
                <w:smallCaps w:val="false"/>
                <w:u w:val="singl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Realta Investments Ireland Designated Activity Company</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color w:val="0000FF"/>
        </w:rPr>
      </w:pPr>
      <w:r>
        <w:rPr>
          <w:caps w:val="false"/>
          <w:smallCaps w:val="false"/>
          <w:color w:val="0000FF"/>
        </w:rPr>
        <w:t> </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A</w:t>
      </w:r>
    </w:p>
    <w:p>
      <w:pPr>
        <w:pStyle w:val="TextBody"/>
        <w:bidi w:val="0"/>
        <w:spacing w:before="0" w:after="0"/>
        <w:jc w:val="center"/>
        <w:rPr>
          <w:caps w:val="false"/>
          <w:smallCaps w:val="false"/>
          <w:color w:val="0000FF"/>
        </w:rPr>
      </w:pPr>
      <w:r>
        <w:rPr>
          <w:caps w:val="false"/>
          <w:smallCaps w:val="false"/>
          <w:color w:val="0000FF"/>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Each of the</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undersigned states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has duly executed the attached Amendment No. </w:t>
      </w:r>
      <w:r>
        <w:rPr>
          <w:rFonts w:ascii="Times New Roman;Times;Serif" w:hAnsi="Times New Roman;Times;Serif"/>
          <w:b w:val="false"/>
          <w:i w:val="false"/>
          <w:caps w:val="false"/>
          <w:smallCaps w:val="false"/>
          <w:strike/>
          <w:color w:val="FF0000"/>
          <w:sz w:val="20"/>
        </w:rPr>
        <w:t>2</w:t>
      </w: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to the Application dated </w:t>
      </w:r>
      <w:r>
        <w:rPr>
          <w:rFonts w:ascii="Times New Roman;Times;Serif" w:hAnsi="Times New Roman;Times;Serif"/>
          <w:b w:val="false"/>
          <w:i w:val="false"/>
          <w:caps w:val="false"/>
          <w:smallCaps w:val="false"/>
          <w:strike/>
          <w:color w:val="FF0000"/>
          <w:sz w:val="20"/>
        </w:rPr>
        <w:t>as of May 8</w:t>
      </w:r>
      <w:r>
        <w:rPr>
          <w:rFonts w:ascii="Times New Roman;Times;Serif" w:hAnsi="Times New Roman;Times;Serif"/>
          <w:b w:val="false"/>
          <w:i w:val="false"/>
          <w:caps w:val="false"/>
          <w:smallCaps w:val="false"/>
          <w:color w:val="0000FF"/>
          <w:sz w:val="20"/>
          <w:u w:val="single"/>
        </w:rPr>
        <w:t>October 1</w:t>
      </w:r>
      <w:r>
        <w:rPr>
          <w:rFonts w:ascii="Times New Roman;Times;Serif" w:hAnsi="Times New Roman;Times;Serif"/>
          <w:b w:val="false"/>
          <w:i w:val="false"/>
          <w:caps w:val="false"/>
          <w:smallCaps w:val="false"/>
          <w:sz w:val="20"/>
        </w:rPr>
        <w:t xml:space="preserve">, 2026 for and on behalf of the </w:t>
      </w:r>
      <w:r>
        <w:rPr>
          <w:rFonts w:ascii="Times New Roman;Times;Serif" w:hAnsi="Times New Roman;Times;Serif"/>
          <w:b w:val="false"/>
          <w:i w:val="false"/>
          <w:caps w:val="false"/>
          <w:smallCaps w:val="false"/>
          <w:strike/>
          <w:color w:val="FF0000"/>
          <w:sz w:val="20"/>
        </w:rPr>
        <w:t>entities listed below;</w:t>
      </w:r>
      <w:r>
        <w:rPr>
          <w:rFonts w:ascii="Times New Roman;Times;Serif" w:hAnsi="Times New Roman;Times;Serif"/>
          <w:b w:val="false"/>
          <w:i w:val="false"/>
          <w:caps w:val="false"/>
          <w:smallCaps w:val="false"/>
          <w:color w:val="0000FF"/>
          <w:sz w:val="20"/>
          <w:u w:val="single"/>
        </w:rPr>
        <w:t>Applicants, as the case may be,</w:t>
      </w:r>
      <w:r>
        <w:rPr>
          <w:rFonts w:ascii="Times New Roman;Times;Serif" w:hAnsi="Times New Roman;Times;Serif"/>
          <w:b w:val="false"/>
          <w:i w:val="false"/>
          <w:caps w:val="false"/>
          <w:smallCaps w:val="false"/>
          <w:sz w:val="20"/>
        </w:rPr>
        <w:t xml:space="preserve">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holds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 xml:space="preserve">office with </w:t>
      </w:r>
      <w:r>
        <w:rPr>
          <w:rFonts w:ascii="Times New Roman;Times;Serif" w:hAnsi="Times New Roman;Times;Serif"/>
          <w:b w:val="false"/>
          <w:i w:val="false"/>
          <w:caps w:val="false"/>
          <w:smallCaps w:val="false"/>
          <w:color w:val="0000FF"/>
          <w:sz w:val="20"/>
          <w:u w:val="single"/>
        </w:rPr>
        <w:t xml:space="preserve">each </w:t>
      </w:r>
      <w:r>
        <w:rPr>
          <w:rFonts w:ascii="Times New Roman;Times;Serif" w:hAnsi="Times New Roman;Times;Serif"/>
          <w:b w:val="false"/>
          <w:i w:val="false"/>
          <w:caps w:val="false"/>
          <w:smallCaps w:val="false"/>
          <w:sz w:val="20"/>
        </w:rPr>
        <w:t xml:space="preserve">such entity as indicated below and that all </w:t>
      </w:r>
      <w:r>
        <w:rPr>
          <w:rFonts w:ascii="Times New Roman;Times;Serif" w:hAnsi="Times New Roman;Times;Serif"/>
          <w:b w:val="false"/>
          <w:i w:val="false"/>
          <w:caps w:val="false"/>
          <w:smallCaps w:val="false"/>
          <w:strike/>
          <w:color w:val="FF0000"/>
          <w:sz w:val="20"/>
        </w:rPr>
        <w:t>action by</w:t>
      </w:r>
      <w:r>
        <w:rPr>
          <w:rFonts w:ascii="Times New Roman;Times;Serif" w:hAnsi="Times New Roman;Times;Serif"/>
          <w:b w:val="false"/>
          <w:i w:val="false"/>
          <w:caps w:val="false"/>
          <w:smallCaps w:val="false"/>
          <w:color w:val="0000FF"/>
          <w:sz w:val="20"/>
          <w:u w:val="single"/>
        </w:rPr>
        <w:t>actions by stockholders, officers,</w:t>
      </w:r>
      <w:r>
        <w:rPr>
          <w:rFonts w:ascii="Times New Roman;Times;Serif" w:hAnsi="Times New Roman;Times;Serif"/>
          <w:b w:val="false"/>
          <w:i w:val="false"/>
          <w:caps w:val="false"/>
          <w:smallCaps w:val="false"/>
          <w:sz w:val="20"/>
        </w:rPr>
        <w:t xml:space="preserve"> directors, </w:t>
      </w:r>
      <w:r>
        <w:rPr>
          <w:rFonts w:ascii="Times New Roman;Times;Serif" w:hAnsi="Times New Roman;Times;Serif"/>
          <w:b w:val="false"/>
          <w:i w:val="false"/>
          <w:caps w:val="false"/>
          <w:smallCaps w:val="false"/>
          <w:strike/>
          <w:color w:val="FF0000"/>
          <w:sz w:val="20"/>
        </w:rPr>
        <w:t>officers, stockholders, general partners, trustees or members of each entity and any other body</w:t>
      </w:r>
      <w:r>
        <w:rPr>
          <w:rFonts w:ascii="Times New Roman;Times;Serif" w:hAnsi="Times New Roman;Times;Serif"/>
          <w:b w:val="false"/>
          <w:i w:val="false"/>
          <w:caps w:val="false"/>
          <w:smallCaps w:val="false"/>
          <w:color w:val="0000FF"/>
          <w:sz w:val="20"/>
          <w:u w:val="single"/>
        </w:rPr>
        <w:t>and other bodies</w:t>
      </w:r>
      <w:r>
        <w:rPr>
          <w:rFonts w:ascii="Times New Roman;Times;Serif" w:hAnsi="Times New Roman;Times;Serif"/>
          <w:b w:val="false"/>
          <w:i w:val="false"/>
          <w:caps w:val="false"/>
          <w:smallCaps w:val="false"/>
          <w:sz w:val="20"/>
        </w:rPr>
        <w:t xml:space="preserve"> necessary to authorize the undersigned to execute and file such </w:t>
      </w:r>
      <w:r>
        <w:rPr>
          <w:rFonts w:ascii="Times New Roman;Times;Serif" w:hAnsi="Times New Roman;Times;Serif"/>
          <w:b w:val="false"/>
          <w:i w:val="false"/>
          <w:caps w:val="false"/>
          <w:smallCaps w:val="false"/>
          <w:strike/>
          <w:color w:val="FF0000"/>
          <w:sz w:val="20"/>
        </w:rPr>
        <w:t>instrument has</w:t>
      </w:r>
      <w:r>
        <w:rPr>
          <w:rFonts w:ascii="Times New Roman;Times;Serif" w:hAnsi="Times New Roman;Times;Serif"/>
          <w:b w:val="false"/>
          <w:i w:val="false"/>
          <w:caps w:val="false"/>
          <w:smallCaps w:val="false"/>
          <w:color w:val="0000FF"/>
          <w:sz w:val="20"/>
          <w:u w:val="single"/>
        </w:rPr>
        <w:t>Application have</w:t>
      </w:r>
      <w:r>
        <w:rPr>
          <w:rFonts w:ascii="Times New Roman;Times;Serif" w:hAnsi="Times New Roman;Times;Serif"/>
          <w:b w:val="false"/>
          <w:i w:val="false"/>
          <w:caps w:val="false"/>
          <w:smallCaps w:val="false"/>
          <w:sz w:val="20"/>
        </w:rPr>
        <w:t xml:space="preserve"> been taken. </w:t>
      </w:r>
      <w:r>
        <w:rPr>
          <w:rFonts w:ascii="Times New Roman;Times;Serif" w:hAnsi="Times New Roman;Times;Serif"/>
          <w:b w:val="false"/>
          <w:i w:val="false"/>
          <w:caps w:val="false"/>
          <w:smallCaps w:val="false"/>
          <w:strike/>
          <w:color w:val="FF0000"/>
          <w:sz w:val="20"/>
        </w:rPr>
        <w:t>Each of the</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undersigned further states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is familiar with </w:t>
      </w:r>
      <w:r>
        <w:rPr>
          <w:rFonts w:ascii="Times New Roman;Times;Serif" w:hAnsi="Times New Roman;Times;Serif"/>
          <w:b w:val="false"/>
          <w:i w:val="false"/>
          <w:caps w:val="false"/>
          <w:smallCaps w:val="false"/>
          <w:strike/>
          <w:color w:val="FF0000"/>
          <w:sz w:val="20"/>
        </w:rPr>
        <w:t>such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instrument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and the contents thereof, and that the facts </w:t>
      </w:r>
      <w:r>
        <w:rPr>
          <w:rFonts w:ascii="Times New Roman;Times;Serif" w:hAnsi="Times New Roman;Times;Serif"/>
          <w:b w:val="false"/>
          <w:i w:val="false"/>
          <w:caps w:val="false"/>
          <w:smallCaps w:val="false"/>
          <w:strike/>
          <w:color w:val="FF0000"/>
          <w:sz w:val="20"/>
        </w:rPr>
        <w:t xml:space="preserve">therein </w:t>
      </w:r>
      <w:r>
        <w:rPr>
          <w:rFonts w:ascii="Times New Roman;Times;Serif" w:hAnsi="Times New Roman;Times;Serif"/>
          <w:b w:val="false"/>
          <w:i w:val="false"/>
          <w:caps w:val="false"/>
          <w:smallCaps w:val="false"/>
          <w:sz w:val="20"/>
        </w:rPr>
        <w:t xml:space="preserve">set forth </w:t>
      </w:r>
      <w:r>
        <w:rPr>
          <w:rFonts w:ascii="Times New Roman;Times;Serif" w:hAnsi="Times New Roman;Times;Serif"/>
          <w:b w:val="false"/>
          <w:i w:val="false"/>
          <w:caps w:val="false"/>
          <w:smallCaps w:val="false"/>
          <w:color w:val="0000FF"/>
          <w:sz w:val="20"/>
          <w:u w:val="single"/>
        </w:rPr>
        <w:t xml:space="preserve">therein </w:t>
      </w:r>
      <w:r>
        <w:rPr>
          <w:rFonts w:ascii="Times New Roman;Times;Serif" w:hAnsi="Times New Roman;Times;Serif"/>
          <w:b w:val="false"/>
          <w:i w:val="false"/>
          <w:caps w:val="false"/>
          <w:smallCaps w:val="false"/>
          <w:sz w:val="20"/>
        </w:rPr>
        <w:t xml:space="preserve">are true to the best of his </w:t>
      </w:r>
      <w:r>
        <w:rPr>
          <w:rFonts w:ascii="Times New Roman;Times;Serif" w:hAnsi="Times New Roman;Times;Serif"/>
          <w:b w:val="false"/>
          <w:i w:val="false"/>
          <w:caps w:val="false"/>
          <w:smallCaps w:val="false"/>
          <w:color w:val="0000FF"/>
          <w:sz w:val="20"/>
          <w:u w:val="single"/>
        </w:rPr>
        <w:t xml:space="preserve">or her </w:t>
      </w:r>
      <w:r>
        <w:rPr>
          <w:rFonts w:ascii="Times New Roman;Times;Serif" w:hAnsi="Times New Roman;Times;Serif"/>
          <w:b w:val="false"/>
          <w:i w:val="false"/>
          <w:caps w:val="false"/>
          <w:smallCaps w:val="false"/>
          <w:sz w:val="20"/>
        </w:rPr>
        <w:t>knowledge, information</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belief.</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4540" w:type="dxa"/>
        <w:jc w:val="left"/>
        <w:tblInd w:w="0" w:type="dxa"/>
        <w:tblLayout w:type="fixed"/>
        <w:tblCellMar>
          <w:top w:w="0" w:type="dxa"/>
          <w:left w:w="0" w:type="dxa"/>
          <w:bottom w:w="0" w:type="dxa"/>
          <w:right w:w="0" w:type="dxa"/>
        </w:tblCellMar>
      </w:tblPr>
      <w:tblGrid>
        <w:gridCol w:w="560"/>
        <w:gridCol w:w="398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Chairman, Chief Executive Officer and President</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ADVISORS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Allison Green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Allison Green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 CAPITAL LENDING,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SURO CAPITAL SPORTS,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SRCI ADVISORS,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AE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AV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SW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SVDS HOLDINGS, INC.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II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VII,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XI, a series of Astrum Partners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XVIII</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Credit Opportunity 2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credit opportunity 2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2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opportunity 2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Longhorn Special Opportunities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2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Opportunity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Ventures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ai ventures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Alpha Star Fund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ALPHA STAR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Fund II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CAPITAL FUND ii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Master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4315" w:type="dxa"/>
        <w:jc w:val="left"/>
        <w:tblInd w:w="0" w:type="dxa"/>
        <w:tblLayout w:type="fixed"/>
        <w:tblCellMar>
          <w:top w:w="0" w:type="dxa"/>
          <w:left w:w="0" w:type="dxa"/>
          <w:bottom w:w="0" w:type="dxa"/>
          <w:right w:w="0" w:type="dxa"/>
        </w:tblCellMar>
      </w:tblPr>
      <w:tblGrid>
        <w:gridCol w:w="560"/>
        <w:gridCol w:w="3755"/>
      </w:tblGrid>
      <w:tr>
        <w:trPr/>
        <w:tc>
          <w:tcPr>
            <w:tcW w:w="43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INCOME FUND</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Treasurer (Principal Financial Officer)</w:t>
            </w:r>
            <w:r>
              <w:rPr>
                <w:rFonts w:ascii="Times New Roman;Times;Serif" w:hAnsi="Times New Roman;Times;Serif"/>
                <w:b w:val="false"/>
                <w:i w:val="false"/>
                <w:caps w:val="false"/>
                <w:smallCaps w:val="false"/>
                <w:color w:val="0000FF"/>
                <w:sz w:val="20"/>
                <w:u w:val="single"/>
              </w:rPr>
              <w:t>Director</w:t>
            </w:r>
          </w:p>
        </w:tc>
      </w:tr>
      <w:tr>
        <w:trPr/>
        <w:tc>
          <w:tcPr>
            <w:tcW w:w="43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3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NATIONAL GROUP, LLC</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Master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(UK) LLP</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095" w:type="dxa"/>
        <w:jc w:val="left"/>
        <w:tblInd w:w="0" w:type="dxa"/>
        <w:tblLayout w:type="fixed"/>
        <w:tblCellMar>
          <w:top w:w="0" w:type="dxa"/>
          <w:left w:w="0" w:type="dxa"/>
          <w:bottom w:w="0" w:type="dxa"/>
          <w:right w:w="0" w:type="dxa"/>
        </w:tblCellMar>
      </w:tblPr>
      <w:tblGrid>
        <w:gridCol w:w="560"/>
        <w:gridCol w:w="15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APPK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appk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Opportunity Series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Lake Credit Fund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5650" w:type="dxa"/>
        <w:jc w:val="left"/>
        <w:tblInd w:w="0" w:type="dxa"/>
        <w:tblLayout w:type="fixed"/>
        <w:tblCellMar>
          <w:top w:w="0" w:type="dxa"/>
          <w:left w:w="0" w:type="dxa"/>
          <w:bottom w:w="0" w:type="dxa"/>
          <w:right w:w="0" w:type="dxa"/>
        </w:tblCellMar>
      </w:tblPr>
      <w:tblGrid>
        <w:gridCol w:w="560"/>
        <w:gridCol w:w="50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Managing Partner and Chief Financial Officer</w:t>
            </w:r>
            <w:r>
              <w:rPr>
                <w:rFonts w:ascii="Times New Roman;Times;Serif" w:hAnsi="Times New Roman;Times;Serif"/>
                <w:b w:val="false"/>
                <w:i w:val="false"/>
                <w:caps w:val="false"/>
                <w:smallCaps w:val="false"/>
                <w:color w:val="0000FF"/>
                <w:sz w:val="20"/>
                <w:u w:val="single"/>
              </w:rPr>
              <w:t>General Counsel</w:t>
            </w:r>
          </w:p>
        </w:tc>
      </w:tr>
    </w:tbl>
    <w:tbl>
      <w:tblPr>
        <w:tblW w:w="5524" w:type="dxa"/>
        <w:jc w:val="left"/>
        <w:tblInd w:w="0" w:type="dxa"/>
        <w:tblLayout w:type="fixed"/>
        <w:tblCellMar>
          <w:top w:w="0" w:type="dxa"/>
          <w:left w:w="0" w:type="dxa"/>
          <w:bottom w:w="0" w:type="dxa"/>
          <w:right w:w="0" w:type="dxa"/>
        </w:tblCellMar>
      </w:tblPr>
      <w:tblGrid>
        <w:gridCol w:w="2760"/>
        <w:gridCol w:w="2764"/>
      </w:tblGrid>
      <w:tr>
        <w:trPr/>
        <w:tc>
          <w:tcPr>
            <w:tcW w:w="55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5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MARKET OPPORTUNITIES IX (Q), LP</w:t>
            </w:r>
          </w:p>
        </w:tc>
      </w:tr>
      <w:tr>
        <w:trPr/>
        <w:tc>
          <w:tcPr>
            <w:tcW w:w="2760"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Longhorn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8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8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A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2025-2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2025-2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2025-3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2025-3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2025-4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2025-4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2025-A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5209" w:type="dxa"/>
        <w:jc w:val="left"/>
        <w:tblInd w:w="0" w:type="dxa"/>
        <w:tblLayout w:type="fixed"/>
        <w:tblCellMar>
          <w:top w:w="0" w:type="dxa"/>
          <w:left w:w="0" w:type="dxa"/>
          <w:bottom w:w="0" w:type="dxa"/>
          <w:right w:w="0" w:type="dxa"/>
        </w:tblCellMar>
      </w:tblPr>
      <w:tblGrid>
        <w:gridCol w:w="1030"/>
        <w:gridCol w:w="4179"/>
      </w:tblGrid>
      <w:tr>
        <w:trPr/>
        <w:tc>
          <w:tcPr>
            <w:tcW w:w="1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Karl Wachter</w:t>
            </w:r>
          </w:p>
        </w:tc>
      </w:tr>
      <w:tr>
        <w:trPr/>
        <w:tc>
          <w:tcPr>
            <w:tcW w:w="1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1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General Counsel</w:t>
            </w:r>
          </w:p>
        </w:tc>
      </w:tr>
      <w:tr>
        <w:trPr/>
        <w:tc>
          <w:tcPr>
            <w:tcW w:w="52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2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MARKET OPPORTUNITIES IX, LP</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5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5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6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6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7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7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special situations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Master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Structured Credit Fund, LP DBA Constellation onshore fund</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general partner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4549" w:type="dxa"/>
        <w:jc w:val="left"/>
        <w:tblInd w:w="0" w:type="dxa"/>
        <w:tblLayout w:type="fixed"/>
        <w:tblCellMar>
          <w:top w:w="0" w:type="dxa"/>
          <w:left w:w="0" w:type="dxa"/>
          <w:bottom w:w="0" w:type="dxa"/>
          <w:right w:w="0" w:type="dxa"/>
        </w:tblCellMar>
      </w:tblPr>
      <w:tblGrid>
        <w:gridCol w:w="900"/>
        <w:gridCol w:w="3649"/>
      </w:tblGrid>
      <w:tr>
        <w:trPr/>
        <w:tc>
          <w:tcPr>
            <w:tcW w:w="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Karl Wachter</w:t>
            </w:r>
          </w:p>
        </w:tc>
      </w:tr>
      <w:tr>
        <w:trPr/>
        <w:tc>
          <w:tcPr>
            <w:tcW w:w="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General Counsel</w:t>
            </w:r>
          </w:p>
        </w:tc>
      </w:tr>
      <w:tr>
        <w:trPr/>
        <w:tc>
          <w:tcPr>
            <w:tcW w:w="45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5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REAL ESTATE LENDING FUND, LLC</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Alternative Credit Fund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A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C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Fund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45" w:type="dxa"/>
        <w:jc w:val="left"/>
        <w:tblInd w:w="0" w:type="dxa"/>
        <w:tblLayout w:type="fixed"/>
        <w:tblCellMar>
          <w:top w:w="0" w:type="dxa"/>
          <w:left w:w="0" w:type="dxa"/>
          <w:bottom w:w="0" w:type="dxa"/>
          <w:right w:w="0" w:type="dxa"/>
        </w:tblCellMar>
      </w:tblPr>
      <w:tblGrid>
        <w:gridCol w:w="560"/>
        <w:gridCol w:w="138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Master Fund Ltd</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1915" w:type="dxa"/>
        <w:jc w:val="left"/>
        <w:tblInd w:w="0" w:type="dxa"/>
        <w:tblLayout w:type="fixed"/>
        <w:tblCellMar>
          <w:top w:w="0" w:type="dxa"/>
          <w:left w:w="0" w:type="dxa"/>
          <w:bottom w:w="0" w:type="dxa"/>
          <w:right w:w="0" w:type="dxa"/>
        </w:tblCellMar>
      </w:tblPr>
      <w:tblGrid>
        <w:gridCol w:w="560"/>
        <w:gridCol w:w="135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MCP Investing LLC</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5074" w:type="dxa"/>
        <w:jc w:val="left"/>
        <w:tblInd w:w="0" w:type="dxa"/>
        <w:tblLayout w:type="fixed"/>
        <w:tblCellMar>
          <w:top w:w="0" w:type="dxa"/>
          <w:left w:w="0" w:type="dxa"/>
          <w:bottom w:w="0" w:type="dxa"/>
          <w:right w:w="0" w:type="dxa"/>
        </w:tblCellMar>
      </w:tblPr>
      <w:tblGrid>
        <w:gridCol w:w="925"/>
        <w:gridCol w:w="4149"/>
      </w:tblGrid>
      <w:tr>
        <w:trPr/>
        <w:tc>
          <w:tcPr>
            <w:tcW w:w="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Karl Wachter</w:t>
            </w:r>
          </w:p>
        </w:tc>
      </w:tr>
      <w:tr>
        <w:trPr/>
        <w:tc>
          <w:tcPr>
            <w:tcW w:w="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Authorized Signatory</w:t>
            </w:r>
          </w:p>
        </w:tc>
      </w:tr>
      <w:tr>
        <w:trPr/>
        <w:tc>
          <w:tcPr>
            <w:tcW w:w="50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0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REAL ESTATE INVESTMENT TRUST, LLC</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Mustang Opportunities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Mustang opportunities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F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T LLC</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Realta Investments Ireland Designated Activity Company</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3070" w:type="dxa"/>
        <w:jc w:val="left"/>
        <w:tblInd w:w="0" w:type="dxa"/>
        <w:tblLayout w:type="fixed"/>
        <w:tblCellMar>
          <w:top w:w="0" w:type="dxa"/>
          <w:left w:w="0" w:type="dxa"/>
          <w:bottom w:w="0" w:type="dxa"/>
          <w:right w:w="0" w:type="dxa"/>
        </w:tblCellMar>
      </w:tblPr>
      <w:tblGrid>
        <w:gridCol w:w="560"/>
        <w:gridCol w:w="251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caps w:val="false"/>
                <w:smallCaps w:val="false"/>
                <w:color w:val="0000FF"/>
                <w:sz w:val="20"/>
                <w:u w:val="single"/>
              </w:rPr>
              <w:t>Bronwyn Wright</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Bronwyn Wright</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1, A Series of Astrum Partners II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 A Series of Astrum Partners II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2026-1, a Series of Magnetar Investment Opportunity Series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2026-2, a Series of Magnetar Investment Opportunity Series FUND LP</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left"/>
        <w:rPr>
          <w:caps w:val="false"/>
          <w:smallCaps w:val="false"/>
          <w:color w:val="0000FF"/>
        </w:rPr>
      </w:pPr>
      <w:r>
        <w:rPr>
          <w:caps w:val="false"/>
          <w:smallCaps w:val="false"/>
          <w:color w:val="0000FF"/>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color w:val="0000FF"/>
        </w:rPr>
      </w:pPr>
      <w:r>
        <w:rPr>
          <w:caps w:val="false"/>
          <w:smallCaps w:val="false"/>
          <w:color w:val="0000FF"/>
        </w:rPr>
        <w:t> </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B</w:t>
      </w:r>
    </w:p>
    <w:p>
      <w:pPr>
        <w:pStyle w:val="TextBody"/>
        <w:bidi w:val="0"/>
        <w:spacing w:before="0" w:after="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EXHIBIT A</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Resolutions </w:t>
      </w:r>
      <w:r>
        <w:rPr>
          <w:rFonts w:ascii="Times New Roman;Times;Serif" w:hAnsi="Times New Roman;Times;Serif"/>
          <w:b/>
          <w:i w:val="false"/>
          <w:caps w:val="false"/>
          <w:smallCaps w:val="false"/>
          <w:strike/>
          <w:color w:val="FF0000"/>
          <w:sz w:val="20"/>
          <w:u w:val="single"/>
        </w:rPr>
        <w:t>Adopted by</w:t>
      </w:r>
      <w:r>
        <w:rPr>
          <w:rFonts w:ascii="Times New Roman;Times;Serif" w:hAnsi="Times New Roman;Times;Serif"/>
          <w:b/>
          <w:i w:val="false"/>
          <w:caps w:val="false"/>
          <w:smallCaps w:val="false"/>
          <w:color w:val="0000FF"/>
          <w:sz w:val="20"/>
          <w:u w:val="single"/>
        </w:rPr>
        <w:t>of</w:t>
      </w:r>
      <w:r>
        <w:rPr>
          <w:rFonts w:ascii="Times New Roman;Times;Serif" w:hAnsi="Times New Roman;Times;Serif"/>
          <w:b/>
          <w:i w:val="false"/>
          <w:caps w:val="false"/>
          <w:smallCaps w:val="false"/>
          <w:sz w:val="20"/>
        </w:rPr>
        <w:t xml:space="preserve"> the Board of </w:t>
      </w:r>
      <w:r>
        <w:rPr>
          <w:rFonts w:ascii="Times New Roman;Times;Serif" w:hAnsi="Times New Roman;Times;Serif"/>
          <w:b/>
          <w:i w:val="false"/>
          <w:caps w:val="false"/>
          <w:smallCaps w:val="false"/>
          <w:strike/>
          <w:color w:val="FF0000"/>
          <w:sz w:val="20"/>
          <w:u w:val="single"/>
        </w:rPr>
        <w:t xml:space="preserve">Trustees of Keystone Private Income </w:t>
      </w:r>
      <w:r>
        <w:rPr>
          <w:rFonts w:ascii="Times New Roman;Times;Serif" w:hAnsi="Times New Roman;Times;Serif"/>
          <w:b/>
          <w:i w:val="false"/>
          <w:caps w:val="false"/>
          <w:smallCaps w:val="false"/>
          <w:color w:val="0000FF"/>
          <w:sz w:val="20"/>
          <w:u w:val="single"/>
        </w:rPr>
        <w:t>Directors of Neostellar Capital Corp. (the “</w:t>
      </w:r>
      <w:r>
        <w:rPr>
          <w:rFonts w:ascii="Times New Roman;Times;Serif" w:hAnsi="Times New Roman;Times;Serif"/>
          <w:b/>
          <w:i w:val="false"/>
          <w:caps w:val="false"/>
          <w:smallCaps w:val="false"/>
          <w:sz w:val="20"/>
        </w:rPr>
        <w:t>Fund</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Approval of Filing Section 17(d) Application for Co-Investment Relief</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w:t>
      </w:r>
      <w:r>
        <w:rPr>
          <w:rFonts w:ascii="Times New Roman;Times;Serif" w:hAnsi="Times New Roman;Times;Serif"/>
          <w:b w:val="false"/>
          <w:i w:val="false"/>
          <w:caps w:val="false"/>
          <w:smallCaps w:val="false"/>
          <w:strike/>
          <w:color w:val="FF0000"/>
          <w:sz w:val="20"/>
        </w:rPr>
        <w:t xml:space="preserve">of Trustees of the Keystone Private Income Fund (the “Fund”) </w:t>
      </w:r>
      <w:r>
        <w:rPr>
          <w:rFonts w:ascii="Times New Roman;Times;Serif" w:hAnsi="Times New Roman;Times;Serif"/>
          <w:b w:val="false"/>
          <w:i w:val="false"/>
          <w:caps w:val="false"/>
          <w:smallCaps w:val="false"/>
          <w:sz w:val="20"/>
        </w:rPr>
        <w:t xml:space="preserve">deems 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now therefore be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NOW, THEREFORE, BE IT </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the officers of </w:t>
      </w:r>
      <w:r>
        <w:rPr>
          <w:rFonts w:ascii="Times New Roman;Times;Serif" w:hAnsi="Times New Roman;Times;Serif"/>
          <w:b w:val="false"/>
          <w:i w:val="false"/>
          <w:caps w:val="false"/>
          <w:smallCaps w:val="false"/>
          <w:strike/>
          <w:color w:val="FF0000"/>
          <w:sz w:val="20"/>
        </w:rPr>
        <w:t xml:space="preserve">Keystone National Group, LLC and </w:t>
      </w:r>
      <w:r>
        <w:rPr>
          <w:rFonts w:ascii="Times New Roman;Times;Serif" w:hAnsi="Times New Roman;Times;Serif"/>
          <w:b w:val="false"/>
          <w:i w:val="false"/>
          <w:caps w:val="false"/>
          <w:smallCaps w:val="false"/>
          <w:sz w:val="20"/>
        </w:rPr>
        <w:t xml:space="preserve">the Fund be, and each of them hereby is, authorized and directed on behalf of the Fund and in its name </w:t>
      </w:r>
      <w:r>
        <w:rPr>
          <w:rFonts w:ascii="Times New Roman;Times;Serif" w:hAnsi="Times New Roman;Times;Serif"/>
          <w:b w:val="false"/>
          <w:i w:val="false"/>
          <w:caps w:val="false"/>
          <w:smallCaps w:val="false"/>
          <w:strike/>
          <w:color w:val="FF0000"/>
          <w:sz w:val="20"/>
        </w:rPr>
        <w:t xml:space="preserve">and on behalf of the Fund, </w:t>
      </w:r>
      <w:r>
        <w:rPr>
          <w:rFonts w:ascii="Times New Roman;Times;Serif" w:hAnsi="Times New Roman;Times;Serif"/>
          <w:b w:val="false"/>
          <w:i w:val="false"/>
          <w:caps w:val="false"/>
          <w:smallCaps w:val="false"/>
          <w:sz w:val="20"/>
        </w:rPr>
        <w:t xml:space="preserve">to prepare, execute, and cause to be filed with the Commission an Application for an </w:t>
      </w:r>
      <w:r>
        <w:rPr>
          <w:rFonts w:ascii="Times New Roman;Times;Serif" w:hAnsi="Times New Roman;Times;Serif"/>
          <w:b w:val="false"/>
          <w:i w:val="false"/>
          <w:caps w:val="false"/>
          <w:smallCaps w:val="false"/>
          <w:strike/>
          <w:color w:val="FF0000"/>
          <w:sz w:val="20"/>
        </w:rPr>
        <w:t>Order</w:t>
      </w:r>
      <w:r>
        <w:rPr>
          <w:rFonts w:ascii="Times New Roman;Times;Serif" w:hAnsi="Times New Roman;Times;Serif"/>
          <w:b w:val="false"/>
          <w:i w:val="false"/>
          <w:caps w:val="false"/>
          <w:smallCaps w:val="false"/>
          <w:color w:val="0000FF"/>
          <w:sz w:val="20"/>
          <w:u w:val="single"/>
        </w:rPr>
        <w:t>order</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trike/>
          <w:color w:val="FF0000"/>
          <w:sz w:val="20"/>
        </w:rPr>
        <w:t>Exemption</w:t>
      </w:r>
      <w:r>
        <w:rPr>
          <w:rFonts w:ascii="Times New Roman;Times;Serif" w:hAnsi="Times New Roman;Times;Serif"/>
          <w:b w:val="false"/>
          <w:i w:val="false"/>
          <w:caps w:val="false"/>
          <w:smallCaps w:val="false"/>
          <w:color w:val="0000FF"/>
          <w:sz w:val="20"/>
          <w:u w:val="single"/>
        </w:rPr>
        <w:t>exemption</w:t>
      </w:r>
      <w:r>
        <w:rPr>
          <w:rFonts w:ascii="Times New Roman;Times;Serif" w:hAnsi="Times New Roman;Times;Serif"/>
          <w:b w:val="false"/>
          <w:i w:val="false"/>
          <w:caps w:val="false"/>
          <w:smallCaps w:val="false"/>
          <w:sz w:val="20"/>
        </w:rPr>
        <w:t>, substantially in the form attached hereto as Exhibit A, and any amendments thereto, pursuant to Section 17(d) of the 1940 Act</w:t>
      </w:r>
      <w:r>
        <w:rPr>
          <w:rFonts w:ascii="Times New Roman;Times;Serif" w:hAnsi="Times New Roman;Times;Serif"/>
          <w:b w:val="false"/>
          <w:i w:val="false"/>
          <w:caps w:val="false"/>
          <w:smallCaps w:val="false"/>
          <w:strike/>
          <w:color w:val="FF0000"/>
          <w:sz w:val="20"/>
        </w:rPr>
        <w:t>, and Rule 17d-1 promulgated under the 1940 Act, authorizing certain joint transactions that otherwise may be prohibited by Section 17(d) of the 1940 Act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 xml:space="preserve">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further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the officers of the Fund be, and each of them hereby is, authorized and directed to take such further action and execute such other documents as such officer or officers shall deem necessary or advisable in order to effectuate the intent of the foregoing resolution; and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 xml:space="preserve">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further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any and all actions previously taken by the Fund or any of its </w:t>
      </w:r>
      <w:r>
        <w:rPr>
          <w:rFonts w:ascii="Times New Roman;Times;Serif" w:hAnsi="Times New Roman;Times;Serif"/>
          <w:b w:val="false"/>
          <w:i w:val="false"/>
          <w:caps w:val="false"/>
          <w:smallCaps w:val="false"/>
          <w:strike/>
          <w:color w:val="FF0000"/>
          <w:sz w:val="20"/>
        </w:rPr>
        <w:t>trustees</w:t>
      </w:r>
      <w:r>
        <w:rPr>
          <w:rFonts w:ascii="Times New Roman;Times;Serif" w:hAnsi="Times New Roman;Times;Serif"/>
          <w:b w:val="false"/>
          <w:i w:val="false"/>
          <w:caps w:val="false"/>
          <w:smallCaps w:val="false"/>
          <w:color w:val="0000FF"/>
          <w:sz w:val="20"/>
          <w:u w:val="single"/>
        </w:rPr>
        <w:t>directors</w:t>
      </w:r>
      <w:r>
        <w:rPr>
          <w:rFonts w:ascii="Times New Roman;Times;Serif" w:hAnsi="Times New Roman;Times;Serif"/>
          <w:b w:val="false"/>
          <w:i w:val="false"/>
          <w:caps w:val="false"/>
          <w:smallCaps w:val="false"/>
          <w:sz w:val="20"/>
        </w:rPr>
        <w:t xml:space="preserve"> or officers in connection with the actions contemplated by the foregoing resolutions be, and each of them hereby is, ratified, confirmed, approved and adopted in all respects as and for the acts and deeds of the Fund.</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Adopted July 15, 2026</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color w:val="0000FF"/>
        </w:rPr>
      </w:pPr>
      <w:r>
        <w:rPr>
          <w:caps w:val="false"/>
          <w:smallCaps w:val="false"/>
          <w:color w:val="0000FF"/>
        </w:rPr>
        <w:t> </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C</w:t>
      </w:r>
    </w:p>
    <w:p>
      <w:pPr>
        <w:pStyle w:val="TextBody"/>
        <w:bidi w:val="0"/>
        <w:spacing w:before="0" w:after="0"/>
        <w:ind w:left="0" w:right="0" w:hanging="0"/>
        <w:jc w:val="right"/>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Marked Copies of the Application Showing Changes from the Final Versions of the Two Applications Identified as Substantially Identical Under Rule 0-5(e)(3)</w:t>
      </w:r>
    </w:p>
    <w:p>
      <w:pPr>
        <w:pStyle w:val="TextBody"/>
        <w:bidi w:val="0"/>
        <w:spacing w:before="0" w:after="0"/>
        <w:ind w:left="0" w:right="0" w:hanging="0"/>
        <w:jc w:val="center"/>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color w:val="0000FF"/>
        </w:rPr>
      </w:pPr>
      <w:r>
        <w:rPr>
          <w:caps w:val="false"/>
          <w:smallCaps w:val="false"/>
          <w:color w:val="0000FF"/>
        </w:rPr>
        <w:t> </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D</w:t>
      </w:r>
    </w:p>
    <w:p>
      <w:pPr>
        <w:pStyle w:val="TextBody"/>
        <w:bidi w:val="0"/>
        <w:spacing w:before="0" w:after="0"/>
        <w:ind w:left="0" w:right="0" w:hanging="0"/>
        <w:jc w:val="right"/>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Marked Copy of Amendment No. 1 to the Application Showing Changes from the Application Filed with the Commission on August 3, 2026</w:t>
      </w:r>
    </w:p>
    <w:p>
      <w:pPr>
        <w:pStyle w:val="TextBody"/>
        <w:bidi w:val="0"/>
        <w:spacing w:before="0" w:after="0"/>
        <w:ind w:left="0" w:right="0" w:hanging="0"/>
        <w:jc w:val="center"/>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Marked Copy of Amendment No. 1 to the Application Showing Changes from the Application Filed with the Commission on August 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 No. </w:t>
      </w:r>
      <w:r>
        <w:rPr>
          <w:rFonts w:ascii="Times New Roman;Times;Serif" w:hAnsi="Times New Roman;Times;Serif"/>
          <w:b w:val="false"/>
          <w:i w:val="false"/>
          <w:caps w:val="false"/>
          <w:smallCaps w:val="false"/>
          <w:strike/>
          <w:color w:val="FF0000"/>
          <w:sz w:val="20"/>
        </w:rPr>
        <w:t>812-</w:t>
      </w:r>
      <w:r>
        <w:rPr>
          <w:rFonts w:ascii="Times New Roman;Times;Serif" w:hAnsi="Times New Roman;Times;Serif"/>
          <w:b w:val="false"/>
          <w:i w:val="false"/>
          <w:caps w:val="false"/>
          <w:smallCaps w:val="false"/>
          <w:color w:val="0000FF"/>
          <w:sz w:val="20"/>
          <w:u w:val="single"/>
        </w:rPr>
        <w:t>812-16066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U.S. 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EXPEDITED REVIEW REQUESTED UNDER 17 CFR 270.0-5(d)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NEOSTELLAR ADVISORS LLC, GSV CAPITAL LENDING, LLC, SURO CAPITAL SPORTS, LLC, SRCI ADVISORS, LLC, GSVC AE HOLDINGS, INC., GSVC AV HOLDINGS, INC., GSVC SW HOLDINGS, INC., GSVC SVDS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Magnetar financial </w:t>
      </w:r>
      <w:r>
        <w:rPr>
          <w:rFonts w:ascii="Times New Roman;Times;Serif" w:hAnsi="Times New Roman;Times;Serif"/>
          <w:b/>
          <w:i w:val="false"/>
          <w:caps/>
          <w:strike/>
          <w:color w:val="FF0000"/>
          <w:sz w:val="20"/>
        </w:rPr>
        <w:t xml:space="preserve">llc, magnetar asset management </w:t>
      </w:r>
      <w:r>
        <w:rPr>
          <w:rFonts w:ascii="Times New Roman;Times;Serif" w:hAnsi="Times New Roman;Times;Serif"/>
          <w:b/>
          <w:i w:val="false"/>
          <w:caps/>
          <w:sz w:val="20"/>
        </w:rPr>
        <w:t xml:space="preserve">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w:t>
      </w:r>
      <w:r>
        <w:rPr>
          <w:rFonts w:ascii="Times New Roman;Times;Serif" w:hAnsi="Times New Roman;Times;Serif"/>
          <w:b/>
          <w:i w:val="false"/>
          <w:caps/>
          <w:strike/>
          <w:color w:val="FF0000"/>
          <w:sz w:val="20"/>
        </w:rPr>
        <w:t xml:space="preserve">Capital Partners LP, Magnetar </w:t>
      </w:r>
      <w:r>
        <w:rPr>
          <w:rFonts w:ascii="Times New Roman;Times;Serif" w:hAnsi="Times New Roman;Times;Serif"/>
          <w:b/>
          <w:i w:val="false"/>
          <w:caps/>
          <w:sz w:val="20"/>
        </w:rPr>
        <w:t>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AMENDMENT NO. 1 TO THE </w:t>
      </w:r>
      <w:r>
        <w:rPr>
          <w:rFonts w:ascii="Times New Roman;Times;Serif" w:hAnsi="Times New Roman;Times;Serif"/>
          <w:b w:val="false"/>
          <w:i w:val="false"/>
          <w:caps w:val="false"/>
          <w:smallCaps w:val="false"/>
          <w:sz w:val="20"/>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agreen@neostellaradvisors.com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mklein@neostellaradvisors.com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Karl Wachter,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Butler,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mike.butler@magnetar.com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Copies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payam.siadatpour@eversheds-sutherland.com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Clifford R. Cone,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Sidley Austin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787 Seventh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839-5300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cliff.cone@sidley.com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August 3</w:t>
      </w:r>
      <w:r>
        <w:rPr>
          <w:rFonts w:ascii="Times New Roman;Times;Serif" w:hAnsi="Times New Roman;Times;Serif"/>
          <w:b w:val="false"/>
          <w:i w:val="false"/>
          <w:caps w:val="false"/>
          <w:smallCaps w:val="false"/>
          <w:color w:val="0000FF"/>
          <w:sz w:val="20"/>
          <w:u w:val="single"/>
        </w:rPr>
        <w:t>October 1</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7617"/>
        <w:gridCol w:w="80"/>
        <w:gridCol w:w="2508"/>
      </w:tblGrid>
      <w:tr>
        <w:trPr/>
        <w:tc>
          <w:tcPr>
            <w:tcW w:w="10205" w:type="dxa"/>
            <w:gridSpan w:val="3"/>
            <w:tcBorders>
              <w:top w:val="double" w:sz="4"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 OF AMERICA</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BEFORE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p>
        </w:tc>
      </w:tr>
      <w:tr>
        <w:trPr/>
        <w:tc>
          <w:tcPr>
            <w:tcW w:w="7617"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IN THE MATTER 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NEOSTELLAR ADVISORS LLC, GSV CAPITAL LENDING, LLC, SURO CAPITAL SPORTS, LLC, SRCI ADVISORS, LLC, GSVC AE HOLDINGS, INC., GSVC AV HOLDINGS, INC., GSVC SW HOLDINGS, INC., GSVC SVDS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br/>
              <w:t>NEW YORK, NY 10019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 xml:space="preserve">Magnetar financial </w:t>
            </w:r>
            <w:r>
              <w:rPr>
                <w:rFonts w:ascii="Times New Roman;Times;Serif" w:hAnsi="Times New Roman;Times;Serif"/>
                <w:b/>
                <w:i w:val="false"/>
                <w:caps/>
                <w:strike/>
                <w:color w:val="FF0000"/>
                <w:sz w:val="20"/>
              </w:rPr>
              <w:t xml:space="preserve">llc, magnetar asset management </w:t>
            </w:r>
            <w:r>
              <w:rPr>
                <w:rFonts w:ascii="Times New Roman;Times;Serif" w:hAnsi="Times New Roman;Times;Serif"/>
                <w:b/>
                <w:i w:val="false"/>
                <w:caps/>
                <w:sz w:val="20"/>
              </w:rPr>
              <w:t xml:space="preserve">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w:t>
            </w:r>
            <w:r>
              <w:rPr>
                <w:rFonts w:ascii="Times New Roman;Times;Serif" w:hAnsi="Times New Roman;Times;Serif"/>
                <w:b/>
                <w:i w:val="false"/>
                <w:caps/>
                <w:strike/>
                <w:color w:val="FF0000"/>
                <w:sz w:val="20"/>
              </w:rPr>
              <w:t xml:space="preserve">, </w:t>
            </w:r>
            <w:r>
              <w:rPr>
                <w:rFonts w:ascii="Times New Roman;Times;Serif" w:hAnsi="Times New Roman;Times;Serif"/>
                <w:b/>
                <w:i w:val="false"/>
                <w:caps/>
                <w:sz w:val="20"/>
              </w:rPr>
              <w:t xml:space="preserve">Magnetar Capital Fund II LP, Magnetar Capital Master Fund, Ltd, </w:t>
            </w:r>
            <w:r>
              <w:rPr>
                <w:rFonts w:ascii="Times New Roman;Times;Serif" w:hAnsi="Times New Roman;Times;Serif"/>
                <w:b/>
                <w:i w:val="false"/>
                <w:caps/>
                <w:strike/>
                <w:color w:val="FF0000"/>
                <w:sz w:val="20"/>
              </w:rPr>
              <w:t xml:space="preserve">Magnetar Capital Partners LP, </w:t>
            </w:r>
            <w:r>
              <w:rPr>
                <w:rFonts w:ascii="Times New Roman;Times;Serif" w:hAnsi="Times New Roman;Times;Serif"/>
                <w:b/>
                <w:i w:val="false"/>
                <w:caps/>
                <w:sz w:val="20"/>
              </w:rPr>
              <w:t>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1603 Orrington Avenue, 13th Floor</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br/>
              <w:t>Evanston, IL 60201</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No. </w:t>
            </w:r>
            <w:r>
              <w:rPr>
                <w:rFonts w:ascii="Times New Roman;Times;Serif" w:hAnsi="Times New Roman;Times;Serif"/>
                <w:b/>
                <w:i w:val="false"/>
                <w:caps w:val="false"/>
                <w:smallCaps w:val="false"/>
                <w:strike/>
                <w:color w:val="FF0000"/>
                <w:sz w:val="20"/>
              </w:rPr>
              <w:t>812-</w:t>
            </w:r>
            <w:r>
              <w:rPr>
                <w:rFonts w:ascii="Times New Roman;Times;Serif" w:hAnsi="Times New Roman;Times;Serif"/>
                <w:b/>
                <w:i w:val="false"/>
                <w:caps w:val="false"/>
                <w:smallCaps w:val="false"/>
                <w:color w:val="0000FF"/>
                <w:sz w:val="20"/>
                <w:u w:val="single"/>
              </w:rPr>
              <w:t>812-16066</w:t>
            </w:r>
          </w:p>
        </w:tc>
        <w:tc>
          <w:tcPr>
            <w:tcW w:w="80" w:type="dxa"/>
            <w:tcBorders/>
            <w:tcMar>
              <w:top w:w="0" w:type="dxa"/>
              <w:bottom w:w="0" w:type="dxa"/>
            </w:tcMar>
            <w:vAlign w:val="center"/>
          </w:tcPr>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p>
          <w:p>
            <w:pPr>
              <w:pStyle w:val="TableContents"/>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p>
          <w:p>
            <w:pPr>
              <w:pStyle w:val="TableContents"/>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p>
          <w:p>
            <w:pPr>
              <w:pStyle w:val="TableContents"/>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p>
          <w:p>
            <w:pPr>
              <w:pStyle w:val="TableContents"/>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p>
          <w:p>
            <w:pPr>
              <w:pStyle w:val="TableContents"/>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p>
          <w:p>
            <w:pPr>
              <w:pStyle w:val="TableContents"/>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08" w:type="dxa"/>
            <w:tcBorders/>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color w:val="0000FF"/>
                <w:sz w:val="20"/>
                <w:u w:val="single"/>
              </w:rPr>
              <w:t xml:space="preserve">AMENDMENT NO. 1 TO THE </w:t>
            </w:r>
            <w:r>
              <w:rPr>
                <w:rFonts w:ascii="Times New Roman;Times;Serif" w:hAnsi="Times New Roman;Times;Serif"/>
                <w:b/>
                <w:i w:val="false"/>
                <w:caps w:val="false"/>
                <w:smallCaps w:val="false"/>
                <w:sz w:val="20"/>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55"/>
        <w:gridCol w:w="2750"/>
      </w:tblGrid>
      <w:tr>
        <w:trPr/>
        <w:tc>
          <w:tcPr>
            <w:tcW w:w="1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w:t>
            </w:r>
          </w:p>
        </w:tc>
        <w:tc>
          <w:tcPr>
            <w:tcW w:w="275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SUMMARY OF APPLICATION</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 (the “</w:t>
            </w:r>
            <w:r>
              <w:rPr>
                <w:rFonts w:ascii="Times New Roman;Times;Serif" w:hAnsi="Times New Roman;Times;Serif"/>
                <w:b/>
                <w:i/>
                <w:caps w:val="false"/>
                <w:smallCaps w:val="false"/>
                <w:sz w:val="20"/>
              </w:rPr>
              <w:t>Existing Regulated Fund</w:t>
            </w:r>
            <w:r>
              <w:rPr>
                <w:rFonts w:ascii="Times New Roman;Times;Serif" w:hAnsi="Times New Roman;Times;Serif"/>
                <w:b w:val="false"/>
                <w:i w:val="false"/>
                <w:caps w:val="false"/>
                <w:smallCaps w:val="false"/>
                <w:sz w:val="20"/>
              </w:rPr>
              <w:t>”), a Maryland corporation that operates as an externally managed, closed-end non-diversified management investment company that has elected to be regulated as a business development company (“</w:t>
            </w:r>
            <w:r>
              <w:rPr>
                <w:rFonts w:ascii="Times New Roman;Times;Serif" w:hAnsi="Times New Roman;Times;Serif"/>
                <w:b/>
                <w:i/>
                <w:caps w:val="false"/>
                <w:smallCaps w:val="false"/>
                <w:sz w:val="20"/>
              </w:rPr>
              <w:t>BDC</w:t>
            </w:r>
            <w:r>
              <w:rPr>
                <w:rFonts w:ascii="Times New Roman;Times;Serif" w:hAnsi="Times New Roman;Times;Serif"/>
                <w:b w:val="false"/>
                <w:i w:val="false"/>
                <w:caps w:val="false"/>
                <w:smallCaps w:val="false"/>
                <w:sz w:val="20"/>
              </w:rPr>
              <w:t>”) under the 1940 Act;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(the “</w:t>
            </w:r>
            <w:r>
              <w:rPr>
                <w:rFonts w:ascii="Times New Roman;Times;Serif" w:hAnsi="Times New Roman;Times;Serif"/>
                <w:b/>
                <w:i/>
                <w:caps w:val="false"/>
                <w:smallCaps w:val="false"/>
                <w:sz w:val="20"/>
              </w:rPr>
              <w:t>BDC Adviser</w:t>
            </w:r>
            <w:r>
              <w:rPr>
                <w:rFonts w:ascii="Times New Roman;Times;Serif" w:hAnsi="Times New Roman;Times;Serif"/>
                <w:b w:val="false"/>
                <w:i w:val="false"/>
                <w:caps w:val="false"/>
                <w:smallCaps w:val="false"/>
                <w:sz w:val="20"/>
              </w:rPr>
              <w:t>”), a Delaware limited liability company that is an investment adviser registered under the Investment Advisers Act of 1940, as amended (the “</w:t>
            </w:r>
            <w:r>
              <w:rPr>
                <w:rFonts w:ascii="Times New Roman;Times;Serif" w:hAnsi="Times New Roman;Times;Serif"/>
                <w:b/>
                <w:i/>
                <w:caps w:val="false"/>
                <w:smallCaps w:val="false"/>
                <w:sz w:val="20"/>
              </w:rPr>
              <w:t>Advisers Act</w:t>
            </w:r>
            <w:r>
              <w:rPr>
                <w:rFonts w:ascii="Times New Roman;Times;Serif" w:hAnsi="Times New Roman;Times;Serif"/>
                <w:b w:val="false"/>
                <w:i w:val="false"/>
                <w:caps w:val="false"/>
                <w:smallCaps w:val="false"/>
                <w:sz w:val="20"/>
              </w:rPr>
              <w:t>”), and that serves as the investment adviser to the Existing Regulated Fund, on behalf of itself and its successors;</w:t>
            </w:r>
            <w:r>
              <w:rPr>
                <w:rFonts w:ascii="Times New Roman;Times;Serif" w:hAnsi="Times New Roman;Times;Serif"/>
                <w:b w:val="false"/>
                <w:i w:val="false"/>
                <w:caps w:val="false"/>
                <w:smallCaps w:val="false"/>
                <w:position w:val="7"/>
                <w:sz w:val="16"/>
                <w:sz w:val="20"/>
              </w:rPr>
              <w:t>2</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Financial LLC (“</w:t>
            </w:r>
            <w:r>
              <w:rPr>
                <w:rFonts w:ascii="Times New Roman;Times;Serif" w:hAnsi="Times New Roman;Times;Serif"/>
                <w:b/>
                <w:i/>
                <w:caps w:val="false"/>
                <w:smallCaps w:val="false"/>
                <w:sz w:val="20"/>
              </w:rPr>
              <w:t>Magnetar Financial</w:t>
            </w:r>
            <w:r>
              <w:rPr>
                <w:rFonts w:ascii="Times New Roman;Times;Serif" w:hAnsi="Times New Roman;Times;Serif"/>
                <w:b w:val="false"/>
                <w:i w:val="false"/>
                <w:caps w:val="false"/>
                <w:smallCaps w:val="false"/>
                <w:sz w:val="20"/>
              </w:rPr>
              <w:t>”), a Delaware limited liability company that is an investment adviser registered under the Advisers Act, and that serves as the investment adviser to certain Existing Affiliated Funds (as defined below);</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strike/>
                <w:color w:val="FF0000"/>
              </w:rPr>
            </w:pPr>
            <w:r>
              <w:rPr>
                <w:caps w:val="false"/>
                <w:smallCaps w:val="false"/>
                <w:strike/>
                <w:color w:val="FF000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Financial (UK) LLP (“</w:t>
            </w:r>
            <w:r>
              <w:rPr>
                <w:rFonts w:ascii="Times New Roman;Times;Serif" w:hAnsi="Times New Roman;Times;Serif"/>
                <w:b/>
                <w:i/>
                <w:caps w:val="false"/>
                <w:smallCaps w:val="false"/>
                <w:sz w:val="20"/>
              </w:rPr>
              <w:t>Magnetar UK</w:t>
            </w:r>
            <w:r>
              <w:rPr>
                <w:rFonts w:ascii="Times New Roman;Times;Serif" w:hAnsi="Times New Roman;Times;Serif"/>
                <w:b w:val="false"/>
                <w:i w:val="false"/>
                <w:caps w:val="false"/>
                <w:smallCaps w:val="false"/>
                <w:sz w:val="20"/>
              </w:rPr>
              <w:t xml:space="preserve">”), a United Kingdom limited liability partnership </w:t>
            </w:r>
            <w:r>
              <w:rPr>
                <w:rFonts w:ascii="Times New Roman;Times;Serif" w:hAnsi="Times New Roman;Times;Serif"/>
                <w:b w:val="false"/>
                <w:i w:val="false"/>
                <w:caps w:val="false"/>
                <w:smallCaps w:val="false"/>
                <w:color w:val="0000FF"/>
                <w:sz w:val="20"/>
                <w:u w:val="single"/>
              </w:rPr>
              <w:t xml:space="preserve">that is not registered under the Advisers Act </w:t>
            </w:r>
            <w:r>
              <w:rPr>
                <w:rFonts w:ascii="Times New Roman;Times;Serif" w:hAnsi="Times New Roman;Times;Serif"/>
                <w:b w:val="false"/>
                <w:i w:val="false"/>
                <w:caps w:val="false"/>
                <w:smallCaps w:val="false"/>
                <w:sz w:val="20"/>
              </w:rPr>
              <w:t>and the investment adviser to certain Existing Affiliated Funds</w:t>
            </w:r>
            <w:r>
              <w:rPr>
                <w:rFonts w:ascii="Times New Roman;Times;Serif" w:hAnsi="Times New Roman;Times;Serif"/>
                <w:b w:val="false"/>
                <w:i w:val="false"/>
                <w:caps w:val="false"/>
                <w:smallCaps w:val="false"/>
                <w:strike/>
                <w:color w:val="FF0000"/>
                <w:sz w:val="20"/>
              </w:rPr>
              <w:t>;</w:t>
            </w:r>
          </w:p>
        </w:tc>
      </w:tr>
    </w:tbl>
    <w:p>
      <w:pPr>
        <w:pStyle w:val="TextBody"/>
        <w:bidi w:val="0"/>
        <w:spacing w:before="0" w:after="0"/>
        <w:ind w:left="720" w:right="0" w:hanging="720"/>
        <w:jc w:val="both"/>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ind w:left="0" w:right="0" w:hanging="0"/>
              <w:jc w:val="both"/>
              <w:rPr>
                <w:strike/>
                <w:color w:val="FF0000"/>
              </w:rPr>
            </w:pPr>
            <w:r>
              <w:rPr>
                <w:strike/>
                <w:color w:val="FF0000"/>
              </w:rPr>
              <w:t>●</w:t>
            </w:r>
          </w:p>
        </w:tc>
        <w:tc>
          <w:tcPr>
            <w:tcW w:w="10035" w:type="dxa"/>
            <w:tcBorders/>
            <w:vAlign w:val="center"/>
          </w:tcPr>
          <w:p>
            <w:pPr>
              <w:pStyle w:val="TableContents"/>
              <w:bidi w:val="0"/>
              <w:spacing w:before="0" w:after="283"/>
              <w:jc w:val="both"/>
              <w:rPr/>
            </w:pPr>
            <w:r>
              <w:rPr>
                <w:rFonts w:ascii="Times New Roman;Times;Serif" w:hAnsi="Times New Roman;Times;Serif"/>
                <w:strike/>
                <w:color w:val="FF0000"/>
                <w:sz w:val="20"/>
              </w:rPr>
              <w:t>Magnetar Asset Management LLC (“</w:t>
            </w:r>
            <w:r>
              <w:rPr>
                <w:rFonts w:ascii="Times New Roman;Times;Serif" w:hAnsi="Times New Roman;Times;Serif"/>
                <w:b/>
                <w:i/>
                <w:strike/>
                <w:color w:val="FF0000"/>
                <w:sz w:val="20"/>
              </w:rPr>
              <w:t>Magnetar Asset Management</w:t>
            </w:r>
            <w:r>
              <w:rPr>
                <w:rFonts w:ascii="Times New Roman;Times;Serif" w:hAnsi="Times New Roman;Times;Serif"/>
                <w:strike/>
                <w:color w:val="FF0000"/>
                <w:sz w:val="20"/>
              </w:rPr>
              <w:t>”), a Delaware limited liability company that is an investment adviser registered under the Advisers Act</w:t>
            </w:r>
            <w:r>
              <w:rPr/>
              <w:t xml:space="preserve"> </w:t>
            </w:r>
            <w:r>
              <w:rPr>
                <w:rFonts w:ascii="Times New Roman;Times;Serif" w:hAnsi="Times New Roman;Times;Serif"/>
                <w:sz w:val="20"/>
              </w:rPr>
              <w:t>(and together with the BDC Adviser</w:t>
            </w:r>
            <w:r>
              <w:rPr>
                <w:rFonts w:ascii="Times New Roman;Times;Serif" w:hAnsi="Times New Roman;Times;Serif"/>
                <w:strike/>
                <w:color w:val="FF0000"/>
                <w:sz w:val="20"/>
              </w:rPr>
              <w:t>, Magnetar UK</w:t>
            </w:r>
            <w:r>
              <w:rPr>
                <w:rFonts w:ascii="Times New Roman;Times;Serif" w:hAnsi="Times New Roman;Times;Serif"/>
                <w:sz w:val="20"/>
              </w:rPr>
              <w:t xml:space="preserve"> and Magnetar Financial, the “</w:t>
            </w:r>
            <w:r>
              <w:rPr>
                <w:rFonts w:ascii="Times New Roman;Times;Serif" w:hAnsi="Times New Roman;Times;Serif"/>
                <w:b/>
                <w:i/>
                <w:sz w:val="20"/>
              </w:rPr>
              <w:t>Existing Advisers</w:t>
            </w:r>
            <w:r>
              <w:rPr>
                <w:rFonts w:ascii="Times New Roman;Times;Serif" w:hAnsi="Times New Roman;Times;Serif"/>
                <w:sz w:val="20"/>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MCP Investing LLC, an entity wholly owned by an affiliate of the Existing Advisers that, from time to time, will hold various financial assets in a principal capacity and that currently intends to participate in Co-Investment Transactions (in such capacity, the “</w:t>
            </w:r>
            <w:r>
              <w:rPr>
                <w:rFonts w:ascii="Times New Roman;Times;Serif" w:hAnsi="Times New Roman;Times;Serif"/>
                <w:b/>
                <w:i/>
                <w:caps w:val="false"/>
                <w:smallCaps w:val="false"/>
                <w:color w:val="0000FF"/>
                <w:sz w:val="20"/>
                <w:u w:val="single"/>
              </w:rPr>
              <w:t>Existing Proprietary Account</w:t>
            </w:r>
            <w:r>
              <w:rPr>
                <w:rFonts w:ascii="Times New Roman;Times;Serif" w:hAnsi="Times New Roman;Times;Serif"/>
                <w:b w:val="false"/>
                <w:i w:val="false"/>
                <w:caps w:val="false"/>
                <w:smallCaps w:val="false"/>
                <w:color w:val="0000FF"/>
                <w:sz w:val="20"/>
                <w:u w:val="single"/>
              </w:rPr>
              <w:t xml:space="preserve">”); </w:t>
            </w:r>
          </w:p>
        </w:tc>
      </w:tr>
      <w:tr>
        <w:trPr/>
        <w:tc>
          <w:tcPr>
            <w:tcW w:w="18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0020"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vehicles (as identified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caps w:val="false"/>
                <w:smallCaps w:val="false"/>
                <w:sz w:val="20"/>
              </w:rPr>
              <w:t>Existing Wholly-Owned Subsidiaries</w:t>
            </w:r>
            <w:r>
              <w:rPr>
                <w:rFonts w:ascii="Times New Roman;Times;Serif" w:hAnsi="Times New Roman;Times;Serif"/>
                <w:b w:val="false"/>
                <w:i w:val="false"/>
                <w:caps w:val="false"/>
                <w:smallCaps w:val="false"/>
                <w:sz w:val="20"/>
              </w:rPr>
              <w:t>”), each of which is a separate and distinct legal entity and each of which is a Wholly-Owned Investment Sub (as defined below) of the Existing Regulated Fund;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investment vehicles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each of which is a separate and distinct legal entity and each of which would be an investment company but for Sections 3(c)(1), 3(c)(5) or 3(c)(7) of the 1940 Act (the “</w:t>
            </w:r>
            <w:r>
              <w:rPr>
                <w:rFonts w:ascii="Times New Roman;Times;Serif" w:hAnsi="Times New Roman;Times;Serif"/>
                <w:b/>
                <w:i/>
                <w:caps w:val="false"/>
                <w:smallCaps w:val="false"/>
                <w:sz w:val="20"/>
              </w:rPr>
              <w:t>Existing Affiliated Funds</w:t>
            </w:r>
            <w:r>
              <w:rPr>
                <w:rFonts w:ascii="Times New Roman;Times;Serif" w:hAnsi="Times New Roman;Times;Serif"/>
                <w:b w:val="false"/>
                <w:i w:val="false"/>
                <w:caps w:val="false"/>
                <w:smallCaps w:val="false"/>
                <w:sz w:val="20"/>
              </w:rPr>
              <w:t xml:space="preserve">” and, together with the Existing Regulated Fund, the Existing Advisers, </w:t>
            </w:r>
            <w:r>
              <w:rPr>
                <w:rFonts w:ascii="Times New Roman;Times;Serif" w:hAnsi="Times New Roman;Times;Serif"/>
                <w:b w:val="false"/>
                <w:i w:val="false"/>
                <w:caps w:val="false"/>
                <w:smallCaps w:val="false"/>
                <w:color w:val="0000FF"/>
                <w:sz w:val="20"/>
                <w:u w:val="single"/>
              </w:rPr>
              <w:t xml:space="preserve">the Existing Proprietary Account </w:t>
            </w:r>
            <w:r>
              <w:rPr>
                <w:rFonts w:ascii="Times New Roman;Times;Serif" w:hAnsi="Times New Roman;Times;Serif"/>
                <w:b w:val="false"/>
                <w:i w:val="false"/>
                <w:caps w:val="false"/>
                <w:smallCaps w:val="false"/>
                <w:sz w:val="20"/>
              </w:rPr>
              <w:t>and the Existing Wholly-Owned Subsidiaries, the “</w:t>
            </w:r>
            <w:r>
              <w:rPr>
                <w:rFonts w:ascii="Times New Roman;Times;Serif" w:hAnsi="Times New Roman;Times;Serif"/>
                <w:b/>
                <w:i/>
                <w:caps w:val="false"/>
                <w:smallCaps w:val="false"/>
                <w:sz w:val="20"/>
              </w:rPr>
              <w:t>Applicants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would allow a Regulated Fund</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one or more Affiliated Entities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Unless otherwise indicated, all section and rule references herein are to the 1940 Act and rules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term “</w:t>
      </w:r>
      <w:r>
        <w:rPr>
          <w:rFonts w:ascii="Times New Roman;Times;Serif" w:hAnsi="Times New Roman;Times;Serif"/>
          <w:b/>
          <w:i/>
          <w:caps w:val="false"/>
          <w:smallCaps w:val="false"/>
          <w:sz w:val="20"/>
        </w:rPr>
        <w:t>successor</w:t>
      </w:r>
      <w:r>
        <w:rPr>
          <w:rFonts w:ascii="Times New Roman;Times;Serif" w:hAnsi="Times New Roman;Times;Serif"/>
          <w:b w:val="false"/>
          <w:i w:val="false"/>
          <w:caps w:val="false"/>
          <w:smallCaps w:val="false"/>
          <w:sz w:val="20"/>
        </w:rPr>
        <w:t>” means an entity that results from a reorganization into another jurisdiction or change in the type of business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Regulated Fund</w:t>
      </w:r>
      <w:r>
        <w:rPr>
          <w:rFonts w:ascii="Times New Roman;Times;Serif" w:hAnsi="Times New Roman;Times;Serif"/>
          <w:b w:val="false"/>
          <w:i w:val="false"/>
          <w:caps w:val="false"/>
          <w:smallCaps w:val="false"/>
          <w:sz w:val="20"/>
        </w:rPr>
        <w:t>” means the Existing Regulated Fund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means the Existing Advisers, and any other investment adviser controlling, controlled by, or under common control with an Existing Adviser. The term “Adviser” also includes any internally-managed Regulated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Massachusetts Mutual Life Insurance Co. (pub. avail. June 7, 2000), Massachusetts Mutual Life Insurance Co. (pub. avail. July 28, 2000) and SMC Capital, Inc. (pub. avail. Sept. 5, 1995).</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30"/>
        <w:gridCol w:w="4430"/>
      </w:tblGrid>
      <w:tr>
        <w:trPr/>
        <w:tc>
          <w:tcPr>
            <w:tcW w:w="23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II.</w:t>
            </w:r>
          </w:p>
        </w:tc>
        <w:tc>
          <w:tcPr>
            <w:tcW w:w="443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GENERAL DESCRIPTION OF THE APPLICANTS</w:t>
            </w:r>
          </w:p>
        </w:tc>
      </w:tr>
    </w:tbl>
    <w:p>
      <w:pPr>
        <w:pStyle w:val="TextBody"/>
        <w:bidi w:val="0"/>
        <w:spacing w:before="0" w:after="0"/>
        <w:ind w:left="720" w:right="0" w:hanging="720"/>
        <w:jc w:val="both"/>
        <w:rPr>
          <w:caps/>
        </w:rPr>
      </w:pPr>
      <w:r>
        <w:rPr>
          <w:caps/>
        </w:rPr>
        <w:t> </w:t>
      </w:r>
    </w:p>
    <w:tbl>
      <w:tblPr>
        <w:tblW w:w="2710" w:type="dxa"/>
        <w:jc w:val="left"/>
        <w:tblInd w:w="0" w:type="dxa"/>
        <w:tblLayout w:type="fixed"/>
        <w:tblCellMar>
          <w:top w:w="0" w:type="dxa"/>
          <w:left w:w="0" w:type="dxa"/>
          <w:bottom w:w="0" w:type="dxa"/>
          <w:right w:w="0" w:type="dxa"/>
        </w:tblCellMar>
      </w:tblPr>
      <w:tblGrid>
        <w:gridCol w:w="75"/>
        <w:gridCol w:w="200"/>
        <w:gridCol w:w="2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Existing Regulated Fund</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Regulated Fund (formerly known as SuRo Capital Corp., Sutter Rock Capital Corp., and GSV Capital Corp.) was incorporated in Maryland on January 6, 2011, and commenced operations upon completion of its initial public offering in May 2011. The Existing Regulated Fund elected to be regulated as a BDC under the 1940 Act upon completion of its initial public offering in May 2011 and operates as a closed-end non-diversified management investment company. The Existing Regulated Fund has elected to be treated as a regulated investment company under Subchapter M of the Internal Revenue Code of 1986, as amended, and intends to continue to make such election in the future. The Existing Regulated Fund’s principal place of business is 640 Fifth Avenue, 12th Floor, New York, NY 10019.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Regulated Fund’s investment objective is to maximize its portfolio’s total return, principally by seeking capital gains on its equity and equity-related investments and, to a lesser extent, income from debt investments. The Existing Regulated Fund’s business and affairs are managed under the direction of its board of directors (the “</w:t>
      </w:r>
      <w:r>
        <w:rPr>
          <w:rFonts w:ascii="Times New Roman;Times;Serif" w:hAnsi="Times New Roman;Times;Serif"/>
          <w:b/>
          <w:i/>
          <w:caps w:val="false"/>
          <w:smallCaps w:val="false"/>
          <w:sz w:val="20"/>
        </w:rPr>
        <w:t>Existing Regulated Fund Board</w:t>
      </w:r>
      <w:r>
        <w:rPr>
          <w:rFonts w:ascii="Times New Roman;Times;Serif" w:hAnsi="Times New Roman;Times;Serif"/>
          <w:b w:val="false"/>
          <w:i w:val="false"/>
          <w:caps w:val="false"/>
          <w:smallCaps w:val="false"/>
          <w:sz w:val="20"/>
        </w:rPr>
        <w:t>” and together with any Future Regulated Fund’s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The Existing Regulated Fund Board consists of seven members, of which five members are not “interested persons” of the Existing Regulated Fund within the meaning of Section 2(a)(19) of the 1940 Act.</w:t>
      </w:r>
      <w:r>
        <w:rPr>
          <w:rFonts w:ascii="Times New Roman;Times;Serif" w:hAnsi="Times New Roman;Times;Serif"/>
          <w:b w:val="false"/>
          <w:i w:val="false"/>
          <w:caps w:val="false"/>
          <w:smallCaps w:val="false"/>
          <w:position w:val="7"/>
          <w:sz w:val="16"/>
          <w:sz w:val="20"/>
        </w:rPr>
        <w:t>9</w:t>
      </w:r>
    </w:p>
    <w:p>
      <w:pPr>
        <w:pStyle w:val="TextBody"/>
        <w:bidi w:val="0"/>
        <w:spacing w:before="0" w:after="0"/>
        <w:ind w:left="0" w:right="0" w:firstLine="36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200"/>
        <w:gridCol w:w="5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The Existing Affiliated Funds </w:t>
            </w:r>
            <w:r>
              <w:rPr>
                <w:rFonts w:ascii="Times New Roman;Times;Serif" w:hAnsi="Times New Roman;Times;Serif"/>
                <w:b w:val="false"/>
                <w:i w:val="false"/>
                <w:caps w:val="false"/>
                <w:smallCaps w:val="false"/>
                <w:color w:val="0000FF"/>
                <w:sz w:val="20"/>
                <w:u w:val="single"/>
              </w:rPr>
              <w:t>and Existing Proprietary Accounts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Affiliated Funds are investment funds, each of whose investment adviser is an Existing Adviser and each of which would be an investment company but for Sections 3(c)(1), 3(c)(5) or 3(c)(7) of the 1940 Act.</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A list of the Existing Affiliated Funds and their respective investment adviser is included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Proprietary Account will, from time to time, hold various financial assets in a principal capacity. The Existing Advisers and their affiliates operate various business lines directly or through their wholly- or majority-owned subsidiaries, and the affiliate that exists and currently intends to participate in Co-Investment Transactions has been included as an Applicant herein.</w:t>
      </w:r>
    </w:p>
    <w:p>
      <w:pPr>
        <w:pStyle w:val="TextBody"/>
        <w:bidi w:val="0"/>
        <w:spacing w:before="0" w:after="0"/>
        <w:ind w:left="0" w:right="0" w:firstLine="360"/>
        <w:jc w:val="both"/>
        <w:rPr>
          <w:caps w:val="false"/>
          <w:smallCaps w:val="false"/>
          <w:color w:val="0000FF"/>
        </w:rPr>
      </w:pPr>
      <w:r>
        <w:rPr>
          <w:caps w:val="false"/>
          <w:smallCaps w:val="false"/>
          <w:color w:val="0000FF"/>
        </w:rPr>
        <w:t> </w:t>
      </w:r>
    </w:p>
    <w:tbl>
      <w:tblPr>
        <w:tblW w:w="2110" w:type="dxa"/>
        <w:jc w:val="left"/>
        <w:tblInd w:w="0" w:type="dxa"/>
        <w:tblLayout w:type="fixed"/>
        <w:tblCellMar>
          <w:top w:w="0" w:type="dxa"/>
          <w:left w:w="0" w:type="dxa"/>
          <w:bottom w:w="0" w:type="dxa"/>
          <w:right w:w="0" w:type="dxa"/>
        </w:tblCellMar>
      </w:tblPr>
      <w:tblGrid>
        <w:gridCol w:w="75"/>
        <w:gridCol w:w="200"/>
        <w:gridCol w:w="1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Existing Advisers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BDC Adviser serves as the investment adviser of the Existing Regulated Fund and, as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an Existing Adviser serves as investment adviser to each of the Existing Affiliated Funds, and an Existing Adviser or another Adviser will serve as the investment adviser to any Future Regulated Fund. On the date of this Application, the clients of the Existing Advisers that intend to rely on this Application are the Existing Regulated Fund and the Existing Affiliated Funds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The Board of each Future Regulated Fund will consist of a majority of members who are not “interested persons” of such Future Regulated Fund within the meaning of Section 2(a)(19) of the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In the future, an Existing Affiliated Fund may register as an investment company under the Act and, if so registered, will be considered a Regulated Fund for purposes of this application.</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BDC Adviser is a Delaware limited liability company and is registered as an investment adviser with the Commission under the Advisers Act. The BDC Adviser’s principal place of business is 640 Fifth Avenue, 12th Floor, New York, NY 10019. Neostellar Administrative Services LLC, an affiliate of the BDC Adviser (the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xml:space="preserve">”), provides administrative services to the Existing Regulated Fund under an administrative services agreement. The BDC Adviser is jointly owned </w:t>
      </w:r>
      <w:r>
        <w:rPr>
          <w:rFonts w:ascii="Times New Roman;Times;Serif" w:hAnsi="Times New Roman;Times;Serif"/>
          <w:b w:val="false"/>
          <w:i w:val="false"/>
          <w:caps w:val="false"/>
          <w:smallCaps w:val="false"/>
          <w:color w:val="0000FF"/>
          <w:sz w:val="20"/>
          <w:u w:val="single"/>
        </w:rPr>
        <w:t xml:space="preserve">and controlled </w:t>
      </w:r>
      <w:r>
        <w:rPr>
          <w:rFonts w:ascii="Times New Roman;Times;Serif" w:hAnsi="Times New Roman;Times;Serif"/>
          <w:b w:val="false"/>
          <w:i w:val="false"/>
          <w:caps w:val="false"/>
          <w:smallCaps w:val="false"/>
          <w:sz w:val="20"/>
        </w:rPr>
        <w:t>by Magnetar Holdings LLC (“</w:t>
      </w:r>
      <w:r>
        <w:rPr>
          <w:rFonts w:ascii="Times New Roman;Times;Serif" w:hAnsi="Times New Roman;Times;Serif"/>
          <w:b/>
          <w:i/>
          <w:caps w:val="false"/>
          <w:smallCaps w:val="false"/>
          <w:sz w:val="20"/>
        </w:rPr>
        <w:t>Magnetar Holdings</w:t>
      </w:r>
      <w:r>
        <w:rPr>
          <w:rFonts w:ascii="Times New Roman;Times;Serif" w:hAnsi="Times New Roman;Times;Serif"/>
          <w:b w:val="false"/>
          <w:i w:val="false"/>
          <w:caps w:val="false"/>
          <w:smallCaps w:val="false"/>
          <w:sz w:val="20"/>
        </w:rPr>
        <w:t xml:space="preserve">”) and by a vehicle that is in turn owned and controlled by certain officers of the Existing Regulated Fund. Magnetar Holdings is </w:t>
      </w:r>
      <w:r>
        <w:rPr>
          <w:rFonts w:ascii="Times New Roman;Times;Serif" w:hAnsi="Times New Roman;Times;Serif"/>
          <w:b w:val="false"/>
          <w:i w:val="false"/>
          <w:caps w:val="false"/>
          <w:smallCaps w:val="false"/>
          <w:strike/>
          <w:color w:val="FF0000"/>
          <w:sz w:val="20"/>
        </w:rPr>
        <w:t>owned</w:t>
      </w:r>
      <w:r>
        <w:rPr>
          <w:rFonts w:ascii="Times New Roman;Times;Serif" w:hAnsi="Times New Roman;Times;Serif"/>
          <w:b w:val="false"/>
          <w:i w:val="false"/>
          <w:caps w:val="false"/>
          <w:smallCaps w:val="false"/>
          <w:color w:val="0000FF"/>
          <w:sz w:val="20"/>
          <w:u w:val="single"/>
        </w:rPr>
        <w:t>wholly-owned</w:t>
      </w:r>
      <w:r>
        <w:rPr>
          <w:rFonts w:ascii="Times New Roman;Times;Serif" w:hAnsi="Times New Roman;Times;Serif"/>
          <w:b w:val="false"/>
          <w:i w:val="false"/>
          <w:caps w:val="false"/>
          <w:smallCaps w:val="false"/>
          <w:sz w:val="20"/>
        </w:rPr>
        <w:t xml:space="preserve"> and controlled by Magnetar Capital Partners LP</w:t>
      </w:r>
      <w:r>
        <w:rPr>
          <w:rFonts w:ascii="Times New Roman;Times;Serif" w:hAnsi="Times New Roman;Times;Serif"/>
          <w:b w:val="false"/>
          <w:i w:val="false"/>
          <w:caps w:val="false"/>
          <w:smallCaps w:val="false"/>
          <w:strike/>
          <w:color w:val="FF0000"/>
          <w:sz w:val="20"/>
        </w:rPr>
        <w:t>, which is in turn an affiliated entity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caps w:val="false"/>
          <w:smallCaps w:val="false"/>
          <w:color w:val="0000FF"/>
          <w:sz w:val="20"/>
          <w:u w:val="single"/>
        </w:rPr>
        <w:t>MCP LP</w:t>
      </w:r>
      <w:r>
        <w:rPr>
          <w:rFonts w:ascii="Times New Roman;Times;Serif" w:hAnsi="Times New Roman;Times;Serif"/>
          <w:b w:val="false"/>
          <w:i w:val="false"/>
          <w:caps w:val="false"/>
          <w:smallCaps w:val="false"/>
          <w:color w:val="0000FF"/>
          <w:sz w:val="20"/>
          <w:u w:val="single"/>
        </w:rPr>
        <w:t>”). Each</w:t>
      </w:r>
      <w:r>
        <w:rPr>
          <w:rFonts w:ascii="Times New Roman;Times;Serif" w:hAnsi="Times New Roman;Times;Serif"/>
          <w:b w:val="false"/>
          <w:i w:val="false"/>
          <w:caps w:val="false"/>
          <w:smallCaps w:val="false"/>
          <w:sz w:val="20"/>
        </w:rPr>
        <w:t xml:space="preserve"> of Magnetar Financial</w:t>
      </w:r>
      <w:r>
        <w:rPr>
          <w:rFonts w:ascii="Times New Roman;Times;Serif" w:hAnsi="Times New Roman;Times;Serif"/>
          <w:b w:val="false"/>
          <w:i w:val="false"/>
          <w:caps w:val="false"/>
          <w:smallCaps w:val="false"/>
          <w:strike/>
          <w:color w:val="FF0000"/>
          <w:sz w:val="20"/>
        </w:rPr>
        <w:t>, Magnetar UK</w:t>
      </w:r>
      <w:r>
        <w:rPr>
          <w:rFonts w:ascii="Times New Roman;Times;Serif" w:hAnsi="Times New Roman;Times;Serif"/>
          <w:b w:val="false"/>
          <w:i w:val="false"/>
          <w:caps w:val="false"/>
          <w:smallCaps w:val="false"/>
          <w:sz w:val="20"/>
        </w:rPr>
        <w:t xml:space="preserve"> and Magnetar </w:t>
      </w:r>
      <w:r>
        <w:rPr>
          <w:rFonts w:ascii="Times New Roman;Times;Serif" w:hAnsi="Times New Roman;Times;Serif"/>
          <w:b w:val="false"/>
          <w:i w:val="false"/>
          <w:caps w:val="false"/>
          <w:smallCaps w:val="false"/>
          <w:strike/>
          <w:color w:val="FF0000"/>
          <w:sz w:val="20"/>
        </w:rPr>
        <w:t>Asset Management.</w:t>
      </w:r>
      <w:r>
        <w:rPr>
          <w:rFonts w:ascii="Times New Roman;Times;Serif" w:hAnsi="Times New Roman;Times;Serif"/>
          <w:b w:val="false"/>
          <w:i w:val="false"/>
          <w:caps w:val="false"/>
          <w:smallCaps w:val="false"/>
          <w:color w:val="0000FF"/>
          <w:sz w:val="20"/>
          <w:u w:val="single"/>
        </w:rPr>
        <w:t>UK is a direct or indirect wholly-owned subsidiary of MCP LP, and MCP LP, through Magnetar Holdings, indirectly controls the BDC Adviser. Accordingly, the Existing Advisers are under common control and are affiliated persons of each other. MCP LP is not an investment adviser and does not currently intend to rely upon the requested Order. As a result, MCP LP is not named as an Applicant.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Magnetar Asset Management is a Delaware limited liability company and is registered as an investment adviser with the Commission under the Advisers Act. </w:t>
      </w:r>
      <w:r>
        <w:rPr>
          <w:rFonts w:ascii="Times New Roman;Times;Serif" w:hAnsi="Times New Roman;Times;Serif"/>
          <w:b w:val="false"/>
          <w:i w:val="false"/>
          <w:caps w:val="false"/>
          <w:smallCaps w:val="false"/>
          <w:sz w:val="20"/>
        </w:rPr>
        <w:t xml:space="preserve">Magnetar Financial is a Delaware limited liability company and is registered as an investment adviser with the Commission under the Advisers Act. Magnetar UK is a United Kingdom limited liability partnership and is registered with the Financial Conduct Authority. </w:t>
      </w:r>
      <w:r>
        <w:rPr>
          <w:rFonts w:ascii="Times New Roman;Times;Serif" w:hAnsi="Times New Roman;Times;Serif"/>
          <w:b w:val="false"/>
          <w:i w:val="false"/>
          <w:caps w:val="false"/>
          <w:smallCaps w:val="false"/>
          <w:color w:val="0000FF"/>
          <w:sz w:val="20"/>
          <w:u w:val="single"/>
        </w:rPr>
        <w:t xml:space="preserve">Magnetar UK is not registered under the Advisers Act and is not an exempt reporting adviser. However, all of the Applicants’ investment activities are conducted within a global, centralized investment committee and allocation process, which is overseen by a unified global compliance program that has complete transparency into the activities of all of the Advisers from within the U.S., regardless of their regulatory status under the Advisers Act. </w:t>
      </w:r>
      <w:r>
        <w:rPr>
          <w:rFonts w:ascii="Times New Roman;Times;Serif" w:hAnsi="Times New Roman;Times;Serif"/>
          <w:b w:val="false"/>
          <w:i w:val="false"/>
          <w:caps w:val="false"/>
          <w:smallCaps w:val="false"/>
          <w:sz w:val="20"/>
        </w:rPr>
        <w:t xml:space="preserve">The principal place of business of </w:t>
      </w:r>
      <w:r>
        <w:rPr>
          <w:rFonts w:ascii="Times New Roman;Times;Serif" w:hAnsi="Times New Roman;Times;Serif"/>
          <w:b w:val="false"/>
          <w:i w:val="false"/>
          <w:caps w:val="false"/>
          <w:smallCaps w:val="false"/>
          <w:strike/>
          <w:color w:val="FF0000"/>
          <w:sz w:val="20"/>
        </w:rPr>
        <w:t xml:space="preserve">Magnetar Asset Management and </w:t>
      </w:r>
      <w:r>
        <w:rPr>
          <w:rFonts w:ascii="Times New Roman;Times;Serif" w:hAnsi="Times New Roman;Times;Serif"/>
          <w:b w:val="false"/>
          <w:i w:val="false"/>
          <w:caps w:val="false"/>
          <w:smallCaps w:val="false"/>
          <w:sz w:val="20"/>
        </w:rPr>
        <w:t>Magnetar Financial is 1603 Orrington Avenue, 13th Floor, Evanston, IL 60201. The principal place of business of Magnetar UK is 25 Great Pulteney Street, 3rd Floor, London W1F 9LT, United Kingdom. Either Magnetar UK or Magnetar Financial serves as the investment adviser to each of the Existing Affiliated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management business that Magnetar Financial</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Magnetar UK </w:t>
      </w:r>
      <w:r>
        <w:rPr>
          <w:rFonts w:ascii="Times New Roman;Times;Serif" w:hAnsi="Times New Roman;Times;Serif"/>
          <w:b w:val="false"/>
          <w:i w:val="false"/>
          <w:caps w:val="false"/>
          <w:smallCaps w:val="false"/>
          <w:strike/>
          <w:color w:val="FF0000"/>
          <w:sz w:val="20"/>
        </w:rPr>
        <w:t xml:space="preserve">and Magnetar Asset Management </w:t>
      </w:r>
      <w:r>
        <w:rPr>
          <w:rFonts w:ascii="Times New Roman;Times;Serif" w:hAnsi="Times New Roman;Times;Serif"/>
          <w:b w:val="false"/>
          <w:i w:val="false"/>
          <w:caps w:val="false"/>
          <w:smallCaps w:val="false"/>
          <w:sz w:val="20"/>
        </w:rPr>
        <w:t>are a part of is a multi-strategy, multi-product alternative investment platform (“Magnetar”) founded in 2005 with approximately $17.8 billion in assets under management as of December 31, 2025 and approximately 224 professionals globally as of March 31, 2026. Magnetar is headquartered in Evanston, Illinois and operates from offices in New York, London, Menlo Park, and Austin. Magnetar’s investment strategies include alternative credit and fixed income, quantitative investing, and ventures.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an investment advisory agreement with the Existing Regulated Fund and each Existing Affiliated Fund, as applicable, the Existing Advisers will, among other things, manage the investment portfolio, direct purchases and sales of portfolio securities and report thereon to the Existing Regulated Fund’s and each Existing Affiliated Fund’s officers and directors/trustees/manager regularly.</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05"/>
        <w:gridCol w:w="1970"/>
      </w:tblGrid>
      <w:tr>
        <w:trPr/>
        <w:tc>
          <w:tcPr>
            <w:tcW w:w="30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III.</w:t>
            </w:r>
          </w:p>
        </w:tc>
        <w:tc>
          <w:tcPr>
            <w:tcW w:w="197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ORDER REQUESTED</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firstLine="36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200"/>
        <w:gridCol w:w="13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35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Applicable Law</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firstLine="36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200"/>
        <w:gridCol w:w="1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8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Need for Relief</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 deemed to be persons related to Regulated Funds in a manner described by Sections 17(d) and 57(b). The Existing Advisers are under common control, and are thus affiliated persons of each other. Accordingly, with respect to the Existing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an Existing Adviser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200"/>
        <w:gridCol w:w="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95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Same Terms</w:t>
      </w:r>
      <w:r>
        <w:rPr>
          <w:rFonts w:ascii="Times New Roman;Times;Serif" w:hAnsi="Times New Roman;Times;Serif"/>
          <w:b w:val="false"/>
          <w:i w:val="false"/>
          <w:caps w:val="false"/>
          <w:smallCaps w:val="false"/>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position w:val="7"/>
          <w:sz w:val="16"/>
          <w:sz w:val="2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w:t>
            </w: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position w:val="7"/>
                <w:sz w:val="16"/>
                <w:sz w:val="20"/>
              </w:rPr>
              <w:t>19</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ind w:left="2160" w:right="0" w:hanging="720"/>
        <w:jc w:val="left"/>
        <w:rPr>
          <w:bdr w:val="single" w:sz="8" w:space="1" w:color="000000"/>
        </w:rPr>
      </w:pPr>
      <w:r>
        <w:rPr>
          <w:bdr w:val="single" w:sz="8" w:space="1" w:color="000000"/>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Such a Board can also, consistent with applicable fund documents, facilitate this opportunity by delegating the authority to veto the selection of such person to a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Expenses of an individual Participant that are incurred solely by the Participant due to its unique circumstances (such as legal and compliance expenses) will be borne by such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Applicants are not requesting and the Commission is not providing any relief for transaction fees received in connection with any Co-Investment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The Affiliated Entities may adopt shared Co-Investment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the sale, exchange, transfer or other disposition of an interest in a security of an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Tradable Security</w:t>
      </w:r>
      <w:r>
        <w:rPr>
          <w:rFonts w:ascii="Times New Roman;Times;Serif" w:hAnsi="Times New Roman;Times;Serif"/>
          <w:b w:val="false"/>
          <w:i w:val="false"/>
          <w:caps w:val="false"/>
          <w:smallCaps w:val="false"/>
          <w:sz w:val="20"/>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pStyle w:val="TextBody"/>
        <w:bidi w:val="0"/>
        <w:spacing w:before="0" w:after="0"/>
        <w:ind w:left="216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Board Oversight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Fund’s directors will oversee the Regulated Fund’s participation in the co-investment program in the exercise of their reasonable business judgment.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position w:val="7"/>
          <w:sz w:val="16"/>
          <w:sz w:val="2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90"/>
        <w:gridCol w:w="4805"/>
      </w:tblGrid>
      <w:tr>
        <w:trPr/>
        <w:tc>
          <w:tcPr>
            <w:tcW w:w="29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IV.</w:t>
            </w:r>
          </w:p>
        </w:tc>
        <w:tc>
          <w:tcPr>
            <w:tcW w:w="480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STATEMENT IN SUPPORT OF RELIEF REQUESTED</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0" w:right="0" w:firstLine="360"/>
        <w:jc w:val="both"/>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200"/>
        <w:gridCol w:w="5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543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Benefits to the Regulated Funds and their Shareholders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0" w:right="0" w:firstLine="36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200"/>
        <w:gridCol w:w="2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20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Protections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ind w:left="0" w:right="0" w:firstLine="36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V.</w:t>
            </w:r>
          </w:p>
        </w:tc>
        <w:tc>
          <w:tcPr>
            <w:tcW w:w="134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PRECEDENTS</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xml:space="preserve">., FS Credit Opportunities Corp.,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812-15706), Release No. IC-35520 (April 3, 2025) (notice), Release No. IC-35561 (April 29, 2025) (order); Sixth Street Specialty Lending, Inc.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812-15729), Release No. IC-35531 (April 10, 2025) (notice), Release No. IC-35570 (May 6, 2025) (order); Blue Owl Capital Corporation,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812-15715), Release No. IC-35530 (April 9, 2025) (notice), Release No. IC-35573 (May 6, 2025) (order); BlackRock Growth Equity Fund LP,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(File No. 812-15712), Release No. IC-35525 (April 8, 2025) (notice), Release No. IC-35572 (May 6, 2025) (order).</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VI.</w:t>
            </w:r>
          </w:p>
        </w:tc>
        <w:tc>
          <w:tcPr>
            <w:tcW w:w="239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PROCEDURAL MATTERS</w:t>
            </w:r>
          </w:p>
        </w:tc>
      </w:tr>
    </w:tbl>
    <w:p>
      <w:pPr>
        <w:pStyle w:val="TextBody"/>
        <w:bidi w:val="0"/>
        <w:spacing w:before="0" w:after="0"/>
        <w:ind w:left="720" w:right="0" w:hanging="720"/>
        <w:jc w:val="both"/>
        <w:rPr>
          <w:caps/>
        </w:rPr>
      </w:pPr>
      <w:r>
        <w:rPr>
          <w:caps/>
        </w:rPr>
        <w:t> </w:t>
      </w:r>
    </w:p>
    <w:tbl>
      <w:tblPr>
        <w:tblW w:w="1720" w:type="dxa"/>
        <w:jc w:val="left"/>
        <w:tblInd w:w="0" w:type="dxa"/>
        <w:tblLayout w:type="fixed"/>
        <w:tblCellMar>
          <w:top w:w="0" w:type="dxa"/>
          <w:left w:w="0" w:type="dxa"/>
          <w:bottom w:w="0" w:type="dxa"/>
          <w:right w:w="0" w:type="dxa"/>
        </w:tblCellMar>
      </w:tblPr>
      <w:tblGrid>
        <w:gridCol w:w="75"/>
        <w:gridCol w:w="200"/>
        <w:gridCol w:w="1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4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Communications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agreen@neostellaradvisors.com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mklein@neostellaradvisors.com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Karl Wachter,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Butler, Esq</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mike.butler@magnetar.com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payam.siadatpour@eversheds-sutherland.com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(202) 383-0100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Clifford R. Cone,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Sidley Austin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787 Seventh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839-5300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cliff.cone@sidley.com</w:t>
      </w:r>
    </w:p>
    <w:p>
      <w:pPr>
        <w:pStyle w:val="TextBody"/>
        <w:bidi w:val="0"/>
        <w:spacing w:before="0" w:after="0"/>
        <w:ind w:left="0" w:right="0" w:hanging="0"/>
        <w:jc w:val="center"/>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75"/>
        <w:gridCol w:w="200"/>
        <w:gridCol w:w="1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26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Authorizations</w:t>
            </w:r>
          </w:p>
        </w:tc>
      </w:tr>
    </w:tbl>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0-2(c), Applicants hereby state that each Applicant has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requirements for a request for expedited review of this Application, marked copies of two recent applications seeking the same relief as Applicants that are substantially identical as required by Rule 0-5(e) of the 1940 Act are attached as Exhibit C. </w:t>
      </w:r>
      <w:r>
        <w:rPr>
          <w:rFonts w:ascii="Times New Roman;Times;Serif" w:hAnsi="Times New Roman;Times;Serif"/>
          <w:b w:val="false"/>
          <w:i w:val="false"/>
          <w:caps w:val="false"/>
          <w:smallCaps w:val="false"/>
          <w:color w:val="0000FF"/>
          <w:sz w:val="20"/>
          <w:u w:val="single"/>
        </w:rPr>
        <w:t>In accordance with Rule 0-5(f)(2)(i)(A) under the 1940 Act, included as Exhibit D to this Application is a marked copy of the Application showing changes from the Application filed with the Commission on August 3,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Applicants have caused this </w:t>
      </w:r>
      <w:r>
        <w:rPr>
          <w:rFonts w:ascii="Times New Roman;Times;Serif" w:hAnsi="Times New Roman;Times;Serif"/>
          <w:b w:val="false"/>
          <w:i w:val="false"/>
          <w:caps w:val="false"/>
          <w:smallCaps w:val="false"/>
          <w:color w:val="0000FF"/>
          <w:sz w:val="20"/>
          <w:u w:val="single"/>
        </w:rPr>
        <w:t xml:space="preserve">Amendment No. 1 to the </w:t>
      </w:r>
      <w:r>
        <w:rPr>
          <w:rFonts w:ascii="Times New Roman;Times;Serif" w:hAnsi="Times New Roman;Times;Serif"/>
          <w:b w:val="false"/>
          <w:i w:val="false"/>
          <w:caps w:val="false"/>
          <w:smallCaps w:val="false"/>
          <w:sz w:val="20"/>
        </w:rPr>
        <w:t xml:space="preserve">Application to be duly signed on their behalf on the </w:t>
      </w:r>
      <w:r>
        <w:rPr>
          <w:rFonts w:ascii="Times New Roman;Times;Serif" w:hAnsi="Times New Roman;Times;Serif"/>
          <w:b w:val="false"/>
          <w:i w:val="false"/>
          <w:caps w:val="false"/>
          <w:smallCaps w:val="false"/>
          <w:strike/>
          <w:color w:val="FF0000"/>
          <w:sz w:val="20"/>
        </w:rPr>
        <w:t>3rd</w:t>
      </w:r>
      <w:r>
        <w:rPr>
          <w:rFonts w:ascii="Times New Roman;Times;Serif" w:hAnsi="Times New Roman;Times;Serif"/>
          <w:b w:val="false"/>
          <w:i w:val="false"/>
          <w:caps w:val="false"/>
          <w:smallCaps w:val="false"/>
          <w:color w:val="0000FF"/>
          <w:sz w:val="20"/>
          <w:u w:val="single"/>
        </w:rPr>
        <w:t>1st</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trike/>
          <w:color w:val="FF0000"/>
          <w:sz w:val="20"/>
        </w:rPr>
        <w:t>August</w:t>
      </w:r>
      <w:r>
        <w:rPr>
          <w:rFonts w:ascii="Times New Roman;Times;Serif" w:hAnsi="Times New Roman;Times;Serif"/>
          <w:b w:val="false"/>
          <w:i w:val="false"/>
          <w:caps w:val="false"/>
          <w:smallCaps w:val="false"/>
          <w:color w:val="0000FF"/>
          <w:sz w:val="20"/>
          <w:u w:val="single"/>
        </w:rPr>
        <w:t>October</w:t>
      </w:r>
      <w:r>
        <w:rPr>
          <w:rFonts w:ascii="Times New Roman;Times;Serif" w:hAnsi="Times New Roman;Times;Serif"/>
          <w:b w:val="false"/>
          <w:i w:val="false"/>
          <w:caps w:val="false"/>
          <w:smallCaps w:val="false"/>
          <w:sz w:val="20"/>
        </w:rPr>
        <w:t>,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 CAPITAL LENDING,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SPORTS,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SRCI ADVISORS,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AE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AV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SW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SVDS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llc</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color w:val="FF0000"/>
        </w:rPr>
      </w:pPr>
      <w:r>
        <w:rPr>
          <w:caps/>
          <w:color w:val="FF0000"/>
        </w:rPr>
        <w:t> </w:t>
      </w:r>
    </w:p>
    <w:p>
      <w:pPr>
        <w:pStyle w:val="TextBody"/>
        <w:bidi w:val="0"/>
        <w:spacing w:before="0" w:after="0"/>
        <w:ind w:left="0" w:right="0" w:hanging="0"/>
        <w:jc w:val="left"/>
        <w:rPr>
          <w:rFonts w:ascii="Times New Roman;Times;Serif" w:hAnsi="Times New Roman;Times;Serif"/>
          <w:b/>
          <w:i w:val="false"/>
          <w:caps/>
          <w:strike/>
          <w:color w:val="FF0000"/>
          <w:sz w:val="20"/>
        </w:rPr>
      </w:pPr>
      <w:r>
        <w:rPr>
          <w:rFonts w:ascii="Times New Roman;Times;Serif" w:hAnsi="Times New Roman;Times;Serif"/>
          <w:b/>
          <w:i w:val="false"/>
          <w:caps/>
          <w:strike/>
          <w:color w:val="FF0000"/>
          <w:sz w:val="20"/>
        </w:rPr>
        <w:t>magnetar asset management llc</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VII,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XI,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XVIII</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Credit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credit opportunity 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opportunity 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Longhorn Special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longhorn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2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Opportunity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Ventures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ai ventures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Alpha Star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ALPHA STAR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Fund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CAPITAL FUND ii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Capital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color w:val="FF0000"/>
        </w:rPr>
      </w:pPr>
      <w:r>
        <w:rPr>
          <w:caps/>
          <w:color w:val="FF0000"/>
        </w:rPr>
        <w:t> </w:t>
      </w:r>
    </w:p>
    <w:p>
      <w:pPr>
        <w:pStyle w:val="TextBody"/>
        <w:bidi w:val="0"/>
        <w:spacing w:before="0" w:after="0"/>
        <w:ind w:left="0" w:right="0" w:hanging="0"/>
        <w:jc w:val="both"/>
        <w:rPr>
          <w:rFonts w:ascii="Times New Roman;Times;Serif" w:hAnsi="Times New Roman;Times;Serif"/>
          <w:b/>
          <w:i w:val="false"/>
          <w:caps/>
          <w:strike/>
          <w:color w:val="FF0000"/>
          <w:sz w:val="20"/>
        </w:rPr>
      </w:pPr>
      <w:r>
        <w:rPr>
          <w:rFonts w:ascii="Times New Roman;Times;Serif" w:hAnsi="Times New Roman;Times;Serif"/>
          <w:b/>
          <w:i w:val="false"/>
          <w:caps/>
          <w:strike/>
          <w:color w:val="FF0000"/>
          <w:sz w:val="20"/>
        </w:rPr>
        <w:t>Magnetar Capital Partners LP</w:t>
      </w:r>
    </w:p>
    <w:p>
      <w:pPr>
        <w:pStyle w:val="TextBody"/>
        <w:bidi w:val="0"/>
        <w:spacing w:before="0" w:after="0"/>
        <w:ind w:left="0" w:right="0" w:hanging="0"/>
        <w:jc w:val="left"/>
        <w:rPr>
          <w:rFonts w:ascii="Times New Roman;Times;Serif" w:hAnsi="Times New Roman;Times;Serif"/>
          <w:b/>
          <w:i w:val="false"/>
          <w:caps/>
          <w:strike/>
          <w:color w:val="FF0000"/>
          <w:sz w:val="20"/>
        </w:rPr>
      </w:pPr>
      <w:r>
        <w:rPr>
          <w:rFonts w:ascii="Times New Roman;Times;Serif" w:hAnsi="Times New Roman;Times;Serif"/>
          <w:b/>
          <w:i w:val="false"/>
          <w:caps/>
          <w:strike/>
          <w:color w:val="FF0000"/>
          <w:sz w:val="20"/>
        </w:rPr>
        <w:t>By: supernova management llc, its general partner</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2635" w:type="dxa"/>
        <w:jc w:val="left"/>
        <w:tblInd w:w="0" w:type="dxa"/>
        <w:tblLayout w:type="fixed"/>
        <w:tblCellMar>
          <w:top w:w="0" w:type="dxa"/>
          <w:left w:w="0" w:type="dxa"/>
          <w:bottom w:w="0" w:type="dxa"/>
          <w:right w:w="0" w:type="dxa"/>
        </w:tblCellMar>
      </w:tblPr>
      <w:tblGrid>
        <w:gridCol w:w="560"/>
        <w:gridCol w:w="2000"/>
        <w:gridCol w:w="75"/>
      </w:tblGrid>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tc>
        <w:tc>
          <w:tcPr>
            <w:tcW w:w="20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/s/ David J. Snyderman</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David J. Snyderman</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Administrative Manager</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Constellation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Constellation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(UK) LLP</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APPK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appk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Lake Credit Fund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Longhorn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by: </w:t>
      </w:r>
      <w:r>
        <w:rPr>
          <w:rFonts w:ascii="Times New Roman;Times;Serif" w:hAnsi="Times New Roman;Times;Serif"/>
          <w:b/>
          <w:i w:val="false"/>
          <w:caps/>
          <w:strike/>
          <w:color w:val="FF0000"/>
          <w:sz w:val="20"/>
        </w:rPr>
        <w:t>magnertar</w:t>
      </w:r>
      <w:r>
        <w:rPr>
          <w:rFonts w:ascii="Times New Roman;Times;Serif" w:hAnsi="Times New Roman;Times;Serif"/>
          <w:b/>
          <w:i w:val="false"/>
          <w:caps/>
          <w:color w:val="0000FF"/>
          <w:sz w:val="20"/>
          <w:u w:val="single"/>
        </w:rPr>
        <w:t>magnetar</w:t>
      </w:r>
      <w:r>
        <w:rPr>
          <w:rFonts w:ascii="Times New Roman;Times;Serif" w:hAnsi="Times New Roman;Times;Serif"/>
          <w:b/>
          <w:i w:val="false"/>
          <w:caps/>
          <w:sz w:val="20"/>
        </w:rPr>
        <w:t xml:space="preserve"> longhorn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8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8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Opportunity A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2025-3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2025-3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2025-4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2025-4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2025-A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5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5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 xml:space="preserve">by: MCP GP HOLDINGS </w:t>
      </w:r>
      <w:r>
        <w:rPr>
          <w:rFonts w:ascii="Times New Roman;Times;Serif" w:hAnsi="Times New Roman;Times;Serif"/>
          <w:b/>
          <w:i w:val="false"/>
          <w:caps/>
          <w:color w:val="0000FF"/>
          <w:sz w:val="20"/>
          <w:u w:val="single"/>
        </w:rPr>
        <w:t>LLC</w:t>
      </w:r>
      <w:r>
        <w:rPr>
          <w:rFonts w:ascii="Times New Roman;Times;Serif" w:hAnsi="Times New Roman;Times;Serif"/>
          <w:b/>
          <w:i w:val="false"/>
          <w:caps/>
          <w:sz w:val="20"/>
        </w:rPr>
        <w:t>,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6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6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7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by: magnetar </w:t>
      </w:r>
      <w:r>
        <w:rPr>
          <w:rFonts w:ascii="Times New Roman;Times;Serif" w:hAnsi="Times New Roman;Times;Serif"/>
          <w:b/>
          <w:i w:val="false"/>
          <w:caps/>
          <w:strike/>
          <w:color w:val="FF0000"/>
          <w:sz w:val="20"/>
        </w:rPr>
        <w:t>opportuniyt</w:t>
      </w:r>
      <w:r>
        <w:rPr>
          <w:rFonts w:ascii="Times New Roman;Times;Serif" w:hAnsi="Times New Roman;Times;Serif"/>
          <w:b/>
          <w:i w:val="false"/>
          <w:caps/>
          <w:color w:val="0000FF"/>
          <w:sz w:val="20"/>
          <w:u w:val="single"/>
        </w:rPr>
        <w:t>opportunity</w:t>
      </w:r>
      <w:r>
        <w:rPr>
          <w:rFonts w:ascii="Times New Roman;Times;Serif" w:hAnsi="Times New Roman;Times;Serif"/>
          <w:b/>
          <w:i w:val="false"/>
          <w:caps/>
          <w:sz w:val="20"/>
        </w:rPr>
        <w:t xml:space="preserve"> 7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Special Situations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special situations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Special Situations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Structured Credit Fund, LP DBA Constellation onshore fund</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general partner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Alternative Credit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A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C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Xing He Fund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Xing He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MCP Investing LLC</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Mustang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Mustang opportunities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F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T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Realta Investments Ireland Designated Activity Company</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560"/>
        <w:gridCol w:w="161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1,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2026-1,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2026-2,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 — Existing Wholly-Owned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Wholly-owned subsidiaries (each, 100% owned) of Neostellar Capital Corp.:</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 Capital Lending, LLC (Delaware, formed April 13,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SuRo Capital Sports, LLC (Delaware, formed March 19,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SRCI Advisors, LLC (Delaware, formed September 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AE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AV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SW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SVDS Holdings, Inc. — Taxable Subsidiary (Delaware, formed August 13, 2013)</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 —Existing Affiliated Funds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Existing Affiliated Funds are advised by an Adviser as set forth below:</w:t>
      </w:r>
    </w:p>
    <w:p>
      <w:pPr>
        <w:pStyle w:val="TextBody"/>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15"/>
        <w:gridCol w:w="513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Affiliated Funds advised by Magnetar Financial LLC:</w:t>
            </w:r>
          </w:p>
        </w:tc>
      </w:tr>
    </w:tbl>
    <w:p>
      <w:pPr>
        <w:pStyle w:val="TextBody"/>
        <w:bidi w:val="0"/>
        <w:spacing w:before="0" w:after="0"/>
        <w:ind w:left="720" w:right="0" w:hanging="72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Astrum Partners II LP</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Astrum Partners LLC, Series XV</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Astrum Partners LLC, Series XVIII</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CW Credit Opportunity 2 LP</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CW Opportunity 2 LP</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CW Opportunity LLC</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Longhorn Special Opportunities Fund LP</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ACFI Strategic Ventures 2 LLC</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ACFI Strategic Ventures LLC</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AI Opportunity LLC</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AI Ventures Fund LP</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Alpha Star Fund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Capital Fund 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Capital Master Fund,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Constellation Fund,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Constellation Master Fund,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Investment APPK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Investment Opportunity Series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Lake Credit Fund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Longhorn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8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A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2025-2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2025-3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2025-A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5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6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7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Special Situations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Special Situations Master Fund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Structured Credit Fund, LP DBA Constellation Onshore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Alternative Credit Fund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Series A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Series C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Xing He Fund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Xing He Master Fund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Mustang Opportunities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Alternative Credit Fund – F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Alternative Credit Fund – T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1, A Series of Astrum Partners 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 A Series of Astrum Partners 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2026-1, a Series of Magnetar Investment Opportunity Series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2026-2, a Series of Magnetar Investment Opportunity Series Fund LP</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I, a series of Astrum Partners LLC</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VII, a series of Astrum Partners LLC</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XI, a series of Astrum Partners LLC</w:t>
            </w:r>
          </w:p>
        </w:tc>
      </w:tr>
    </w:tbl>
    <w:p>
      <w:pPr>
        <w:pStyle w:val="TextBody"/>
        <w:bidi w:val="0"/>
        <w:spacing w:before="0" w:after="0"/>
        <w:ind w:left="1440" w:right="0" w:hanging="360"/>
        <w:jc w:val="both"/>
        <w:rPr>
          <w:caps w:val="false"/>
          <w:smallCaps w:val="false"/>
          <w:color w:val="0000FF"/>
        </w:rPr>
      </w:pPr>
      <w:r>
        <w:rPr>
          <w:caps w:val="false"/>
          <w:smallCaps w:val="false"/>
          <w:color w:val="0000FF"/>
        </w:rPr>
        <w:t> </w:t>
      </w:r>
    </w:p>
    <w:tbl>
      <w:tblPr>
        <w:tblW w:w="5800" w:type="dxa"/>
        <w:jc w:val="left"/>
        <w:tblInd w:w="0" w:type="dxa"/>
        <w:tblLayout w:type="fixed"/>
        <w:tblCellMar>
          <w:top w:w="0" w:type="dxa"/>
          <w:left w:w="0" w:type="dxa"/>
          <w:bottom w:w="0" w:type="dxa"/>
          <w:right w:w="0" w:type="dxa"/>
        </w:tblCellMar>
      </w:tblPr>
      <w:tblGrid>
        <w:gridCol w:w="215"/>
        <w:gridCol w:w="558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Affiliated Funds Advised by Magnetar Financial (UK) LLP:</w:t>
            </w:r>
          </w:p>
        </w:tc>
      </w:tr>
    </w:tbl>
    <w:p>
      <w:pPr>
        <w:pStyle w:val="TextBody"/>
        <w:bidi w:val="0"/>
        <w:spacing w:before="0" w:after="0"/>
        <w:ind w:left="720" w:right="0" w:hanging="72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Realta Investments Ireland Designated Activity Company</w:t>
            </w:r>
          </w:p>
        </w:tc>
      </w:tr>
    </w:tbl>
    <w:p>
      <w:pPr>
        <w:pStyle w:val="TextBody"/>
        <w:bidi w:val="0"/>
        <w:spacing w:before="0" w:after="0"/>
        <w:ind w:left="144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states that he or she has duly executed the attached </w:t>
      </w:r>
      <w:r>
        <w:rPr>
          <w:rFonts w:ascii="Times New Roman;Times;Serif" w:hAnsi="Times New Roman;Times;Serif"/>
          <w:b w:val="false"/>
          <w:i w:val="false"/>
          <w:caps w:val="false"/>
          <w:smallCaps w:val="false"/>
          <w:color w:val="0000FF"/>
          <w:sz w:val="20"/>
          <w:u w:val="single"/>
        </w:rPr>
        <w:t xml:space="preserve">Amendment No. 1 to the </w:t>
      </w:r>
      <w:r>
        <w:rPr>
          <w:rFonts w:ascii="Times New Roman;Times;Serif" w:hAnsi="Times New Roman;Times;Serif"/>
          <w:b w:val="false"/>
          <w:i w:val="false"/>
          <w:caps w:val="false"/>
          <w:smallCaps w:val="false"/>
          <w:sz w:val="20"/>
        </w:rPr>
        <w:t xml:space="preserve">Application dated </w:t>
      </w:r>
      <w:r>
        <w:rPr>
          <w:rFonts w:ascii="Times New Roman;Times;Serif" w:hAnsi="Times New Roman;Times;Serif"/>
          <w:b w:val="false"/>
          <w:i w:val="false"/>
          <w:caps w:val="false"/>
          <w:smallCaps w:val="false"/>
          <w:strike/>
          <w:color w:val="FF0000"/>
          <w:sz w:val="20"/>
        </w:rPr>
        <w:t>August 3</w:t>
      </w:r>
      <w:r>
        <w:rPr>
          <w:rFonts w:ascii="Times New Roman;Times;Serif" w:hAnsi="Times New Roman;Times;Serif"/>
          <w:b w:val="false"/>
          <w:i w:val="false"/>
          <w:caps w:val="false"/>
          <w:smallCaps w:val="false"/>
          <w:color w:val="0000FF"/>
          <w:sz w:val="20"/>
          <w:u w:val="single"/>
        </w:rPr>
        <w:t>October 1</w:t>
      </w:r>
      <w:r>
        <w:rPr>
          <w:rFonts w:ascii="Times New Roman;Times;Serif" w:hAnsi="Times New Roman;Times;Serif"/>
          <w:b w:val="false"/>
          <w:i w:val="false"/>
          <w:caps w:val="false"/>
          <w:smallCaps w:val="false"/>
          <w:sz w:val="20"/>
        </w:rPr>
        <w:t>, 2026 for and on behalf of the Applicants, as the case may be, that he or she holds the office with each such entity as indicated below and that all actions by stockholders, officers, directors, and other bodies necessary to authorize the undersigned to execute and file such Application have been taken. The undersigned further states that he or she is familiar with the instrument and the contents thereof, and that the facts set forth therein are true to the best of his or her knowledge, information, and belief.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 CAPITAL LENDING,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SPORTS,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SRCI ADVISORS, LLC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AE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AV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SW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SVDS HOLDINGS, INC.</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llc</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color w:val="FF0000"/>
        </w:rPr>
      </w:pPr>
      <w:r>
        <w:rPr>
          <w:caps/>
          <w:color w:val="FF0000"/>
        </w:rPr>
        <w:t> </w:t>
      </w:r>
    </w:p>
    <w:p>
      <w:pPr>
        <w:pStyle w:val="TextBody"/>
        <w:bidi w:val="0"/>
        <w:spacing w:before="0" w:after="0"/>
        <w:ind w:left="0" w:right="0" w:hanging="0"/>
        <w:jc w:val="left"/>
        <w:rPr>
          <w:rFonts w:ascii="Times New Roman;Times;Serif" w:hAnsi="Times New Roman;Times;Serif"/>
          <w:b/>
          <w:i w:val="false"/>
          <w:caps/>
          <w:strike/>
          <w:color w:val="FF0000"/>
          <w:sz w:val="20"/>
        </w:rPr>
      </w:pPr>
      <w:r>
        <w:rPr>
          <w:rFonts w:ascii="Times New Roman;Times;Serif" w:hAnsi="Times New Roman;Times;Serif"/>
          <w:b/>
          <w:i w:val="false"/>
          <w:caps/>
          <w:strike/>
          <w:color w:val="FF0000"/>
          <w:sz w:val="20"/>
        </w:rPr>
        <w:t>magnetar asset management llc</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tc>
        <w:tc>
          <w:tcPr>
            <w:tcW w:w="13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/s/ Karl Wachter</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Karl Wachter</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General Counsel</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VII,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XI, a series of Astrum Partners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XVIII</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Credit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credit opportunity 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opportunity 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Longhorn Special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longhorn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2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Opportunity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Ventures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ai ventures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Alpha Star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ALPHA STAR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Fund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CAPITAL FUND ii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Capital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color w:val="FF0000"/>
        </w:rPr>
      </w:pPr>
      <w:r>
        <w:rPr>
          <w:caps/>
          <w:color w:val="FF0000"/>
        </w:rPr>
        <w:t> </w:t>
      </w:r>
    </w:p>
    <w:p>
      <w:pPr>
        <w:pStyle w:val="TextBody"/>
        <w:bidi w:val="0"/>
        <w:spacing w:before="0" w:after="0"/>
        <w:ind w:left="0" w:right="0" w:hanging="0"/>
        <w:jc w:val="both"/>
        <w:rPr>
          <w:rFonts w:ascii="Times New Roman;Times;Serif" w:hAnsi="Times New Roman;Times;Serif"/>
          <w:b/>
          <w:i w:val="false"/>
          <w:caps/>
          <w:strike/>
          <w:color w:val="FF0000"/>
          <w:sz w:val="20"/>
        </w:rPr>
      </w:pPr>
      <w:r>
        <w:rPr>
          <w:rFonts w:ascii="Times New Roman;Times;Serif" w:hAnsi="Times New Roman;Times;Serif"/>
          <w:b/>
          <w:i w:val="false"/>
          <w:caps/>
          <w:strike/>
          <w:color w:val="FF0000"/>
          <w:sz w:val="20"/>
        </w:rPr>
        <w:t>Magnetar Capital Partners LP</w:t>
      </w:r>
    </w:p>
    <w:p>
      <w:pPr>
        <w:pStyle w:val="TextBody"/>
        <w:bidi w:val="0"/>
        <w:spacing w:before="0" w:after="0"/>
        <w:ind w:left="0" w:right="0" w:hanging="0"/>
        <w:jc w:val="left"/>
        <w:rPr>
          <w:rFonts w:ascii="Times New Roman;Times;Serif" w:hAnsi="Times New Roman;Times;Serif"/>
          <w:b/>
          <w:i w:val="false"/>
          <w:caps/>
          <w:strike/>
          <w:color w:val="FF0000"/>
          <w:sz w:val="20"/>
        </w:rPr>
      </w:pPr>
      <w:r>
        <w:rPr>
          <w:rFonts w:ascii="Times New Roman;Times;Serif" w:hAnsi="Times New Roman;Times;Serif"/>
          <w:b/>
          <w:i w:val="false"/>
          <w:caps/>
          <w:strike/>
          <w:color w:val="FF0000"/>
          <w:sz w:val="20"/>
        </w:rPr>
        <w:t>By: supernova management llc, its general partner</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2635" w:type="dxa"/>
        <w:jc w:val="left"/>
        <w:tblInd w:w="0" w:type="dxa"/>
        <w:tblLayout w:type="fixed"/>
        <w:tblCellMar>
          <w:top w:w="0" w:type="dxa"/>
          <w:left w:w="0" w:type="dxa"/>
          <w:bottom w:w="0" w:type="dxa"/>
          <w:right w:w="0" w:type="dxa"/>
        </w:tblCellMar>
      </w:tblPr>
      <w:tblGrid>
        <w:gridCol w:w="560"/>
        <w:gridCol w:w="2000"/>
        <w:gridCol w:w="75"/>
      </w:tblGrid>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tc>
        <w:tc>
          <w:tcPr>
            <w:tcW w:w="20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/s/ David J. Snyderman</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David J. Snyderman</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Administrative Manager</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Constellation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Constellation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(UK) LLP</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APPK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appk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Lake Credit Fund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Longhorn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by: </w:t>
      </w:r>
      <w:r>
        <w:rPr>
          <w:rFonts w:ascii="Times New Roman;Times;Serif" w:hAnsi="Times New Roman;Times;Serif"/>
          <w:b/>
          <w:i w:val="false"/>
          <w:caps/>
          <w:strike/>
          <w:color w:val="FF0000"/>
          <w:sz w:val="20"/>
        </w:rPr>
        <w:t>magnertar</w:t>
      </w:r>
      <w:r>
        <w:rPr>
          <w:rFonts w:ascii="Times New Roman;Times;Serif" w:hAnsi="Times New Roman;Times;Serif"/>
          <w:b/>
          <w:i w:val="false"/>
          <w:caps/>
          <w:color w:val="0000FF"/>
          <w:sz w:val="20"/>
          <w:u w:val="single"/>
        </w:rPr>
        <w:t>magnetar</w:t>
      </w:r>
      <w:r>
        <w:rPr>
          <w:rFonts w:ascii="Times New Roman;Times;Serif" w:hAnsi="Times New Roman;Times;Serif"/>
          <w:b/>
          <w:i w:val="false"/>
          <w:caps/>
          <w:sz w:val="20"/>
        </w:rPr>
        <w:t xml:space="preserve"> longhorn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8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8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Opportunity A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2025-2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2025-3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2025-3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2025-4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2025-4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2025-A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5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5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 xml:space="preserve">by: MCP GP HOLDINGS </w:t>
      </w:r>
      <w:r>
        <w:rPr>
          <w:rFonts w:ascii="Times New Roman;Times;Serif" w:hAnsi="Times New Roman;Times;Serif"/>
          <w:b/>
          <w:i w:val="false"/>
          <w:caps/>
          <w:color w:val="0000FF"/>
          <w:sz w:val="20"/>
          <w:u w:val="single"/>
        </w:rPr>
        <w:t>LLC</w:t>
      </w:r>
      <w:r>
        <w:rPr>
          <w:rFonts w:ascii="Times New Roman;Times;Serif" w:hAnsi="Times New Roman;Times;Serif"/>
          <w:b/>
          <w:i w:val="false"/>
          <w:caps/>
          <w:sz w:val="20"/>
        </w:rPr>
        <w:t>,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6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6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7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by: magnetar </w:t>
      </w:r>
      <w:r>
        <w:rPr>
          <w:rFonts w:ascii="Times New Roman;Times;Serif" w:hAnsi="Times New Roman;Times;Serif"/>
          <w:b/>
          <w:i w:val="false"/>
          <w:caps/>
          <w:strike/>
          <w:color w:val="FF0000"/>
          <w:sz w:val="20"/>
        </w:rPr>
        <w:t>opportuniyt</w:t>
      </w:r>
      <w:r>
        <w:rPr>
          <w:rFonts w:ascii="Times New Roman;Times;Serif" w:hAnsi="Times New Roman;Times;Serif"/>
          <w:b/>
          <w:i w:val="false"/>
          <w:caps/>
          <w:color w:val="0000FF"/>
          <w:sz w:val="20"/>
          <w:u w:val="single"/>
        </w:rPr>
        <w:t>opportunity</w:t>
      </w:r>
      <w:r>
        <w:rPr>
          <w:rFonts w:ascii="Times New Roman;Times;Serif" w:hAnsi="Times New Roman;Times;Serif"/>
          <w:b/>
          <w:i w:val="false"/>
          <w:caps/>
          <w:sz w:val="20"/>
        </w:rPr>
        <w:t xml:space="preserve"> 7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Special Situations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special situations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Special Situations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Structured Credit Fund, LP DBA Constellation onshore fund</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general partner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Alternative Credit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A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C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Xing He Fund LLC</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Xing He Master Fund Ltd</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560"/>
        <w:gridCol w:w="134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MCP Investing LLC</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Mustang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Mustang opportunities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F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T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Realta Investments Ireland Designated Activity Company</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560"/>
        <w:gridCol w:w="161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Bronwyn Wright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1,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2026-1,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2026-2,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of the Board of Directors of Neostellar Capital Corp. (the “Fund”)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deems it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on behalf of the Fund and in its name to prepare, execute, and cause to be filed with the Commission an Application for an order of exemption, substantially in the form attached hereto as Exhibit A, and any amendments thereto, pursuant to Section 17(d) of the 1940 Act; and be it further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to take such further action and execute such other documents as such officer or officers shall deem necessary or advisable in order to effectuate the intent of the foregoing resolution; and be it further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July 15,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Marked Copies of the Application Showing Changes from the Final Versions of the Two Applications Identified as Substantially Identical Under Rule 0-5(e)(3)</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color w:val="0000FF"/>
        </w:rPr>
      </w:pPr>
      <w:r>
        <w:rPr>
          <w:caps w:val="false"/>
          <w:smallCaps w:val="false"/>
          <w:color w:val="0000FF"/>
        </w:rPr>
        <w:t> </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D</w:t>
      </w:r>
    </w:p>
    <w:p>
      <w:pPr>
        <w:pStyle w:val="TextBody"/>
        <w:bidi w:val="0"/>
        <w:spacing w:before="0" w:after="0"/>
        <w:ind w:left="0" w:right="0" w:hanging="0"/>
        <w:jc w:val="right"/>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Marked Copy of Amendment No. 1 to the Application Showing Changes from the Application Filed with the Commission on August 3, 2026</w:t>
      </w:r>
    </w:p>
    <w:p>
      <w:pPr>
        <w:pStyle w:val="TextBody"/>
        <w:bidi w:val="0"/>
        <w:spacing w:before="0" w:after="0"/>
        <w:ind w:left="0" w:right="0" w:hanging="0"/>
        <w:jc w:val="center"/>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center"/>
        <w:rPr>
          <w:caps w:val="false"/>
          <w:smallCaps w:val="false"/>
          <w:color w:val="0000FF"/>
        </w:rPr>
      </w:pPr>
      <w:r>
        <w:rPr>
          <w:caps w:val="false"/>
          <w:smallCaps w:val="false"/>
          <w:color w:val="0000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229</Pages>
  <Words>45283</Words>
  <Characters>243841</Characters>
  <CharactersWithSpaces>286774</CharactersWithSpaces>
  <Paragraphs>8976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