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8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6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Maryland</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805"/>
            <w:bookmarkEnd w:id="6"/>
            <w:r>
              <w:rPr>
                <w:rFonts w:ascii="Times New Roman;Times;Serif" w:hAnsi="Times New Roman;Times;Serif"/>
                <w:b/>
                <w:i w:val="false"/>
                <w:caps w:val="false"/>
                <w:smallCaps w:val="false"/>
                <w:sz w:val="20"/>
              </w:rPr>
              <w:t>1-35156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27-4443543</w:t>
            </w:r>
          </w:p>
        </w:tc>
      </w:tr>
      <w:tr>
        <w:trPr/>
        <w:tc>
          <w:tcPr>
            <w:tcW w:w="23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640 Fifth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AddressLine2_"/>
      <w:bookmarkEnd w:id="9"/>
      <w:r>
        <w:rPr>
          <w:rFonts w:ascii="Times New Roman;Times;Serif" w:hAnsi="Times New Roman;Times;Serif"/>
          <w:b/>
          <w:i w:val="false"/>
          <w:caps w:val="false"/>
          <w:smallCaps w:val="false"/>
          <w:sz w:val="20"/>
        </w:rPr>
        <w:t>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New York, </w:t>
      </w:r>
      <w:bookmarkStart w:id="11" w:name="xdx_90C_edei--EntityAddressStateOrProvin"/>
      <w:bookmarkEnd w:id="11"/>
      <w:r>
        <w:rPr>
          <w:rFonts w:ascii="Times New Roman;Times;Serif" w:hAnsi="Times New Roman;Times;Serif"/>
          <w:b/>
          <w:i w:val="false"/>
          <w:caps w:val="false"/>
          <w:smallCaps w:val="false"/>
          <w:sz w:val="20"/>
        </w:rPr>
        <w:t xml:space="preserve">NY </w:t>
      </w:r>
      <w:bookmarkStart w:id="12" w:name="xdx_907_edei--EntityAddressPostalZipCode"/>
      <w:bookmarkEnd w:id="12"/>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D_edei--CityAreaCode_c20260805__20"/>
      <w:bookmarkEnd w:id="13"/>
      <w:r>
        <w:rPr>
          <w:rFonts w:ascii="Times New Roman;Times;Serif" w:hAnsi="Times New Roman;Times;Serif"/>
          <w:b/>
          <w:i w:val="false"/>
          <w:caps w:val="false"/>
          <w:smallCaps w:val="false"/>
          <w:sz w:val="20"/>
        </w:rPr>
        <w:t xml:space="preserve">(212) </w:t>
      </w:r>
      <w:bookmarkStart w:id="14" w:name="xdx_909_edei--LocalPhoneNumber_c20260805"/>
      <w:bookmarkEnd w:id="14"/>
      <w:r>
        <w:rPr>
          <w:rFonts w:ascii="Times New Roman;Times;Serif" w:hAnsi="Times New Roman;Times;Serif"/>
          <w:b/>
          <w:i w:val="false"/>
          <w:caps w:val="false"/>
          <w:smallCaps w:val="false"/>
          <w:sz w:val="20"/>
        </w:rPr>
        <w:t>931-6331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2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3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410"/>
        <w:gridCol w:w="60"/>
        <w:gridCol w:w="1445"/>
        <w:gridCol w:w="60"/>
        <w:gridCol w:w="377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60805"/>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0805__2"/>
            <w:bookmarkEnd w:id="20"/>
            <w:r>
              <w:rPr>
                <w:rFonts w:ascii="Times New Roman;Times;Serif" w:hAnsi="Times New Roman;Times;Serif"/>
                <w:b w:val="false"/>
                <w:i w:val="false"/>
                <w:caps w:val="false"/>
                <w:smallCaps w:val="false"/>
                <w:sz w:val="20"/>
              </w:rPr>
              <w:t>NSLR</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ExchangeName_c2026"/>
            <w:bookmarkEnd w:id="21"/>
            <w:r>
              <w:rPr>
                <w:rFonts w:ascii="Times New Roman;Times;Serif" w:hAnsi="Times New Roman;Times;Serif"/>
                <w:b w:val="false"/>
                <w:i w:val="false"/>
                <w:caps w:val="false"/>
                <w:smallCaps w:val="false"/>
                <w:sz w:val="20"/>
              </w:rPr>
              <w:t>Nasdaq Global Select Market</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Security12bTitle_c20260805"/>
            <w:bookmarkEnd w:id="22"/>
            <w:r>
              <w:rPr>
                <w:rFonts w:ascii="Times New Roman;Times;Serif" w:hAnsi="Times New Roman;Times;Serif"/>
                <w:b w:val="false"/>
                <w:i w:val="false"/>
                <w:caps w:val="false"/>
                <w:smallCaps w:val="false"/>
                <w:sz w:val="20"/>
              </w:rPr>
              <w:t>6.00% Notes due 2026</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TradingSymbol_c20260805__2"/>
            <w:bookmarkEnd w:id="23"/>
            <w:r>
              <w:rPr>
                <w:rFonts w:ascii="Times New Roman;Times;Serif" w:hAnsi="Times New Roman;Times;Serif"/>
                <w:b w:val="false"/>
                <w:i w:val="false"/>
                <w:caps w:val="false"/>
                <w:smallCaps w:val="false"/>
                <w:sz w:val="20"/>
              </w:rPr>
              <w:t>NSLRL</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9_edei--SecurityExchangeName_c2026"/>
            <w:bookmarkEnd w:id="24"/>
            <w:r>
              <w:rPr>
                <w:rFonts w:ascii="Times New Roman;Times;Serif" w:hAnsi="Times New Roman;Times;Serif"/>
                <w:b w:val="false"/>
                <w:i w:val="false"/>
                <w:caps w:val="false"/>
                <w:smallCaps w:val="false"/>
                <w:sz w:val="20"/>
              </w:rPr>
              <w:t>Nasdaq Global Select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F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Neostellar Capital Corp. (the “Company”) issued a press release announcing its financial results for the fiscal quarter ended June 30, 2026 (the “Press Release”). A copy of the Press Release is attached as Exhibit 99.1 to this Current Report on Form 8-K and is incorporated into this Item 2.02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2.02, including the information set forth in Exhibit 99.1 hereto, is being “furnished” and shall not be deemed “filed” for purposes of Section 18 of the Securities Exchange Act of 1934, as amended (the “Exchange Act”), or otherwise.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pStyle w:val="TextBody"/>
        <w:bidi w:val="0"/>
        <w:spacing w:before="0" w:after="0"/>
        <w:jc w:val="center"/>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jc w:val="center"/>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August 5, 2026*</w:t>
              </w:r>
            </w:hyperlink>
          </w:p>
        </w:tc>
      </w:tr>
      <w:tr>
        <w:trPr/>
        <w:tc>
          <w:tcPr>
            <w:tcW w:w="98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press release attached hereto as Exhibit 99.1 is “furnished” and not “filed,” as described in Item 2.02 of this Current Report on Form 8-K.</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1760"/>
        <w:gridCol w:w="365"/>
        <w:gridCol w:w="473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tc>
        <w:tc>
          <w:tcPr>
            <w:tcW w:w="50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0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765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38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Reports Second Quarter 2026 Financial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Affiliate of Magnetar Invested $20.0 Million in Neostellar Through a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Redeemable Promissory Note Subsequent to Quarter-End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Asset Value of $13.44 Per Share as of 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YORK, NY, August 5, 2026 (GLOBE NEWSWIRE) – </w:t>
      </w:r>
      <w:r>
        <w:rPr>
          <w:rFonts w:ascii="Times New Roman;Times;Serif" w:hAnsi="Times New Roman;Times;Serif"/>
          <w:b/>
          <w:i w:val="false"/>
          <w:caps w:val="false"/>
          <w:smallCaps w:val="false"/>
          <w:sz w:val="20"/>
          <w:u w:val="single"/>
        </w:rPr>
        <w:t>Neostellar Capital Corp.</w:t>
      </w:r>
      <w:r>
        <w:rPr>
          <w:rFonts w:ascii="Times New Roman;Times;Serif" w:hAnsi="Times New Roman;Times;Serif"/>
          <w:b/>
          <w:i w:val="false"/>
          <w:caps w:val="false"/>
          <w:smallCaps w:val="false"/>
          <w:sz w:val="20"/>
        </w:rPr>
        <w:t xml:space="preserve"> (“Neostellar Capital”, the “Company”, “we”, “us”, and “our”)</w:t>
      </w:r>
      <w:r>
        <w:rPr>
          <w:rFonts w:ascii="Times New Roman;Times;Serif" w:hAnsi="Times New Roman;Times;Serif"/>
          <w:b w:val="false"/>
          <w:i w:val="false"/>
          <w:caps w:val="false"/>
          <w:smallCaps w:val="false"/>
          <w:sz w:val="20"/>
        </w:rPr>
        <w:t xml:space="preserve"> (Nasdaq: </w:t>
      </w:r>
      <w:r>
        <w:rPr>
          <w:rFonts w:ascii="Times New Roman;Times;Serif" w:hAnsi="Times New Roman;Times;Serif"/>
          <w:b/>
          <w:i w:val="false"/>
          <w:caps w:val="false"/>
          <w:smallCaps w:val="false"/>
          <w:sz w:val="20"/>
          <w:u w:val="single"/>
        </w:rPr>
        <w:t>NSLR</w:t>
      </w:r>
      <w:r>
        <w:rPr>
          <w:rFonts w:ascii="Times New Roman;Times;Serif" w:hAnsi="Times New Roman;Times;Serif"/>
          <w:b w:val="false"/>
          <w:i w:val="false"/>
          <w:caps w:val="false"/>
          <w:smallCaps w:val="false"/>
          <w:sz w:val="20"/>
        </w:rPr>
        <w:t>) today announced its financial results for the second quarter ended June 30, 2026. Net assets totaled approximately $355.9 million, or $13.44 per share, at June 30, 2026, as compared to $14.24 per share, at March 31, 2026 and $9.18 per share at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was an important period for Neostellar Capital, marked by the completion of several meaningful investments and continued progress in the evolution of our platform,” said Mark Klein, Chairman and Chief Executive Officer of Neostellar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Following quarter-end, we launched Neostellar Advisors with Magnetar and completed our transition to an externally managed structure. We believe the combination of our team’s private-market investment experience and Magnetar’s institutional resources broadens our sourcing capabilities, expands the range of structures we can evaluate, and strengthens our ability to pursue differentiated investment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quarter, we funded the remaining $15 million of our $20 million commitment to TensorWave through a Magnetar special-purpose vehicle. The investment was completed in connection with TensorWave’s $350 million Series B financing, which was co-led by Magnetar and AMD Ventures. We believe TensorWave is well positioned to benefit from continued growth in demand for high-performance AI compute infrastructure as customers seek additional capacity, greater flexibility, and a more diversified hardware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also completed an approximately $9.5 million investment in ClickHouse during the second quarter, expanding our exposure to the data infrastructure supporting AI and enterprise applications. ClickHouse provides high-performance analytical database software that enables customers to process and analyze large volumes of operational data in real time. We believe the company’s differentiated technology, meaningful commercial scale, and growing adoption across AI and enterprise workloads position it well for continued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investments exemplify the opportunities we continue to pursue through the Neostellar platform,” Mr. Klein continued. “Artificial intelligence is driving significant investment across compute, data infrastructure, networking, software, cybersecurity, and power. We remain focused on identifying differentiated companies positioned to benefit from these structural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Klein concluded, “Our objective is not simply to own a collection of the largest private technology companies. We seek to identify exceptional businesses before they reach broader recognition and associated scale, and to invest on terms that we believe appropriately balance risk and return. We believe Neostellar’s expanded capabilities enhance our ability to pursue these opportunities while remaining focused on disciplined capital allocation and creating durable long-term value for our stockholders.”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Portfolio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Company held positions in 37 portfolio companies – 34 privately held and 3 publicly held – with an aggregate fair value of approximately $405.9 million. The Company’s top five portfolio company investments accounted for approximately 69% of the total portfolio at fair value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Top Five Investments as of June 30, 2026</w:t>
      </w:r>
    </w:p>
    <w:p>
      <w:pPr>
        <w:pStyle w:val="TextBody"/>
        <w:bidi w:val="0"/>
        <w:spacing w:before="0" w:after="0"/>
        <w:ind w:left="0" w:right="0" w:hanging="0"/>
        <w:jc w:val="both"/>
        <w:rPr>
          <w:caps w:val="false"/>
          <w:smallCaps w:val="false"/>
        </w:rPr>
      </w:pPr>
      <w:r>
        <w:rPr>
          <w:caps w:val="false"/>
          <w:smallCaps w:val="false"/>
        </w:rPr>
        <w:t> </w:t>
      </w:r>
    </w:p>
    <w:tbl>
      <w:tblPr>
        <w:tblW w:w="8423" w:type="dxa"/>
        <w:jc w:val="left"/>
        <w:tblInd w:w="0" w:type="dxa"/>
        <w:tblLayout w:type="fixed"/>
        <w:tblCellMar>
          <w:top w:w="0" w:type="dxa"/>
          <w:left w:w="0" w:type="dxa"/>
          <w:bottom w:w="28" w:type="dxa"/>
          <w:right w:w="0" w:type="dxa"/>
        </w:tblCellMar>
      </w:tblPr>
      <w:tblGrid>
        <w:gridCol w:w="3605"/>
        <w:gridCol w:w="60"/>
        <w:gridCol w:w="258"/>
        <w:gridCol w:w="811"/>
        <w:gridCol w:w="60"/>
        <w:gridCol w:w="60"/>
        <w:gridCol w:w="223"/>
        <w:gridCol w:w="892"/>
        <w:gridCol w:w="60"/>
        <w:gridCol w:w="60"/>
        <w:gridCol w:w="245"/>
        <w:gridCol w:w="1814"/>
        <w:gridCol w:w="275"/>
      </w:tblGrid>
      <w:tr>
        <w:trPr/>
        <w:tc>
          <w:tcPr>
            <w:tcW w:w="360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Portfolio Company (</w:t>
            </w:r>
            <w:r>
              <w:rPr>
                <w:rFonts w:ascii="Times New Roman;Times;Serif" w:hAnsi="Times New Roman;Times;Serif"/>
                <w:b/>
                <w:i/>
                <w:sz w:val="20"/>
              </w:rPr>
              <w:t>$ in millions)</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Total Portfolio</w:t>
            </w:r>
          </w:p>
        </w:tc>
        <w:tc>
          <w:tcPr>
            <w:tcW w:w="275" w:type="dxa"/>
            <w:tcBorders/>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Whoop,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8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w:t>
            </w:r>
          </w:p>
        </w:tc>
        <w:tc>
          <w:tcPr>
            <w:tcW w:w="2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ARK Type One Deep Ventures Fund LLC</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8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IH10, LLC</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8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8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Magnetar Opportunity 2025-4 LP</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8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Blink Health,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bottom w:val="single" w:sz="8" w:space="0" w:color="000000"/>
            </w:tcBorders>
            <w:shd w:fill="CCEEFF" w:val="clear"/>
            <w:vAlign w:val="center"/>
          </w:tcPr>
          <w:p>
            <w:pPr>
              <w:pStyle w:val="TableContents"/>
              <w:bidi w:val="0"/>
              <w:spacing w:before="0" w:after="283"/>
              <w:jc w:val="left"/>
              <w:rPr/>
            </w:pPr>
            <w:r>
              <w:rPr/>
              <w:t> </w:t>
            </w:r>
          </w:p>
        </w:tc>
        <w:tc>
          <w:tcPr>
            <w:tcW w:w="81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8" w:space="0" w:color="000000"/>
            </w:tcBorders>
            <w:shd w:fill="CCEEFF" w:val="clear"/>
            <w:vAlign w:val="center"/>
          </w:tcPr>
          <w:p>
            <w:pPr>
              <w:pStyle w:val="TableContents"/>
              <w:bidi w:val="0"/>
              <w:spacing w:before="0" w:after="283"/>
              <w:jc w:val="left"/>
              <w:rPr/>
            </w:pPr>
            <w:r>
              <w:rPr/>
              <w:t> </w:t>
            </w:r>
          </w:p>
        </w:tc>
        <w:tc>
          <w:tcPr>
            <w:tcW w:w="89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bottom w:val="single" w:sz="8" w:space="0" w:color="000000"/>
            </w:tcBorders>
            <w:shd w:fill="CCEEFF" w:val="clear"/>
            <w:vAlign w:val="center"/>
          </w:tcPr>
          <w:p>
            <w:pPr>
              <w:pStyle w:val="TableContents"/>
              <w:bidi w:val="0"/>
              <w:spacing w:before="0" w:after="283"/>
              <w:jc w:val="left"/>
              <w:rPr/>
            </w:pPr>
            <w:r>
              <w:rPr/>
              <w:t> </w:t>
            </w:r>
          </w:p>
        </w:tc>
        <w:tc>
          <w:tcPr>
            <w:tcW w:w="181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11"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92"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814"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69.3</w:t>
            </w:r>
          </w:p>
        </w:tc>
        <w:tc>
          <w:tcPr>
            <w:tcW w:w="27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Type One Deep Ventures Fund LLC is an investment fund for which the Class A Interest is solely invested in the Series A-2 Preferred Shares of OpenAI Global, LLC. The Company is invested in the Series A-2 Preferred Shares of OpenAI Global, LLC through its investment in the Class A Interest of ARK Type One Deep Ventures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IH10, LLC’s sole portfolio asset is an interest in the Series B Preferred Shares of VAST Data, Ltd. through a special purpose vehicle (“SPV”). The Company is invested in the Series B Preferred Shares of VAST Data, Ltd. through its investment in the Membership Interest of IH10,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 is an SPV for which the Class A Interest and Class B Interest are invested in the Series B Preferred Shares of TensorWave, Inc. The Company is invested in Series B Preferred Shares of TensorWave, Inc. through its investments in the Class A Interest and Class B Interest of Magnetar Opportunity 2025-4 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Investment Portfolio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made the following investments:</w:t>
      </w:r>
    </w:p>
    <w:p>
      <w:pPr>
        <w:pStyle w:val="TextBody"/>
        <w:bidi w:val="0"/>
        <w:spacing w:before="0" w:after="0"/>
        <w:ind w:left="0" w:right="0" w:hanging="0"/>
        <w:jc w:val="left"/>
        <w:rPr>
          <w:caps w:val="false"/>
          <w:smallCaps w:val="false"/>
        </w:rPr>
      </w:pPr>
      <w:r>
        <w:rPr>
          <w:caps w:val="false"/>
          <w:smallCaps w:val="false"/>
        </w:rPr>
        <w:t> </w:t>
      </w:r>
    </w:p>
    <w:tbl>
      <w:tblPr>
        <w:tblW w:w="8690" w:type="dxa"/>
        <w:jc w:val="left"/>
        <w:tblInd w:w="0" w:type="dxa"/>
        <w:tblLayout w:type="fixed"/>
        <w:tblCellMar>
          <w:top w:w="0" w:type="dxa"/>
          <w:left w:w="0" w:type="dxa"/>
          <w:bottom w:w="28" w:type="dxa"/>
          <w:right w:w="0" w:type="dxa"/>
        </w:tblCellMar>
      </w:tblPr>
      <w:tblGrid>
        <w:gridCol w:w="2975"/>
        <w:gridCol w:w="60"/>
        <w:gridCol w:w="2450"/>
        <w:gridCol w:w="60"/>
        <w:gridCol w:w="1790"/>
        <w:gridCol w:w="60"/>
        <w:gridCol w:w="1295"/>
      </w:tblGrid>
      <w:tr>
        <w:trPr/>
        <w:tc>
          <w:tcPr>
            <w:tcW w:w="297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Portfolio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Investment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Transaction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r>
              <w:rPr>
                <w:rFonts w:ascii="Times New Roman;Times;Serif" w:hAnsi="Times New Roman;Times;Serif"/>
                <w:b/>
                <w:position w:val="7"/>
                <w:sz w:val="16"/>
                <w:sz w:val="20"/>
              </w:rPr>
              <w:t>(1)</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Huntress Labs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$0.2 million</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ClickHouse,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Series A Preferred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4/22/2026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$9.5 million</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Magnetar Opportunity 2025-4 LP</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Class B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6/3/2026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invested does not include capitalized costs or prepaid expenses,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 is an SPV invested in TensorWave, Inc. On December 31, 2025, the Company committed up to $20.0 million to Magnetar Opportunity 2025-4 LP. As of June 30, 2026, the entire $20.0 million capital commitment to Magnetar Opportunity 2025-4 LP has been funded.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exited and/or received proceeds from the following investments: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11"/>
        <w:gridCol w:w="60"/>
        <w:gridCol w:w="1055"/>
        <w:gridCol w:w="60"/>
        <w:gridCol w:w="77"/>
        <w:gridCol w:w="1035"/>
        <w:gridCol w:w="215"/>
        <w:gridCol w:w="60"/>
        <w:gridCol w:w="444"/>
        <w:gridCol w:w="1405"/>
        <w:gridCol w:w="60"/>
        <w:gridCol w:w="60"/>
        <w:gridCol w:w="1049"/>
        <w:gridCol w:w="60"/>
        <w:gridCol w:w="1154"/>
      </w:tblGrid>
      <w:tr>
        <w:trPr/>
        <w:tc>
          <w:tcPr>
            <w:tcW w:w="3411"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Portfolio Company</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11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Quantity/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Capital</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Net Share Price</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9"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Proceeds</w:t>
            </w:r>
          </w:p>
        </w:tc>
        <w:tc>
          <w:tcPr>
            <w:tcW w:w="60" w:type="dxa"/>
            <w:tcBorders/>
            <w:tcMar>
              <w:bottom w:w="0" w:type="dxa"/>
            </w:tcMar>
            <w:vAlign w:val="center"/>
          </w:tcPr>
          <w:p>
            <w:pPr>
              <w:pStyle w:val="TableContents"/>
              <w:bidi w:val="0"/>
              <w:spacing w:before="0" w:after="283"/>
              <w:jc w:val="left"/>
              <w:rPr/>
            </w:pPr>
            <w:r>
              <w:rPr/>
              <w:t> </w:t>
            </w:r>
          </w:p>
        </w:tc>
        <w:tc>
          <w:tcPr>
            <w:tcW w:w="1154"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w:t>
            </w:r>
          </w:p>
        </w:tc>
      </w:tr>
      <w:tr>
        <w:trPr/>
        <w:tc>
          <w:tcPr>
            <w:tcW w:w="34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 Opportunity 2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Various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left"/>
              <w:rPr/>
            </w:pPr>
            <w:r>
              <w:rPr/>
              <w:t> </w:t>
            </w:r>
          </w:p>
        </w:tc>
        <w:tc>
          <w:tcPr>
            <w:tcW w:w="14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$6.5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 million</w:t>
            </w:r>
            <w:r>
              <w:rPr>
                <w:rFonts w:ascii="Times New Roman;Times;Serif" w:hAnsi="Times New Roman;Times;Serif"/>
                <w:position w:val="7"/>
                <w:sz w:val="16"/>
                <w:sz w:val="20"/>
              </w:rPr>
              <w:t>(2)</w:t>
            </w:r>
          </w:p>
        </w:tc>
      </w:tr>
      <w:tr>
        <w:trPr/>
        <w:tc>
          <w:tcPr>
            <w:tcW w:w="341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GrabAGun Digital Holdings Inc. - </w:t>
            </w:r>
            <w:r>
              <w:rPr>
                <w:rFonts w:ascii="Times New Roman;Times;Serif" w:hAnsi="Times New Roman;Times;Serif"/>
                <w:i/>
                <w:sz w:val="20"/>
              </w:rPr>
              <w:t>Common Shares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Various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147,135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$0.5 million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$0.3 million</w:t>
            </w:r>
          </w:p>
        </w:tc>
      </w:tr>
      <w:tr>
        <w:trPr/>
        <w:tc>
          <w:tcPr>
            <w:tcW w:w="34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HL Digital Assets Inc.</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6/5/2026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left"/>
              <w:rPr/>
            </w:pPr>
            <w:r>
              <w:rPr/>
              <w:t> </w:t>
            </w:r>
          </w:p>
        </w:tc>
        <w:tc>
          <w:tcPr>
            <w:tcW w:w="14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&lt;$0.1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 is an SPV for which the Class A Interest is solely invested in the Class A Common Shares of CoreWeave, Inc. Realized gain is calculated based on the current reporting by the SPV and may be subject to change or adjustment due to the impact of performance fees.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holds 452,619 common shares of GrabAGun Digital Holdings,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 Digital Assets Inc.’s primary purpose is to invest in HYPE, the digital token of Hyperliquid.</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quarter-end through August 5, 2026, the Company made the following investment:</w:t>
      </w:r>
    </w:p>
    <w:p>
      <w:pPr>
        <w:pStyle w:val="TextBody"/>
        <w:bidi w:val="0"/>
        <w:spacing w:before="0" w:after="0"/>
        <w:ind w:left="0" w:right="0" w:hanging="0"/>
        <w:jc w:val="both"/>
        <w:rPr>
          <w:caps w:val="false"/>
          <w:smallCaps w:val="false"/>
        </w:rPr>
      </w:pPr>
      <w:r>
        <w:rPr>
          <w:caps w:val="false"/>
          <w:smallCaps w:val="false"/>
        </w:rPr>
        <w:t> </w:t>
      </w:r>
    </w:p>
    <w:tbl>
      <w:tblPr>
        <w:tblW w:w="8255" w:type="dxa"/>
        <w:jc w:val="left"/>
        <w:tblInd w:w="0" w:type="dxa"/>
        <w:tblLayout w:type="fixed"/>
        <w:tblCellMar>
          <w:top w:w="0" w:type="dxa"/>
          <w:left w:w="0" w:type="dxa"/>
          <w:bottom w:w="28" w:type="dxa"/>
          <w:right w:w="0" w:type="dxa"/>
        </w:tblCellMar>
      </w:tblPr>
      <w:tblGrid>
        <w:gridCol w:w="3380"/>
        <w:gridCol w:w="60"/>
        <w:gridCol w:w="1595"/>
        <w:gridCol w:w="60"/>
        <w:gridCol w:w="1790"/>
        <w:gridCol w:w="60"/>
        <w:gridCol w:w="1310"/>
      </w:tblGrid>
      <w:tr>
        <w:trPr/>
        <w:tc>
          <w:tcPr>
            <w:tcW w:w="338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Portfolio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Investment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Transaction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r>
              <w:rPr>
                <w:rFonts w:ascii="Times New Roman;Times;Serif" w:hAnsi="Times New Roman;Times;Serif"/>
                <w:b/>
                <w:position w:val="7"/>
                <w:sz w:val="16"/>
                <w:sz w:val="20"/>
              </w:rPr>
              <w:t>(1)</w:t>
            </w:r>
          </w:p>
        </w:tc>
      </w:tr>
      <w:tr>
        <w:trPr/>
        <w:tc>
          <w:tcPr>
            <w:tcW w:w="33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Shogun Enterprises, Inc. (d/b/a Hearth)</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7/10/2026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&lt;$0.1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invested does not include capitalized costs or prepaid expenses,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exercised 86,076 warrants and received 86,076 Common Shares of Shogun Enterprises, Inc. (d/b/a Hearth).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quarter-end through August 5, 2026, the Company exited the following investment: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8"/>
        <w:gridCol w:w="60"/>
        <w:gridCol w:w="1055"/>
        <w:gridCol w:w="60"/>
        <w:gridCol w:w="78"/>
        <w:gridCol w:w="1051"/>
        <w:gridCol w:w="60"/>
        <w:gridCol w:w="60"/>
        <w:gridCol w:w="463"/>
        <w:gridCol w:w="1464"/>
        <w:gridCol w:w="60"/>
        <w:gridCol w:w="60"/>
        <w:gridCol w:w="1067"/>
        <w:gridCol w:w="60"/>
        <w:gridCol w:w="1079"/>
      </w:tblGrid>
      <w:tr>
        <w:trPr/>
        <w:tc>
          <w:tcPr>
            <w:tcW w:w="3528"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Portfolio Company</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Quantity/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Net Share Price</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Proceeds</w:t>
            </w:r>
          </w:p>
        </w:tc>
        <w:tc>
          <w:tcPr>
            <w:tcW w:w="60" w:type="dxa"/>
            <w:tcBorders/>
            <w:tcMar>
              <w:bottom w:w="0" w:type="dxa"/>
            </w:tcMar>
            <w:vAlign w:val="center"/>
          </w:tcPr>
          <w:p>
            <w:pPr>
              <w:pStyle w:val="TableContents"/>
              <w:bidi w:val="0"/>
              <w:spacing w:before="0" w:after="283"/>
              <w:jc w:val="left"/>
              <w:rPr/>
            </w:pPr>
            <w:r>
              <w:rPr/>
              <w:t> </w:t>
            </w:r>
          </w:p>
        </w:tc>
        <w:tc>
          <w:tcPr>
            <w:tcW w:w="1079"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w:t>
            </w:r>
          </w:p>
        </w:tc>
      </w:tr>
      <w:tr>
        <w:trPr/>
        <w:tc>
          <w:tcPr>
            <w:tcW w:w="35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GrabAGun Digital Holdings Inc. - </w:t>
            </w:r>
            <w:r>
              <w:rPr>
                <w:rFonts w:ascii="Times New Roman;Times;Serif" w:hAnsi="Times New Roman;Times;Serif"/>
                <w:i/>
                <w:sz w:val="20"/>
              </w:rPr>
              <w:t>Common Shares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Various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$0.4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$0.3 million</w:t>
            </w:r>
          </w:p>
        </w:tc>
      </w:tr>
    </w:tbl>
    <w:p>
      <w:pPr>
        <w:pStyle w:val="TextBody"/>
        <w:bidi w:val="0"/>
        <w:spacing w:before="0" w:after="283"/>
        <w:jc w:val="left"/>
        <w:rPr/>
      </w:pPr>
      <w:r>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5, 2026, the Company holds 308,964 common shares of GrabAGun Digital Holdings,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32"/>
        <w:gridCol w:w="60"/>
        <w:gridCol w:w="247"/>
        <w:gridCol w:w="783"/>
        <w:gridCol w:w="136"/>
        <w:gridCol w:w="86"/>
        <w:gridCol w:w="201"/>
        <w:gridCol w:w="744"/>
        <w:gridCol w:w="95"/>
        <w:gridCol w:w="60"/>
        <w:gridCol w:w="273"/>
        <w:gridCol w:w="758"/>
        <w:gridCol w:w="142"/>
        <w:gridCol w:w="89"/>
        <w:gridCol w:w="209"/>
        <w:gridCol w:w="773"/>
        <w:gridCol w:w="117"/>
      </w:tblGrid>
      <w:tr>
        <w:trPr/>
        <w:tc>
          <w:tcPr>
            <w:tcW w:w="54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7" w:type="dxa"/>
            <w:gridSpan w:val="6"/>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Quarter Ended 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4" w:type="dxa"/>
            <w:gridSpan w:val="6"/>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Quarter Ended June 30, 2025</w:t>
            </w:r>
          </w:p>
        </w:tc>
        <w:tc>
          <w:tcPr>
            <w:tcW w:w="117" w:type="dxa"/>
            <w:tcBorders/>
            <w:vAlign w:val="center"/>
          </w:tcPr>
          <w:p>
            <w:pPr>
              <w:pStyle w:val="TableContents"/>
              <w:bidi w:val="0"/>
              <w:spacing w:before="0" w:after="283"/>
              <w:jc w:val="left"/>
              <w:rPr/>
            </w:pPr>
            <w:r>
              <w:rPr/>
              <w:t> </w:t>
            </w:r>
          </w:p>
        </w:tc>
      </w:tr>
      <w:tr>
        <w:trPr/>
        <w:tc>
          <w:tcPr>
            <w:tcW w:w="54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in millions</w:t>
            </w:r>
          </w:p>
        </w:tc>
        <w:tc>
          <w:tcPr>
            <w:tcW w:w="13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per share</w:t>
            </w:r>
            <w:r>
              <w:rPr>
                <w:rFonts w:ascii="Times New Roman;Times;Serif" w:hAnsi="Times New Roman;Times;Serif"/>
                <w:i/>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in millions</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per share</w:t>
            </w:r>
            <w:r>
              <w:rPr>
                <w:rFonts w:ascii="Times New Roman;Times;Serif" w:hAnsi="Times New Roman;Times;Serif"/>
                <w:i/>
                <w:position w:val="7"/>
                <w:sz w:val="16"/>
                <w:sz w:val="20"/>
              </w:rPr>
              <w:t>(1)</w:t>
            </w:r>
          </w:p>
        </w:tc>
        <w:tc>
          <w:tcPr>
            <w:tcW w:w="117" w:type="dxa"/>
            <w:tcBorders/>
            <w:vAlign w:val="center"/>
          </w:tcPr>
          <w:p>
            <w:pPr>
              <w:pStyle w:val="TableContents"/>
              <w:bidi w:val="0"/>
              <w:spacing w:before="0" w:after="283"/>
              <w:jc w:val="left"/>
              <w:rPr/>
            </w:pPr>
            <w:r>
              <w:rPr/>
              <w:t> </w:t>
            </w:r>
          </w:p>
        </w:tc>
      </w:tr>
      <w:tr>
        <w:trPr/>
        <w:tc>
          <w:tcPr>
            <w:tcW w:w="54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4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r>
      <w:tr>
        <w:trPr/>
        <w:tc>
          <w:tcPr>
            <w:tcW w:w="54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investment loss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w:t>
            </w:r>
          </w:p>
        </w:tc>
        <w:tc>
          <w:tcPr>
            <w:tcW w:w="1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realized gain on investments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0.89</w:t>
            </w:r>
          </w:p>
        </w:tc>
        <w:tc>
          <w:tcPr>
            <w:tcW w:w="117" w:type="dxa"/>
            <w:tcBorders/>
            <w:shd w:fill="FFFFFF" w:val="clear"/>
            <w:vAlign w:val="center"/>
          </w:tcPr>
          <w:p>
            <w:pPr>
              <w:pStyle w:val="TableContents"/>
              <w:bidi w:val="0"/>
              <w:spacing w:before="0" w:after="283"/>
              <w:jc w:val="left"/>
              <w:rPr/>
            </w:pPr>
            <w:r>
              <w:rPr/>
              <w:t> </w:t>
            </w:r>
          </w:p>
        </w:tc>
      </w:tr>
      <w:tr>
        <w:trPr/>
        <w:tc>
          <w:tcPr>
            <w:tcW w:w="54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in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1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w:t>
            </w:r>
          </w:p>
        </w:tc>
        <w:tc>
          <w:tcPr>
            <w:tcW w:w="117" w:type="dxa"/>
            <w:tcBorders/>
            <w:shd w:fill="CCEEFF" w:val="clear"/>
            <w:vAlign w:val="center"/>
          </w:tcPr>
          <w:p>
            <w:pPr>
              <w:pStyle w:val="TableContents"/>
              <w:bidi w:val="0"/>
              <w:spacing w:before="0" w:after="283"/>
              <w:jc w:val="left"/>
              <w:rPr/>
            </w:pPr>
            <w:r>
              <w:rPr/>
              <w:t> </w:t>
            </w:r>
          </w:p>
        </w:tc>
      </w:tr>
      <w:tr>
        <w:trPr/>
        <w:tc>
          <w:tcPr>
            <w:tcW w:w="54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increase/(decrease) in net assets resulting from operations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1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w:t>
            </w:r>
          </w:p>
        </w:tc>
        <w:tc>
          <w:tcPr>
            <w:tcW w:w="117" w:type="dxa"/>
            <w:tcBorders/>
            <w:shd w:fill="FFFFFF" w:val="clear"/>
            <w:vAlign w:val="center"/>
          </w:tcPr>
          <w:p>
            <w:pPr>
              <w:pStyle w:val="TableContents"/>
              <w:bidi w:val="0"/>
              <w:spacing w:before="0" w:after="283"/>
              <w:jc w:val="left"/>
              <w:rPr/>
            </w:pPr>
            <w:r>
              <w:rPr/>
              <w:t> </w:t>
            </w:r>
          </w:p>
        </w:tc>
      </w:tr>
      <w:tr>
        <w:trPr/>
        <w:tc>
          <w:tcPr>
            <w:tcW w:w="54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from conversions of 6.50% Convertible Notes due 2029</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r>
      <w:tr>
        <w:trPr/>
        <w:tc>
          <w:tcPr>
            <w:tcW w:w="54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(0.10</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Increase/(Decrease) in net asset value</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w:t>
            </w:r>
          </w:p>
        </w:tc>
        <w:tc>
          <w:tcPr>
            <w:tcW w:w="117"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basic weighted-average number of shares outstanding for the relevant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loss for the quarter ended June 30, 2026 includes approximately $20.0 million of accelerated and non-recurring expenses incurred in connection with the Company completing its transition to an externally managed structure (the “Externalization”).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may not sum due to rounding.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stock-based compensation recognized during the period, net of shares withheld to satisfy statutory tax withholding obligations upon the vesting of restricted stock awards.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basic shares outstanding were approximately 26.0 million and 23.7 million for the quarters ended June 30, 2026 and 2025, respectively. As of June 30, 2026, there were 26,473,222 shares of the Company’s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Convertible Notes due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issued 1,092,504 shares of its common stock and cash for fractional shares upon the conversion of $8.0 million in aggregate principal amount of the 6.50% Convertible Notes due 2029. As of June 30, 2026, $27.0 million of principal is outstanding.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Redeemable Promissory Note due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Company received gross proceeds of $20.0 million pursuant to a redeemable promissory note issued to a Magnetar-affiliated entity. The redeemable promissory note bears interest at 6.50% per annum, payable semiannually in cash, and matures on July 16, 2029, unless earlier repaid through the issuance of shares of the Company’s common stock upon the completion of a transaction or series of transactions that result in at least $230.0 million of gross proceeds to the Company. In such event, the outstanding principal and accrued interest would be satisfied through the issuance of shares of the Company’s common stock at the price per share of common stock sold by the Company in the latest of such transactions in which the Company raised at least $5.0 million in aggregate net proceeds from sales to purchasers that were not affiliates of the Company. The Company believes the financing enhances liquidity and financial flexibility as the Company continues to execute its investment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Management will hold a conference call and webcast for investors at 2:00 p.m. PT (5:00 p.m. ET) on August </w:t>
      </w: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shd w:fill="FFFFFF" w:val="clear"/>
        </w:rPr>
        <w:t xml:space="preserve">2026. The conference call access number for U.S. participants is 833-492-0058, and the conference call access number for participants outside the U.S. is +1 973-528-0128. The conference ID number for both access numbers is 565747. Additionally, interested parties can listen to a live webcast of the call from the “Investor Relations” section of Neostellar Capital’s website at </w:t>
      </w:r>
      <w:r>
        <w:rPr>
          <w:rFonts w:ascii="Times New Roman;Times;Serif" w:hAnsi="Times New Roman;Times;Serif"/>
          <w:b w:val="false"/>
          <w:i w:val="false"/>
          <w:caps w:val="false"/>
          <w:smallCaps w:val="false"/>
          <w:sz w:val="20"/>
          <w:u w:val="single"/>
          <w:shd w:fill="FFFFFF" w:val="clear"/>
        </w:rPr>
        <w:t>neostellar.vc</w:t>
      </w:r>
      <w:r>
        <w:rPr>
          <w:rFonts w:ascii="Times New Roman;Times;Serif" w:hAnsi="Times New Roman;Times;Serif"/>
          <w:b w:val="false"/>
          <w:i w:val="false"/>
          <w:caps w:val="false"/>
          <w:smallCaps w:val="false"/>
          <w:sz w:val="20"/>
          <w:shd w:fill="FFFFFF" w:val="clear"/>
        </w:rPr>
        <w:t>. An archived replay of the webcast will also be available for 12 months following the live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replay of the conference call may be accessed until 5:00 p.m. PT (8:00 p.m. ET) on August 12, 2026 by dialing 800-332-6854 (U.S.) or +1 973-528-0005 (International) and using conference ID number 565747.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included herein, including statements regarding Neostellar Capital’s beliefs, expectations, intentions, or strategies for the future, may constitute “forward-looking statements”. Neostellar Capital cautions you that forward-looking statements are not guarantees of future performance and that actual results or developments may differ materially from those projected or implied in these statements. All forward-looking statements involve a number of risks and uncertainties, including the impact of any market volatility that may be detrimental to our business, our portfolio companies, our industry, and the global economy; risks relating to our externally managed structure and our relationship with Neostellar Advisors LLC (the “Adviser”), Magnetar Holdings LLC and their respective affiliates, including actual and potential conflicts of interest; our ability to retain key personnel and execute our investment strategy; and other risks and uncertainties that could cause actual results to differ materially from the plans, intentions, and expectations reflected in or suggested by the forward-looking statements. Risk factors, cautionary statements, and other conditions which could cause Neostellar Capital’s actual results to differ from management’s current expectations are contained in Neostellar Capital’s filings with the Securities and Exchange Commission. Neostellar Capital undertakes no obligation to update any forward-looking statement to reflect events or circumstances that may arise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any securities of Neostellar Capital. The information contained herein is for informational purposes only and is not intended to be a substitute for financial, legal, or tax advice.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Neostellar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Neostellar Capital Corp. (Nasdaq: </w:t>
      </w:r>
      <w:r>
        <w:rPr>
          <w:rFonts w:ascii="Times New Roman;Times;Serif" w:hAnsi="Times New Roman;Times;Serif"/>
          <w:b/>
          <w:i w:val="false"/>
          <w:caps w:val="false"/>
          <w:smallCaps w:val="false"/>
          <w:sz w:val="20"/>
          <w:u w:val="single"/>
        </w:rPr>
        <w:t>NSLR</w:t>
      </w:r>
      <w:r>
        <w:rPr>
          <w:rFonts w:ascii="Times New Roman;Times;Serif" w:hAnsi="Times New Roman;Times;Serif"/>
          <w:b w:val="false"/>
          <w:i w:val="false"/>
          <w:caps w:val="false"/>
          <w:smallCaps w:val="false"/>
          <w:sz w:val="20"/>
        </w:rPr>
        <w:t xml:space="preserve">), formerly SuRo Capital Corp. (Nasdaq: SSSS), has been a publicly traded investment company focused on investing in private, venture-backed businesses for over 15 years. In simple terms, Neostellar invests in companies that are not yet listed on a public stock exchange. By owning shares of Neostellar, investors can gain exposure to a portfolio of VC-backed companies through a publicly traded stock. Neostellar is externally managed by Neostellar Advisors LLC, a joint venture owned by certain Neostellar Advisors employees and Magnetar Holdings LLC. Together, the platform combines experience in private company investing with institutional investment management capabilities. Neostellar Capital Corp. is headquartered in New York, NY and has an office in San Francisco, CA. Connect with the Company on X, LinkedIn, and at </w:t>
      </w:r>
      <w:r>
        <w:rPr>
          <w:rFonts w:ascii="Times New Roman;Times;Serif" w:hAnsi="Times New Roman;Times;Serif"/>
          <w:b w:val="false"/>
          <w:i w:val="false"/>
          <w:caps w:val="false"/>
          <w:smallCaps w:val="false"/>
          <w:sz w:val="20"/>
          <w:u w:val="single"/>
        </w:rPr>
        <w:t>neostellar.vc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Neostellar Advisors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is registered with the SEC as an investment adviser under the Investment Advisers Act of 1940, and serves as the external investment adviser to Neostellar Capital Corp. Formed in 2026, Neostellar Advisors LLC is a joint venture between certain executives of Neostellar Capital Corp. and Magnetar Holdings LLC, combining Neostellar’s publicly traded venture investing experience with Magnetar’s institutional sourcing and underwriting.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931-6331</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IR@neostellaradvisors.com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Deborah Kostroun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Neostellar.pr@zitopartners.com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ASSETS AND LIABILITIES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9"/>
        <w:gridCol w:w="60"/>
        <w:gridCol w:w="227"/>
        <w:gridCol w:w="1990"/>
        <w:gridCol w:w="95"/>
        <w:gridCol w:w="60"/>
        <w:gridCol w:w="164"/>
        <w:gridCol w:w="1437"/>
        <w:gridCol w:w="113"/>
      </w:tblGrid>
      <w:tr>
        <w:trPr/>
        <w:tc>
          <w:tcPr>
            <w:tcW w:w="60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 (UNAUDITED)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1"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December 31, 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(AUDITED)</w:t>
            </w:r>
          </w:p>
        </w:tc>
        <w:tc>
          <w:tcPr>
            <w:tcW w:w="113" w:type="dxa"/>
            <w:tcBorders/>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 at fair value:</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Non-controlled/non-affiliate investments (cost of $241,230,810 and $219,216,145, respectively)</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397,381,734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217,304,138</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Non-controlled/affiliate investments (cost of $21,609,640 and $21,609,640, respectively)</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8,469,967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8,207,367</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Investments (cost of $262,840,450 and $240,825,785, respectively)</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405,851,701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225,511,505</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9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12,940,740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49,034,154</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38,741</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dividends receivable</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9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118,710</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financing costs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508,310</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807,302</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420,124,274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276,018,722</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 Notes due December 30, 2026</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35,735,465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35,642,149</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6.50% Convertible Notes due August 14, 2029</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9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26,421,748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34,131,509</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627,522</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 payable</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301,291</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64,267,288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70,702,471</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355,856,986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205,316,251</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par value $0.01 per share (100,000,000 authorized; 26,473,222 and 25,377,756 issued and outstanding, respectively)</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253,778</w:t>
            </w:r>
          </w:p>
        </w:tc>
        <w:tc>
          <w:tcPr>
            <w:tcW w:w="113" w:type="dxa"/>
            <w:tcBorders/>
            <w:shd w:fill="CCEEFF" w:val="clear"/>
            <w:vAlign w:val="center"/>
          </w:tcPr>
          <w:p>
            <w:pPr>
              <w:pStyle w:val="TableContents"/>
              <w:bidi w:val="0"/>
              <w:spacing w:before="0" w:after="283"/>
              <w:jc w:val="left"/>
              <w:rPr/>
            </w:pPr>
            <w:r>
              <w:rPr/>
              <w:t> </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Paid-in capital in excess of par</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9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231,068,006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217,470,613</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net investment loss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(31,301,107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(3,967,932</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net realized gain on investments, net of distributions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9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12,814,103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6,874,070</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net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143,011,252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(15,314,278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355,856,986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205,316,251</w:t>
            </w:r>
          </w:p>
        </w:tc>
        <w:tc>
          <w:tcPr>
            <w:tcW w:w="113" w:type="dxa"/>
            <w:tcBorders/>
            <w:shd w:fill="FFFFFF" w:val="clear"/>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 Value Per Share</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balances include a right of use asset and corresponding operating lease liability, respectively.</w:t>
            </w:r>
          </w:p>
        </w:tc>
      </w:tr>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6.00% Notes due December 30, 2026 (the “6.00% Notes due 2026”) (effective interest rate of 6.43%) had a face value of $35,829,825. As of December 31, 2025, the 6.00% Notes due 2026 (effective interest rate of 7.08%) had a face value of $35,829,825.</w:t>
            </w:r>
          </w:p>
        </w:tc>
      </w:tr>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6.50% Convertible Notes due August 14, 2029 (the “6.50% Convertible Notes due 2029”) (effective interest rate of 8.06%) had a face value of $27,000,000. As of December 31, 2025, the 6.50% Convertible Notes due 2029 (effective interest rate of 7.17%) had a face value of $35,000,000.</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lineRule="auto" w:line="27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19"/>
        <w:gridCol w:w="60"/>
        <w:gridCol w:w="148"/>
        <w:gridCol w:w="1248"/>
        <w:gridCol w:w="100"/>
        <w:gridCol w:w="63"/>
        <w:gridCol w:w="148"/>
        <w:gridCol w:w="1168"/>
        <w:gridCol w:w="95"/>
        <w:gridCol w:w="60"/>
        <w:gridCol w:w="141"/>
        <w:gridCol w:w="1232"/>
        <w:gridCol w:w="95"/>
        <w:gridCol w:w="60"/>
        <w:gridCol w:w="141"/>
        <w:gridCol w:w="1111"/>
        <w:gridCol w:w="116"/>
      </w:tblGrid>
      <w:tr>
        <w:trPr/>
        <w:tc>
          <w:tcPr>
            <w:tcW w:w="4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6" w:type="dxa"/>
            <w:tcBorders/>
            <w:vAlign w:val="center"/>
          </w:tcPr>
          <w:p>
            <w:pPr>
              <w:pStyle w:val="TableContents"/>
              <w:bidi w:val="0"/>
              <w:spacing w:before="0" w:after="283"/>
              <w:jc w:val="left"/>
              <w:rPr/>
            </w:pPr>
            <w:r>
              <w:rPr/>
              <w:t> </w:t>
            </w:r>
          </w:p>
        </w:tc>
      </w:tr>
      <w:tr>
        <w:trPr/>
        <w:tc>
          <w:tcPr>
            <w:tcW w:w="4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6" w:type="dxa"/>
            <w:tcBorders/>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INVESTMENT INCOME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Non-controlled/non-affiliate investments: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299,650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317,951</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income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348,447</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Investment Income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299,650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666,398</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19,696,322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21,672,574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3,239,691</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Directors’ fees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427,476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346,060</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1,136,421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2,353,615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2,535,334</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1,724,438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2,597,167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1,431,081</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(22,053</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(215,949</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691,730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714,110</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23,654,334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3,889,464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28,364,789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8,050,327</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Investment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(23,354,684</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(3,722,160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(27,333,176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(7,383,929</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Realized Gain on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Non-controlled/non-affiliated investments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5,049,520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21,212,611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5,940,033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21,194,660</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Realized Gain on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5,049,520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21,212,611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5,940,033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21,194,660</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partial repurchase of 6.00% Notes due December 30, 2026</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(15,873</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 in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Non-controlled/non-affiliated investments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(1,930,131</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35,090,339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158,062,930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29,841,454</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Non-controlled/affiliate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1,531,622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(339,693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(812,406</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Controlled investments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10,086,973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18,697,449</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Change in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(398,509</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44,837,619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158,325,530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47,726,497</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Change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(18,703,673</w:t>
            </w:r>
          </w:p>
        </w:tc>
        <w:tc>
          <w:tcPr>
            <w:tcW w:w="1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62,328,070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136,932,387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61,521,355</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Change in Net Assets Resulting from Operations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(0.72</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(0.72</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25,983,140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23,728,095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25,683,611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23,650,399</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25,983,140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28,244,225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30,168,169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28,113,063</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interest income earned on cash.</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4,192,642 potentially dilutive common shares were excluded from the weighted-average common shares outstanding for diluted net change in net assets resulting from operations per common share because the effect of these shares would have been antidilutive.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 (UNAUDITED)</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3514"/>
        <w:gridCol w:w="60"/>
        <w:gridCol w:w="140"/>
        <w:gridCol w:w="1228"/>
        <w:gridCol w:w="245"/>
        <w:gridCol w:w="60"/>
        <w:gridCol w:w="140"/>
        <w:gridCol w:w="1228"/>
        <w:gridCol w:w="243"/>
        <w:gridCol w:w="60"/>
        <w:gridCol w:w="140"/>
        <w:gridCol w:w="1220"/>
        <w:gridCol w:w="243"/>
        <w:gridCol w:w="60"/>
        <w:gridCol w:w="140"/>
        <w:gridCol w:w="1220"/>
        <w:gridCol w:w="264"/>
      </w:tblGrid>
      <w:tr>
        <w:trPr/>
        <w:tc>
          <w:tcPr>
            <w:tcW w:w="3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264" w:type="dxa"/>
            <w:tcBorders/>
            <w:vAlign w:val="center"/>
          </w:tcPr>
          <w:p>
            <w:pPr>
              <w:pStyle w:val="TableContents"/>
              <w:bidi w:val="0"/>
              <w:spacing w:before="0" w:after="283"/>
              <w:jc w:val="left"/>
              <w:rPr/>
            </w:pPr>
            <w:r>
              <w:rPr/>
              <w:t> </w:t>
            </w:r>
          </w:p>
        </w:tc>
      </w:tr>
      <w:tr>
        <w:trPr/>
        <w:tc>
          <w:tcPr>
            <w:tcW w:w="3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64" w:type="dxa"/>
            <w:tcBorders/>
            <w:vAlign w:val="center"/>
          </w:tcPr>
          <w:p>
            <w:pPr>
              <w:pStyle w:val="TableContents"/>
              <w:bidi w:val="0"/>
              <w:spacing w:before="0" w:after="283"/>
              <w:jc w:val="left"/>
              <w:rPr/>
            </w:pPr>
            <w:r>
              <w:rPr/>
              <w:t> </w:t>
            </w:r>
          </w:p>
        </w:tc>
      </w:tr>
      <w:tr>
        <w:trPr/>
        <w:tc>
          <w:tcPr>
            <w:tcW w:w="35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 Basic Share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r>
      <w:tr>
        <w:trPr/>
        <w:tc>
          <w:tcPr>
            <w:tcW w:w="35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asset value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w:t>
            </w:r>
          </w:p>
        </w:tc>
        <w:tc>
          <w:tcPr>
            <w:tcW w:w="264" w:type="dxa"/>
            <w:tcBorders/>
            <w:shd w:fill="FFFFFF" w:val="clear"/>
            <w:vAlign w:val="center"/>
          </w:tcPr>
          <w:p>
            <w:pPr>
              <w:pStyle w:val="TableContents"/>
              <w:bidi w:val="0"/>
              <w:spacing w:before="0" w:after="283"/>
              <w:jc w:val="left"/>
              <w:rPr/>
            </w:pPr>
            <w:r>
              <w:rPr/>
              <w:t> </w:t>
            </w:r>
          </w:p>
        </w:tc>
      </w:tr>
      <w:tr>
        <w:trPr/>
        <w:tc>
          <w:tcPr>
            <w:tcW w:w="3514" w:type="dxa"/>
            <w:tcBorders/>
            <w:shd w:fill="CCEEFF" w:val="clear"/>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Net investment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(0.31</w:t>
            </w:r>
          </w:p>
        </w:tc>
        <w:tc>
          <w:tcPr>
            <w:tcW w:w="2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14" w:type="dxa"/>
            <w:tcBorders/>
            <w:shd w:fill="FFFFFF" w:val="clear"/>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Net realized gain on investments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0.89</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0.23</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0.90</w:t>
            </w:r>
          </w:p>
        </w:tc>
        <w:tc>
          <w:tcPr>
            <w:tcW w:w="264" w:type="dxa"/>
            <w:tcBorders/>
            <w:shd w:fill="FFFFFF" w:val="clear"/>
            <w:vAlign w:val="center"/>
          </w:tcPr>
          <w:p>
            <w:pPr>
              <w:pStyle w:val="TableContents"/>
              <w:bidi w:val="0"/>
              <w:spacing w:before="0" w:after="283"/>
              <w:jc w:val="left"/>
              <w:rPr/>
            </w:pPr>
            <w:r>
              <w:rPr/>
              <w:t> </w:t>
            </w:r>
          </w:p>
        </w:tc>
      </w:tr>
      <w:tr>
        <w:trPr/>
        <w:tc>
          <w:tcPr>
            <w:tcW w:w="3514" w:type="dxa"/>
            <w:tcBorders/>
            <w:shd w:fill="CCEEFF" w:val="clear"/>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Realized loss on partial repurchase of 6.00% Notes due December 30, 2026</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276" w:before="0" w:after="283"/>
              <w:jc w:val="right"/>
              <w:rPr>
                <w:rFonts w:ascii="Times New Roman;Times;Serif" w:hAnsi="Times New Roman;Times;Serif"/>
                <w:sz w:val="20"/>
              </w:rPr>
            </w:pPr>
            <w:r>
              <w:rPr>
                <w:rFonts w:ascii="Times New Roman;Times;Serif" w:hAnsi="Times New Roman;Times;Serif"/>
                <w:sz w:val="20"/>
              </w:rPr>
              <w:t>&lt;(0.01)</w:t>
            </w:r>
          </w:p>
        </w:tc>
        <w:tc>
          <w:tcPr>
            <w:tcW w:w="264" w:type="dxa"/>
            <w:tcBorders/>
            <w:shd w:fill="CCEEFF" w:val="clear"/>
            <w:vAlign w:val="center"/>
          </w:tcPr>
          <w:p>
            <w:pPr>
              <w:pStyle w:val="TableContents"/>
              <w:bidi w:val="0"/>
              <w:spacing w:before="0" w:after="283"/>
              <w:jc w:val="left"/>
              <w:rPr/>
            </w:pPr>
            <w:r>
              <w:rPr/>
              <w:t> </w:t>
            </w:r>
          </w:p>
        </w:tc>
      </w:tr>
      <w:tr>
        <w:trPr/>
        <w:tc>
          <w:tcPr>
            <w:tcW w:w="3514" w:type="dxa"/>
            <w:tcBorders/>
            <w:shd w:fill="FFFFFF" w:val="clear"/>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Net change in unrealized appreciation/(depreciation) of investments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w:t>
            </w:r>
          </w:p>
        </w:tc>
        <w:tc>
          <w:tcPr>
            <w:tcW w:w="264" w:type="dxa"/>
            <w:tcBorders/>
            <w:shd w:fill="FFFFFF" w:val="clear"/>
            <w:vAlign w:val="center"/>
          </w:tcPr>
          <w:p>
            <w:pPr>
              <w:pStyle w:val="TableContents"/>
              <w:bidi w:val="0"/>
              <w:spacing w:before="0" w:after="283"/>
              <w:jc w:val="left"/>
              <w:rPr/>
            </w:pPr>
            <w:r>
              <w:rPr/>
              <w:t> </w:t>
            </w:r>
          </w:p>
        </w:tc>
      </w:tr>
      <w:tr>
        <w:trPr/>
        <w:tc>
          <w:tcPr>
            <w:tcW w:w="3514" w:type="dxa"/>
            <w:tcBorders/>
            <w:shd w:fill="CCEEFF" w:val="clear"/>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Issuance of common stock from conversion of 6.50% Convertible Notes due 2029</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264" w:type="dxa"/>
            <w:tcBorders/>
            <w:shd w:fill="CCEEFF" w:val="clear"/>
            <w:vAlign w:val="center"/>
          </w:tcPr>
          <w:p>
            <w:pPr>
              <w:pStyle w:val="TableContents"/>
              <w:bidi w:val="0"/>
              <w:spacing w:before="0" w:after="283"/>
              <w:jc w:val="left"/>
              <w:rPr/>
            </w:pPr>
            <w:r>
              <w:rPr/>
              <w:t> </w:t>
            </w:r>
          </w:p>
        </w:tc>
      </w:tr>
      <w:tr>
        <w:trPr/>
        <w:tc>
          <w:tcPr>
            <w:tcW w:w="3514" w:type="dxa"/>
            <w:tcBorders/>
            <w:shd w:fill="FFFFFF" w:val="clear"/>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 xml:space="preserve">Stock-based compensation </w:t>
            </w:r>
            <w:r>
              <w:rPr>
                <w:rFonts w:ascii="Times New Roman;Times;Serif" w:hAnsi="Times New Roman;Times;Serif"/>
                <w:position w:val="7"/>
                <w:sz w:val="16"/>
                <w:sz w:val="20"/>
              </w:rPr>
              <w:t>(1)(2)</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(0.10</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2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asset value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13.44</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13.44</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w:t>
            </w:r>
          </w:p>
        </w:tc>
        <w:tc>
          <w:tcPr>
            <w:tcW w:w="264" w:type="dxa"/>
            <w:tcBorders/>
            <w:shd w:fill="CCEEFF" w:val="clear"/>
            <w:vAlign w:val="center"/>
          </w:tcPr>
          <w:p>
            <w:pPr>
              <w:pStyle w:val="TableContents"/>
              <w:bidi w:val="0"/>
              <w:spacing w:before="0" w:after="283"/>
              <w:jc w:val="left"/>
              <w:rPr/>
            </w:pPr>
            <w:r>
              <w:rPr/>
              <w:t> </w:t>
            </w:r>
          </w:p>
        </w:tc>
      </w:tr>
      <w:tr>
        <w:trPr/>
        <w:tc>
          <w:tcPr>
            <w:tcW w:w="35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 share market value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w:t>
            </w:r>
          </w:p>
        </w:tc>
        <w:tc>
          <w:tcPr>
            <w:tcW w:w="264" w:type="dxa"/>
            <w:tcBorders/>
            <w:shd w:fill="FFFFFF" w:val="clear"/>
            <w:vAlign w:val="center"/>
          </w:tcPr>
          <w:p>
            <w:pPr>
              <w:pStyle w:val="TableContents"/>
              <w:bidi w:val="0"/>
              <w:spacing w:before="0" w:after="283"/>
              <w:jc w:val="left"/>
              <w:rPr/>
            </w:pPr>
            <w:r>
              <w:rPr/>
              <w:t> </w:t>
            </w:r>
          </w:p>
        </w:tc>
      </w:tr>
      <w:tr>
        <w:trPr/>
        <w:tc>
          <w:tcPr>
            <w:tcW w:w="3514" w:type="dxa"/>
            <w:tcBorders/>
            <w:shd w:fill="CCEEFF" w:val="clear"/>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Total return based on market value</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65.19</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32.84</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39.63</w:t>
            </w:r>
          </w:p>
        </w:tc>
        <w:tc>
          <w:tcPr>
            <w:tcW w:w="2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14" w:type="dxa"/>
            <w:tcBorders/>
            <w:shd w:fill="FFFFFF" w:val="clear"/>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Total return based on net asset value</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37.84</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66.13</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37.43</w:t>
            </w:r>
          </w:p>
        </w:tc>
        <w:tc>
          <w:tcPr>
            <w:tcW w:w="2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outstanding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26,473,222</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23,888,107</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26,473,222</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23,888,107</w:t>
            </w:r>
          </w:p>
        </w:tc>
        <w:tc>
          <w:tcPr>
            <w:tcW w:w="264" w:type="dxa"/>
            <w:tcBorders/>
            <w:shd w:fill="CCEEFF" w:val="clear"/>
            <w:vAlign w:val="center"/>
          </w:tcPr>
          <w:p>
            <w:pPr>
              <w:pStyle w:val="TableContents"/>
              <w:bidi w:val="0"/>
              <w:spacing w:before="0" w:after="283"/>
              <w:jc w:val="left"/>
              <w:rPr/>
            </w:pPr>
            <w:r>
              <w:rPr/>
              <w:t> </w:t>
            </w:r>
          </w:p>
        </w:tc>
      </w:tr>
      <w:tr>
        <w:trPr/>
        <w:tc>
          <w:tcPr>
            <w:tcW w:w="35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Ratios/Supplemental Data: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r>
      <w:tr>
        <w:trPr/>
        <w:tc>
          <w:tcPr>
            <w:tcW w:w="35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assets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355,856,986</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219,409,595</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355,856,986</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219,409,595</w:t>
            </w:r>
          </w:p>
        </w:tc>
        <w:tc>
          <w:tcPr>
            <w:tcW w:w="264" w:type="dxa"/>
            <w:tcBorders/>
            <w:shd w:fill="CCEEFF" w:val="clear"/>
            <w:vAlign w:val="center"/>
          </w:tcPr>
          <w:p>
            <w:pPr>
              <w:pStyle w:val="TableContents"/>
              <w:bidi w:val="0"/>
              <w:spacing w:before="0" w:after="283"/>
              <w:jc w:val="left"/>
              <w:rPr/>
            </w:pPr>
            <w:r>
              <w:rPr/>
              <w:t> </w:t>
            </w:r>
          </w:p>
        </w:tc>
      </w:tr>
      <w:tr>
        <w:trPr/>
        <w:tc>
          <w:tcPr>
            <w:tcW w:w="35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net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365,283,999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160,412,515</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286,289,589</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158,444,298</w:t>
            </w:r>
          </w:p>
        </w:tc>
        <w:tc>
          <w:tcPr>
            <w:tcW w:w="264" w:type="dxa"/>
            <w:tcBorders/>
            <w:shd w:fill="FFFFFF" w:val="clear"/>
            <w:vAlign w:val="center"/>
          </w:tcPr>
          <w:p>
            <w:pPr>
              <w:pStyle w:val="TableContents"/>
              <w:bidi w:val="0"/>
              <w:spacing w:before="0" w:after="283"/>
              <w:jc w:val="left"/>
              <w:rPr/>
            </w:pPr>
            <w:r>
              <w:rPr/>
              <w:t> </w:t>
            </w:r>
          </w:p>
        </w:tc>
      </w:tr>
      <w:tr>
        <w:trPr/>
        <w:tc>
          <w:tcPr>
            <w:tcW w:w="3514" w:type="dxa"/>
            <w:tcBorders/>
            <w:shd w:fill="CCEEFF" w:val="clear"/>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Ratio of net operating expenses to average net assets</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12.88</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w:t>
            </w:r>
          </w:p>
        </w:tc>
        <w:tc>
          <w:tcPr>
            <w:tcW w:w="2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14" w:type="dxa"/>
            <w:tcBorders/>
            <w:shd w:fill="FFFFFF" w:val="clear"/>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Ratio of net investment loss to average net assets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(9.16</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(9.31</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(12.15</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Portfolio Turnover Ratio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2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weighted-average number of shares outstanding for the relevant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stock-based compensation recognized during the period, net of shares withheld to satisfy statutory tax withholding obligations upon the vesting of restricted stock awards.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return based on market value is based upon the change in market price per share between the opening and ending market values per share in the period, adjusted for dividends. Total return based on net asset value is based upon the change in net asset value per share between the opening and ending net asset values per share in the period, adjusted for dividends.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highlights for periods of less than one year are annualized and the ratios of operating expenses to average net assets and net investment loss to average net assets are adjusted accordingly. For the three and six months ended June 30, 2026, the annualization of these ratios excludes the effect of approximately $20.0 million of accelerated and non-recurring expenses incurred in connection with the Externalization. Because the ratios are calculated for the Company’s common stock taken as a whole, an individual investor’s ratios may vary from these ratios.</w:t>
            </w:r>
          </w:p>
        </w:tc>
      </w:tr>
    </w:tbl>
    <w:p>
      <w:pPr>
        <w:pStyle w:val="TextBody"/>
        <w:bidi w:val="0"/>
        <w:spacing w:before="0" w:after="0"/>
        <w:ind w:left="36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3869</Words>
  <Characters>21953</Characters>
  <CharactersWithSpaces>26208</CharactersWithSpaces>
  <Paragraphs>1824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