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201295</wp:posOffset>
            </wp:positionH>
            <wp:positionV relativeFrom="page">
              <wp:posOffset>273050</wp:posOffset>
            </wp:positionV>
            <wp:extent cx="714692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3810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326390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t>UNITED STATES</w:t>
      </w:r>
    </w:p>
    <w:p>
      <w:pPr>
        <w:spacing w:after="0" w:line="2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123825</wp:posOffset>
            </wp:positionV>
            <wp:extent cx="17849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34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144780</wp:posOffset>
            </wp:positionV>
            <wp:extent cx="17849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3" w:lineRule="exact"/>
        <w:rPr>
          <w:sz w:val="24"/>
          <w:szCs w:val="24"/>
          <w:color w:val="auto"/>
        </w:rPr>
      </w:pPr>
    </w:p>
    <w:p>
      <w:pPr>
        <w:ind w:left="3623" w:right="2800" w:hanging="3623"/>
        <w:spacing w:after="0" w:line="472" w:lineRule="auto"/>
        <w:tabs>
          <w:tab w:leader="none" w:pos="2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34" w:lineRule="exact"/>
        <w:rPr>
          <w:sz w:val="24"/>
          <w:szCs w:val="24"/>
          <w:color w:val="auto"/>
        </w:rPr>
      </w:pPr>
    </w:p>
    <w:p>
      <w:pPr>
        <w:ind w:left="4103" w:right="2800" w:hanging="4103"/>
        <w:spacing w:after="0" w:line="539" w:lineRule="auto"/>
        <w:tabs>
          <w:tab w:leader="none" w:pos="2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-22225</wp:posOffset>
            </wp:positionV>
            <wp:extent cx="17849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3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9"/>
          <w:szCs w:val="29"/>
          <w:b w:val="1"/>
          <w:bCs w:val="1"/>
          <w:color w:val="auto"/>
        </w:rPr>
        <w:t>SuRo Capital Corp.</w:t>
      </w:r>
    </w:p>
    <w:p>
      <w:pPr>
        <w:spacing w:after="0" w:line="3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127635</wp:posOffset>
            </wp:positionV>
            <wp:extent cx="1784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379" w:lineRule="exact"/>
        <w:rPr>
          <w:sz w:val="24"/>
          <w:szCs w:val="24"/>
          <w:color w:val="auto"/>
        </w:rPr>
      </w:pPr>
    </w:p>
    <w:tbl>
      <w:tblPr>
        <w:tblLayout w:type="fixed"/>
        <w:tblInd w:w="3" w:type="dxa"/>
        <w:tblCellMar>
          <w:top w:w="0" w:type="dxa"/>
          <w:left w:w="0" w:type="dxa"/>
          <w:bottom w:w="0" w:type="dxa"/>
          <w:right w:w="0" w:type="dxa"/>
        </w:tblCellMar>
      </w:tblPr>
      <w:tr>
        <w:trPr>
          <w:trHeight w:val="195"/>
        </w:trPr>
        <w:tc>
          <w:tcPr>
            <w:tcW w:w="450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20" w:type="dxa"/>
            <w:vAlign w:val="bottom"/>
          </w:tcPr>
          <w:p>
            <w:pPr>
              <w:jc w:val="right"/>
              <w:ind w:right="2300"/>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193"/>
        </w:trPr>
        <w:tc>
          <w:tcPr>
            <w:tcW w:w="450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9"/>
              </w:rPr>
              <w:t>(State or other jurisdiction</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20" w:type="dxa"/>
            <w:vAlign w:val="bottom"/>
          </w:tcPr>
          <w:p>
            <w:pPr>
              <w:jc w:val="center"/>
              <w:ind w:right="1640"/>
              <w:spacing w:after="0"/>
              <w:rPr>
                <w:sz w:val="20"/>
                <w:szCs w:val="20"/>
                <w:color w:val="auto"/>
              </w:rPr>
            </w:pPr>
            <w:r>
              <w:rPr>
                <w:rFonts w:ascii="Times New Roman" w:cs="Times New Roman" w:eastAsia="Times New Roman" w:hAnsi="Times New Roman"/>
                <w:sz w:val="16"/>
                <w:szCs w:val="16"/>
                <w:color w:val="auto"/>
              </w:rPr>
              <w:t>(I.R.S. Employer</w:t>
            </w:r>
          </w:p>
        </w:tc>
      </w:tr>
      <w:tr>
        <w:trPr>
          <w:trHeight w:val="209"/>
        </w:trPr>
        <w:tc>
          <w:tcPr>
            <w:tcW w:w="450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tcPr>
          <w:p>
            <w:pPr>
              <w:jc w:val="center"/>
              <w:ind w:right="162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0"/>
        </w:trPr>
        <w:tc>
          <w:tcPr>
            <w:tcW w:w="450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b w:val="1"/>
                <w:bCs w:val="1"/>
                <w:color w:val="auto"/>
                <w:w w:val="99"/>
              </w:rPr>
              <w:t>640 Fifth Avenue, 12th Floor, New York, NY</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209"/>
        </w:trPr>
        <w:tc>
          <w:tcPr>
            <w:tcW w:w="450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tcPr>
          <w:p>
            <w:pPr>
              <w:jc w:val="center"/>
              <w:ind w:right="1620"/>
              <w:spacing w:after="0"/>
              <w:rPr>
                <w:sz w:val="20"/>
                <w:szCs w:val="20"/>
                <w:color w:val="auto"/>
              </w:rPr>
            </w:pPr>
            <w:r>
              <w:rPr>
                <w:rFonts w:ascii="Times New Roman" w:cs="Times New Roman" w:eastAsia="Times New Roman" w:hAnsi="Times New Roman"/>
                <w:sz w:val="16"/>
                <w:szCs w:val="16"/>
                <w:color w:val="auto"/>
              </w:rPr>
              <w:t>(Zip Code)</w:t>
            </w:r>
          </w:p>
        </w:tc>
      </w:tr>
      <w:tr>
        <w:trPr>
          <w:trHeight w:val="370"/>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(212) 931-6331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9"/>
        </w:trPr>
        <w:tc>
          <w:tcPr>
            <w:tcW w:w="7440" w:type="dxa"/>
            <w:vAlign w:val="bottom"/>
            <w:gridSpan w:val="5"/>
          </w:tcPr>
          <w:p>
            <w:pPr>
              <w:jc w:val="center"/>
              <w:ind w:left="37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820" w:type="dxa"/>
            <w:vAlign w:val="bottom"/>
          </w:tcPr>
          <w:p>
            <w:pPr>
              <w:spacing w:after="0"/>
              <w:rPr>
                <w:sz w:val="18"/>
                <w:szCs w:val="18"/>
                <w:color w:val="auto"/>
              </w:rPr>
            </w:pPr>
          </w:p>
        </w:tc>
      </w:tr>
      <w:tr>
        <w:trPr>
          <w:trHeight w:val="386"/>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86"/>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20" w:type="dxa"/>
            <w:vAlign w:val="bottom"/>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69"/>
        </w:trPr>
        <w:tc>
          <w:tcPr>
            <w:tcW w:w="42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SSSS</w:t>
            </w: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20" w:type="dxa"/>
            <w:vAlign w:val="bottom"/>
            <w:tcBorders>
              <w:top w:val="single" w:sz="8" w:color="auto"/>
            </w:tcBorders>
          </w:tcPr>
          <w:p>
            <w:pPr>
              <w:jc w:val="center"/>
              <w:ind w:right="400"/>
              <w:spacing w:after="0" w:line="169" w:lineRule="exact"/>
              <w:rPr>
                <w:sz w:val="20"/>
                <w:szCs w:val="20"/>
                <w:color w:val="auto"/>
              </w:rPr>
            </w:pPr>
            <w:r>
              <w:rPr>
                <w:rFonts w:ascii="Times New Roman" w:cs="Times New Roman" w:eastAsia="Times New Roman" w:hAnsi="Times New Roman"/>
                <w:sz w:val="16"/>
                <w:szCs w:val="16"/>
                <w:color w:val="auto"/>
              </w:rPr>
              <w:t>Nasdaq Global Select Market</w:t>
            </w:r>
          </w:p>
        </w:tc>
      </w:tr>
      <w:tr>
        <w:trPr>
          <w:trHeight w:val="209"/>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6.00% Notes due 2026</w:t>
            </w:r>
          </w:p>
        </w:tc>
        <w:tc>
          <w:tcPr>
            <w:tcW w:w="294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SSSSL</w:t>
            </w:r>
          </w:p>
        </w:tc>
        <w:tc>
          <w:tcPr>
            <w:tcW w:w="382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77" w:lineRule="exact"/>
        <w:rPr>
          <w:sz w:val="24"/>
          <w:szCs w:val="24"/>
          <w:color w:val="auto"/>
        </w:rPr>
      </w:pPr>
    </w:p>
    <w:p>
      <w:pPr>
        <w:jc w:val="both"/>
        <w:ind w:left="3" w:firstLine="326"/>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3" w:right="20" w:firstLine="326"/>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3" w:right="20" w:firstLine="326"/>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3"/>
          </w:cols>
          <w:pgMar w:left="317" w:top="676" w:right="319" w:bottom="1440" w:gutter="0" w:footer="0" w:header="0"/>
        </w:sectPr>
      </w:pPr>
    </w:p>
    <w:p>
      <w:pPr>
        <w:spacing w:after="0" w:line="120" w:lineRule="exact"/>
        <w:rPr>
          <w:sz w:val="24"/>
          <w:szCs w:val="24"/>
          <w:color w:val="auto"/>
        </w:rPr>
      </w:pPr>
    </w:p>
    <w:p>
      <w:pPr>
        <w:ind w:left="283"/>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283"/>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9" w:lineRule="exact"/>
        <w:rPr>
          <w:sz w:val="24"/>
          <w:szCs w:val="24"/>
          <w:color w:val="auto"/>
        </w:rPr>
      </w:pPr>
    </w:p>
    <w:p>
      <w:pPr>
        <w:ind w:left="283"/>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77" w:lineRule="exact"/>
        <w:rPr>
          <w:sz w:val="24"/>
          <w:szCs w:val="24"/>
          <w:color w:val="auto"/>
        </w:rPr>
      </w:pPr>
    </w:p>
    <w:p>
      <w:pPr>
        <w:sectPr>
          <w:pgSz w:w="11900" w:h="16838" w:orient="portrait"/>
          <w:cols w:equalWidth="0" w:num="2">
            <w:col w:w="6883" w:space="720"/>
            <w:col w:w="3660"/>
          </w:cols>
          <w:pgMar w:left="317" w:top="676" w:right="319" w:bottom="1440" w:gutter="0" w:footer="0" w:header="0"/>
          <w:type w:val="continuous"/>
        </w:sectPr>
      </w:pPr>
    </w:p>
    <w:p>
      <w:pPr>
        <w:ind w:left="3" w:right="20" w:firstLine="326"/>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5" w:lineRule="exact"/>
        <w:rPr>
          <w:sz w:val="24"/>
          <w:szCs w:val="24"/>
          <w:color w:val="auto"/>
        </w:rPr>
      </w:pPr>
    </w:p>
    <w:p>
      <w:pPr>
        <w:ind w:left="323"/>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16"/>
          <w:szCs w:val="16"/>
          <w:color w:val="auto"/>
        </w:rPr>
        <w:t>The issuer had 23,888,107 shares of common stock, $0.01 par value per share, outstanding as of August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714692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92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445135</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67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SURO CAPITAL CORP.</w:t>
            </w:r>
          </w:p>
        </w:tc>
        <w:tc>
          <w:tcPr>
            <w:tcW w:w="580" w:type="dxa"/>
            <w:vAlign w:val="bottom"/>
          </w:tcPr>
          <w:p>
            <w:pPr>
              <w:spacing w:after="0"/>
              <w:rPr>
                <w:sz w:val="18"/>
                <w:szCs w:val="18"/>
                <w:color w:val="auto"/>
              </w:rPr>
            </w:pPr>
          </w:p>
        </w:tc>
      </w:tr>
      <w:tr>
        <w:trPr>
          <w:trHeight w:val="386"/>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80" w:type="dxa"/>
            <w:vAlign w:val="bottom"/>
          </w:tcPr>
          <w:p>
            <w:pPr>
              <w:spacing w:after="0"/>
              <w:rPr>
                <w:sz w:val="24"/>
                <w:szCs w:val="24"/>
                <w:color w:val="auto"/>
              </w:rPr>
            </w:pPr>
          </w:p>
        </w:tc>
      </w:tr>
      <w:tr>
        <w:trPr>
          <w:trHeight w:val="386"/>
        </w:trPr>
        <w:tc>
          <w:tcPr>
            <w:tcW w:w="6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5"/>
        </w:trPr>
        <w:tc>
          <w:tcPr>
            <w:tcW w:w="106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580" w:type="dxa"/>
            <w:vAlign w:val="bottom"/>
            <w:shd w:val="clear" w:color="auto" w:fill="CCEEFF"/>
          </w:tcPr>
          <w:p>
            <w:pPr>
              <w:spacing w:after="0"/>
              <w:rPr>
                <w:sz w:val="16"/>
                <w:szCs w:val="16"/>
                <w:color w:val="auto"/>
              </w:rPr>
            </w:pP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1.</w:t>
            </w:r>
          </w:p>
        </w:tc>
        <w:tc>
          <w:tcPr>
            <w:tcW w:w="60" w:type="dxa"/>
            <w:vAlign w:val="bottom"/>
          </w:tcPr>
          <w:p>
            <w:pPr>
              <w:spacing w:after="0"/>
              <w:rPr>
                <w:sz w:val="13"/>
                <w:szCs w:val="13"/>
                <w:color w:val="auto"/>
              </w:rPr>
            </w:pPr>
          </w:p>
        </w:tc>
        <w:tc>
          <w:tcPr>
            <w:tcW w:w="9940" w:type="dxa"/>
            <w:vAlign w:val="bottom"/>
            <w:gridSpan w:val="18"/>
          </w:tcPr>
          <w:p>
            <w:pPr>
              <w:spacing w:after="0" w:line="157" w:lineRule="exact"/>
              <w:rPr>
                <w:sz w:val="20"/>
                <w:szCs w:val="20"/>
                <w:color w:val="auto"/>
              </w:rPr>
            </w:pPr>
            <w:r>
              <w:rPr>
                <w:rFonts w:ascii="Times New Roman" w:cs="Times New Roman" w:eastAsia="Times New Roman" w:hAnsi="Times New Roman"/>
                <w:sz w:val="16"/>
                <w:szCs w:val="16"/>
                <w:color w:val="0000EE"/>
              </w:rPr>
              <w:t>Financial Statements</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9"/>
        </w:trPr>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0000EE"/>
            </w:tcBorders>
            <w:gridSpan w:val="15"/>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Condensed Consolidated Statements of Assets and Liabilities as of June 30, 2025 (Unaudited) and December 31, 2024</w:t>
            </w:r>
          </w:p>
        </w:tc>
        <w:tc>
          <w:tcPr>
            <w:tcW w:w="230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w:t>
            </w:r>
          </w:p>
        </w:tc>
      </w:tr>
      <w:tr>
        <w:trPr>
          <w:trHeight w:val="157"/>
        </w:trPr>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60" w:type="dxa"/>
            <w:vAlign w:val="bottom"/>
            <w:tcBorders>
              <w:bottom w:val="single" w:sz="8" w:color="0000EE"/>
            </w:tcBorders>
            <w:gridSpan w:val="16"/>
          </w:tcPr>
          <w:p>
            <w:pPr>
              <w:spacing w:after="0" w:line="157" w:lineRule="exact"/>
              <w:rPr>
                <w:sz w:val="20"/>
                <w:szCs w:val="20"/>
                <w:color w:val="auto"/>
              </w:rPr>
            </w:pPr>
            <w:r>
              <w:rPr>
                <w:rFonts w:ascii="Times New Roman" w:cs="Times New Roman" w:eastAsia="Times New Roman" w:hAnsi="Times New Roman"/>
                <w:sz w:val="16"/>
                <w:szCs w:val="16"/>
                <w:color w:val="0000EE"/>
              </w:rPr>
              <w:t>Condensed Consolidated Statements of Operations for the Three and Six Months Ended June 30, 2025 and 2024 (Unaudited)</w:t>
            </w:r>
          </w:p>
        </w:tc>
        <w:tc>
          <w:tcPr>
            <w:tcW w:w="1880" w:type="dxa"/>
            <w:vAlign w:val="bottom"/>
            <w:gridSpan w:val="2"/>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2</w:t>
            </w:r>
          </w:p>
        </w:tc>
      </w:tr>
      <w:tr>
        <w:trPr>
          <w:trHeight w:val="189"/>
        </w:trPr>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940" w:type="dxa"/>
            <w:vAlign w:val="bottom"/>
            <w:gridSpan w:val="18"/>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Condensed Consolidated Statements of Changes in Net Assets for the Six Months Ended June 30, 2025 and 2024 (Unaudited)</w:t>
            </w:r>
          </w:p>
        </w:tc>
        <w:tc>
          <w:tcPr>
            <w:tcW w:w="5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3</w:t>
            </w:r>
          </w:p>
        </w:tc>
      </w:tr>
      <w:tr>
        <w:trPr>
          <w:trHeight w:val="157"/>
        </w:trPr>
        <w:tc>
          <w:tcPr>
            <w:tcW w:w="6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7420" w:type="dxa"/>
            <w:vAlign w:val="bottom"/>
            <w:tcBorders>
              <w:top w:val="single" w:sz="8" w:color="0000EE"/>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6"/>
                <w:szCs w:val="16"/>
                <w:color w:val="0000EE"/>
              </w:rPr>
              <w:t>Condensed Consolidated Statements of Cash Flows for the Six Months Ended June 30, 2025 and 2024 (Unaudited)</w:t>
            </w:r>
          </w:p>
        </w:tc>
        <w:tc>
          <w:tcPr>
            <w:tcW w:w="680" w:type="dxa"/>
            <w:vAlign w:val="bottom"/>
            <w:tcBorders>
              <w:top w:val="single" w:sz="8" w:color="0000EE"/>
            </w:tcBorders>
            <w:gridSpan w:val="3"/>
          </w:tcPr>
          <w:p>
            <w:pPr>
              <w:spacing w:after="0"/>
              <w:rPr>
                <w:sz w:val="13"/>
                <w:szCs w:val="13"/>
                <w:color w:val="auto"/>
              </w:rPr>
            </w:pPr>
          </w:p>
        </w:tc>
        <w:tc>
          <w:tcPr>
            <w:tcW w:w="184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4</w:t>
            </w:r>
          </w:p>
        </w:tc>
      </w:tr>
      <w:tr>
        <w:trPr>
          <w:trHeight w:val="189"/>
        </w:trPr>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340" w:type="dxa"/>
            <w:vAlign w:val="bottom"/>
            <w:tcBorders>
              <w:bottom w:val="single" w:sz="8" w:color="0000EE"/>
            </w:tcBorders>
            <w:gridSpan w:val="11"/>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Condensed Consolidated Schedule of Investments as of June 30, 2025 (Unaudited)</w:t>
            </w:r>
          </w:p>
        </w:tc>
        <w:tc>
          <w:tcPr>
            <w:tcW w:w="4600" w:type="dxa"/>
            <w:vAlign w:val="bottom"/>
            <w:tcBorders>
              <w:bottom w:val="single" w:sz="8" w:color="CCEEFF"/>
            </w:tcBorders>
            <w:gridSpan w:val="7"/>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w:t>
            </w:r>
          </w:p>
        </w:tc>
      </w:tr>
      <w:tr>
        <w:trPr>
          <w:trHeight w:val="157"/>
        </w:trPr>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940" w:type="dxa"/>
            <w:vAlign w:val="bottom"/>
            <w:gridSpan w:val="18"/>
          </w:tcPr>
          <w:p>
            <w:pPr>
              <w:spacing w:after="0" w:line="157" w:lineRule="exact"/>
              <w:rPr>
                <w:sz w:val="20"/>
                <w:szCs w:val="20"/>
                <w:color w:val="auto"/>
              </w:rPr>
            </w:pPr>
            <w:r>
              <w:rPr>
                <w:rFonts w:ascii="Times New Roman" w:cs="Times New Roman" w:eastAsia="Times New Roman" w:hAnsi="Times New Roman"/>
                <w:sz w:val="16"/>
                <w:szCs w:val="16"/>
                <w:color w:val="0000EE"/>
              </w:rPr>
              <w:t>Condensed Consolidated Schedule of Investments as of December 31, 2024</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9"/>
        </w:trPr>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80" w:type="dxa"/>
            <w:vAlign w:val="bottom"/>
            <w:tcBorders>
              <w:bottom w:val="single" w:sz="8" w:color="0000EE"/>
            </w:tcBorders>
            <w:gridSpan w:val="1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Notes to Condensed Consolidated Financial Statements as of June 30, 2025 (Unaudited)</w:t>
            </w:r>
          </w:p>
        </w:tc>
        <w:tc>
          <w:tcPr>
            <w:tcW w:w="4260" w:type="dxa"/>
            <w:vAlign w:val="bottom"/>
            <w:tcBorders>
              <w:bottom w:val="single" w:sz="8" w:color="CCEEFF"/>
            </w:tcBorders>
            <w:gridSpan w:val="6"/>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2.</w:t>
            </w:r>
          </w:p>
        </w:tc>
        <w:tc>
          <w:tcPr>
            <w:tcW w:w="60" w:type="dxa"/>
            <w:vAlign w:val="bottom"/>
          </w:tcPr>
          <w:p>
            <w:pPr>
              <w:spacing w:after="0"/>
              <w:rPr>
                <w:sz w:val="13"/>
                <w:szCs w:val="13"/>
                <w:color w:val="auto"/>
              </w:rPr>
            </w:pPr>
          </w:p>
        </w:tc>
        <w:tc>
          <w:tcPr>
            <w:tcW w:w="5780" w:type="dxa"/>
            <w:vAlign w:val="bottom"/>
            <w:tcBorders>
              <w:bottom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4160" w:type="dxa"/>
            <w:vAlign w:val="bottom"/>
            <w:gridSpan w:val="5"/>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45</w:t>
            </w:r>
          </w:p>
        </w:tc>
      </w:tr>
      <w:tr>
        <w:trPr>
          <w:trHeight w:val="189"/>
        </w:trPr>
        <w:tc>
          <w:tcPr>
            <w:tcW w:w="680" w:type="dxa"/>
            <w:vAlign w:val="bottom"/>
            <w:tcBorders>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Item 3.</w:t>
            </w:r>
          </w:p>
        </w:tc>
        <w:tc>
          <w:tcPr>
            <w:tcW w:w="6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EE"/>
            </w:tcBorders>
            <w:gridSpan w:val="9"/>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6040" w:type="dxa"/>
            <w:vAlign w:val="bottom"/>
            <w:tcBorders>
              <w:bottom w:val="single" w:sz="8" w:color="CCEEFF"/>
            </w:tcBorders>
            <w:gridSpan w:val="9"/>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56</w:t>
            </w: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4.</w:t>
            </w:r>
          </w:p>
        </w:tc>
        <w:tc>
          <w:tcPr>
            <w:tcW w:w="60" w:type="dxa"/>
            <w:vAlign w:val="bottom"/>
          </w:tcPr>
          <w:p>
            <w:pPr>
              <w:spacing w:after="0"/>
              <w:rPr>
                <w:sz w:val="13"/>
                <w:szCs w:val="13"/>
                <w:color w:val="auto"/>
              </w:rPr>
            </w:pPr>
          </w:p>
        </w:tc>
        <w:tc>
          <w:tcPr>
            <w:tcW w:w="9940" w:type="dxa"/>
            <w:vAlign w:val="bottom"/>
            <w:gridSpan w:val="18"/>
          </w:tcPr>
          <w:p>
            <w:pPr>
              <w:spacing w:after="0" w:line="157" w:lineRule="exact"/>
              <w:rPr>
                <w:sz w:val="20"/>
                <w:szCs w:val="20"/>
                <w:color w:val="auto"/>
              </w:rPr>
            </w:pPr>
            <w:r>
              <w:rPr>
                <w:rFonts w:ascii="Times New Roman" w:cs="Times New Roman" w:eastAsia="Times New Roman" w:hAnsi="Times New Roman"/>
                <w:sz w:val="16"/>
                <w:szCs w:val="16"/>
                <w:color w:val="0000EE"/>
              </w:rPr>
              <w:t>Controls and Procedures</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57</w:t>
            </w:r>
          </w:p>
        </w:tc>
      </w:tr>
      <w:tr>
        <w:trPr>
          <w:trHeight w:val="28"/>
        </w:trPr>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1"/>
        </w:trPr>
        <w:tc>
          <w:tcPr>
            <w:tcW w:w="106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580" w:type="dxa"/>
            <w:vAlign w:val="bottom"/>
            <w:shd w:val="clear" w:color="auto" w:fill="CCEEFF"/>
          </w:tcPr>
          <w:p>
            <w:pPr>
              <w:spacing w:after="0"/>
              <w:rPr>
                <w:sz w:val="17"/>
                <w:szCs w:val="17"/>
                <w:color w:val="auto"/>
              </w:rPr>
            </w:pP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1.</w:t>
            </w:r>
          </w:p>
        </w:tc>
        <w:tc>
          <w:tcPr>
            <w:tcW w:w="60" w:type="dxa"/>
            <w:vAlign w:val="bottom"/>
          </w:tcPr>
          <w:p>
            <w:pPr>
              <w:spacing w:after="0"/>
              <w:rPr>
                <w:sz w:val="13"/>
                <w:szCs w:val="13"/>
                <w:color w:val="auto"/>
              </w:rPr>
            </w:pPr>
          </w:p>
        </w:tc>
        <w:tc>
          <w:tcPr>
            <w:tcW w:w="1200" w:type="dxa"/>
            <w:vAlign w:val="bottom"/>
            <w:tcBorders>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6"/>
                <w:szCs w:val="16"/>
                <w:color w:val="0000EE"/>
                <w:w w:val="99"/>
              </w:rPr>
              <w:t>Legal Proceedings</w:t>
            </w:r>
          </w:p>
        </w:tc>
        <w:tc>
          <w:tcPr>
            <w:tcW w:w="8740" w:type="dxa"/>
            <w:vAlign w:val="bottom"/>
            <w:gridSpan w:val="14"/>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58</w:t>
            </w:r>
          </w:p>
        </w:tc>
      </w:tr>
      <w:tr>
        <w:trPr>
          <w:trHeight w:val="189"/>
        </w:trPr>
        <w:tc>
          <w:tcPr>
            <w:tcW w:w="680" w:type="dxa"/>
            <w:vAlign w:val="bottom"/>
            <w:tcBorders>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Item 1A.</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0000EE"/>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9"/>
              </w:rPr>
              <w:t>Risk Factors</w:t>
            </w:r>
          </w:p>
        </w:tc>
        <w:tc>
          <w:tcPr>
            <w:tcW w:w="9120" w:type="dxa"/>
            <w:vAlign w:val="bottom"/>
            <w:tcBorders>
              <w:bottom w:val="single" w:sz="8" w:color="CCEEFF"/>
            </w:tcBorders>
            <w:gridSpan w:val="16"/>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58</w:t>
            </w: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2.</w:t>
            </w:r>
          </w:p>
        </w:tc>
        <w:tc>
          <w:tcPr>
            <w:tcW w:w="60" w:type="dxa"/>
            <w:vAlign w:val="bottom"/>
          </w:tcPr>
          <w:p>
            <w:pPr>
              <w:spacing w:after="0"/>
              <w:rPr>
                <w:sz w:val="13"/>
                <w:szCs w:val="13"/>
                <w:color w:val="auto"/>
              </w:rPr>
            </w:pPr>
          </w:p>
        </w:tc>
        <w:tc>
          <w:tcPr>
            <w:tcW w:w="9940" w:type="dxa"/>
            <w:vAlign w:val="bottom"/>
            <w:gridSpan w:val="18"/>
          </w:tcPr>
          <w:p>
            <w:pPr>
              <w:spacing w:after="0" w:line="157" w:lineRule="exact"/>
              <w:rPr>
                <w:sz w:val="20"/>
                <w:szCs w:val="20"/>
                <w:color w:val="auto"/>
              </w:rPr>
            </w:pPr>
            <w:r>
              <w:rPr>
                <w:rFonts w:ascii="Times New Roman" w:cs="Times New Roman" w:eastAsia="Times New Roman" w:hAnsi="Times New Roman"/>
                <w:sz w:val="16"/>
                <w:szCs w:val="16"/>
                <w:color w:val="0000EE"/>
              </w:rPr>
              <w:t>Unregistered Sales of Equity Securities and Use of Proceeds</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58</w:t>
            </w:r>
          </w:p>
        </w:tc>
      </w:tr>
      <w:tr>
        <w:trPr>
          <w:trHeight w:val="189"/>
        </w:trPr>
        <w:tc>
          <w:tcPr>
            <w:tcW w:w="6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Item 3.</w:t>
            </w:r>
          </w:p>
        </w:tc>
        <w:tc>
          <w:tcPr>
            <w:tcW w:w="60" w:type="dxa"/>
            <w:vAlign w:val="bottom"/>
            <w:shd w:val="clear" w:color="auto" w:fill="CCEEFF"/>
          </w:tcPr>
          <w:p>
            <w:pPr>
              <w:spacing w:after="0"/>
              <w:rPr>
                <w:sz w:val="16"/>
                <w:szCs w:val="16"/>
                <w:color w:val="auto"/>
              </w:rPr>
            </w:pPr>
          </w:p>
        </w:tc>
        <w:tc>
          <w:tcPr>
            <w:tcW w:w="3880" w:type="dxa"/>
            <w:vAlign w:val="bottom"/>
            <w:tcBorders>
              <w:top w:val="single" w:sz="8" w:color="0000EE"/>
            </w:tcBorders>
            <w:gridSpan w:val="8"/>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6060" w:type="dxa"/>
            <w:vAlign w:val="bottom"/>
            <w:gridSpan w:val="10"/>
            <w:shd w:val="clear" w:color="auto" w:fill="CCEEFF"/>
          </w:tcPr>
          <w:p>
            <w:pPr>
              <w:spacing w:after="0"/>
              <w:rPr>
                <w:sz w:val="16"/>
                <w:szCs w:val="16"/>
                <w:color w:val="auto"/>
              </w:rPr>
            </w:pPr>
          </w:p>
        </w:tc>
        <w:tc>
          <w:tcPr>
            <w:tcW w:w="5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59</w:t>
            </w:r>
          </w:p>
        </w:tc>
      </w:tr>
      <w:tr>
        <w:trPr>
          <w:trHeight w:val="157"/>
        </w:trPr>
        <w:tc>
          <w:tcPr>
            <w:tcW w:w="680" w:type="dxa"/>
            <w:vAlign w:val="bottom"/>
            <w:tcBorders>
              <w:top w:val="single" w:sz="8" w:color="CCEEFF"/>
            </w:tcBorders>
          </w:tcPr>
          <w:p>
            <w:pPr>
              <w:spacing w:after="0" w:line="157" w:lineRule="exact"/>
              <w:rPr>
                <w:sz w:val="20"/>
                <w:szCs w:val="20"/>
                <w:color w:val="auto"/>
              </w:rPr>
            </w:pPr>
            <w:r>
              <w:rPr>
                <w:rFonts w:ascii="Times New Roman" w:cs="Times New Roman" w:eastAsia="Times New Roman" w:hAnsi="Times New Roman"/>
                <w:sz w:val="16"/>
                <w:szCs w:val="16"/>
                <w:color w:val="auto"/>
              </w:rPr>
              <w:t>Item 4.</w:t>
            </w:r>
          </w:p>
        </w:tc>
        <w:tc>
          <w:tcPr>
            <w:tcW w:w="60" w:type="dxa"/>
            <w:vAlign w:val="bottom"/>
            <w:tcBorders>
              <w:top w:val="single" w:sz="8" w:color="CCEEFF"/>
            </w:tcBorders>
          </w:tcPr>
          <w:p>
            <w:pPr>
              <w:spacing w:after="0"/>
              <w:rPr>
                <w:sz w:val="13"/>
                <w:szCs w:val="13"/>
                <w:color w:val="auto"/>
              </w:rPr>
            </w:pPr>
          </w:p>
        </w:tc>
        <w:tc>
          <w:tcPr>
            <w:tcW w:w="2080" w:type="dxa"/>
            <w:vAlign w:val="bottom"/>
            <w:tcBorders>
              <w:top w:val="single" w:sz="8" w:color="0000EE"/>
            </w:tcBorders>
            <w:gridSpan w:val="7"/>
          </w:tcPr>
          <w:p>
            <w:pPr>
              <w:spacing w:after="0" w:line="157" w:lineRule="exact"/>
              <w:rPr>
                <w:sz w:val="20"/>
                <w:szCs w:val="20"/>
                <w:color w:val="auto"/>
              </w:rPr>
            </w:pPr>
            <w:r>
              <w:rPr>
                <w:rFonts w:ascii="Times New Roman" w:cs="Times New Roman" w:eastAsia="Times New Roman" w:hAnsi="Times New Roman"/>
                <w:sz w:val="16"/>
                <w:szCs w:val="16"/>
                <w:color w:val="0000EE"/>
              </w:rPr>
              <w:t>Mine Safety Disclosures</w:t>
            </w:r>
          </w:p>
        </w:tc>
        <w:tc>
          <w:tcPr>
            <w:tcW w:w="7860" w:type="dxa"/>
            <w:vAlign w:val="bottom"/>
            <w:tcBorders>
              <w:top w:val="single" w:sz="8" w:color="CCEEFF"/>
            </w:tcBorders>
            <w:gridSpan w:val="11"/>
          </w:tcPr>
          <w:p>
            <w:pPr>
              <w:spacing w:after="0"/>
              <w:rPr>
                <w:sz w:val="13"/>
                <w:szCs w:val="13"/>
                <w:color w:val="auto"/>
              </w:rPr>
            </w:pPr>
          </w:p>
        </w:tc>
        <w:tc>
          <w:tcPr>
            <w:tcW w:w="580" w:type="dxa"/>
            <w:vAlign w:val="bottom"/>
            <w:tcBorders>
              <w:top w:val="single" w:sz="8" w:color="CCEEFF"/>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59</w:t>
            </w:r>
          </w:p>
        </w:tc>
      </w:tr>
      <w:tr>
        <w:trPr>
          <w:trHeight w:val="189"/>
        </w:trPr>
        <w:tc>
          <w:tcPr>
            <w:tcW w:w="680" w:type="dxa"/>
            <w:vAlign w:val="bottom"/>
            <w:tcBorders>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Item 5.</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0000EE"/>
              <w:bottom w:val="single" w:sz="8" w:color="0000EE"/>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9"/>
              </w:rPr>
              <w:t>Other Information</w:t>
            </w:r>
          </w:p>
        </w:tc>
        <w:tc>
          <w:tcPr>
            <w:tcW w:w="40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8360" w:type="dxa"/>
            <w:vAlign w:val="bottom"/>
            <w:tcBorders>
              <w:bottom w:val="single" w:sz="8" w:color="CCEEFF"/>
            </w:tcBorders>
            <w:gridSpan w:val="12"/>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59</w:t>
            </w:r>
          </w:p>
        </w:tc>
      </w:tr>
      <w:tr>
        <w:trPr>
          <w:trHeight w:val="157"/>
        </w:trPr>
        <w:tc>
          <w:tcPr>
            <w:tcW w:w="6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Item 6.</w:t>
            </w:r>
          </w:p>
        </w:tc>
        <w:tc>
          <w:tcPr>
            <w:tcW w:w="10000" w:type="dxa"/>
            <w:vAlign w:val="bottom"/>
            <w:gridSpan w:val="19"/>
          </w:tcPr>
          <w:p>
            <w:pPr>
              <w:ind w:left="60"/>
              <w:spacing w:after="0" w:line="157" w:lineRule="exact"/>
              <w:rPr>
                <w:sz w:val="20"/>
                <w:szCs w:val="20"/>
                <w:color w:val="auto"/>
              </w:rPr>
            </w:pPr>
            <w:r>
              <w:rPr>
                <w:rFonts w:ascii="Times New Roman" w:cs="Times New Roman" w:eastAsia="Times New Roman" w:hAnsi="Times New Roman"/>
                <w:sz w:val="16"/>
                <w:szCs w:val="16"/>
                <w:color w:val="0000EE"/>
              </w:rPr>
              <w:t>Exhibits</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60</w:t>
            </w:r>
          </w:p>
        </w:tc>
      </w:tr>
      <w:tr>
        <w:trPr>
          <w:trHeight w:val="189"/>
        </w:trPr>
        <w:tc>
          <w:tcPr>
            <w:tcW w:w="680" w:type="dxa"/>
            <w:vAlign w:val="bottom"/>
            <w:tcBorders>
              <w:bottom w:val="single" w:sz="8" w:color="0000EE"/>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7"/>
              </w:rPr>
              <w:t>Signatures</w:t>
            </w: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0000EE"/>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61</w:t>
            </w: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2" w:name="page3"/>
    <w:bookmarkEnd w:id="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ASSETS AND LIABILITIES</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7"/>
        </w:trPr>
        <w:tc>
          <w:tcPr>
            <w:tcW w:w="6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 investments (cost of $221,292,617 and $234,601,314, respectively)</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215,044,675</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198,511,915</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 (cost of $20,605,400 and $20,605,400, respectively)</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8,456,422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9,268,827</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 (cost of $1,602,940 and $1,602,940, respectively)</w:t>
            </w: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20,297,450</w:t>
            </w: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1,600,000</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 (cost of $243,500,957 and $256,809,654, respectively)</w:t>
            </w: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243,798,547</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209,380,742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49,852,801</w:t>
            </w: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20,035,640</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6"/>
                <w:szCs w:val="16"/>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38,741</w:t>
            </w:r>
          </w:p>
        </w:tc>
        <w:tc>
          <w:tcPr>
            <w:tcW w:w="18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45,298</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104,098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756,022</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555,688</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526,261</w:t>
            </w:r>
          </w:p>
        </w:tc>
        <w:tc>
          <w:tcPr>
            <w:tcW w:w="0" w:type="dxa"/>
            <w:vAlign w:val="bottom"/>
          </w:tcPr>
          <w:p>
            <w:pPr>
              <w:spacing w:after="0"/>
              <w:rPr>
                <w:sz w:val="1"/>
                <w:szCs w:val="1"/>
                <w:color w:val="auto"/>
              </w:rPr>
            </w:pPr>
          </w:p>
        </w:tc>
      </w:tr>
      <w:tr>
        <w:trPr>
          <w:trHeight w:val="229"/>
        </w:trPr>
        <w:tc>
          <w:tcPr>
            <w:tcW w:w="69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855,630</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295,053,224</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231,599,593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6"/>
                <w:szCs w:val="26"/>
                <w:color w:val="auto"/>
                <w:vertAlign w:val="superscript"/>
              </w:rPr>
              <w:t>(2)</w:t>
            </w:r>
          </w:p>
        </w:tc>
        <w:tc>
          <w:tcPr>
            <w:tcW w:w="2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39,354,847</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44,198,838</w:t>
            </w:r>
          </w:p>
        </w:tc>
        <w:tc>
          <w:tcPr>
            <w:tcW w:w="0" w:type="dxa"/>
            <w:vAlign w:val="bottom"/>
          </w:tcPr>
          <w:p>
            <w:pPr>
              <w:spacing w:after="0"/>
              <w:rPr>
                <w:sz w:val="1"/>
                <w:szCs w:val="1"/>
                <w:color w:val="auto"/>
              </w:rPr>
            </w:pPr>
          </w:p>
        </w:tc>
      </w:tr>
      <w:tr>
        <w:trPr>
          <w:trHeight w:val="229"/>
        </w:trPr>
        <w:tc>
          <w:tcPr>
            <w:tcW w:w="69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6.50% Convertible Notes due August 14, 2029</w:t>
            </w:r>
            <w:r>
              <w:rPr>
                <w:rFonts w:ascii="Times New Roman" w:cs="Times New Roman" w:eastAsia="Times New Roman" w:hAnsi="Times New Roman"/>
                <w:sz w:val="26"/>
                <w:szCs w:val="26"/>
                <w:color w:val="auto"/>
                <w:vertAlign w:val="superscript"/>
              </w:rPr>
              <w:t>(3)</w:t>
            </w:r>
          </w:p>
        </w:tc>
        <w:tc>
          <w:tcPr>
            <w:tcW w:w="26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34,010,638</w:t>
            </w:r>
          </w:p>
        </w:tc>
        <w:tc>
          <w:tcPr>
            <w:tcW w:w="1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29,051,408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6"/>
                <w:szCs w:val="26"/>
                <w:color w:val="auto"/>
                <w:vertAlign w:val="superscript"/>
              </w:rPr>
              <w:t>(1)</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2,278,144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768,394</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60" w:type="dxa"/>
            <w:vAlign w:val="bottom"/>
          </w:tcPr>
          <w:p>
            <w:pPr>
              <w:spacing w:after="0"/>
              <w:rPr>
                <w:sz w:val="16"/>
                <w:szCs w:val="16"/>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8,867</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75,643,629</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74,027,507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219,409,595</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157,572,086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23,888,107 and 23,601,566 issued</w:t>
            </w: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outstanding, respectively)</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236,016</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226,892,721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226,579,432</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(11,686,121)</w:t>
            </w: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(4,302,192)</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gain/(loss) on investments, net of distributions</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3,769,690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(17,409,097)</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194,424</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(47,532,073)</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219,409,595</w:t>
            </w:r>
          </w:p>
        </w:tc>
        <w:tc>
          <w:tcPr>
            <w:tcW w:w="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157,572,086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980" w:type="dxa"/>
            <w:vAlign w:val="bottom"/>
            <w:tcBorders>
              <w:bottom w:val="single" w:sz="8" w:color="CCEEFF"/>
            </w:tcBorders>
            <w:shd w:val="clear" w:color="auto" w:fill="CCEEFF"/>
          </w:tcPr>
          <w:p>
            <w:pPr>
              <w:ind w:left="320"/>
              <w:spacing w:after="0" w:line="169"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60" w:type="dxa"/>
            <w:vAlign w:val="bottom"/>
            <w:tcBorders>
              <w:bottom w:val="single" w:sz="8" w:color="auto"/>
            </w:tcBorders>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9.18</w:t>
            </w: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7849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6" w:lineRule="exact"/>
        <w:rPr>
          <w:sz w:val="20"/>
          <w:szCs w:val="20"/>
          <w:color w:val="auto"/>
        </w:rPr>
      </w:pPr>
    </w:p>
    <w:p>
      <w:pPr>
        <w:ind w:left="283" w:right="20" w:hanging="283"/>
        <w:spacing w:after="0" w:line="263" w:lineRule="auto"/>
        <w:tabs>
          <w:tab w:leader="none" w:pos="28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6"/>
          <w:szCs w:val="16"/>
          <w:i w:val="1"/>
          <w:iCs w:val="1"/>
          <w:color w:val="auto"/>
        </w:rPr>
        <w:t>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Leases and Related Deposits</w:t>
      </w:r>
      <w:r>
        <w:rPr>
          <w:rFonts w:ascii="Times New Roman" w:cs="Times New Roman" w:eastAsia="Times New Roman" w:hAnsi="Times New Roman"/>
          <w:sz w:val="16"/>
          <w:szCs w:val="16"/>
          <w:color w:val="auto"/>
        </w:rPr>
        <w:t>” for more detail.</w:t>
      </w:r>
    </w:p>
    <w:p>
      <w:pPr>
        <w:spacing w:after="0" w:line="1" w:lineRule="exact"/>
        <w:rPr>
          <w:rFonts w:ascii="Times New Roman" w:cs="Times New Roman" w:eastAsia="Times New Roman" w:hAnsi="Times New Roman"/>
          <w:sz w:val="16"/>
          <w:szCs w:val="16"/>
          <w:color w:val="auto"/>
        </w:rPr>
      </w:pPr>
    </w:p>
    <w:p>
      <w:pPr>
        <w:jc w:val="both"/>
        <w:ind w:left="283" w:right="20" w:hanging="283"/>
        <w:spacing w:after="0" w:line="251" w:lineRule="auto"/>
        <w:tabs>
          <w:tab w:leader="none" w:pos="28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 6.00% Notes due December 30, 2026 (the “6.00% Notes due 2026”) (effective interest rate of 6.52%) had a face value $39,667,650. As of December 31, 2024, the 6.00% Notes due 2026 (effective interest rate of 6.48%) had a face value $44,667,400. Refer to “Note 10—Debt Capital Activities” for a reconciliation of the carrying value to the face value.</w:t>
      </w:r>
    </w:p>
    <w:p>
      <w:pPr>
        <w:spacing w:after="0" w:line="1" w:lineRule="exact"/>
        <w:rPr>
          <w:rFonts w:ascii="Times New Roman" w:cs="Times New Roman" w:eastAsia="Times New Roman" w:hAnsi="Times New Roman"/>
          <w:sz w:val="16"/>
          <w:szCs w:val="16"/>
          <w:color w:val="auto"/>
        </w:rPr>
      </w:pPr>
    </w:p>
    <w:p>
      <w:pPr>
        <w:jc w:val="both"/>
        <w:ind w:left="283" w:right="20" w:hanging="283"/>
        <w:spacing w:after="0" w:line="257" w:lineRule="auto"/>
        <w:tabs>
          <w:tab w:leader="none" w:pos="28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 6.50% Convertible Notes due August 14, 2029 (the “6.50% Convertible Notes due 2029”) (effective interest rate of 7.17%) had a face value $35,000,000. As of December 31, 2024, the 6.50% Convertible Notes due 2029 (effective interest rate of 7.06%) had a face value $30,000,000. Refer to “Note 10—Debt Capital Activities” for a reconciliation of the carrying value to the face value.</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3" w:name="page4"/>
    <w:bookmarkEnd w:id="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(UNAUDITED)</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8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20"/>
              <w:spacing w:after="0" w:line="228" w:lineRule="exact"/>
              <w:rPr>
                <w:sz w:val="20"/>
                <w:szCs w:val="20"/>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6"/>
                <w:szCs w:val="26"/>
                <w:color w:val="auto"/>
                <w:vertAlign w:val="superscript"/>
              </w:rPr>
              <w:t>(1)</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167,304</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290,750</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317,951</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532,757</w:t>
            </w:r>
          </w:p>
        </w:tc>
        <w:tc>
          <w:tcPr>
            <w:tcW w:w="0" w:type="dxa"/>
            <w:vAlign w:val="bottom"/>
          </w:tcPr>
          <w:p>
            <w:pPr>
              <w:spacing w:after="0"/>
              <w:rPr>
                <w:sz w:val="1"/>
                <w:szCs w:val="1"/>
                <w:color w:val="auto"/>
              </w:rPr>
            </w:pPr>
          </w:p>
        </w:tc>
      </w:tr>
      <w:tr>
        <w:trPr>
          <w:trHeight w:val="19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Dividend income</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348,447</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21,875</w:t>
            </w: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376,667</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811,667</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from U.S. Treasury bills</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359,936</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1,189,145</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Investment Income</w:t>
            </w: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167,304</w:t>
            </w:r>
          </w:p>
        </w:tc>
        <w:tc>
          <w:tcPr>
            <w:tcW w:w="3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1,027,353</w:t>
            </w:r>
          </w:p>
        </w:tc>
        <w:tc>
          <w:tcPr>
            <w:tcW w:w="3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666,398</w:t>
            </w:r>
          </w:p>
        </w:tc>
        <w:tc>
          <w:tcPr>
            <w:tcW w:w="3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2,555,444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1,571,856</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2,198,509</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3,239,691</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4,383,827</w:t>
            </w: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175,495</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167,825</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346,060</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338,938</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1,275,485</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1,214,267</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2,535,334</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2,428,534</w:t>
            </w: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680,857</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586,825</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1,431,081</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1,315,384</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(218,745)</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52,794</w:t>
            </w: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(215,949)</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54,894</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404,516</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462,758</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714,110</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912,394</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3,889,464</w:t>
            </w:r>
          </w:p>
        </w:tc>
        <w:tc>
          <w:tcPr>
            <w:tcW w:w="3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4,682,978</w:t>
            </w:r>
          </w:p>
        </w:tc>
        <w:tc>
          <w:tcPr>
            <w:tcW w:w="3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8,050,327</w:t>
            </w:r>
          </w:p>
        </w:tc>
        <w:tc>
          <w:tcPr>
            <w:tcW w:w="3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9,433,971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(3,722,160)</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(3,655,625)</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(7,383,929)</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(6,878,527)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Realized Gain/(Loss) on Investments: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21,212,611</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(22,867)</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21,194,660</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(507,008)</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60,067</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(6,745)</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0" w:type="dxa"/>
            <w:vAlign w:val="bottom"/>
          </w:tcPr>
          <w:p>
            <w:pPr>
              <w:spacing w:after="0"/>
              <w:rPr>
                <w:sz w:val="1"/>
                <w:szCs w:val="1"/>
                <w:color w:val="auto"/>
              </w:rPr>
            </w:pPr>
          </w:p>
        </w:tc>
      </w:tr>
      <w:tr>
        <w:trPr>
          <w:trHeight w:val="18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Realized Gain/(Loss) on Investments</w:t>
            </w: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21,212,611</w:t>
            </w:r>
          </w:p>
        </w:tc>
        <w:tc>
          <w:tcPr>
            <w:tcW w:w="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(29,612)</w:t>
            </w:r>
          </w:p>
        </w:tc>
        <w:tc>
          <w:tcPr>
            <w:tcW w:w="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21,194,660</w:t>
            </w:r>
          </w:p>
        </w:tc>
        <w:tc>
          <w:tcPr>
            <w:tcW w:w="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Realized loss on partial repurchase of 6.00% Notes due</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December 30, 2026</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(15,873)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474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Change in Unrealized Appreciation/(Depreciation) of</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35,090,339</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(3,481,638)</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29,841,454</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(19,876,809)</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28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(339,693)</w:t>
            </w:r>
          </w:p>
        </w:tc>
        <w:tc>
          <w:tcPr>
            <w:tcW w:w="30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(3,485,172)</w:t>
            </w: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(812,406)</w:t>
            </w:r>
          </w:p>
        </w:tc>
        <w:tc>
          <w:tcPr>
            <w:tcW w:w="3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(5,501,871)</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10,086,973</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18,697,449</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154"/>
        </w:trPr>
        <w:tc>
          <w:tcPr>
            <w:tcW w:w="4740" w:type="dxa"/>
            <w:vAlign w:val="bottom"/>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rPr>
              <w:t>Net Change in Unrealized Appreciation/(Depreciation) of</w:t>
            </w: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8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44,837,619</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(6,965,946)</w:t>
            </w:r>
          </w:p>
        </w:tc>
        <w:tc>
          <w:tcPr>
            <w:tcW w:w="3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47,726,497</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(25,384,316)</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62,328,070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(10,651,183</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61,521,355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(32,716,529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160"/>
              <w:spacing w:after="0" w:line="167"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2.63</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(0.45)</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2.60</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320"/>
              <w:spacing w:after="0" w:line="24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740" w:type="dxa"/>
            <w:vAlign w:val="bottom"/>
            <w:vMerge w:val="continue"/>
          </w:tcPr>
          <w:p>
            <w:pPr>
              <w:spacing w:after="0"/>
              <w:rPr>
                <w:sz w:val="21"/>
                <w:szCs w:val="21"/>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2.23</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320" w:type="dxa"/>
            <w:vAlign w:val="bottom"/>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2.23</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9"/>
        </w:trPr>
        <w:tc>
          <w:tcPr>
            <w:tcW w:w="47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23,728,095</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23,410,235</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23,650,399</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24,401,863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20"/>
              <w:spacing w:after="0" w:line="228"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(2)</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28,244,225</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23,410,235</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28,113,063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24,401,863</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7849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8" w:lineRule="exact"/>
        <w:rPr>
          <w:sz w:val="20"/>
          <w:szCs w:val="20"/>
          <w:color w:val="auto"/>
        </w:rPr>
      </w:pPr>
    </w:p>
    <w:p>
      <w:pPr>
        <w:ind w:left="283" w:hanging="283"/>
        <w:spacing w:after="0"/>
        <w:tabs>
          <w:tab w:leader="none" w:pos="2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earned on cash.</w:t>
      </w:r>
    </w:p>
    <w:p>
      <w:pPr>
        <w:spacing w:after="0" w:line="25" w:lineRule="exact"/>
        <w:rPr>
          <w:rFonts w:ascii="Times New Roman" w:cs="Times New Roman" w:eastAsia="Times New Roman" w:hAnsi="Times New Roman"/>
          <w:sz w:val="16"/>
          <w:szCs w:val="16"/>
          <w:color w:val="auto"/>
        </w:rPr>
      </w:pPr>
    </w:p>
    <w:p>
      <w:pPr>
        <w:ind w:left="283" w:right="20" w:hanging="283"/>
        <w:spacing w:after="0" w:line="263" w:lineRule="auto"/>
        <w:tabs>
          <w:tab w:leader="none" w:pos="2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2024, there were no potentially dilutive securities outstanding. Refer to “Note 6 — Net Change in Net Assets Resulting from Operations per Common Share — Basic and Diluted”.</w:t>
      </w:r>
    </w:p>
    <w:p>
      <w:pPr>
        <w:spacing w:after="0" w:line="1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NET ASSETS (UNAUDITED)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112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157,572,086</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120" w:type="dxa"/>
            <w:vAlign w:val="bottom"/>
            <w:shd w:val="clear" w:color="auto" w:fill="CCEEFF"/>
          </w:tcPr>
          <w:p>
            <w:pPr>
              <w:spacing w:after="0"/>
              <w:rPr>
                <w:sz w:val="16"/>
                <w:szCs w:val="16"/>
                <w:color w:val="auto"/>
              </w:rPr>
            </w:pPr>
          </w:p>
        </w:tc>
      </w:tr>
      <w:tr>
        <w:trPr>
          <w:trHeight w:val="193"/>
        </w:trPr>
        <w:tc>
          <w:tcPr>
            <w:tcW w:w="6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investment loss</w:t>
            </w:r>
          </w:p>
        </w:tc>
        <w:tc>
          <w:tcPr>
            <w:tcW w:w="1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(3,661,769)</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(3,222,902)</w:t>
            </w: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1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(17,951)</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(424,074)</w:t>
            </w: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Realized loss on partial repurchase of 6.00% Notes due 2026</w:t>
            </w:r>
          </w:p>
        </w:tc>
        <w:tc>
          <w:tcPr>
            <w:tcW w:w="1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(15,873)</w:t>
            </w:r>
          </w:p>
        </w:tc>
        <w:tc>
          <w:tcPr>
            <w:tcW w:w="440" w:type="dxa"/>
            <w:vAlign w:val="bottom"/>
          </w:tcPr>
          <w:p>
            <w:pPr>
              <w:spacing w:after="0"/>
              <w:rPr>
                <w:sz w:val="16"/>
                <w:szCs w:val="16"/>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2,888,878</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(18,418,370)</w:t>
            </w:r>
          </w:p>
        </w:tc>
      </w:tr>
      <w:tr>
        <w:trPr>
          <w:trHeight w:val="185"/>
        </w:trPr>
        <w:tc>
          <w:tcPr>
            <w:tcW w:w="69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(806,715)</w:t>
            </w:r>
          </w:p>
        </w:tc>
        <w:tc>
          <w:tcPr>
            <w:tcW w:w="3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(22,065,346)</w:t>
            </w:r>
          </w:p>
        </w:tc>
        <w:tc>
          <w:tcPr>
            <w:tcW w:w="120" w:type="dxa"/>
            <w:vAlign w:val="bottom"/>
          </w:tcPr>
          <w:p>
            <w:pPr>
              <w:spacing w:after="0"/>
              <w:rPr>
                <w:sz w:val="16"/>
                <w:szCs w:val="16"/>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5"/>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38,784</w:t>
            </w:r>
          </w:p>
        </w:tc>
        <w:tc>
          <w:tcPr>
            <w:tcW w:w="44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428,835</w:t>
            </w:r>
          </w:p>
        </w:tc>
      </w:tr>
      <w:tr>
        <w:trPr>
          <w:trHeight w:val="185"/>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38,784</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428,835</w:t>
            </w:r>
          </w:p>
        </w:tc>
        <w:tc>
          <w:tcPr>
            <w:tcW w:w="120" w:type="dxa"/>
            <w:vAlign w:val="bottom"/>
            <w:tcBorders>
              <w:top w:val="single" w:sz="8" w:color="CCEEFF"/>
            </w:tcBorders>
            <w:shd w:val="clear" w:color="auto" w:fill="CCEEFF"/>
          </w:tcPr>
          <w:p>
            <w:pPr>
              <w:spacing w:after="0"/>
              <w:rPr>
                <w:sz w:val="16"/>
                <w:szCs w:val="16"/>
                <w:color w:val="auto"/>
              </w:rPr>
            </w:pPr>
          </w:p>
        </w:tc>
      </w:tr>
      <w:tr>
        <w:trPr>
          <w:trHeight w:val="185"/>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1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(767,931</w:t>
            </w:r>
          </w:p>
        </w:tc>
        <w:tc>
          <w:tcPr>
            <w:tcW w:w="32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(21,636,511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112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156,804,155</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181,721,135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investment loss</w:t>
            </w:r>
          </w:p>
        </w:tc>
        <w:tc>
          <w:tcPr>
            <w:tcW w:w="1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(3,722,160)</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(3,655,625)</w:t>
            </w: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21,212,611</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(29,612)</w:t>
            </w:r>
          </w:p>
        </w:tc>
      </w:tr>
      <w:tr>
        <w:trPr>
          <w:trHeight w:val="205"/>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44,837,619</w:t>
            </w:r>
          </w:p>
        </w:tc>
        <w:tc>
          <w:tcPr>
            <w:tcW w:w="4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(6,965,946)</w:t>
            </w:r>
          </w:p>
        </w:tc>
      </w:tr>
      <w:tr>
        <w:trPr>
          <w:trHeight w:val="185"/>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62,328,070</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(10,651,183)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277,370</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642,239</w:t>
            </w:r>
          </w:p>
        </w:tc>
      </w:tr>
      <w:tr>
        <w:trPr>
          <w:trHeight w:val="205"/>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(9,400,000)</w:t>
            </w:r>
          </w:p>
        </w:tc>
      </w:tr>
      <w:tr>
        <w:trPr>
          <w:trHeight w:val="185"/>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277,370</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(8,757,761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5"/>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1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62,605,440</w:t>
            </w:r>
          </w:p>
        </w:tc>
        <w:tc>
          <w:tcPr>
            <w:tcW w:w="3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(19,408,944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 at June 30</w:t>
            </w:r>
          </w:p>
        </w:tc>
        <w:tc>
          <w:tcPr>
            <w:tcW w:w="112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219,409,595</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162,312,191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19" w:right="3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Share Activity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Shares outstanding at beginning of year</w:t>
      </w:r>
    </w:p>
    <w:p>
      <w:pPr>
        <w:ind w:left="160"/>
        <w:spacing w:after="0" w:line="208" w:lineRule="auto"/>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Shares repurchased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17780</wp:posOffset>
            </wp:positionV>
            <wp:extent cx="25660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6035" cy="7620"/>
                    </a:xfrm>
                    <a:prstGeom prst="rect">
                      <a:avLst/>
                    </a:prstGeom>
                    <a:noFill/>
                  </pic:spPr>
                </pic:pic>
              </a:graphicData>
            </a:graphic>
          </wp:anchor>
        </w:drawing>
      </w:r>
    </w:p>
    <w:p>
      <w:pPr>
        <w:spacing w:after="0" w:line="13" w:lineRule="exact"/>
        <w:rPr>
          <w:sz w:val="20"/>
          <w:szCs w:val="20"/>
          <w:color w:val="auto"/>
        </w:rPr>
      </w:pPr>
    </w:p>
    <w:p>
      <w:pPr>
        <w:ind w:left="860"/>
        <w:spacing w:after="0"/>
        <w:tabs>
          <w:tab w:leader="none" w:pos="30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7146925" cy="130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1301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23,601,566</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25,445,805</w:t>
            </w:r>
          </w:p>
        </w:tc>
        <w:tc>
          <w:tcPr>
            <w:tcW w:w="60" w:type="dxa"/>
            <w:vAlign w:val="bottom"/>
          </w:tcPr>
          <w:p>
            <w:pPr>
              <w:spacing w:after="0"/>
              <w:rPr>
                <w:sz w:val="18"/>
                <w:szCs w:val="18"/>
                <w:color w:val="auto"/>
              </w:rPr>
            </w:pPr>
          </w:p>
        </w:tc>
      </w:tr>
      <w:tr>
        <w:trPr>
          <w:trHeight w:val="213"/>
        </w:trPr>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286,541</w:t>
            </w:r>
          </w:p>
        </w:tc>
        <w:tc>
          <w:tcPr>
            <w:tcW w:w="3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(67,803)</w:t>
            </w:r>
          </w:p>
        </w:tc>
      </w:tr>
      <w:tr>
        <w:trPr>
          <w:trHeight w:val="221"/>
        </w:trPr>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(2,000,000)</w:t>
            </w:r>
          </w:p>
        </w:tc>
      </w:tr>
      <w:tr>
        <w:trPr>
          <w:trHeight w:val="197"/>
        </w:trPr>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23,888,107</w:t>
            </w:r>
          </w:p>
        </w:tc>
        <w:tc>
          <w:tcPr>
            <w:tcW w:w="32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23,378,002</w:t>
            </w:r>
          </w:p>
        </w:tc>
        <w:tc>
          <w:tcPr>
            <w:tcW w:w="60" w:type="dxa"/>
            <w:vAlign w:val="bottom"/>
          </w:tcPr>
          <w:p>
            <w:pPr>
              <w:spacing w:after="0"/>
              <w:rPr>
                <w:sz w:val="17"/>
                <w:szCs w:val="17"/>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-436245</wp:posOffset>
            </wp:positionV>
            <wp:extent cx="71469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14541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-160020</wp:posOffset>
            </wp:positionV>
            <wp:extent cx="714692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925" cy="14541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6260" w:space="720"/>
            <w:col w:w="4280"/>
          </w:cols>
          <w:pgMar w:left="320" w:top="219" w:right="31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17849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11 — Stock-Based Compensation” for more detail.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469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type w:val="continuous"/>
        </w:sectPr>
      </w:pPr>
    </w:p>
    <w:bookmarkStart w:id="5" w:name="page6"/>
    <w:bookmarkEnd w:id="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61,521,355</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(32,716,529)</w:t>
            </w: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 by</w:t>
            </w:r>
          </w:p>
        </w:tc>
        <w:tc>
          <w:tcPr>
            <w:tcW w:w="1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(21,194,660)</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453,686</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(47,726,497)</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25,384,316</w:t>
            </w: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1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121,761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212,187</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discount on 6.50% Convertible Notes due 2029</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117,387</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316,154</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1,071,074</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(45,292)</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(139,925)</w:t>
            </w: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interest on U.S. Treasury bills</w:t>
            </w:r>
          </w:p>
        </w:tc>
        <w:tc>
          <w:tcPr>
            <w:tcW w:w="114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18,150</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1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(6,703,121)</w:t>
            </w:r>
          </w:p>
        </w:tc>
        <w:tc>
          <w:tcPr>
            <w:tcW w:w="7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(35,073,044)</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114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41,251,774</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10,551,335</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U.S. Treasury bills</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63,792,704</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45,298</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238,249</w:t>
            </w: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152,281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212,047</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651,924</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48,763</w:t>
            </w:r>
          </w:p>
        </w:tc>
        <w:tc>
          <w:tcPr>
            <w:tcW w:w="0" w:type="dxa"/>
            <w:vAlign w:val="bottom"/>
          </w:tcPr>
          <w:p>
            <w:pPr>
              <w:spacing w:after="0"/>
              <w:rPr>
                <w:sz w:val="1"/>
                <w:szCs w:val="1"/>
                <w:color w:val="auto"/>
              </w:rPr>
            </w:pPr>
          </w:p>
        </w:tc>
      </w:tr>
      <w:tr>
        <w:trPr>
          <w:trHeight w:val="193"/>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1,509,750</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1,656,231</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30,018,114</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35,709,244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proceeds from the issuance of 6.50% Convertible Notes due 2029</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1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(158,157)</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6.00% Notes due 2026</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(4,954,950)</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 on partial repurchase of 6.00% Notes due 2026</w:t>
            </w:r>
          </w:p>
        </w:tc>
        <w:tc>
          <w:tcPr>
            <w:tcW w:w="114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15,875</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(9,400,000)</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1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(56,113)</w:t>
            </w: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1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(8,867)</w:t>
            </w: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(107,823)</w:t>
            </w:r>
          </w:p>
        </w:tc>
        <w:tc>
          <w:tcPr>
            <w:tcW w:w="0" w:type="dxa"/>
            <w:vAlign w:val="bottom"/>
          </w:tcPr>
          <w:p>
            <w:pPr>
              <w:spacing w:after="0"/>
              <w:rPr>
                <w:sz w:val="1"/>
                <w:szCs w:val="1"/>
                <w:color w:val="auto"/>
              </w:rPr>
            </w:pPr>
          </w:p>
        </w:tc>
      </w:tr>
      <w:tr>
        <w:trPr>
          <w:trHeight w:val="185"/>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(162,212)</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(9,507,823)</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Increase in Cash Balance</w:t>
            </w:r>
          </w:p>
        </w:tc>
        <w:tc>
          <w:tcPr>
            <w:tcW w:w="1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29,855,902</w:t>
            </w:r>
          </w:p>
        </w:tc>
        <w:tc>
          <w:tcPr>
            <w:tcW w:w="3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26,201,421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line="209" w:lineRule="exact"/>
              <w:rPr>
                <w:sz w:val="20"/>
                <w:szCs w:val="20"/>
                <w:color w:val="auto"/>
              </w:rPr>
            </w:pPr>
            <w:r>
              <w:rPr>
                <w:rFonts w:ascii="Times New Roman" w:cs="Times New Roman" w:eastAsia="Times New Roman" w:hAnsi="Times New Roman"/>
                <w:sz w:val="15"/>
                <w:szCs w:val="15"/>
                <w:color w:val="auto"/>
              </w:rPr>
              <w:t>Cash and Restricted Cash Balance at Beginning of Year</w:t>
            </w:r>
            <w:r>
              <w:rPr>
                <w:rFonts w:ascii="Times New Roman" w:cs="Times New Roman" w:eastAsia="Times New Roman" w:hAnsi="Times New Roman"/>
                <w:sz w:val="24"/>
                <w:szCs w:val="24"/>
                <w:color w:val="auto"/>
                <w:vertAlign w:val="superscript"/>
              </w:rPr>
              <w:t>(1)</w:t>
            </w: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20,035,640</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28,178,352</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line="228" w:lineRule="exact"/>
              <w:rPr>
                <w:sz w:val="20"/>
                <w:szCs w:val="20"/>
                <w:color w:val="auto"/>
              </w:rPr>
            </w:pPr>
            <w:r>
              <w:rPr>
                <w:rFonts w:ascii="Times New Roman" w:cs="Times New Roman" w:eastAsia="Times New Roman" w:hAnsi="Times New Roman"/>
                <w:sz w:val="16"/>
                <w:szCs w:val="16"/>
                <w:b w:val="1"/>
                <w:bCs w:val="1"/>
                <w:color w:val="auto"/>
              </w:rPr>
              <w:t>Cash and Restricted Cash Balance at End of Period</w:t>
            </w:r>
            <w:r>
              <w:rPr>
                <w:rFonts w:ascii="Times New Roman" w:cs="Times New Roman" w:eastAsia="Times New Roman" w:hAnsi="Times New Roman"/>
                <w:sz w:val="26"/>
                <w:szCs w:val="26"/>
                <w:b w:val="1"/>
                <w:bCs w:val="1"/>
                <w:color w:val="auto"/>
                <w:vertAlign w:val="superscript"/>
              </w:rPr>
              <w:t>(1)</w:t>
            </w:r>
          </w:p>
        </w:tc>
        <w:tc>
          <w:tcPr>
            <w:tcW w:w="1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49,891,542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54,379,773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2,313,988</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2,250,000</w:t>
            </w:r>
          </w:p>
        </w:tc>
        <w:tc>
          <w:tcPr>
            <w:tcW w:w="120" w:type="dxa"/>
            <w:vAlign w:val="bottom"/>
            <w:shd w:val="clear" w:color="auto" w:fill="CCEEFF"/>
          </w:tcPr>
          <w:p>
            <w:pPr>
              <w:spacing w:after="0"/>
              <w:rPr>
                <w:sz w:val="16"/>
                <w:szCs w:val="16"/>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Taxes paid</w:t>
            </w:r>
          </w:p>
        </w:tc>
        <w:tc>
          <w:tcPr>
            <w:tcW w:w="440" w:type="dxa"/>
            <w:vAlign w:val="bottom"/>
          </w:tcPr>
          <w:p>
            <w:pPr>
              <w:spacing w:after="0"/>
              <w:rPr>
                <w:sz w:val="16"/>
                <w:szCs w:val="16"/>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(215,949)</w:t>
            </w: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54,894</w:t>
            </w:r>
          </w:p>
        </w:tc>
      </w:tr>
      <w:tr>
        <w:trPr>
          <w:trHeight w:val="19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 obtained in exchange for operating lease liabilities</w:t>
            </w:r>
          </w:p>
        </w:tc>
        <w:tc>
          <w:tcPr>
            <w:tcW w:w="4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(2,006)</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7849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8" w:lineRule="exact"/>
        <w:rPr>
          <w:sz w:val="20"/>
          <w:szCs w:val="20"/>
          <w:color w:val="auto"/>
        </w:rPr>
      </w:pPr>
    </w:p>
    <w:p>
      <w:pPr>
        <w:ind w:left="5583" w:right="4880" w:hanging="5583"/>
        <w:spacing w:after="0" w:line="536" w:lineRule="auto"/>
        <w:tabs>
          <w:tab w:leader="none" w:pos="28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Condensed Consolidated Statements of Assets and Liabilities for additional detail.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69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6"/>
          <w:szCs w:val="16"/>
          <w:b w:val="1"/>
          <w:bCs w:val="1"/>
          <w:color w:val="auto"/>
        </w:rPr>
        <w:t>SURO CAPITAL CORP. AND SUBSIDIARIES CONDENSED CONSOLIDATED SCHEDULE OF INVESTMENTS (UNAUDITED) June 30, 2025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0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 of Net</w:t>
            </w:r>
          </w:p>
        </w:tc>
        <w:tc>
          <w:tcPr>
            <w:tcW w:w="0" w:type="dxa"/>
            <w:vAlign w:val="bottom"/>
          </w:tcPr>
          <w:p>
            <w:pPr>
              <w:spacing w:after="0"/>
              <w:rPr>
                <w:sz w:val="1"/>
                <w:szCs w:val="1"/>
                <w:color w:val="auto"/>
              </w:rPr>
            </w:pPr>
          </w:p>
        </w:tc>
      </w:tr>
      <w:tr>
        <w:trPr>
          <w:trHeight w:val="241"/>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140" w:type="dxa"/>
            <w:vAlign w:val="bottom"/>
            <w:gridSpan w:val="3"/>
          </w:tcPr>
          <w:p>
            <w:pPr>
              <w:jc w:val="center"/>
              <w:ind w:right="320"/>
              <w:spacing w:after="0" w:line="241" w:lineRule="exact"/>
              <w:rPr>
                <w:sz w:val="20"/>
                <w:szCs w:val="20"/>
                <w:color w:val="auto"/>
              </w:rPr>
            </w:pPr>
            <w:r>
              <w:rPr>
                <w:rFonts w:ascii="Times New Roman" w:cs="Times New Roman" w:eastAsia="Times New Roman" w:hAnsi="Times New Roman"/>
                <w:sz w:val="16"/>
                <w:szCs w:val="16"/>
                <w:b w:val="1"/>
                <w:bCs w:val="1"/>
                <w:color w:val="auto"/>
                <w:w w:val="95"/>
              </w:rPr>
              <w:t>Quantity</w:t>
            </w:r>
            <w:r>
              <w:rPr>
                <w:rFonts w:ascii="Times New Roman" w:cs="Times New Roman" w:eastAsia="Times New Roman" w:hAnsi="Times New Roman"/>
                <w:sz w:val="26"/>
                <w:szCs w:val="26"/>
                <w:b w:val="1"/>
                <w:bCs w:val="1"/>
                <w:color w:val="auto"/>
                <w:w w:val="95"/>
                <w:vertAlign w:val="superscript"/>
              </w:rPr>
              <w:t>(3)</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5"/>
        </w:trPr>
        <w:tc>
          <w:tcPr>
            <w:tcW w:w="2980" w:type="dxa"/>
            <w:vAlign w:val="bottom"/>
            <w:tcBorders>
              <w:top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2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4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CW Opportunity 2 LP</w:t>
            </w:r>
          </w:p>
        </w:tc>
        <w:tc>
          <w:tcPr>
            <w:tcW w:w="3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9"/>
              </w:rPr>
              <w:t>**(7)</w:t>
            </w:r>
          </w:p>
        </w:tc>
        <w:tc>
          <w:tcPr>
            <w:tcW w:w="20" w:type="dxa"/>
            <w:vAlign w:val="bottom"/>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Evanston, IL</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gridSpan w:val="12"/>
            <w:vMerge w:val="continue"/>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180" w:type="dxa"/>
            <w:vAlign w:val="bottom"/>
            <w:gridSpan w:val="20"/>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Class A Interest</w:t>
            </w:r>
            <w:r>
              <w:rPr>
                <w:rFonts w:ascii="Times New Roman" w:cs="Times New Roman" w:eastAsia="Times New Roman" w:hAnsi="Times New Roman"/>
                <w:sz w:val="26"/>
                <w:szCs w:val="26"/>
                <w:color w:val="auto"/>
                <w:vertAlign w:val="superscript"/>
              </w:rPr>
              <w:t>***</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5/7/2024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15,000,000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7"/>
              </w:rPr>
              <w:t>$ 15,176,443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$ 40,877,045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ARK Type One Deep Ventures Fund</w:t>
            </w: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w w:val="91"/>
              </w:rPr>
              <w:t>LLC</w:t>
            </w:r>
          </w:p>
        </w:tc>
        <w:tc>
          <w:tcPr>
            <w:tcW w:w="30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9"/>
              </w:rPr>
              <w:t>**(8)</w:t>
            </w:r>
          </w:p>
        </w:tc>
        <w:tc>
          <w:tcPr>
            <w:tcW w:w="4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vMerge w:val="restart"/>
          </w:tcPr>
          <w:p>
            <w:pPr>
              <w:spacing w:after="0"/>
              <w:rPr>
                <w:sz w:val="12"/>
                <w:szCs w:val="12"/>
                <w:color w:val="auto"/>
              </w:rPr>
            </w:pPr>
          </w:p>
        </w:tc>
        <w:tc>
          <w:tcPr>
            <w:tcW w:w="40" w:type="dxa"/>
            <w:vAlign w:val="bottom"/>
            <w:tcBorders>
              <w:top w:val="single" w:sz="8" w:color="auto"/>
              <w:bottom w:val="single" w:sz="8" w:color="auto"/>
            </w:tcBorders>
            <w:vMerge w:val="restart"/>
          </w:tcPr>
          <w:p>
            <w:pPr>
              <w:spacing w:after="0"/>
              <w:rPr>
                <w:sz w:val="12"/>
                <w:szCs w:val="12"/>
                <w:color w:val="auto"/>
              </w:rPr>
            </w:pPr>
          </w:p>
        </w:tc>
        <w:tc>
          <w:tcPr>
            <w:tcW w:w="40" w:type="dxa"/>
            <w:vAlign w:val="bottom"/>
            <w:tcBorders>
              <w:top w:val="single" w:sz="8" w:color="auto"/>
              <w:bottom w:val="single" w:sz="8" w:color="auto"/>
            </w:tcBorders>
            <w:vMerge w:val="restart"/>
          </w:tcPr>
          <w:p>
            <w:pPr>
              <w:spacing w:after="0"/>
              <w:rPr>
                <w:sz w:val="12"/>
                <w:szCs w:val="12"/>
                <w:color w:val="auto"/>
              </w:rPr>
            </w:pPr>
          </w:p>
        </w:tc>
        <w:tc>
          <w:tcPr>
            <w:tcW w:w="1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260" w:type="dxa"/>
            <w:vAlign w:val="bottom"/>
            <w:tcBorders>
              <w:top w:val="single" w:sz="8" w:color="auto"/>
              <w:bottom w:val="single" w:sz="8" w:color="auto"/>
            </w:tcBorders>
            <w:vMerge w:val="restart"/>
          </w:tcPr>
          <w:p>
            <w:pPr>
              <w:spacing w:after="0"/>
              <w:rPr>
                <w:sz w:val="12"/>
                <w:szCs w:val="12"/>
                <w:color w:val="auto"/>
              </w:rPr>
            </w:pPr>
          </w:p>
        </w:tc>
        <w:tc>
          <w:tcPr>
            <w:tcW w:w="380" w:type="dxa"/>
            <w:vAlign w:val="bottom"/>
            <w:tcBorders>
              <w:top w:val="single" w:sz="8" w:color="auto"/>
              <w:bottom w:val="single" w:sz="8" w:color="auto"/>
            </w:tcBorders>
            <w:gridSpan w:val="3"/>
            <w:vMerge w:val="restart"/>
          </w:tcPr>
          <w:p>
            <w:pPr>
              <w:spacing w:after="0"/>
              <w:rPr>
                <w:sz w:val="12"/>
                <w:szCs w:val="12"/>
                <w:color w:val="auto"/>
              </w:rPr>
            </w:pPr>
          </w:p>
        </w:tc>
        <w:tc>
          <w:tcPr>
            <w:tcW w:w="64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60" w:type="dxa"/>
            <w:vAlign w:val="bottom"/>
            <w:gridSpan w:val="2"/>
            <w:vMerge w:val="restart"/>
          </w:tcPr>
          <w:p>
            <w:pPr>
              <w:spacing w:after="0"/>
              <w:rPr>
                <w:sz w:val="12"/>
                <w:szCs w:val="12"/>
                <w:color w:val="auto"/>
              </w:rPr>
            </w:pP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St. Petersburg, FL</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Class A</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Application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9/25/2024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17,500,000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17,696,568</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27,759,464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Whoop, Inc.</w:t>
            </w:r>
          </w:p>
        </w:tc>
        <w:tc>
          <w:tcPr>
            <w:tcW w:w="25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rPr>
              <w:t>Boston, MA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Fitness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13,293,450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10,011,460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22,739,736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05"/>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2/6/2025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1,001,628</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11,013,088</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23,739,736</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7"/>
        </w:trPr>
        <w:tc>
          <w:tcPr>
            <w:tcW w:w="2640" w:type="dxa"/>
            <w:vAlign w:val="bottom"/>
            <w:tcBorders>
              <w:bottom w:val="single" w:sz="8" w:color="auto"/>
            </w:tcBorders>
            <w:gridSpan w:val="17"/>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9"/>
              </w:rPr>
              <w:t>Learneo, Inc. (f/k/a Course Hero, Inc.)</w:t>
            </w:r>
          </w:p>
        </w:tc>
        <w:tc>
          <w:tcPr>
            <w:tcW w:w="540" w:type="dxa"/>
            <w:vAlign w:val="bottom"/>
            <w:gridSpan w:val="3"/>
          </w:tcPr>
          <w:p>
            <w:pPr>
              <w:spacing w:after="0"/>
              <w:rPr>
                <w:sz w:val="13"/>
                <w:szCs w:val="13"/>
                <w:color w:val="auto"/>
              </w:rPr>
            </w:pPr>
          </w:p>
        </w:tc>
        <w:tc>
          <w:tcPr>
            <w:tcW w:w="2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6"/>
                <w:szCs w:val="16"/>
                <w:color w:val="auto"/>
                <w:w w:val="99"/>
              </w:rPr>
              <w:t>Redwood City, CA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Online Education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9/18/2014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2,145,509</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5,369,274</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5"/>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11/5/2021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275,659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14,999,972</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15,369,245</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3"/>
        </w:trPr>
        <w:tc>
          <w:tcPr>
            <w:tcW w:w="840" w:type="dxa"/>
            <w:vAlign w:val="bottom"/>
            <w:gridSpan w:val="6"/>
            <w:vMerge w:val="restart"/>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Canva, Inc.</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12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380" w:type="dxa"/>
            <w:vAlign w:val="bottom"/>
            <w:gridSpan w:val="3"/>
            <w:vMerge w:val="restart"/>
          </w:tcPr>
          <w:p>
            <w:pPr>
              <w:spacing w:after="0"/>
              <w:rPr>
                <w:sz w:val="9"/>
                <w:szCs w:val="9"/>
                <w:color w:val="auto"/>
              </w:rPr>
            </w:pPr>
          </w:p>
        </w:tc>
        <w:tc>
          <w:tcPr>
            <w:tcW w:w="6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460" w:type="dxa"/>
            <w:vAlign w:val="bottom"/>
            <w:gridSpan w:val="2"/>
            <w:vMerge w:val="restart"/>
          </w:tcPr>
          <w:p>
            <w:pPr>
              <w:spacing w:after="0"/>
              <w:rPr>
                <w:sz w:val="9"/>
                <w:szCs w:val="9"/>
                <w:color w:val="auto"/>
              </w:rPr>
            </w:pPr>
          </w:p>
        </w:tc>
        <w:tc>
          <w:tcPr>
            <w:tcW w:w="2540" w:type="dxa"/>
            <w:vAlign w:val="bottom"/>
            <w:gridSpan w:val="2"/>
            <w:vMerge w:val="restart"/>
          </w:tcPr>
          <w:p>
            <w:pPr>
              <w:jc w:val="center"/>
              <w:ind w:right="200"/>
              <w:spacing w:after="0" w:line="173" w:lineRule="exact"/>
              <w:rPr>
                <w:sz w:val="20"/>
                <w:szCs w:val="20"/>
                <w:color w:val="auto"/>
              </w:rPr>
            </w:pPr>
            <w:r>
              <w:rPr>
                <w:rFonts w:ascii="Times New Roman" w:cs="Times New Roman" w:eastAsia="Times New Roman" w:hAnsi="Times New Roman"/>
                <w:sz w:val="16"/>
                <w:szCs w:val="16"/>
                <w:color w:val="auto"/>
                <w:w w:val="99"/>
              </w:rPr>
              <w:t>Sydney, Australia</w:t>
            </w: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tcBorders>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Productivity Software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4/17/2024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9,375</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10,058,820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13,242,894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133"/>
        </w:trPr>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IH10, LLC</w:t>
            </w:r>
          </w:p>
        </w:tc>
        <w:tc>
          <w:tcPr>
            <w:tcW w:w="280" w:type="dxa"/>
            <w:vAlign w:val="bottom"/>
            <w:tcBorders>
              <w:bottom w:val="single" w:sz="8" w:color="auto"/>
            </w:tcBorders>
            <w:gridSpan w:val="4"/>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**(9)</w:t>
            </w:r>
          </w:p>
        </w:tc>
        <w:tc>
          <w:tcPr>
            <w:tcW w:w="18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60" w:type="dxa"/>
            <w:vAlign w:val="bottom"/>
            <w:tcBorders>
              <w:bottom w:val="single" w:sz="8" w:color="auto"/>
            </w:tcBorders>
            <w:gridSpan w:val="5"/>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10/9/2024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12,000,010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12,273,784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12,182,897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Locus Robotics Corp.</w:t>
            </w:r>
          </w:p>
        </w:tc>
        <w:tc>
          <w:tcPr>
            <w:tcW w:w="25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w w:val="98"/>
              </w:rPr>
              <w:t>Wilmington, MA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Warehouse Automation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232,568</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10,004,286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11,648,970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25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Pharmaceutical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238,095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5,000,423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1,064,495</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5"/>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261,944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10,003,917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9,999,974</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15,004,340</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11,064,469</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7"/>
        </w:trPr>
        <w:tc>
          <w:tcPr>
            <w:tcW w:w="3180" w:type="dxa"/>
            <w:vAlign w:val="bottom"/>
            <w:gridSpan w:val="20"/>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Supplying Demand, Inc. (d/b/a Liquid</w:t>
            </w:r>
          </w:p>
        </w:tc>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00" w:type="dxa"/>
            <w:vAlign w:val="bottom"/>
            <w:tcBorders>
              <w:top w:val="single" w:sz="8" w:color="auto"/>
            </w:tcBorders>
            <w:gridSpan w:val="16"/>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Death)</w:t>
            </w:r>
          </w:p>
        </w:tc>
        <w:tc>
          <w:tcPr>
            <w:tcW w:w="580" w:type="dxa"/>
            <w:vAlign w:val="bottom"/>
            <w:gridSpan w:val="4"/>
          </w:tcPr>
          <w:p>
            <w:pPr>
              <w:spacing w:after="0"/>
              <w:rPr>
                <w:sz w:val="15"/>
                <w:szCs w:val="15"/>
                <w:color w:val="auto"/>
              </w:rPr>
            </w:pPr>
          </w:p>
        </w:tc>
        <w:tc>
          <w:tcPr>
            <w:tcW w:w="254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color w:val="auto"/>
              </w:rPr>
              <w:t>Los Angeles, CA</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Lifestyle Beverage Brand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1/18/2024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776,747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10,003,934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25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Chicago, IL</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Supply Chain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7/7/2023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1,398,024</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8,530,389</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8,594,104</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165"/>
        </w:trPr>
        <w:tc>
          <w:tcPr>
            <w:tcW w:w="3180" w:type="dxa"/>
            <w:vAlign w:val="bottom"/>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Shogun Enterprises, Inc. (d/b/a Hearth)</w:t>
            </w:r>
          </w:p>
        </w:tc>
        <w:tc>
          <w:tcPr>
            <w:tcW w:w="25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Austin, TX</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20" w:type="dxa"/>
            <w:vAlign w:val="bottom"/>
            <w:tcBorders>
              <w:top w:val="single" w:sz="8" w:color="auto"/>
            </w:tcBorders>
            <w:gridSpan w:val="18"/>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460" w:type="dxa"/>
            <w:vAlign w:val="bottom"/>
            <w:gridSpan w:val="2"/>
            <w:shd w:val="clear" w:color="auto" w:fill="CCEEFF"/>
          </w:tcPr>
          <w:p>
            <w:pPr>
              <w:spacing w:after="0"/>
              <w:rPr>
                <w:sz w:val="17"/>
                <w:szCs w:val="17"/>
                <w:color w:val="auto"/>
              </w:rPr>
            </w:pP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Home Improvement Finance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436,844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3,501,657</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2,984,151</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93"/>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301,750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3,501,661</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2,984,154</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93"/>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56,936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530,822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452,586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93"/>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48,267</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366,606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426,306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176"/>
        </w:trPr>
        <w:tc>
          <w:tcPr>
            <w:tcW w:w="3180" w:type="dxa"/>
            <w:vAlign w:val="bottom"/>
            <w:gridSpan w:val="20"/>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Common Warrants, Strike Price $0.01,</w:t>
            </w: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7/12/2026</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86,076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80" w:type="dxa"/>
            <w:vAlign w:val="bottom"/>
            <w:gridSpan w:val="20"/>
            <w:vMerge w:val="restart"/>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80" w:type="dxa"/>
            <w:vAlign w:val="bottom"/>
            <w:gridSpan w:val="20"/>
            <w:vMerge w:val="continue"/>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8,040,806</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6,847,197</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13"/>
        </w:trPr>
        <w:tc>
          <w:tcPr>
            <w:tcW w:w="660" w:type="dxa"/>
            <w:vAlign w:val="bottom"/>
            <w:tcBorders>
              <w:top w:val="single" w:sz="8" w:color="CCEEFF"/>
              <w:bottom w:val="single" w:sz="8" w:color="CCEEFF"/>
            </w:tcBorders>
            <w:gridSpan w:val="4"/>
            <w:vMerge w:val="restart"/>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7"/>
              </w:rPr>
              <w:t>Plaid Inc.</w:t>
            </w:r>
          </w:p>
        </w:tc>
        <w:tc>
          <w:tcPr>
            <w:tcW w:w="220" w:type="dxa"/>
            <w:vAlign w:val="bottom"/>
            <w:tcBorders>
              <w:top w:val="single" w:sz="8" w:color="CCEEFF"/>
              <w:bottom w:val="single" w:sz="8" w:color="auto"/>
            </w:tcBorders>
            <w:gridSpan w:val="3"/>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(11)</w:t>
            </w:r>
          </w:p>
        </w:tc>
        <w:tc>
          <w:tcPr>
            <w:tcW w:w="980" w:type="dxa"/>
            <w:vAlign w:val="bottom"/>
            <w:tcBorders>
              <w:top w:val="single" w:sz="8" w:color="CCEEFF"/>
              <w:bottom w:val="single" w:sz="8" w:color="CCEEFF"/>
            </w:tcBorders>
            <w:gridSpan w:val="7"/>
            <w:vMerge w:val="restart"/>
            <w:shd w:val="clear" w:color="auto" w:fill="CCEEFF"/>
          </w:tcPr>
          <w:p>
            <w:pPr>
              <w:spacing w:after="0"/>
              <w:rPr>
                <w:sz w:val="9"/>
                <w:szCs w:val="9"/>
                <w:color w:val="auto"/>
              </w:rPr>
            </w:pPr>
          </w:p>
        </w:tc>
        <w:tc>
          <w:tcPr>
            <w:tcW w:w="640" w:type="dxa"/>
            <w:vAlign w:val="bottom"/>
            <w:tcBorders>
              <w:top w:val="single" w:sz="8" w:color="CCEEFF"/>
              <w:bottom w:val="single" w:sz="8" w:color="CCEEFF"/>
            </w:tcBorders>
            <w:vMerge w:val="restart"/>
            <w:shd w:val="clear" w:color="auto" w:fill="CCEEFF"/>
          </w:tcPr>
          <w:p>
            <w:pPr>
              <w:spacing w:after="0"/>
              <w:rPr>
                <w:sz w:val="9"/>
                <w:szCs w:val="9"/>
                <w:color w:val="auto"/>
              </w:rPr>
            </w:pPr>
          </w:p>
        </w:tc>
        <w:tc>
          <w:tcPr>
            <w:tcW w:w="680" w:type="dxa"/>
            <w:vAlign w:val="bottom"/>
            <w:tcBorders>
              <w:top w:val="single" w:sz="8" w:color="CCEEFF"/>
              <w:bottom w:val="single" w:sz="8" w:color="CCEEFF"/>
            </w:tcBorders>
            <w:gridSpan w:val="5"/>
            <w:vMerge w:val="restart"/>
            <w:shd w:val="clear" w:color="auto" w:fill="CCEEFF"/>
          </w:tcPr>
          <w:p>
            <w:pPr>
              <w:spacing w:after="0"/>
              <w:rPr>
                <w:sz w:val="9"/>
                <w:szCs w:val="9"/>
                <w:color w:val="auto"/>
              </w:rPr>
            </w:pPr>
          </w:p>
        </w:tc>
        <w:tc>
          <w:tcPr>
            <w:tcW w:w="2540" w:type="dxa"/>
            <w:vAlign w:val="bottom"/>
            <w:tcBorders>
              <w:top w:val="single" w:sz="8" w:color="CCEEFF"/>
              <w:bottom w:val="single" w:sz="8" w:color="CCEEFF"/>
            </w:tcBorders>
            <w:gridSpan w:val="2"/>
            <w:vMerge w:val="restart"/>
            <w:shd w:val="clear" w:color="auto" w:fill="CCEEFF"/>
          </w:tcPr>
          <w:p>
            <w:pPr>
              <w:jc w:val="center"/>
              <w:ind w:right="200"/>
              <w:spacing w:after="0" w:line="173" w:lineRule="exact"/>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660" w:type="dxa"/>
            <w:vAlign w:val="bottom"/>
            <w:tcBorders>
              <w:bottom w:val="single" w:sz="8" w:color="auto"/>
            </w:tcBorders>
            <w:gridSpan w:val="4"/>
            <w:vMerge w:val="continue"/>
            <w:shd w:val="clear" w:color="auto" w:fill="CCEEFF"/>
          </w:tcPr>
          <w:p>
            <w:pPr>
              <w:spacing w:after="0"/>
              <w:rPr>
                <w:sz w:val="4"/>
                <w:szCs w:val="4"/>
                <w:color w:val="auto"/>
              </w:rPr>
            </w:pPr>
          </w:p>
        </w:tc>
        <w:tc>
          <w:tcPr>
            <w:tcW w:w="220" w:type="dxa"/>
            <w:vAlign w:val="bottom"/>
            <w:tcBorders>
              <w:bottom w:val="single" w:sz="8" w:color="CCEEFF"/>
            </w:tcBorders>
            <w:gridSpan w:val="3"/>
            <w:shd w:val="clear" w:color="auto" w:fill="CCEEFF"/>
          </w:tcPr>
          <w:p>
            <w:pPr>
              <w:spacing w:after="0"/>
              <w:rPr>
                <w:sz w:val="4"/>
                <w:szCs w:val="4"/>
                <w:color w:val="auto"/>
              </w:rPr>
            </w:pPr>
          </w:p>
        </w:tc>
        <w:tc>
          <w:tcPr>
            <w:tcW w:w="980" w:type="dxa"/>
            <w:vAlign w:val="bottom"/>
            <w:tcBorders>
              <w:bottom w:val="single" w:sz="8" w:color="CCEEFF"/>
            </w:tcBorders>
            <w:gridSpan w:val="7"/>
            <w:vMerge w:val="continue"/>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gridSpan w:val="5"/>
            <w:vMerge w:val="continue"/>
            <w:shd w:val="clear" w:color="auto" w:fill="CCEEFF"/>
          </w:tcPr>
          <w:p>
            <w:pPr>
              <w:spacing w:after="0"/>
              <w:rPr>
                <w:sz w:val="4"/>
                <w:szCs w:val="4"/>
                <w:color w:val="auto"/>
              </w:rPr>
            </w:pPr>
          </w:p>
        </w:tc>
        <w:tc>
          <w:tcPr>
            <w:tcW w:w="2540" w:type="dxa"/>
            <w:vAlign w:val="bottom"/>
            <w:tcBorders>
              <w:bottom w:val="single" w:sz="8" w:color="CCEEFF"/>
            </w:tcBorders>
            <w:gridSpan w:val="2"/>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left w:val="single" w:sz="8" w:color="CCEEFF"/>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Financial Technology Infrastructure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4/4/2025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24,512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5,395,541</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4,999,874</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gridSpan w:val="14"/>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Orchard Technologies, Inc.</w:t>
            </w:r>
          </w:p>
        </w:tc>
        <w:tc>
          <w:tcPr>
            <w:tcW w:w="1320" w:type="dxa"/>
            <w:vAlign w:val="bottom"/>
            <w:tcBorders>
              <w:bottom w:val="single" w:sz="8" w:color="CCEEFF"/>
            </w:tcBorders>
            <w:gridSpan w:val="6"/>
            <w:shd w:val="clear" w:color="auto" w:fill="CCEEFF"/>
          </w:tcPr>
          <w:p>
            <w:pPr>
              <w:spacing w:after="0"/>
              <w:rPr>
                <w:sz w:val="15"/>
                <w:szCs w:val="15"/>
                <w:color w:val="auto"/>
              </w:rPr>
            </w:pPr>
          </w:p>
        </w:tc>
        <w:tc>
          <w:tcPr>
            <w:tcW w:w="2540" w:type="dxa"/>
            <w:vAlign w:val="bottom"/>
            <w:tcBorders>
              <w:bottom w:val="single" w:sz="8" w:color="CCEEFF"/>
            </w:tcBorders>
            <w:gridSpan w:val="2"/>
            <w:shd w:val="clear" w:color="auto" w:fill="CCEEFF"/>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Real Estate Platform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558,052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30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2 8%</w:t>
            </w: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58,771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587,951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463,449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4,642,772</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4,634,490</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93"/>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558,053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80,800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81,584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80,800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12,815,343</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4,715,290</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7"/>
        </w:trPr>
        <w:tc>
          <w:tcPr>
            <w:tcW w:w="3180" w:type="dxa"/>
            <w:vAlign w:val="bottom"/>
            <w:gridSpan w:val="20"/>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Neutron Holdings, Inc. (d/b/a/ Lime)</w:t>
            </w:r>
          </w:p>
        </w:tc>
        <w:tc>
          <w:tcPr>
            <w:tcW w:w="2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50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680" w:type="dxa"/>
            <w:vAlign w:val="bottom"/>
            <w:gridSpan w:val="5"/>
            <w:shd w:val="clear" w:color="auto" w:fill="CCEEFF"/>
          </w:tcPr>
          <w:p>
            <w:pPr>
              <w:spacing w:after="0"/>
              <w:rPr>
                <w:sz w:val="17"/>
                <w:szCs w:val="17"/>
                <w:color w:val="auto"/>
              </w:rPr>
            </w:pP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Micromobility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1/25/2019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41,237,113</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10,007,322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3,485,014</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0"/>
        </w:trPr>
        <w:tc>
          <w:tcPr>
            <w:tcW w:w="3180" w:type="dxa"/>
            <w:vAlign w:val="bottom"/>
            <w:gridSpan w:val="20"/>
          </w:tcPr>
          <w:p>
            <w:pPr>
              <w:spacing w:after="0" w:line="181" w:lineRule="exact"/>
              <w:rPr>
                <w:sz w:val="20"/>
                <w:szCs w:val="20"/>
                <w:color w:val="auto"/>
              </w:rPr>
            </w:pPr>
            <w:r>
              <w:rPr>
                <w:rFonts w:ascii="Times New Roman" w:cs="Times New Roman" w:eastAsia="Times New Roman" w:hAnsi="Times New Roman"/>
                <w:sz w:val="16"/>
                <w:szCs w:val="16"/>
                <w:color w:val="auto"/>
              </w:rPr>
              <w:t>Junior Preferred Convertible Note 4% Due</w:t>
            </w: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80" w:type="dxa"/>
            <w:vAlign w:val="bottom"/>
            <w:gridSpan w:val="7"/>
          </w:tcPr>
          <w:p>
            <w:pPr>
              <w:spacing w:after="0" w:line="242" w:lineRule="exact"/>
              <w:rPr>
                <w:sz w:val="20"/>
                <w:szCs w:val="20"/>
                <w:color w:val="auto"/>
              </w:rPr>
            </w:pPr>
            <w:r>
              <w:rPr>
                <w:rFonts w:ascii="Times New Roman" w:cs="Times New Roman" w:eastAsia="Times New Roman" w:hAnsi="Times New Roman"/>
                <w:sz w:val="16"/>
                <w:szCs w:val="16"/>
                <w:color w:val="auto"/>
                <w:w w:val="94"/>
              </w:rPr>
              <w:t>5/11/2027</w:t>
            </w:r>
            <w:r>
              <w:rPr>
                <w:rFonts w:ascii="Times New Roman" w:cs="Times New Roman" w:eastAsia="Times New Roman" w:hAnsi="Times New Roman"/>
                <w:sz w:val="26"/>
                <w:szCs w:val="26"/>
                <w:color w:val="auto"/>
                <w:w w:val="94"/>
                <w:vertAlign w:val="superscript"/>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506,339</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76"/>
        </w:trPr>
        <w:tc>
          <w:tcPr>
            <w:tcW w:w="3180" w:type="dxa"/>
            <w:vAlign w:val="bottom"/>
            <w:gridSpan w:val="20"/>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Common Warrants, Strike Price $0.01,</w:t>
            </w: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5/11/2027</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2,032,967</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121,978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85"/>
        </w:trPr>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10,513,661</w:t>
            </w:r>
          </w:p>
        </w:tc>
        <w:tc>
          <w:tcPr>
            <w:tcW w:w="3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4,113,331</w:t>
            </w:r>
          </w:p>
        </w:tc>
        <w:tc>
          <w:tcPr>
            <w:tcW w:w="32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2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 of Net</w:t>
            </w:r>
          </w:p>
        </w:tc>
        <w:tc>
          <w:tcPr>
            <w:tcW w:w="0" w:type="dxa"/>
            <w:vAlign w:val="bottom"/>
          </w:tcPr>
          <w:p>
            <w:pPr>
              <w:spacing w:after="0"/>
              <w:rPr>
                <w:sz w:val="1"/>
                <w:szCs w:val="1"/>
                <w:color w:val="auto"/>
              </w:rPr>
            </w:pPr>
          </w:p>
        </w:tc>
      </w:tr>
      <w:tr>
        <w:trPr>
          <w:trHeight w:val="241"/>
        </w:trPr>
        <w:tc>
          <w:tcPr>
            <w:tcW w:w="298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center"/>
              <w:spacing w:after="0" w:line="241" w:lineRule="exact"/>
              <w:rPr>
                <w:sz w:val="20"/>
                <w:szCs w:val="20"/>
                <w:color w:val="auto"/>
              </w:rPr>
            </w:pPr>
            <w:r>
              <w:rPr>
                <w:rFonts w:ascii="Times New Roman" w:cs="Times New Roman" w:eastAsia="Times New Roman" w:hAnsi="Times New Roman"/>
                <w:sz w:val="16"/>
                <w:szCs w:val="16"/>
                <w:b w:val="1"/>
                <w:bCs w:val="1"/>
                <w:color w:val="auto"/>
                <w:w w:val="95"/>
              </w:rPr>
              <w:t>Quantity</w:t>
            </w:r>
            <w:r>
              <w:rPr>
                <w:rFonts w:ascii="Times New Roman" w:cs="Times New Roman" w:eastAsia="Times New Roman" w:hAnsi="Times New Roman"/>
                <w:sz w:val="26"/>
                <w:szCs w:val="26"/>
                <w:b w:val="1"/>
                <w:bCs w:val="1"/>
                <w:color w:val="auto"/>
                <w:w w:val="95"/>
                <w:vertAlign w:val="superscript"/>
              </w:rPr>
              <w:t>(3)</w:t>
            </w:r>
          </w:p>
        </w:tc>
        <w:tc>
          <w:tcPr>
            <w:tcW w:w="3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2480" w:type="dxa"/>
            <w:vAlign w:val="bottom"/>
            <w:tcBorders>
              <w:bottom w:val="single" w:sz="8" w:color="CCEEFF"/>
            </w:tcBorders>
            <w:gridSpan w:val="19"/>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True Global Ventures 4 Plus Pte Ltd</w:t>
            </w:r>
          </w:p>
        </w:tc>
        <w:tc>
          <w:tcPr>
            <w:tcW w:w="360" w:type="dxa"/>
            <w:vAlign w:val="bottom"/>
            <w:tcBorders>
              <w:bottom w:val="single" w:sz="8" w:color="auto"/>
            </w:tcBorders>
            <w:gridSpan w:val="4"/>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7"/>
              </w:rPr>
              <w:t>**(12)</w:t>
            </w: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5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Singapore, Singapore</w:t>
            </w:r>
          </w:p>
        </w:tc>
        <w:tc>
          <w:tcPr>
            <w:tcW w:w="10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480" w:type="dxa"/>
            <w:vAlign w:val="bottom"/>
            <w:tcBorders>
              <w:bottom w:val="single" w:sz="8" w:color="auto"/>
            </w:tcBorders>
            <w:gridSpan w:val="19"/>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2580" w:type="dxa"/>
            <w:vAlign w:val="bottom"/>
            <w:tcBorders>
              <w:bottom w:val="single" w:sz="8" w:color="CCEEFF"/>
            </w:tcBorders>
            <w:gridSpan w:val="2"/>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Limited Partner Fund Investment</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Venture Investment Fund</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8/27/2021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585,016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3,347,405</w:t>
            </w:r>
          </w:p>
        </w:tc>
        <w:tc>
          <w:tcPr>
            <w:tcW w:w="3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gridSpan w:val="4"/>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PayJoy, Inc.</w:t>
            </w:r>
          </w:p>
        </w:tc>
        <w:tc>
          <w:tcPr>
            <w:tcW w:w="2340" w:type="dxa"/>
            <w:vAlign w:val="bottom"/>
            <w:tcBorders>
              <w:bottom w:val="single" w:sz="8" w:color="CCEEFF"/>
            </w:tcBorders>
            <w:gridSpan w:val="2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San Francisco, CA</w:t>
            </w: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Mobile Access Technology</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7/23/2021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244,117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2,501,570</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2,732,712</w:t>
            </w:r>
          </w:p>
        </w:tc>
        <w:tc>
          <w:tcPr>
            <w:tcW w:w="3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5"/>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501,470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26"/>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3,003,040</w:t>
            </w:r>
          </w:p>
        </w:tc>
        <w:tc>
          <w:tcPr>
            <w:tcW w:w="3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3,232,712</w:t>
            </w:r>
          </w:p>
        </w:tc>
        <w:tc>
          <w:tcPr>
            <w:tcW w:w="34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3"/>
        </w:trPr>
        <w:tc>
          <w:tcPr>
            <w:tcW w:w="660" w:type="dxa"/>
            <w:vAlign w:val="bottom"/>
            <w:tcBorders>
              <w:bottom w:val="single" w:sz="8" w:color="CCEEFF"/>
            </w:tcBorders>
            <w:gridSpan w:val="2"/>
            <w:vMerge w:val="restart"/>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5"/>
              </w:rPr>
              <w:t>Trax Ltd.</w:t>
            </w:r>
          </w:p>
        </w:tc>
        <w:tc>
          <w:tcPr>
            <w:tcW w:w="120" w:type="dxa"/>
            <w:vAlign w:val="bottom"/>
            <w:tcBorders>
              <w:bottom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38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2"/>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2580" w:type="dxa"/>
            <w:vAlign w:val="bottom"/>
            <w:tcBorders>
              <w:bottom w:val="single" w:sz="8" w:color="CCEEFF"/>
            </w:tcBorders>
            <w:gridSpan w:val="2"/>
            <w:vMerge w:val="restart"/>
            <w:shd w:val="clear" w:color="auto" w:fill="CCEEFF"/>
          </w:tcPr>
          <w:p>
            <w:pPr>
              <w:jc w:val="center"/>
              <w:ind w:right="200"/>
              <w:spacing w:after="0" w:line="173" w:lineRule="exact"/>
              <w:rPr>
                <w:sz w:val="20"/>
                <w:szCs w:val="20"/>
                <w:color w:val="auto"/>
              </w:rPr>
            </w:pPr>
            <w:r>
              <w:rPr>
                <w:rFonts w:ascii="Times New Roman" w:cs="Times New Roman" w:eastAsia="Times New Roman" w:hAnsi="Times New Roman"/>
                <w:sz w:val="16"/>
                <w:szCs w:val="16"/>
                <w:color w:val="auto"/>
              </w:rPr>
              <w:t>Singapore, Singapore</w:t>
            </w:r>
          </w:p>
        </w:tc>
        <w:tc>
          <w:tcPr>
            <w:tcW w:w="10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60" w:type="dxa"/>
            <w:vAlign w:val="bottom"/>
            <w:tcBorders>
              <w:bottom w:val="single" w:sz="8" w:color="auto"/>
            </w:tcBorders>
            <w:gridSpan w:val="2"/>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2580" w:type="dxa"/>
            <w:vAlign w:val="bottom"/>
            <w:tcBorders>
              <w:bottom w:val="single" w:sz="8" w:color="CCEEFF"/>
            </w:tcBorders>
            <w:gridSpan w:val="2"/>
            <w:vMerge w:val="continue"/>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180" w:type="dxa"/>
            <w:vAlign w:val="bottom"/>
            <w:tcBorders>
              <w:top w:val="single" w:sz="8" w:color="CCEEFF"/>
            </w:tcBorders>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8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Retail Technology</w:t>
            </w:r>
          </w:p>
        </w:tc>
        <w:tc>
          <w:tcPr>
            <w:tcW w:w="10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55,591</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2,781,148</w:t>
            </w:r>
          </w:p>
        </w:tc>
        <w:tc>
          <w:tcPr>
            <w:tcW w:w="3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95,733</w:t>
            </w:r>
          </w:p>
        </w:tc>
        <w:tc>
          <w:tcPr>
            <w:tcW w:w="8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5"/>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144,409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7,224,600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2,647,017</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26"/>
          </w:tcPr>
          <w:p>
            <w:pPr>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10,005,748</w:t>
            </w:r>
          </w:p>
        </w:tc>
        <w:tc>
          <w:tcPr>
            <w:tcW w:w="3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2,742,750</w:t>
            </w:r>
          </w:p>
        </w:tc>
        <w:tc>
          <w:tcPr>
            <w:tcW w:w="34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3"/>
        </w:trPr>
        <w:tc>
          <w:tcPr>
            <w:tcW w:w="1180" w:type="dxa"/>
            <w:vAlign w:val="bottom"/>
            <w:tcBorders>
              <w:bottom w:val="single" w:sz="8" w:color="CCEEFF"/>
            </w:tcBorders>
            <w:gridSpan w:val="7"/>
            <w:vMerge w:val="restart"/>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6"/>
              </w:rPr>
              <w:t>Varo Money, Inc.</w:t>
            </w:r>
          </w:p>
        </w:tc>
        <w:tc>
          <w:tcPr>
            <w:tcW w:w="120" w:type="dxa"/>
            <w:vAlign w:val="bottom"/>
            <w:tcBorders>
              <w:bottom w:val="single" w:sz="8" w:color="auto"/>
            </w:tcBorders>
            <w:gridSpan w:val="3"/>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38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2"/>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2580" w:type="dxa"/>
            <w:vAlign w:val="bottom"/>
            <w:tcBorders>
              <w:bottom w:val="single" w:sz="8" w:color="CCEEFF"/>
            </w:tcBorders>
            <w:gridSpan w:val="2"/>
            <w:vMerge w:val="restart"/>
            <w:shd w:val="clear" w:color="auto" w:fill="CCEEFF"/>
          </w:tcPr>
          <w:p>
            <w:pPr>
              <w:jc w:val="center"/>
              <w:ind w:right="220"/>
              <w:spacing w:after="0" w:line="173" w:lineRule="exact"/>
              <w:rPr>
                <w:sz w:val="20"/>
                <w:szCs w:val="20"/>
                <w:color w:val="auto"/>
              </w:rPr>
            </w:pPr>
            <w:r>
              <w:rPr>
                <w:rFonts w:ascii="Times New Roman" w:cs="Times New Roman" w:eastAsia="Times New Roman" w:hAnsi="Times New Roman"/>
                <w:sz w:val="16"/>
                <w:szCs w:val="16"/>
                <w:color w:val="auto"/>
                <w:w w:val="99"/>
              </w:rPr>
              <w:t>San Francisco, CA</w:t>
            </w:r>
          </w:p>
        </w:tc>
        <w:tc>
          <w:tcPr>
            <w:tcW w:w="10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180" w:type="dxa"/>
            <w:vAlign w:val="bottom"/>
            <w:tcBorders>
              <w:bottom w:val="single" w:sz="8" w:color="auto"/>
            </w:tcBorders>
            <w:gridSpan w:val="7"/>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gridSpan w:val="2"/>
            <w:vMerge w:val="continue"/>
            <w:shd w:val="clear" w:color="auto" w:fill="CCEEFF"/>
          </w:tcPr>
          <w:p>
            <w:pPr>
              <w:spacing w:after="0"/>
              <w:rPr>
                <w:sz w:val="4"/>
                <w:szCs w:val="4"/>
                <w:color w:val="auto"/>
              </w:rPr>
            </w:pPr>
          </w:p>
        </w:tc>
        <w:tc>
          <w:tcPr>
            <w:tcW w:w="2580" w:type="dxa"/>
            <w:vAlign w:val="bottom"/>
            <w:tcBorders>
              <w:bottom w:val="single" w:sz="8" w:color="CCEEFF"/>
            </w:tcBorders>
            <w:gridSpan w:val="2"/>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Financial Services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8/11/2021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1,079,266</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10,005,548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2,064,158</w:t>
            </w:r>
          </w:p>
        </w:tc>
        <w:tc>
          <w:tcPr>
            <w:tcW w:w="3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157"/>
        </w:trPr>
        <w:tc>
          <w:tcPr>
            <w:tcW w:w="3180" w:type="dxa"/>
            <w:vAlign w:val="bottom"/>
            <w:gridSpan w:val="26"/>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Xgroup Holdings Limited (d/b/a Xpoint)</w:t>
            </w:r>
          </w:p>
        </w:tc>
        <w:tc>
          <w:tcPr>
            <w:tcW w:w="25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Philadelphia, PA</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w w:val="92"/>
              </w:rPr>
              <w:t>(13)</w:t>
            </w: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58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Geolocation Technology</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136,114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175,272</w:t>
            </w:r>
          </w:p>
        </w:tc>
        <w:tc>
          <w:tcPr>
            <w:tcW w:w="3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76"/>
        </w:trPr>
        <w:tc>
          <w:tcPr>
            <w:tcW w:w="3180" w:type="dxa"/>
            <w:vAlign w:val="bottom"/>
            <w:gridSpan w:val="26"/>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Series A-1 Warrants, Strike Price $0.0001,</w:t>
            </w:r>
          </w:p>
        </w:tc>
        <w:tc>
          <w:tcPr>
            <w:tcW w:w="2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5/14/2044</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3,286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985,180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1,268,601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176"/>
        </w:trPr>
        <w:tc>
          <w:tcPr>
            <w:tcW w:w="3180" w:type="dxa"/>
            <w:vAlign w:val="bottom"/>
            <w:gridSpan w:val="26"/>
          </w:tcPr>
          <w:p>
            <w:pPr>
              <w:spacing w:after="0" w:line="177" w:lineRule="exact"/>
              <w:rPr>
                <w:sz w:val="20"/>
                <w:szCs w:val="20"/>
                <w:color w:val="auto"/>
              </w:rPr>
            </w:pPr>
            <w:r>
              <w:rPr>
                <w:rFonts w:ascii="Times New Roman" w:cs="Times New Roman" w:eastAsia="Times New Roman" w:hAnsi="Times New Roman"/>
                <w:sz w:val="16"/>
                <w:szCs w:val="16"/>
                <w:color w:val="auto"/>
              </w:rPr>
              <w:t>Series A Warrants, Strike Price $0.0001,</w:t>
            </w:r>
          </w:p>
        </w:tc>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Expiration Date 5/14/2044</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261,735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449,377</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1,383,029</w:t>
            </w: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1,893,250</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9"/>
        </w:trPr>
        <w:tc>
          <w:tcPr>
            <w:tcW w:w="3180" w:type="dxa"/>
            <w:vAlign w:val="bottom"/>
            <w:gridSpan w:val="26"/>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Forge Global, Inc.</w:t>
            </w:r>
          </w:p>
        </w:tc>
        <w:tc>
          <w:tcPr>
            <w:tcW w:w="2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color w:val="auto"/>
                <w:w w:val="99"/>
              </w:rPr>
              <w:t>San Francisco, CA</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gridSpan w:val="26"/>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(5)</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Online Marketplace Finance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7/20/2011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70,530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1,978,921</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1,342,891</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57"/>
        </w:trPr>
        <w:tc>
          <w:tcPr>
            <w:tcW w:w="2580" w:type="dxa"/>
            <w:vAlign w:val="bottom"/>
            <w:tcBorders>
              <w:bottom w:val="single" w:sz="8" w:color="auto"/>
            </w:tcBorders>
            <w:gridSpan w:val="20"/>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9"/>
              </w:rPr>
              <w:t>Commercial Streaming Solutions Inc.</w:t>
            </w:r>
          </w:p>
        </w:tc>
        <w:tc>
          <w:tcPr>
            <w:tcW w:w="600" w:type="dxa"/>
            <w:vAlign w:val="bottom"/>
            <w:gridSpan w:val="6"/>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(d/b/a BettorView)</w:t>
            </w:r>
          </w:p>
        </w:tc>
        <w:tc>
          <w:tcPr>
            <w:tcW w:w="440" w:type="dxa"/>
            <w:vAlign w:val="bottom"/>
            <w:tcBorders>
              <w:bottom w:val="single" w:sz="8" w:color="auto"/>
            </w:tcBorders>
            <w:gridSpan w:val="6"/>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6"/>
              </w:rPr>
              <w:t>(13)(14)</w:t>
            </w:r>
          </w:p>
        </w:tc>
        <w:tc>
          <w:tcPr>
            <w:tcW w:w="3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80" w:type="dxa"/>
            <w:vAlign w:val="bottom"/>
            <w:gridSpan w:val="3"/>
            <w:vMerge w:val="restart"/>
          </w:tcPr>
          <w:p>
            <w:pPr>
              <w:spacing w:after="0"/>
              <w:rPr>
                <w:sz w:val="12"/>
                <w:szCs w:val="12"/>
                <w:color w:val="auto"/>
              </w:rPr>
            </w:pPr>
          </w:p>
        </w:tc>
        <w:tc>
          <w:tcPr>
            <w:tcW w:w="220" w:type="dxa"/>
            <w:vAlign w:val="bottom"/>
            <w:gridSpan w:val="3"/>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2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7"/>
              </w:rPr>
              <w:t>Las Vegas, NV</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gridSpan w:val="9"/>
            <w:vMerge w:val="continue"/>
          </w:tcPr>
          <w:p>
            <w:pPr>
              <w:spacing w:after="0"/>
              <w:rPr>
                <w:sz w:val="4"/>
                <w:szCs w:val="4"/>
                <w:color w:val="auto"/>
              </w:rPr>
            </w:pPr>
          </w:p>
        </w:tc>
        <w:tc>
          <w:tcPr>
            <w:tcW w:w="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Interactive Media &amp; Services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10,548,522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1,004,240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165"/>
        </w:trPr>
        <w:tc>
          <w:tcPr>
            <w:tcW w:w="2100" w:type="dxa"/>
            <w:vAlign w:val="bottom"/>
            <w:tcBorders>
              <w:bottom w:val="single" w:sz="8" w:color="auto"/>
            </w:tcBorders>
            <w:gridSpan w:val="16"/>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Aventine Property Group, Inc.</w:t>
            </w:r>
          </w:p>
        </w:tc>
        <w:tc>
          <w:tcPr>
            <w:tcW w:w="1080" w:type="dxa"/>
            <w:vAlign w:val="bottom"/>
            <w:gridSpan w:val="10"/>
          </w:tcPr>
          <w:p>
            <w:pPr>
              <w:spacing w:after="0"/>
              <w:rPr>
                <w:sz w:val="14"/>
                <w:szCs w:val="14"/>
                <w:color w:val="auto"/>
              </w:rPr>
            </w:pPr>
          </w:p>
        </w:tc>
        <w:tc>
          <w:tcPr>
            <w:tcW w:w="25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Chicago, IL</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Cannabis REIT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9/11/2019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312,500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2,580,750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869,927</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157"/>
        </w:trPr>
        <w:tc>
          <w:tcPr>
            <w:tcW w:w="3180" w:type="dxa"/>
            <w:vAlign w:val="bottom"/>
            <w:gridSpan w:val="26"/>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Residential Homes for Rent, LLC (d/b/a</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Borders>
              <w:top w:val="single" w:sz="8" w:color="auto"/>
              <w:bottom w:val="single" w:sz="8" w:color="auto"/>
            </w:tcBorders>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Second Avenue)</w:t>
            </w:r>
          </w:p>
        </w:tc>
        <w:tc>
          <w:tcPr>
            <w:tcW w:w="240" w:type="dxa"/>
            <w:vAlign w:val="bottom"/>
            <w:tcBorders>
              <w:top w:val="single" w:sz="8" w:color="auto"/>
              <w:bottom w:val="single" w:sz="8" w:color="auto"/>
            </w:tcBorders>
            <w:gridSpan w:val="5"/>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60" w:type="dxa"/>
            <w:vAlign w:val="bottom"/>
            <w:tcBorders>
              <w:top w:val="single" w:sz="8" w:color="auto"/>
              <w:bottom w:val="single" w:sz="8" w:color="auto"/>
            </w:tcBorders>
            <w:vMerge w:val="restart"/>
          </w:tcPr>
          <w:p>
            <w:pPr>
              <w:spacing w:after="0"/>
              <w:rPr>
                <w:sz w:val="12"/>
                <w:szCs w:val="12"/>
                <w:color w:val="auto"/>
              </w:rPr>
            </w:pPr>
          </w:p>
        </w:tc>
        <w:tc>
          <w:tcPr>
            <w:tcW w:w="500" w:type="dxa"/>
            <w:vAlign w:val="bottom"/>
            <w:tcBorders>
              <w:top w:val="single" w:sz="8" w:color="auto"/>
              <w:bottom w:val="single" w:sz="8" w:color="auto"/>
            </w:tcBorders>
            <w:gridSpan w:val="3"/>
            <w:vMerge w:val="restart"/>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rPr>
                <w:sz w:val="12"/>
                <w:szCs w:val="12"/>
                <w:color w:val="auto"/>
              </w:rPr>
            </w:pPr>
          </w:p>
        </w:tc>
        <w:tc>
          <w:tcPr>
            <w:tcW w:w="380" w:type="dxa"/>
            <w:vAlign w:val="bottom"/>
            <w:tcBorders>
              <w:top w:val="single" w:sz="8" w:color="auto"/>
              <w:bottom w:val="single" w:sz="8" w:color="auto"/>
            </w:tcBorders>
            <w:gridSpan w:val="3"/>
            <w:vMerge w:val="restart"/>
          </w:tcPr>
          <w:p>
            <w:pPr>
              <w:spacing w:after="0"/>
              <w:rPr>
                <w:sz w:val="12"/>
                <w:szCs w:val="12"/>
                <w:color w:val="auto"/>
              </w:rPr>
            </w:pPr>
          </w:p>
        </w:tc>
        <w:tc>
          <w:tcPr>
            <w:tcW w:w="220" w:type="dxa"/>
            <w:vAlign w:val="bottom"/>
            <w:gridSpan w:val="3"/>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2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Chicago, IL</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080" w:type="dxa"/>
            <w:vAlign w:val="bottom"/>
            <w:tcBorders>
              <w:bottom w:val="single" w:sz="8" w:color="auto"/>
            </w:tcBorders>
            <w:gridSpan w:val="6"/>
            <w:vMerge w:val="continue"/>
          </w:tcPr>
          <w:p>
            <w:pPr>
              <w:spacing w:after="0"/>
              <w:rPr>
                <w:sz w:val="3"/>
                <w:szCs w:val="3"/>
                <w:color w:val="auto"/>
              </w:rPr>
            </w:pPr>
          </w:p>
        </w:tc>
        <w:tc>
          <w:tcPr>
            <w:tcW w:w="240" w:type="dxa"/>
            <w:vAlign w:val="bottom"/>
            <w:gridSpan w:val="5"/>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80" w:type="dxa"/>
            <w:vAlign w:val="bottom"/>
            <w:gridSpan w:val="3"/>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258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Real Estate Platform</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12/23/2020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865,153</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57"/>
        </w:trPr>
        <w:tc>
          <w:tcPr>
            <w:tcW w:w="3180" w:type="dxa"/>
            <w:vAlign w:val="bottom"/>
            <w:gridSpan w:val="26"/>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Stake Trade, Inc. (d/b/a Prophet Exchange)</w:t>
            </w:r>
          </w:p>
        </w:tc>
        <w:tc>
          <w:tcPr>
            <w:tcW w:w="2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7"/>
              </w:rPr>
              <w:t>New York, NY</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(13)</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Sports Betting</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7/26/2023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1,002,153</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862,362</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auto"/>
            </w:tcBorders>
            <w:gridSpan w:val="5"/>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Skillsoft Corp.</w:t>
            </w:r>
          </w:p>
        </w:tc>
        <w:tc>
          <w:tcPr>
            <w:tcW w:w="2180" w:type="dxa"/>
            <w:vAlign w:val="bottom"/>
            <w:gridSpan w:val="21"/>
          </w:tcPr>
          <w:p>
            <w:pPr>
              <w:spacing w:after="0"/>
              <w:rPr>
                <w:sz w:val="14"/>
                <w:szCs w:val="14"/>
                <w:color w:val="auto"/>
              </w:rPr>
            </w:pPr>
          </w:p>
        </w:tc>
        <w:tc>
          <w:tcPr>
            <w:tcW w:w="25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rPr>
              <w:t>Nashua, NH</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gridSpan w:val="26"/>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(5)</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49,092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9,818,428</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783,999</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133"/>
        </w:trPr>
        <w:tc>
          <w:tcPr>
            <w:tcW w:w="142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EDGE Markets, Inc.</w:t>
            </w:r>
          </w:p>
        </w:tc>
        <w:tc>
          <w:tcPr>
            <w:tcW w:w="22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(13)</w:t>
            </w:r>
          </w:p>
        </w:tc>
        <w:tc>
          <w:tcPr>
            <w:tcW w:w="500" w:type="dxa"/>
            <w:vAlign w:val="bottom"/>
            <w:gridSpan w:val="3"/>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20" w:type="dxa"/>
            <w:vAlign w:val="bottom"/>
            <w:gridSpan w:val="8"/>
            <w:vMerge w:val="restart"/>
          </w:tcPr>
          <w:p>
            <w:pPr>
              <w:spacing w:after="0"/>
              <w:rPr>
                <w:sz w:val="11"/>
                <w:szCs w:val="11"/>
                <w:color w:val="auto"/>
              </w:rPr>
            </w:pPr>
          </w:p>
        </w:tc>
        <w:tc>
          <w:tcPr>
            <w:tcW w:w="2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San Diego, CA</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420" w:type="dxa"/>
            <w:vAlign w:val="bottom"/>
            <w:tcBorders>
              <w:bottom w:val="single" w:sz="8" w:color="auto"/>
            </w:tcBorders>
            <w:gridSpan w:val="12"/>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gridSpan w:val="8"/>
            <w:vMerge w:val="continue"/>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Gaming Technology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456,704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501,330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65"/>
        </w:trPr>
        <w:tc>
          <w:tcPr>
            <w:tcW w:w="2780" w:type="dxa"/>
            <w:vAlign w:val="bottom"/>
            <w:tcBorders>
              <w:bottom w:val="single" w:sz="8" w:color="auto"/>
            </w:tcBorders>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9"/>
              </w:rPr>
              <w:t>PSQ Holdings, Inc. (d/b/a PublicSquare)</w:t>
            </w:r>
          </w:p>
        </w:tc>
        <w:tc>
          <w:tcPr>
            <w:tcW w:w="400" w:type="dxa"/>
            <w:vAlign w:val="bottom"/>
            <w:gridSpan w:val="4"/>
          </w:tcPr>
          <w:p>
            <w:pPr>
              <w:spacing w:after="0"/>
              <w:rPr>
                <w:sz w:val="14"/>
                <w:szCs w:val="14"/>
                <w:color w:val="auto"/>
              </w:rPr>
            </w:pPr>
          </w:p>
        </w:tc>
        <w:tc>
          <w:tcPr>
            <w:tcW w:w="25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West Palm Beach, FL</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Warrants, Strike Price $11.50,</w:t>
            </w:r>
          </w:p>
        </w:tc>
        <w:tc>
          <w:tcPr>
            <w:tcW w:w="2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180" w:type="dxa"/>
            <w:vAlign w:val="bottom"/>
            <w:gridSpan w:val="26"/>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Expiration Date 7/19/2028</w:t>
            </w:r>
            <w:r>
              <w:rPr>
                <w:rFonts w:ascii="Times New Roman" w:cs="Times New Roman" w:eastAsia="Times New Roman" w:hAnsi="Times New Roman"/>
                <w:sz w:val="26"/>
                <w:szCs w:val="26"/>
                <w:color w:val="auto"/>
                <w:vertAlign w:val="superscript"/>
              </w:rPr>
              <w:t>(5)</w:t>
            </w:r>
          </w:p>
        </w:tc>
        <w:tc>
          <w:tcPr>
            <w:tcW w:w="2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E-Commerce Marketplace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1,796,037</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771,065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377,168</w:t>
            </w:r>
          </w:p>
        </w:tc>
        <w:tc>
          <w:tcPr>
            <w:tcW w:w="3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57"/>
        </w:trPr>
        <w:tc>
          <w:tcPr>
            <w:tcW w:w="3180" w:type="dxa"/>
            <w:vAlign w:val="bottom"/>
            <w:gridSpan w:val="26"/>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Kinetiq Holdings, LLC</w:t>
            </w:r>
          </w:p>
        </w:tc>
        <w:tc>
          <w:tcPr>
            <w:tcW w:w="25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Philadelphia, PA</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Social Data Platform</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3/30/2012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112,374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33"/>
        </w:trPr>
        <w:tc>
          <w:tcPr>
            <w:tcW w:w="214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Rebric, Inc. (d/b/a Compliable)</w:t>
            </w:r>
          </w:p>
        </w:tc>
        <w:tc>
          <w:tcPr>
            <w:tcW w:w="2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(13)</w:t>
            </w:r>
          </w:p>
        </w:tc>
        <w:tc>
          <w:tcPr>
            <w:tcW w:w="820" w:type="dxa"/>
            <w:vAlign w:val="bottom"/>
            <w:gridSpan w:val="8"/>
            <w:vMerge w:val="restart"/>
          </w:tcPr>
          <w:p>
            <w:pPr>
              <w:spacing w:after="0"/>
              <w:rPr>
                <w:sz w:val="11"/>
                <w:szCs w:val="11"/>
                <w:color w:val="auto"/>
              </w:rPr>
            </w:pPr>
          </w:p>
        </w:tc>
        <w:tc>
          <w:tcPr>
            <w:tcW w:w="2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Denver, CO</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auto"/>
            </w:tcBorders>
            <w:gridSpan w:val="17"/>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gridSpan w:val="8"/>
            <w:vMerge w:val="continue"/>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Seed-4</w:t>
            </w: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Gaming Licensing</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10/12/2021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2,406,492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1,002,755</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 of Net</w:t>
            </w:r>
          </w:p>
        </w:tc>
        <w:tc>
          <w:tcPr>
            <w:tcW w:w="0" w:type="dxa"/>
            <w:vAlign w:val="bottom"/>
          </w:tcPr>
          <w:p>
            <w:pPr>
              <w:spacing w:after="0"/>
              <w:rPr>
                <w:sz w:val="1"/>
                <w:szCs w:val="1"/>
                <w:color w:val="auto"/>
              </w:rPr>
            </w:pPr>
          </w:p>
        </w:tc>
      </w:tr>
      <w:tr>
        <w:trPr>
          <w:trHeight w:val="241"/>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120" w:type="dxa"/>
            <w:vAlign w:val="bottom"/>
            <w:gridSpan w:val="3"/>
          </w:tcPr>
          <w:p>
            <w:pPr>
              <w:jc w:val="center"/>
              <w:spacing w:after="0" w:line="241" w:lineRule="exact"/>
              <w:rPr>
                <w:sz w:val="20"/>
                <w:szCs w:val="20"/>
                <w:color w:val="auto"/>
              </w:rPr>
            </w:pPr>
            <w:r>
              <w:rPr>
                <w:rFonts w:ascii="Times New Roman" w:cs="Times New Roman" w:eastAsia="Times New Roman" w:hAnsi="Times New Roman"/>
                <w:sz w:val="16"/>
                <w:szCs w:val="16"/>
                <w:b w:val="1"/>
                <w:bCs w:val="1"/>
                <w:color w:val="auto"/>
                <w:w w:val="93"/>
              </w:rPr>
              <w:t>Quantity</w:t>
            </w:r>
            <w:r>
              <w:rPr>
                <w:rFonts w:ascii="Times New Roman" w:cs="Times New Roman" w:eastAsia="Times New Roman" w:hAnsi="Times New Roman"/>
                <w:sz w:val="26"/>
                <w:szCs w:val="26"/>
                <w:b w:val="1"/>
                <w:bCs w:val="1"/>
                <w:color w:val="auto"/>
                <w:w w:val="93"/>
                <w:vertAlign w:val="superscript"/>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9"/>
        </w:trPr>
        <w:tc>
          <w:tcPr>
            <w:tcW w:w="2980" w:type="dxa"/>
            <w:vAlign w:val="bottom"/>
            <w:tcBorders>
              <w:top w:val="single" w:sz="8" w:color="auto"/>
            </w:tcBorders>
            <w:gridSpan w:val="12"/>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CTN Holdings, Inc. (d/b/a Catona Climate,</w:t>
            </w:r>
          </w:p>
        </w:tc>
        <w:tc>
          <w:tcPr>
            <w:tcW w:w="20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top w:val="single" w:sz="8" w:color="auto"/>
              <w:bottom w:val="single" w:sz="8" w:color="auto"/>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f/k/a Aspiration Partners, Inc.)</w:t>
            </w:r>
          </w:p>
        </w:tc>
        <w:tc>
          <w:tcPr>
            <w:tcW w:w="220" w:type="dxa"/>
            <w:vAlign w:val="bottom"/>
            <w:tcBorders>
              <w:top w:val="single" w:sz="8" w:color="auto"/>
              <w:bottom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2"/>
              </w:rPr>
              <w:t>(16)</w:t>
            </w:r>
          </w:p>
        </w:tc>
        <w:tc>
          <w:tcPr>
            <w:tcW w:w="4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226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Marina Del Rey, CA</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20" w:type="dxa"/>
            <w:vAlign w:val="bottom"/>
            <w:tcBorders>
              <w:bottom w:val="single" w:sz="8" w:color="auto"/>
            </w:tcBorders>
            <w:gridSpan w:val="7"/>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226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180" w:type="dxa"/>
            <w:vAlign w:val="bottom"/>
            <w:tcBorders>
              <w:top w:val="single" w:sz="8" w:color="CCEEFF"/>
            </w:tcBorders>
            <w:gridSpan w:val="13"/>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2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Carbon Credit Services</w:t>
            </w:r>
          </w:p>
        </w:tc>
        <w:tc>
          <w:tcPr>
            <w:tcW w:w="1260" w:type="dxa"/>
            <w:vAlign w:val="bottom"/>
            <w:tcBorders>
              <w:top w:val="single" w:sz="8" w:color="CCEEFF"/>
            </w:tcBorders>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8"/>
              </w:rPr>
              <w:t>8/11/2015</w:t>
            </w:r>
          </w:p>
        </w:tc>
        <w:tc>
          <w:tcPr>
            <w:tcW w:w="112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540,270</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1,001,815</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2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8/12/2019</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24,912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281,190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1,283,005</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9"/>
        </w:trPr>
        <w:tc>
          <w:tcPr>
            <w:tcW w:w="318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Fullbridge, Inc.</w:t>
            </w:r>
          </w:p>
        </w:tc>
        <w:tc>
          <w:tcPr>
            <w:tcW w:w="2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Cambridge, MA</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Business Education</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5/13/2012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517,917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6,150,506</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3180" w:type="dxa"/>
            <w:vAlign w:val="bottom"/>
            <w:gridSpan w:val="13"/>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(4)(17)</w:t>
            </w:r>
          </w:p>
        </w:tc>
        <w:tc>
          <w:tcPr>
            <w:tcW w:w="2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3/3/2016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$ 2,270,458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2,270,858</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8,421,364</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7"/>
        </w:trPr>
        <w:tc>
          <w:tcPr>
            <w:tcW w:w="2780" w:type="dxa"/>
            <w:vAlign w:val="bottom"/>
            <w:tcBorders>
              <w:bottom w:val="single" w:sz="8" w:color="auto"/>
            </w:tcBorders>
            <w:gridSpan w:val="10"/>
            <w:shd w:val="clear" w:color="auto" w:fill="CCEEFF"/>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Treehouse Real Estate Investment Trust,</w:t>
            </w:r>
          </w:p>
        </w:tc>
        <w:tc>
          <w:tcPr>
            <w:tcW w:w="400" w:type="dxa"/>
            <w:vAlign w:val="bottom"/>
            <w:tcBorders>
              <w:bottom w:val="single" w:sz="8" w:color="CCEEFF"/>
            </w:tcBorders>
            <w:gridSpan w:val="3"/>
            <w:shd w:val="clear" w:color="auto" w:fill="CCEEFF"/>
          </w:tcPr>
          <w:p>
            <w:pPr>
              <w:spacing w:after="0"/>
              <w:rPr>
                <w:sz w:val="11"/>
                <w:szCs w:val="11"/>
                <w:color w:val="auto"/>
              </w:rPr>
            </w:pPr>
          </w:p>
        </w:tc>
        <w:tc>
          <w:tcPr>
            <w:tcW w:w="2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1"/>
              </w:rPr>
              <w:t>Inc.</w:t>
            </w:r>
          </w:p>
        </w:tc>
        <w:tc>
          <w:tcPr>
            <w:tcW w:w="2920" w:type="dxa"/>
            <w:vAlign w:val="bottom"/>
            <w:tcBorders>
              <w:bottom w:val="single" w:sz="8" w:color="CCEEFF"/>
            </w:tcBorders>
            <w:gridSpan w:val="12"/>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color w:val="auto"/>
              </w:rPr>
              <w:t>Chicago, IL</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3"/>
          </w:tcPr>
          <w:p>
            <w:pPr>
              <w:spacing w:after="0" w:line="228"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Cannabis REIT</w:t>
            </w:r>
          </w:p>
        </w:tc>
        <w:tc>
          <w:tcPr>
            <w:tcW w:w="126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8"/>
              </w:rPr>
              <w:t>9/11/2019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312,500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4,919,250</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gridSpan w:val="13"/>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221,292,617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215,044,675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98.01%</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3"/>
          </w:tcPr>
          <w:p>
            <w:pPr>
              <w:spacing w:after="0" w:line="228"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2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StormWind, LLC</w:t>
            </w:r>
          </w:p>
        </w:tc>
        <w:tc>
          <w:tcPr>
            <w:tcW w:w="260" w:type="dxa"/>
            <w:vAlign w:val="bottom"/>
            <w:tcBorders>
              <w:bottom w:val="single" w:sz="8" w:color="auto"/>
              <w:right w:val="single" w:sz="8" w:color="CCEEFF"/>
            </w:tcBorders>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3"/>
                <w:szCs w:val="13"/>
                <w:b w:val="1"/>
                <w:bCs w:val="1"/>
                <w:color w:val="auto"/>
                <w:w w:val="92"/>
              </w:rPr>
              <w:t>(10)</w:t>
            </w:r>
          </w:p>
        </w:tc>
        <w:tc>
          <w:tcPr>
            <w:tcW w:w="38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gridSpan w:val="2"/>
            <w:vMerge w:val="restart"/>
            <w:shd w:val="clear" w:color="auto" w:fill="CCEEFF"/>
          </w:tcPr>
          <w:p>
            <w:pPr>
              <w:spacing w:after="0"/>
              <w:rPr>
                <w:sz w:val="11"/>
                <w:szCs w:val="11"/>
                <w:color w:val="auto"/>
              </w:rPr>
            </w:pPr>
          </w:p>
        </w:tc>
        <w:tc>
          <w:tcPr>
            <w:tcW w:w="1020" w:type="dxa"/>
            <w:vAlign w:val="bottom"/>
            <w:tcBorders>
              <w:bottom w:val="single" w:sz="8" w:color="CCEEFF"/>
            </w:tcBorders>
            <w:gridSpan w:val="5"/>
            <w:vMerge w:val="restart"/>
            <w:shd w:val="clear" w:color="auto" w:fill="CCEEFF"/>
          </w:tcPr>
          <w:p>
            <w:pPr>
              <w:spacing w:after="0"/>
              <w:rPr>
                <w:sz w:val="11"/>
                <w:szCs w:val="11"/>
                <w:color w:val="auto"/>
              </w:rPr>
            </w:pPr>
          </w:p>
        </w:tc>
        <w:tc>
          <w:tcPr>
            <w:tcW w:w="22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Scottsdale, AZ</w:t>
            </w: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20" w:type="dxa"/>
            <w:vAlign w:val="bottom"/>
            <w:tcBorders>
              <w:bottom w:val="single" w:sz="8" w:color="auto"/>
            </w:tcBorders>
            <w:gridSpan w:val="3"/>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right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00" w:type="dxa"/>
            <w:vAlign w:val="bottom"/>
            <w:tcBorders>
              <w:bottom w:val="single" w:sz="8" w:color="CCEEFF"/>
            </w:tcBorders>
            <w:gridSpan w:val="2"/>
            <w:vMerge w:val="continue"/>
            <w:shd w:val="clear" w:color="auto" w:fill="CCEEFF"/>
          </w:tcPr>
          <w:p>
            <w:pPr>
              <w:spacing w:after="0"/>
              <w:rPr>
                <w:sz w:val="4"/>
                <w:szCs w:val="4"/>
                <w:color w:val="auto"/>
              </w:rPr>
            </w:pPr>
          </w:p>
        </w:tc>
        <w:tc>
          <w:tcPr>
            <w:tcW w:w="1020" w:type="dxa"/>
            <w:vAlign w:val="bottom"/>
            <w:tcBorders>
              <w:bottom w:val="single" w:sz="8" w:color="CCEEFF"/>
            </w:tcBorders>
            <w:gridSpan w:val="5"/>
            <w:vMerge w:val="continue"/>
            <w:shd w:val="clear" w:color="auto" w:fill="CCEEFF"/>
          </w:tcPr>
          <w:p>
            <w:pPr>
              <w:spacing w:after="0"/>
              <w:rPr>
                <w:sz w:val="4"/>
                <w:szCs w:val="4"/>
                <w:color w:val="auto"/>
              </w:rPr>
            </w:pPr>
          </w:p>
        </w:tc>
        <w:tc>
          <w:tcPr>
            <w:tcW w:w="226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Interactive Learning</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11/26/2019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329,337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463,741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93"/>
        </w:trPr>
        <w:tc>
          <w:tcPr>
            <w:tcW w:w="3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1/7/2014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2,779,134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4,000,787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5,021,914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93"/>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2260" w:type="dxa"/>
            <w:vAlign w:val="bottom"/>
          </w:tcPr>
          <w:p>
            <w:pPr>
              <w:spacing w:after="0"/>
              <w:rPr>
                <w:sz w:val="16"/>
                <w:szCs w:val="16"/>
                <w:color w:val="auto"/>
              </w:rPr>
            </w:pP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12/16/2011</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3,279,629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2,019,687</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2,856,660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5"/>
        </w:trPr>
        <w:tc>
          <w:tcPr>
            <w:tcW w:w="3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2/25/2014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366,666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110,000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114,107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6,387,741</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8,456,422</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9"/>
        </w:trPr>
        <w:tc>
          <w:tcPr>
            <w:tcW w:w="318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2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San Francisco, CA</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Knowledge Networks</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7/2/2012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318,979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2,000,447</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2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2/28/2012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49,505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217,206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2,217,653</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65"/>
        </w:trPr>
        <w:tc>
          <w:tcPr>
            <w:tcW w:w="124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Curious.com, Inc.</w:t>
            </w:r>
          </w:p>
        </w:tc>
        <w:tc>
          <w:tcPr>
            <w:tcW w:w="1940" w:type="dxa"/>
            <w:vAlign w:val="bottom"/>
            <w:tcBorders>
              <w:bottom w:val="single" w:sz="8" w:color="CCEEFF"/>
            </w:tcBorders>
            <w:gridSpan w:val="9"/>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Menlo Park, CA</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11/22/2013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1,135,944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12,000,006</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gridSpan w:val="13"/>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20,605,400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8,456,422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3"/>
          </w:tcPr>
          <w:p>
            <w:pPr>
              <w:spacing w:after="0" w:line="228" w:lineRule="exact"/>
              <w:rPr>
                <w:sz w:val="20"/>
                <w:szCs w:val="20"/>
                <w:color w:val="auto"/>
              </w:rPr>
            </w:pP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26"/>
                <w:szCs w:val="26"/>
                <w:b w:val="1"/>
                <w:bCs w:val="1"/>
                <w:color w:val="auto"/>
                <w:vertAlign w:val="superscript"/>
              </w:rPr>
              <w:t>(2)</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86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Colombier Sponsor II LLC</w:t>
            </w:r>
          </w:p>
        </w:tc>
        <w:tc>
          <w:tcPr>
            <w:tcW w:w="300" w:type="dxa"/>
            <w:vAlign w:val="bottom"/>
            <w:tcBorders>
              <w:bottom w:val="single" w:sz="8" w:color="auto"/>
            </w:tcBorders>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9"/>
              </w:rPr>
              <w:t>**(6)</w:t>
            </w:r>
          </w:p>
        </w:tc>
        <w:tc>
          <w:tcPr>
            <w:tcW w:w="1020" w:type="dxa"/>
            <w:vAlign w:val="bottom"/>
            <w:tcBorders>
              <w:bottom w:val="single" w:sz="8" w:color="CCEEFF"/>
            </w:tcBorders>
            <w:gridSpan w:val="5"/>
            <w:vMerge w:val="restart"/>
            <w:shd w:val="clear" w:color="auto" w:fill="CCEEFF"/>
          </w:tcPr>
          <w:p>
            <w:pPr>
              <w:spacing w:after="0"/>
              <w:rPr>
                <w:sz w:val="11"/>
                <w:szCs w:val="11"/>
                <w:color w:val="auto"/>
              </w:rPr>
            </w:pPr>
          </w:p>
        </w:tc>
        <w:tc>
          <w:tcPr>
            <w:tcW w:w="22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Palm Beach, FL</w:t>
            </w: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860" w:type="dxa"/>
            <w:vAlign w:val="bottom"/>
            <w:tcBorders>
              <w:bottom w:val="single" w:sz="8" w:color="auto"/>
            </w:tcBorders>
            <w:gridSpan w:val="6"/>
            <w:vMerge w:val="continue"/>
            <w:shd w:val="clear" w:color="auto" w:fill="CCEEFF"/>
          </w:tcPr>
          <w:p>
            <w:pPr>
              <w:spacing w:after="0"/>
              <w:rPr>
                <w:sz w:val="4"/>
                <w:szCs w:val="4"/>
                <w:color w:val="auto"/>
              </w:rPr>
            </w:pPr>
          </w:p>
        </w:tc>
        <w:tc>
          <w:tcPr>
            <w:tcW w:w="300" w:type="dxa"/>
            <w:vAlign w:val="bottom"/>
            <w:tcBorders>
              <w:bottom w:val="single" w:sz="8" w:color="CCEEFF"/>
            </w:tcBorders>
            <w:gridSpan w:val="2"/>
            <w:shd w:val="clear" w:color="auto" w:fill="CCEEFF"/>
          </w:tcPr>
          <w:p>
            <w:pPr>
              <w:spacing w:after="0"/>
              <w:rPr>
                <w:sz w:val="4"/>
                <w:szCs w:val="4"/>
                <w:color w:val="auto"/>
              </w:rPr>
            </w:pPr>
          </w:p>
        </w:tc>
        <w:tc>
          <w:tcPr>
            <w:tcW w:w="1020" w:type="dxa"/>
            <w:vAlign w:val="bottom"/>
            <w:tcBorders>
              <w:bottom w:val="single" w:sz="8" w:color="CCEEFF"/>
            </w:tcBorders>
            <w:gridSpan w:val="5"/>
            <w:vMerge w:val="continue"/>
            <w:shd w:val="clear" w:color="auto" w:fill="CCEEFF"/>
          </w:tcPr>
          <w:p>
            <w:pPr>
              <w:spacing w:after="0"/>
              <w:rPr>
                <w:sz w:val="4"/>
                <w:szCs w:val="4"/>
                <w:color w:val="auto"/>
              </w:rPr>
            </w:pPr>
          </w:p>
        </w:tc>
        <w:tc>
          <w:tcPr>
            <w:tcW w:w="226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Special Purpose Acquisition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Class B Units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11/20/2023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1,040,000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1,103,719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14,297,450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05"/>
        </w:trPr>
        <w:tc>
          <w:tcPr>
            <w:tcW w:w="3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W Units</w:t>
            </w: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499,221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6,000,000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1,602,940</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20,297,450</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5"/>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80" w:type="dxa"/>
            <w:vAlign w:val="bottom"/>
            <w:gridSpan w:val="13"/>
          </w:tcPr>
          <w:p>
            <w:pPr>
              <w:ind w:left="16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20,297,450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9.25%</w:t>
            </w:r>
          </w:p>
        </w:tc>
        <w:tc>
          <w:tcPr>
            <w:tcW w:w="0" w:type="dxa"/>
            <w:vAlign w:val="bottom"/>
          </w:tcPr>
          <w:p>
            <w:pPr>
              <w:spacing w:after="0"/>
              <w:rPr>
                <w:sz w:val="1"/>
                <w:szCs w:val="1"/>
                <w:color w:val="auto"/>
              </w:rPr>
            </w:pPr>
          </w:p>
        </w:tc>
      </w:tr>
      <w:tr>
        <w:trPr>
          <w:trHeight w:val="197"/>
        </w:trPr>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80" w:type="dxa"/>
            <w:vAlign w:val="bottom"/>
            <w:gridSpan w:val="13"/>
          </w:tcPr>
          <w:p>
            <w:pPr>
              <w:ind w:left="16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243,500,957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243,798,547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111.12%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8"/>
          </w:tcPr>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9" w:right="319" w:bottom="1440" w:gutter="0" w:footer="0" w:header="0"/>
        </w:sectPr>
      </w:pPr>
    </w:p>
    <w:bookmarkStart w:id="9" w:name="page10"/>
    <w:bookmarkEnd w:id="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7849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90" w:lineRule="exact"/>
        <w:rPr>
          <w:sz w:val="20"/>
          <w:szCs w:val="20"/>
          <w:color w:val="auto"/>
        </w:rPr>
      </w:pPr>
    </w:p>
    <w:p>
      <w:pPr>
        <w:jc w:val="both"/>
        <w:ind w:left="583" w:hanging="583"/>
        <w:spacing w:after="0" w:line="256" w:lineRule="auto"/>
        <w:tabs>
          <w:tab w:leader="none" w:pos="5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or “SuRo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w:t>
      </w:r>
    </w:p>
    <w:p>
      <w:pPr>
        <w:ind w:left="583"/>
        <w:spacing w:after="0" w:line="251" w:lineRule="auto"/>
        <w:rPr>
          <w:sz w:val="20"/>
          <w:szCs w:val="20"/>
          <w:color w:val="auto"/>
        </w:rPr>
      </w:pPr>
      <w:r>
        <w:rPr>
          <w:rFonts w:ascii="Times New Roman" w:cs="Times New Roman" w:eastAsia="Times New Roman" w:hAnsi="Times New Roman"/>
          <w:sz w:val="16"/>
          <w:szCs w:val="16"/>
          <w:color w:val="auto"/>
        </w:rPr>
        <w:t>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left="583" w:hanging="583"/>
        <w:spacing w:after="0" w:line="251" w:lineRule="auto"/>
        <w:tabs>
          <w:tab w:leader="none" w:pos="5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June 30, 2025, 50.25% of its total investments are non-qualifying assets, excluding cash and short-term US treasuries.</w:t>
      </w:r>
    </w:p>
    <w:p>
      <w:pPr>
        <w:spacing w:after="0" w:line="1"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86" w:lineRule="exact"/>
        <w:rPr>
          <w:sz w:val="20"/>
          <w:szCs w:val="20"/>
          <w:color w:val="auto"/>
        </w:rPr>
      </w:pPr>
    </w:p>
    <w:p>
      <w:pPr>
        <w:jc w:val="both"/>
        <w:ind w:left="583" w:right="20" w:hanging="583"/>
        <w:spacing w:after="0" w:line="262"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1" w:lineRule="exact"/>
        <w:rPr>
          <w:rFonts w:ascii="Times New Roman" w:cs="Times New Roman" w:eastAsia="Times New Roman" w:hAnsi="Times New Roman"/>
          <w:sz w:val="16"/>
          <w:szCs w:val="16"/>
          <w:color w:val="auto"/>
        </w:rPr>
      </w:pPr>
    </w:p>
    <w:p>
      <w:pPr>
        <w:jc w:val="both"/>
        <w:ind w:left="583" w:hanging="583"/>
        <w:spacing w:after="0" w:line="262"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1"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respective number of shares, principal amount, fund commitment, or membership interest.</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 investments noted had been placed on non-accrual status.</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02" w:lineRule="exact"/>
        <w:rPr>
          <w:rFonts w:ascii="Times New Roman" w:cs="Times New Roman" w:eastAsia="Times New Roman" w:hAnsi="Times New Roman"/>
          <w:sz w:val="16"/>
          <w:szCs w:val="16"/>
          <w:color w:val="auto"/>
        </w:rPr>
      </w:pPr>
    </w:p>
    <w:p>
      <w:pPr>
        <w:ind w:left="583" w:right="20" w:hanging="583"/>
        <w:spacing w:after="0" w:line="284"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3" w:lineRule="exact"/>
        <w:rPr>
          <w:rFonts w:ascii="Times New Roman" w:cs="Times New Roman" w:eastAsia="Times New Roman" w:hAnsi="Times New Roman"/>
          <w:sz w:val="16"/>
          <w:szCs w:val="16"/>
          <w:color w:val="auto"/>
        </w:rPr>
      </w:pPr>
    </w:p>
    <w:p>
      <w:pPr>
        <w:jc w:val="both"/>
        <w:ind w:left="583" w:hanging="583"/>
        <w:spacing w:after="0" w:line="256"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 special purpose vehicle (“SPV”) for which the Class A Interest is solely invested in the Class A Common Shares of CoreWeave, Inc. SuRo Capital is invested in the Class A Common Shares of CoreWeave, Inc. through its investment in the Class A Interest of CW Opportunity 2 LP. As of June 30, 2025, SuRo Capital has confirmed the underlying Class A Common Shares held by CW Opportunity 2 LP were not registered and are therefore subject to certain restrictions on sale or transfer for which SuRo Capital has applied a discount to the closing share price as of the reporting date. On March 28, 2025, CoreWeave, Inc. completed an IPO and the Series C Preferred Shares converted to Class A common shares. Prior to the IPO, SuRo Capital was invested in the Series C Preferred Shares of CoreWeave, Inc. through its investment in the Class A Interest of CW Opportunity 2 LP. Additionally, prior to the IPO, the Series C Preferred Shares of CoreWeave, Inc. accrued a 10% per annum dividend, paid quarterly in cash or in-kind. CW Opportunity 2 LP does not charge a management fee but does charge an incentive fee of 20%, subject to an annual 15% IRR hurdle rate.</w:t>
      </w:r>
    </w:p>
    <w:p>
      <w:pPr>
        <w:spacing w:after="0" w:line="167" w:lineRule="exact"/>
        <w:rPr>
          <w:rFonts w:ascii="Times New Roman" w:cs="Times New Roman" w:eastAsia="Times New Roman" w:hAnsi="Times New Roman"/>
          <w:sz w:val="16"/>
          <w:szCs w:val="16"/>
          <w:color w:val="auto"/>
        </w:rPr>
      </w:pPr>
    </w:p>
    <w:p>
      <w:pPr>
        <w:jc w:val="both"/>
        <w:ind w:left="583" w:right="20" w:hanging="583"/>
        <w:spacing w:after="0" w:line="262"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Convertible Interest Rights of OpenAI Global, LLC. SuRo Capital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Capital’s investment in the fund.</w:t>
      </w:r>
    </w:p>
    <w:p>
      <w:pPr>
        <w:spacing w:after="0" w:line="161" w:lineRule="exact"/>
        <w:rPr>
          <w:rFonts w:ascii="Times New Roman" w:cs="Times New Roman" w:eastAsia="Times New Roman" w:hAnsi="Times New Roman"/>
          <w:sz w:val="16"/>
          <w:szCs w:val="16"/>
          <w:color w:val="auto"/>
        </w:rPr>
      </w:pPr>
    </w:p>
    <w:p>
      <w:pPr>
        <w:jc w:val="both"/>
        <w:ind w:left="583" w:hanging="583"/>
        <w:spacing w:after="0" w:line="268" w:lineRule="auto"/>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is invested in the Series B Preferred Shares of VAST Data, Ltd. through its investment in the Membership Interest of IH10, LLC. IH10, LLC does not charge a management fee or an incentive fee; however, SuRo Capital has prepaid operating expenses.</w:t>
      </w:r>
    </w:p>
    <w:p>
      <w:pPr>
        <w:spacing w:after="0" w:line="155"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StormWind, LLC are held through SuRo Capital’s wholly owned subsidiary, GSVC SW Holdings, Inc.</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10" w:name="page11"/>
    <w:bookmarkEnd w:id="1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ind w:left="583" w:hanging="583"/>
        <w:spacing w:after="0" w:line="284"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the Class A Common Shares of Plaid Inc. was made through 1789 Capital Nirvana II LP, an SPV in which SuRo Capital is the Sole Limited Partner. 1789 Capital Nirvana II LP is a wholly owned subsidiary of SuRo Capital. SuRo Capital paid a 7% origination fee at the time of investment.</w:t>
      </w:r>
    </w:p>
    <w:p>
      <w:pPr>
        <w:spacing w:after="0" w:line="143" w:lineRule="exact"/>
        <w:rPr>
          <w:rFonts w:ascii="Times New Roman" w:cs="Times New Roman" w:eastAsia="Times New Roman" w:hAnsi="Times New Roman"/>
          <w:sz w:val="16"/>
          <w:szCs w:val="16"/>
          <w:color w:val="auto"/>
        </w:rPr>
      </w:pPr>
    </w:p>
    <w:p>
      <w:pPr>
        <w:jc w:val="both"/>
        <w:ind w:left="583" w:hanging="583"/>
        <w:spacing w:after="0" w:line="268"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True Global Ventures 4 Plus Pte Ltd are held through SuRo Capital’s wholly owned subsidiary, GSVC SVDS Holdings, Inc. True Global Ventures 4 Plus Pte Ltd charges a 1.8% management fee and a 22.5% incentive fee, subject to an annual 5% IRR hurdle rate. The management fees may adjust the cost of SuRo Capital’s investment in the fund.</w:t>
      </w:r>
    </w:p>
    <w:p>
      <w:pPr>
        <w:spacing w:after="0" w:line="155" w:lineRule="exact"/>
        <w:rPr>
          <w:rFonts w:ascii="Times New Roman" w:cs="Times New Roman" w:eastAsia="Times New Roman" w:hAnsi="Times New Roman"/>
          <w:sz w:val="16"/>
          <w:szCs w:val="16"/>
          <w:color w:val="auto"/>
        </w:rPr>
      </w:pPr>
    </w:p>
    <w:p>
      <w:pPr>
        <w:jc w:val="both"/>
        <w:ind w:left="583" w:hanging="583"/>
        <w:spacing w:after="0" w:line="268"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Commercial Streaming Solutions Inc. (d/b/a BettorView), Rebric, Inc. (d/b/a Compliable), EDGE Markets, Inc., Xgroup Holdings Limited (d/b/a Xpoint), and Stake Trade, Inc. (d/b/a Prophet Exchange) are held through SuRo Capital’s wholly owned subsidiary, SuRo Capital Sports, LLC (“SuRo Capital Sports”).</w:t>
      </w:r>
    </w:p>
    <w:p>
      <w:pPr>
        <w:spacing w:after="0" w:line="155" w:lineRule="exact"/>
        <w:rPr>
          <w:rFonts w:ascii="Times New Roman" w:cs="Times New Roman" w:eastAsia="Times New Roman" w:hAnsi="Times New Roman"/>
          <w:sz w:val="16"/>
          <w:szCs w:val="16"/>
          <w:color w:val="auto"/>
        </w:rPr>
      </w:pPr>
    </w:p>
    <w:p>
      <w:pPr>
        <w:ind w:left="583" w:hanging="583"/>
        <w:spacing w:after="0" w:line="284"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21, 2025, Commercial Streaming Solutions, Inc. (d/b/a BettorView) merged with FSG Digital, Inc. (d/b/a JefeBet). As a result of the merger, the SAFE Note which SuRo Capital previously held in Commercial Streaming Solutions, Inc. (d/b/a BettorView) converted into Class A-1 Preferred shares.</w:t>
      </w:r>
    </w:p>
    <w:p>
      <w:pPr>
        <w:spacing w:after="0" w:line="143" w:lineRule="exact"/>
        <w:rPr>
          <w:rFonts w:ascii="Times New Roman" w:cs="Times New Roman" w:eastAsia="Times New Roman" w:hAnsi="Times New Roman"/>
          <w:sz w:val="16"/>
          <w:szCs w:val="16"/>
          <w:color w:val="auto"/>
        </w:rPr>
      </w:pPr>
    </w:p>
    <w:p>
      <w:pPr>
        <w:ind w:left="583" w:hanging="583"/>
        <w:spacing w:after="0" w:line="284"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Residential Homes for Rent, LLC (d/b/a Second Avenue) is held through SuRo Capital’s wholly owned subsidiary, GSVC AV Holdings, Inc.</w:t>
      </w:r>
    </w:p>
    <w:p>
      <w:pPr>
        <w:spacing w:after="0" w:line="143" w:lineRule="exact"/>
        <w:rPr>
          <w:rFonts w:ascii="Times New Roman" w:cs="Times New Roman" w:eastAsia="Times New Roman" w:hAnsi="Times New Roman"/>
          <w:sz w:val="16"/>
          <w:szCs w:val="16"/>
          <w:color w:val="auto"/>
        </w:rPr>
      </w:pPr>
    </w:p>
    <w:p>
      <w:pPr>
        <w:ind w:left="583" w:hanging="583"/>
        <w:spacing w:after="0" w:line="284"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30, 2025, CTN Holdings, Inc. (d/b/a Catona Climate) filed for Chapter 11 protection in the U.S. Bankruptcy Court for the District of Delaware. On June 5, 2025, the US Bankruptcy Court for the District of Delaware approved the sale of the remaining assets of CTN Holdings, Inc.</w:t>
      </w:r>
    </w:p>
    <w:p>
      <w:pPr>
        <w:spacing w:after="0" w:line="143"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69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0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 of Net</w:t>
            </w:r>
          </w:p>
        </w:tc>
        <w:tc>
          <w:tcPr>
            <w:tcW w:w="0" w:type="dxa"/>
            <w:vAlign w:val="bottom"/>
          </w:tcPr>
          <w:p>
            <w:pPr>
              <w:spacing w:after="0"/>
              <w:rPr>
                <w:sz w:val="1"/>
                <w:szCs w:val="1"/>
                <w:color w:val="auto"/>
              </w:rPr>
            </w:pPr>
          </w:p>
        </w:tc>
      </w:tr>
      <w:tr>
        <w:trPr>
          <w:trHeight w:val="241"/>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140" w:type="dxa"/>
            <w:vAlign w:val="bottom"/>
            <w:gridSpan w:val="3"/>
          </w:tcPr>
          <w:p>
            <w:pPr>
              <w:jc w:val="center"/>
              <w:ind w:right="320"/>
              <w:spacing w:after="0" w:line="241" w:lineRule="exact"/>
              <w:rPr>
                <w:sz w:val="20"/>
                <w:szCs w:val="20"/>
                <w:color w:val="auto"/>
              </w:rPr>
            </w:pPr>
            <w:r>
              <w:rPr>
                <w:rFonts w:ascii="Times New Roman" w:cs="Times New Roman" w:eastAsia="Times New Roman" w:hAnsi="Times New Roman"/>
                <w:sz w:val="16"/>
                <w:szCs w:val="16"/>
                <w:b w:val="1"/>
                <w:bCs w:val="1"/>
                <w:color w:val="auto"/>
                <w:w w:val="95"/>
              </w:rPr>
              <w:t>Quantity</w:t>
            </w:r>
            <w:r>
              <w:rPr>
                <w:rFonts w:ascii="Times New Roman" w:cs="Times New Roman" w:eastAsia="Times New Roman" w:hAnsi="Times New Roman"/>
                <w:sz w:val="26"/>
                <w:szCs w:val="26"/>
                <w:b w:val="1"/>
                <w:bCs w:val="1"/>
                <w:color w:val="auto"/>
                <w:w w:val="95"/>
                <w:vertAlign w:val="superscript"/>
              </w:rPr>
              <w:t>(5)</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5"/>
        </w:trPr>
        <w:tc>
          <w:tcPr>
            <w:tcW w:w="2980" w:type="dxa"/>
            <w:vAlign w:val="bottom"/>
            <w:tcBorders>
              <w:top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2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4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CW Opportunity 2 LP</w:t>
            </w:r>
          </w:p>
        </w:tc>
        <w:tc>
          <w:tcPr>
            <w:tcW w:w="30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9"/>
              </w:rPr>
              <w:t>**(8)</w:t>
            </w:r>
          </w:p>
        </w:tc>
        <w:tc>
          <w:tcPr>
            <w:tcW w:w="20" w:type="dxa"/>
            <w:vAlign w:val="bottom"/>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Evanston, IL</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gridSpan w:val="13"/>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180" w:type="dxa"/>
            <w:vAlign w:val="bottom"/>
            <w:gridSpan w:val="22"/>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Membership Interest, Class A 10%</w:t>
            </w:r>
            <w:r>
              <w:rPr>
                <w:rFonts w:ascii="Times New Roman" w:cs="Times New Roman" w:eastAsia="Times New Roman" w:hAnsi="Times New Roman"/>
                <w:sz w:val="26"/>
                <w:szCs w:val="26"/>
                <w:color w:val="auto"/>
                <w:vertAlign w:val="superscript"/>
              </w:rPr>
              <w:t>***</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5/7/2024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15,000,000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7"/>
              </w:rPr>
              <w:t>$ 15,176,443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$ 17,775,155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157"/>
        </w:trPr>
        <w:tc>
          <w:tcPr>
            <w:tcW w:w="3180" w:type="dxa"/>
            <w:vAlign w:val="bottom"/>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ARK Type One Deep Ventures Fund</w:t>
            </w: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w w:val="91"/>
              </w:rPr>
              <w:t>LLC</w:t>
            </w:r>
          </w:p>
        </w:tc>
        <w:tc>
          <w:tcPr>
            <w:tcW w:w="30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9"/>
              </w:rPr>
              <w:t>**(9)</w:t>
            </w:r>
          </w:p>
        </w:tc>
        <w:tc>
          <w:tcPr>
            <w:tcW w:w="14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vMerge w:val="restart"/>
          </w:tcPr>
          <w:p>
            <w:pPr>
              <w:spacing w:after="0"/>
              <w:rPr>
                <w:sz w:val="12"/>
                <w:szCs w:val="12"/>
                <w:color w:val="auto"/>
              </w:rPr>
            </w:pPr>
          </w:p>
        </w:tc>
        <w:tc>
          <w:tcPr>
            <w:tcW w:w="12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240" w:type="dxa"/>
            <w:vAlign w:val="bottom"/>
            <w:tcBorders>
              <w:top w:val="single" w:sz="8" w:color="auto"/>
              <w:bottom w:val="single" w:sz="8" w:color="auto"/>
            </w:tcBorders>
            <w:vMerge w:val="restart"/>
          </w:tcPr>
          <w:p>
            <w:pPr>
              <w:spacing w:after="0"/>
              <w:rPr>
                <w:sz w:val="12"/>
                <w:szCs w:val="12"/>
                <w:color w:val="auto"/>
              </w:rPr>
            </w:pPr>
          </w:p>
        </w:tc>
        <w:tc>
          <w:tcPr>
            <w:tcW w:w="80" w:type="dxa"/>
            <w:vAlign w:val="bottom"/>
            <w:tcBorders>
              <w:top w:val="single" w:sz="8" w:color="auto"/>
              <w:bottom w:val="single" w:sz="8" w:color="auto"/>
            </w:tcBorders>
            <w:gridSpan w:val="2"/>
            <w:vMerge w:val="restart"/>
          </w:tcPr>
          <w:p>
            <w:pPr>
              <w:spacing w:after="0"/>
              <w:rPr>
                <w:sz w:val="12"/>
                <w:szCs w:val="12"/>
                <w:color w:val="auto"/>
              </w:rPr>
            </w:pPr>
          </w:p>
        </w:tc>
        <w:tc>
          <w:tcPr>
            <w:tcW w:w="300" w:type="dxa"/>
            <w:vAlign w:val="bottom"/>
            <w:tcBorders>
              <w:top w:val="single" w:sz="8" w:color="auto"/>
              <w:bottom w:val="single" w:sz="8" w:color="auto"/>
            </w:tcBorders>
            <w:gridSpan w:val="2"/>
            <w:vMerge w:val="restart"/>
          </w:tcPr>
          <w:p>
            <w:pPr>
              <w:spacing w:after="0"/>
              <w:rPr>
                <w:sz w:val="12"/>
                <w:szCs w:val="12"/>
                <w:color w:val="auto"/>
              </w:rPr>
            </w:pPr>
          </w:p>
        </w:tc>
        <w:tc>
          <w:tcPr>
            <w:tcW w:w="64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60" w:type="dxa"/>
            <w:vAlign w:val="bottom"/>
            <w:gridSpan w:val="2"/>
            <w:vMerge w:val="restart"/>
          </w:tcPr>
          <w:p>
            <w:pPr>
              <w:spacing w:after="0"/>
              <w:rPr>
                <w:sz w:val="12"/>
                <w:szCs w:val="12"/>
                <w:color w:val="auto"/>
              </w:rPr>
            </w:pP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St. Petersburg, FL</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Class A</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Application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9/25/2024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17,500,000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17,696,568</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17,638,247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165"/>
        </w:trPr>
        <w:tc>
          <w:tcPr>
            <w:tcW w:w="2640" w:type="dxa"/>
            <w:vAlign w:val="bottom"/>
            <w:tcBorders>
              <w:bottom w:val="single" w:sz="8" w:color="auto"/>
            </w:tcBorders>
            <w:gridSpan w:val="19"/>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9"/>
              </w:rPr>
              <w:t>Learneo, Inc. (f/k/a Course Hero, Inc.)</w:t>
            </w:r>
          </w:p>
        </w:tc>
        <w:tc>
          <w:tcPr>
            <w:tcW w:w="540" w:type="dxa"/>
            <w:vAlign w:val="bottom"/>
            <w:gridSpan w:val="3"/>
          </w:tcPr>
          <w:p>
            <w:pPr>
              <w:spacing w:after="0"/>
              <w:rPr>
                <w:sz w:val="14"/>
                <w:szCs w:val="14"/>
                <w:color w:val="auto"/>
              </w:rPr>
            </w:pPr>
          </w:p>
        </w:tc>
        <w:tc>
          <w:tcPr>
            <w:tcW w:w="25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w w:val="99"/>
              </w:rPr>
              <w:t>Redwood City, CA</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Online Education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9/18/2014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2,145,509</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6,882,058</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05"/>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11/5/2021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275,659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14,999,972</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16,882,029</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auto"/>
            </w:tcBorders>
            <w:gridSpan w:val="11"/>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1940" w:type="dxa"/>
            <w:vAlign w:val="bottom"/>
            <w:gridSpan w:val="11"/>
          </w:tcPr>
          <w:p>
            <w:pPr>
              <w:spacing w:after="0"/>
              <w:rPr>
                <w:sz w:val="13"/>
                <w:szCs w:val="13"/>
                <w:color w:val="auto"/>
              </w:rPr>
            </w:pPr>
          </w:p>
        </w:tc>
        <w:tc>
          <w:tcPr>
            <w:tcW w:w="2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Pharmaceutical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238,095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5,000,423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4,998,467</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5"/>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261,944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10,003,917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10,094,048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15,004,340</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15,092,515</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9"/>
        </w:trPr>
        <w:tc>
          <w:tcPr>
            <w:tcW w:w="3180" w:type="dxa"/>
            <w:vAlign w:val="bottom"/>
            <w:gridSpan w:val="22"/>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Whoop, Inc.</w:t>
            </w:r>
          </w:p>
        </w:tc>
        <w:tc>
          <w:tcPr>
            <w:tcW w:w="2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color w:val="auto"/>
              </w:rPr>
              <w:t>Boston, MA</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Fitness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13,293,450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10,011,460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14,923,457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133"/>
        </w:trPr>
        <w:tc>
          <w:tcPr>
            <w:tcW w:w="12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ServiceTitan, Inc.</w:t>
            </w:r>
          </w:p>
        </w:tc>
        <w:tc>
          <w:tcPr>
            <w:tcW w:w="340" w:type="dxa"/>
            <w:vAlign w:val="bottom"/>
            <w:tcBorders>
              <w:bottom w:val="single" w:sz="8" w:color="auto"/>
            </w:tcBorders>
            <w:gridSpan w:val="4"/>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**(16)</w:t>
            </w:r>
          </w:p>
        </w:tc>
        <w:tc>
          <w:tcPr>
            <w:tcW w:w="300" w:type="dxa"/>
            <w:vAlign w:val="bottom"/>
            <w:gridSpan w:val="2"/>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Glendale, CA</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220" w:type="dxa"/>
            <w:vAlign w:val="bottom"/>
            <w:tcBorders>
              <w:bottom w:val="single" w:sz="8" w:color="auto"/>
            </w:tcBorders>
            <w:gridSpan w:val="10"/>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180" w:type="dxa"/>
            <w:vAlign w:val="bottom"/>
            <w:gridSpan w:val="22"/>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Contractor Management Software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151,515</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10,008,233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14,027,713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133"/>
        </w:trPr>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IH10, LLC</w:t>
            </w:r>
          </w:p>
        </w:tc>
        <w:tc>
          <w:tcPr>
            <w:tcW w:w="360" w:type="dxa"/>
            <w:vAlign w:val="bottom"/>
            <w:tcBorders>
              <w:bottom w:val="single" w:sz="8" w:color="auto"/>
            </w:tcBorders>
            <w:gridSpan w:val="4"/>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7"/>
              </w:rPr>
              <w:t>**(15)</w:t>
            </w:r>
          </w:p>
        </w:tc>
        <w:tc>
          <w:tcPr>
            <w:tcW w:w="20" w:type="dxa"/>
            <w:vAlign w:val="bottom"/>
            <w:vMerge w:val="restart"/>
          </w:tcPr>
          <w:p>
            <w:pPr>
              <w:spacing w:after="0"/>
              <w:rPr>
                <w:sz w:val="11"/>
                <w:szCs w:val="11"/>
                <w:color w:val="auto"/>
              </w:rPr>
            </w:pPr>
          </w:p>
        </w:tc>
        <w:tc>
          <w:tcPr>
            <w:tcW w:w="340" w:type="dxa"/>
            <w:vAlign w:val="bottom"/>
            <w:gridSpan w:val="3"/>
            <w:vMerge w:val="restart"/>
          </w:tcPr>
          <w:p>
            <w:pPr>
              <w:spacing w:after="0"/>
              <w:rPr>
                <w:sz w:val="11"/>
                <w:szCs w:val="11"/>
                <w:color w:val="auto"/>
              </w:rPr>
            </w:pPr>
          </w:p>
        </w:tc>
        <w:tc>
          <w:tcPr>
            <w:tcW w:w="380" w:type="dxa"/>
            <w:vAlign w:val="bottom"/>
            <w:gridSpan w:val="4"/>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60" w:type="dxa"/>
            <w:vAlign w:val="bottom"/>
            <w:tcBorders>
              <w:bottom w:val="single" w:sz="8" w:color="auto"/>
            </w:tcBorders>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10/9/2024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7"/>
              </w:rPr>
              <w:t>12,000,010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12,273,784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12,215,010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133"/>
        </w:trPr>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Canva, Inc.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120" w:type="dxa"/>
            <w:vAlign w:val="bottom"/>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340" w:type="dxa"/>
            <w:vAlign w:val="bottom"/>
            <w:gridSpan w:val="3"/>
            <w:vMerge w:val="restart"/>
          </w:tcPr>
          <w:p>
            <w:pPr>
              <w:spacing w:after="0"/>
              <w:rPr>
                <w:sz w:val="11"/>
                <w:szCs w:val="11"/>
                <w:color w:val="auto"/>
              </w:rPr>
            </w:pPr>
          </w:p>
        </w:tc>
        <w:tc>
          <w:tcPr>
            <w:tcW w:w="380" w:type="dxa"/>
            <w:vAlign w:val="bottom"/>
            <w:gridSpan w:val="4"/>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460" w:type="dxa"/>
            <w:vAlign w:val="bottom"/>
            <w:gridSpan w:val="2"/>
            <w:vMerge w:val="restart"/>
          </w:tcPr>
          <w:p>
            <w:pPr>
              <w:spacing w:after="0"/>
              <w:rPr>
                <w:sz w:val="11"/>
                <w:szCs w:val="11"/>
                <w:color w:val="auto"/>
              </w:rPr>
            </w:pPr>
          </w:p>
        </w:tc>
        <w:tc>
          <w:tcPr>
            <w:tcW w:w="2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Sydney, Australia</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tcBorders>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Productivity Software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4/17/2024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9,375</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10,058,820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12,000,000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157"/>
        </w:trPr>
        <w:tc>
          <w:tcPr>
            <w:tcW w:w="3180" w:type="dxa"/>
            <w:vAlign w:val="bottom"/>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25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Chicago, IL</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Supply Chain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7/7/2023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1,398,024</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8,530,389</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11,716,925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157"/>
        </w:trPr>
        <w:tc>
          <w:tcPr>
            <w:tcW w:w="3180" w:type="dxa"/>
            <w:vAlign w:val="bottom"/>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Locus Robotics Corp.</w:t>
            </w:r>
          </w:p>
        </w:tc>
        <w:tc>
          <w:tcPr>
            <w:tcW w:w="25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w w:val="98"/>
              </w:rPr>
              <w:t>Wilmington, MA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Warehouse Automation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232,568</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10,004,286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11,316,312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165"/>
        </w:trPr>
        <w:tc>
          <w:tcPr>
            <w:tcW w:w="1140" w:type="dxa"/>
            <w:vAlign w:val="bottom"/>
            <w:tcBorders>
              <w:bottom w:val="single" w:sz="8" w:color="auto"/>
            </w:tcBorders>
            <w:gridSpan w:val="9"/>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CoreWeave, Inc.</w:t>
            </w:r>
          </w:p>
        </w:tc>
        <w:tc>
          <w:tcPr>
            <w:tcW w:w="2040" w:type="dxa"/>
            <w:vAlign w:val="bottom"/>
            <w:gridSpan w:val="13"/>
          </w:tcPr>
          <w:p>
            <w:pPr>
              <w:spacing w:after="0"/>
              <w:rPr>
                <w:sz w:val="14"/>
                <w:szCs w:val="14"/>
                <w:color w:val="auto"/>
              </w:rPr>
            </w:pPr>
          </w:p>
        </w:tc>
        <w:tc>
          <w:tcPr>
            <w:tcW w:w="25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color w:val="auto"/>
              </w:rPr>
              <w:t>Roseland, NJ</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AI Infrastructure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9/26/2024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5,002,973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5,221,824</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5"/>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10/8/2024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5,000,610</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5,221,824</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10,003,583</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10,443,648</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7"/>
        </w:trPr>
        <w:tc>
          <w:tcPr>
            <w:tcW w:w="3180" w:type="dxa"/>
            <w:vAlign w:val="bottom"/>
            <w:gridSpan w:val="22"/>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Supplying Demand, Inc. (d/b/a Liquid</w:t>
            </w:r>
          </w:p>
        </w:tc>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00" w:type="dxa"/>
            <w:vAlign w:val="bottom"/>
            <w:tcBorders>
              <w:top w:val="single" w:sz="8" w:color="auto"/>
            </w:tcBorders>
            <w:gridSpan w:val="18"/>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Death)</w:t>
            </w:r>
          </w:p>
        </w:tc>
        <w:tc>
          <w:tcPr>
            <w:tcW w:w="580" w:type="dxa"/>
            <w:vAlign w:val="bottom"/>
            <w:gridSpan w:val="4"/>
          </w:tcPr>
          <w:p>
            <w:pPr>
              <w:spacing w:after="0"/>
              <w:rPr>
                <w:sz w:val="15"/>
                <w:szCs w:val="15"/>
                <w:color w:val="auto"/>
              </w:rPr>
            </w:pPr>
          </w:p>
        </w:tc>
        <w:tc>
          <w:tcPr>
            <w:tcW w:w="254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color w:val="auto"/>
              </w:rPr>
              <w:t>Los Angeles, CA</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Lifestyle Beverage Brand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1/18/2024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776,747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10,003,934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165"/>
        </w:trPr>
        <w:tc>
          <w:tcPr>
            <w:tcW w:w="3180" w:type="dxa"/>
            <w:vAlign w:val="bottom"/>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Shogun Enterprises, Inc. (d/b/a Hearth)</w:t>
            </w:r>
          </w:p>
        </w:tc>
        <w:tc>
          <w:tcPr>
            <w:tcW w:w="25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9"/>
              </w:rPr>
              <w:t>Austin, TX</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20" w:type="dxa"/>
            <w:vAlign w:val="bottom"/>
            <w:tcBorders>
              <w:top w:val="single" w:sz="8" w:color="auto"/>
            </w:tcBorders>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460" w:type="dxa"/>
            <w:vAlign w:val="bottom"/>
            <w:gridSpan w:val="2"/>
            <w:shd w:val="clear" w:color="auto" w:fill="CCEEFF"/>
          </w:tcPr>
          <w:p>
            <w:pPr>
              <w:spacing w:after="0"/>
              <w:rPr>
                <w:sz w:val="17"/>
                <w:szCs w:val="17"/>
                <w:color w:val="auto"/>
              </w:rPr>
            </w:pPr>
          </w:p>
        </w:tc>
        <w:tc>
          <w:tcPr>
            <w:tcW w:w="2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Home Improvement Finance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436,844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3,501,657</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2,342,458</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3"/>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301,750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3,501,661</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2,342,461</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3"/>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56,936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530,822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355,264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3"/>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48,267</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366,606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334,636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76"/>
        </w:trPr>
        <w:tc>
          <w:tcPr>
            <w:tcW w:w="3180" w:type="dxa"/>
            <w:vAlign w:val="bottom"/>
            <w:gridSpan w:val="2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Common Warrants, Strike Price $0.01,</w:t>
            </w: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7/12/2026</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86,076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140,060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22"/>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8,040,806</w:t>
            </w:r>
          </w:p>
        </w:tc>
        <w:tc>
          <w:tcPr>
            <w:tcW w:w="3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5,374,819</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gridSpan w:val="16"/>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8"/>
              </w:rPr>
              <w:t>Orchard Technologies, Inc.</w:t>
            </w:r>
          </w:p>
        </w:tc>
        <w:tc>
          <w:tcPr>
            <w:tcW w:w="1320" w:type="dxa"/>
            <w:vAlign w:val="bottom"/>
            <w:tcBorders>
              <w:bottom w:val="single" w:sz="8" w:color="CCEEFF"/>
            </w:tcBorders>
            <w:gridSpan w:val="6"/>
            <w:shd w:val="clear" w:color="auto" w:fill="CCEEFF"/>
          </w:tcPr>
          <w:p>
            <w:pPr>
              <w:spacing w:after="0"/>
              <w:rPr>
                <w:sz w:val="14"/>
                <w:szCs w:val="14"/>
                <w:color w:val="auto"/>
              </w:rPr>
            </w:pPr>
          </w:p>
        </w:tc>
        <w:tc>
          <w:tcPr>
            <w:tcW w:w="2540" w:type="dxa"/>
            <w:vAlign w:val="bottom"/>
            <w:tcBorders>
              <w:bottom w:val="single" w:sz="8" w:color="CCEEFF"/>
            </w:tcBorders>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Real Estate Platform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558,052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30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2 8%</w:t>
            </w: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58,771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587,951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441,228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4,418,406</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4,412,280</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5"/>
        </w:trPr>
        <w:tc>
          <w:tcPr>
            <w:tcW w:w="3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558,053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22"/>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12,509,393</w:t>
            </w:r>
          </w:p>
        </w:tc>
        <w:tc>
          <w:tcPr>
            <w:tcW w:w="3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4,412,280</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65"/>
        </w:trPr>
        <w:tc>
          <w:tcPr>
            <w:tcW w:w="318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Neutron Holdings, Inc. (d/b/a/ Lime)</w:t>
            </w:r>
          </w:p>
        </w:tc>
        <w:tc>
          <w:tcPr>
            <w:tcW w:w="25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0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680" w:type="dxa"/>
            <w:vAlign w:val="bottom"/>
            <w:tcBorders>
              <w:top w:val="single" w:sz="8" w:color="CCEEFF"/>
            </w:tcBorders>
            <w:gridSpan w:val="5"/>
          </w:tcPr>
          <w:p>
            <w:pPr>
              <w:spacing w:after="0"/>
              <w:rPr>
                <w:sz w:val="16"/>
                <w:szCs w:val="16"/>
                <w:color w:val="auto"/>
              </w:rPr>
            </w:pPr>
          </w:p>
        </w:tc>
        <w:tc>
          <w:tcPr>
            <w:tcW w:w="254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Micromobility</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1/25/2019</w:t>
            </w: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7"/>
              </w:rPr>
              <w:t>41,237,113</w:t>
            </w:r>
          </w:p>
        </w:tc>
        <w:tc>
          <w:tcPr>
            <w:tcW w:w="114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10,007,322</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3,485,014</w:t>
            </w:r>
          </w:p>
        </w:tc>
        <w:tc>
          <w:tcPr>
            <w:tcW w:w="3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80"/>
        </w:trPr>
        <w:tc>
          <w:tcPr>
            <w:tcW w:w="3180" w:type="dxa"/>
            <w:vAlign w:val="bottom"/>
            <w:gridSpan w:val="2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Junior Preferred Convertible Note 4% Due</w:t>
            </w:r>
          </w:p>
        </w:tc>
        <w:tc>
          <w:tcPr>
            <w:tcW w:w="2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920" w:type="dxa"/>
            <w:vAlign w:val="bottom"/>
            <w:gridSpan w:val="6"/>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w w:val="98"/>
              </w:rPr>
              <w:t>5/11/2027</w:t>
            </w:r>
            <w:r>
              <w:rPr>
                <w:rFonts w:ascii="Times New Roman" w:cs="Times New Roman" w:eastAsia="Times New Roman" w:hAnsi="Times New Roman"/>
                <w:sz w:val="26"/>
                <w:szCs w:val="26"/>
                <w:color w:val="auto"/>
                <w:w w:val="98"/>
                <w:vertAlign w:val="superscript"/>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506,339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76"/>
        </w:trPr>
        <w:tc>
          <w:tcPr>
            <w:tcW w:w="3180" w:type="dxa"/>
            <w:vAlign w:val="bottom"/>
            <w:gridSpan w:val="22"/>
          </w:tcPr>
          <w:p>
            <w:pPr>
              <w:spacing w:after="0" w:line="177" w:lineRule="exact"/>
              <w:rPr>
                <w:sz w:val="20"/>
                <w:szCs w:val="20"/>
                <w:color w:val="auto"/>
              </w:rPr>
            </w:pPr>
            <w:r>
              <w:rPr>
                <w:rFonts w:ascii="Times New Roman" w:cs="Times New Roman" w:eastAsia="Times New Roman" w:hAnsi="Times New Roman"/>
                <w:sz w:val="16"/>
                <w:szCs w:val="16"/>
                <w:color w:val="auto"/>
              </w:rPr>
              <w:t>Common Warrants, Strike Price $0.01,</w:t>
            </w: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8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Expiration Date 5/11/2027</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2,032,967</w:t>
            </w: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gridSpan w:val="2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10,513,661</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ectPr>
          <w:pgSz w:w="11900" w:h="16838" w:orient="portrait"/>
          <w:cols w:equalWidth="0" w:num="1">
            <w:col w:w="11260"/>
          </w:cols>
          <w:pgMar w:left="320" w:top="220" w:right="319" w:bottom="1440"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00" w:type="dxa"/>
            <w:vAlign w:val="bottom"/>
          </w:tcPr>
          <w:p>
            <w:pPr>
              <w:spacing w:after="0"/>
              <w:rPr>
                <w:sz w:val="16"/>
                <w:szCs w:val="16"/>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41"/>
        </w:trPr>
        <w:tc>
          <w:tcPr>
            <w:tcW w:w="298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00" w:type="dxa"/>
            <w:vAlign w:val="bottom"/>
          </w:tcPr>
          <w:p>
            <w:pPr>
              <w:spacing w:after="0"/>
              <w:rPr>
                <w:sz w:val="20"/>
                <w:szCs w:val="20"/>
                <w:color w:val="auto"/>
              </w:rPr>
            </w:pPr>
          </w:p>
        </w:tc>
        <w:tc>
          <w:tcPr>
            <w:tcW w:w="1100" w:type="dxa"/>
            <w:vAlign w:val="bottom"/>
            <w:gridSpan w:val="3"/>
          </w:tcPr>
          <w:p>
            <w:pPr>
              <w:spacing w:after="0" w:line="241" w:lineRule="exact"/>
              <w:rPr>
                <w:sz w:val="20"/>
                <w:szCs w:val="20"/>
                <w:color w:val="auto"/>
              </w:rPr>
            </w:pPr>
            <w:r>
              <w:rPr>
                <w:rFonts w:ascii="Times New Roman" w:cs="Times New Roman" w:eastAsia="Times New Roman" w:hAnsi="Times New Roman"/>
                <w:sz w:val="16"/>
                <w:szCs w:val="16"/>
                <w:b w:val="1"/>
                <w:bCs w:val="1"/>
                <w:color w:val="auto"/>
              </w:rPr>
              <w:t>Quantity</w:t>
            </w:r>
            <w:r>
              <w:rPr>
                <w:rFonts w:ascii="Times New Roman" w:cs="Times New Roman" w:eastAsia="Times New Roman" w:hAnsi="Times New Roman"/>
                <w:sz w:val="26"/>
                <w:szCs w:val="26"/>
                <w:b w:val="1"/>
                <w:bCs w:val="1"/>
                <w:color w:val="auto"/>
                <w:vertAlign w:val="superscript"/>
              </w:rPr>
              <w:t>(5)</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25"/>
        </w:trPr>
        <w:tc>
          <w:tcPr>
            <w:tcW w:w="2480" w:type="dxa"/>
            <w:vAlign w:val="bottom"/>
            <w:tcBorders>
              <w:top w:val="single" w:sz="8" w:color="auto"/>
              <w:bottom w:val="single" w:sz="8" w:color="auto"/>
            </w:tcBorders>
            <w:gridSpan w:val="21"/>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True Global Ventures 4 Plus Pte Ltd</w:t>
            </w:r>
          </w:p>
        </w:tc>
        <w:tc>
          <w:tcPr>
            <w:tcW w:w="360" w:type="dxa"/>
            <w:vAlign w:val="bottom"/>
            <w:tcBorders>
              <w:top w:val="single" w:sz="8" w:color="auto"/>
              <w:bottom w:val="single" w:sz="8" w:color="auto"/>
            </w:tcBorders>
            <w:gridSpan w:val="4"/>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7"/>
              </w:rPr>
              <w:t>**(10)</w:t>
            </w:r>
          </w:p>
        </w:tc>
        <w:tc>
          <w:tcPr>
            <w:tcW w:w="8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380" w:type="dxa"/>
            <w:vAlign w:val="bottom"/>
            <w:tcBorders>
              <w:top w:val="single" w:sz="8" w:color="auto"/>
              <w:bottom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Singapore, Singapore</w:t>
            </w:r>
          </w:p>
        </w:tc>
        <w:tc>
          <w:tcPr>
            <w:tcW w:w="22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1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480" w:type="dxa"/>
            <w:vAlign w:val="bottom"/>
            <w:tcBorders>
              <w:bottom w:val="single" w:sz="8" w:color="auto"/>
            </w:tcBorders>
            <w:gridSpan w:val="21"/>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23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Limited Partner Fund Investment</w:t>
            </w: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Venture Investment Fund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8/27/2021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2,000,000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585,016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3,489,005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gridSpan w:val="5"/>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PayJoy, Inc.</w:t>
            </w:r>
          </w:p>
        </w:tc>
        <w:tc>
          <w:tcPr>
            <w:tcW w:w="2340" w:type="dxa"/>
            <w:vAlign w:val="bottom"/>
            <w:tcBorders>
              <w:bottom w:val="single" w:sz="8" w:color="CCEEFF"/>
            </w:tcBorders>
            <w:gridSpan w:val="25"/>
            <w:shd w:val="clear" w:color="auto" w:fill="CCEEFF"/>
          </w:tcPr>
          <w:p>
            <w:pPr>
              <w:spacing w:after="0"/>
              <w:rPr>
                <w:sz w:val="15"/>
                <w:szCs w:val="15"/>
                <w:color w:val="auto"/>
              </w:rPr>
            </w:pPr>
          </w:p>
        </w:tc>
        <w:tc>
          <w:tcPr>
            <w:tcW w:w="2600" w:type="dxa"/>
            <w:vAlign w:val="bottom"/>
            <w:tcBorders>
              <w:bottom w:val="single" w:sz="8" w:color="CCEEFF"/>
            </w:tcBorders>
            <w:gridSpan w:val="2"/>
            <w:shd w:val="clear" w:color="auto" w:fill="CCEEFF"/>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Mobile Access 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7/23/2021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244,117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2,501,570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2,500,002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5"/>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501,470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85"/>
        </w:trPr>
        <w:tc>
          <w:tcPr>
            <w:tcW w:w="1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gridSpan w:val="29"/>
          </w:tcPr>
          <w:p>
            <w:pPr>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3,003,040</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3,000,002</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3"/>
        </w:trPr>
        <w:tc>
          <w:tcPr>
            <w:tcW w:w="660" w:type="dxa"/>
            <w:vAlign w:val="bottom"/>
            <w:tcBorders>
              <w:bottom w:val="single" w:sz="8" w:color="CCEEFF"/>
            </w:tcBorders>
            <w:gridSpan w:val="3"/>
            <w:vMerge w:val="restart"/>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5"/>
              </w:rPr>
              <w:t>Trax Ltd.</w:t>
            </w:r>
          </w:p>
        </w:tc>
        <w:tc>
          <w:tcPr>
            <w:tcW w:w="120" w:type="dxa"/>
            <w:vAlign w:val="bottom"/>
            <w:tcBorders>
              <w:bottom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5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280" w:type="dxa"/>
            <w:vAlign w:val="bottom"/>
            <w:tcBorders>
              <w:bottom w:val="single" w:sz="8" w:color="CCEEFF"/>
            </w:tcBorders>
            <w:gridSpan w:val="2"/>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2600" w:type="dxa"/>
            <w:vAlign w:val="bottom"/>
            <w:tcBorders>
              <w:bottom w:val="single" w:sz="8" w:color="CCEEFF"/>
            </w:tcBorders>
            <w:gridSpan w:val="2"/>
            <w:vMerge w:val="restart"/>
            <w:shd w:val="clear" w:color="auto" w:fill="CCEEFF"/>
          </w:tcPr>
          <w:p>
            <w:pPr>
              <w:jc w:val="center"/>
              <w:ind w:right="220"/>
              <w:spacing w:after="0" w:line="173" w:lineRule="exact"/>
              <w:rPr>
                <w:sz w:val="20"/>
                <w:szCs w:val="20"/>
                <w:color w:val="auto"/>
              </w:rPr>
            </w:pPr>
            <w:r>
              <w:rPr>
                <w:rFonts w:ascii="Times New Roman" w:cs="Times New Roman" w:eastAsia="Times New Roman" w:hAnsi="Times New Roman"/>
                <w:sz w:val="16"/>
                <w:szCs w:val="16"/>
                <w:color w:val="auto"/>
              </w:rPr>
              <w:t>Singapore, Singapore</w:t>
            </w:r>
          </w:p>
        </w:tc>
        <w:tc>
          <w:tcPr>
            <w:tcW w:w="1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60" w:type="dxa"/>
            <w:vAlign w:val="bottom"/>
            <w:tcBorders>
              <w:bottom w:val="single" w:sz="8" w:color="auto"/>
            </w:tcBorders>
            <w:gridSpan w:val="3"/>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2600" w:type="dxa"/>
            <w:vAlign w:val="bottom"/>
            <w:tcBorders>
              <w:bottom w:val="single" w:sz="8" w:color="CCEEFF"/>
            </w:tcBorders>
            <w:gridSpan w:val="2"/>
            <w:vMerge w:val="continue"/>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180" w:type="dxa"/>
            <w:vAlign w:val="bottom"/>
            <w:tcBorders>
              <w:top w:val="single" w:sz="8" w:color="CCEEFF"/>
            </w:tcBorders>
            <w:gridSpan w:val="30"/>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60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Retail Technology</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55,591</w:t>
            </w:r>
          </w:p>
        </w:tc>
        <w:tc>
          <w:tcPr>
            <w:tcW w:w="11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2,781,148</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83,306</w:t>
            </w:r>
          </w:p>
        </w:tc>
        <w:tc>
          <w:tcPr>
            <w:tcW w:w="8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5"/>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144,409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7,224,600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2,647,017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85"/>
        </w:trPr>
        <w:tc>
          <w:tcPr>
            <w:tcW w:w="1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gridSpan w:val="29"/>
          </w:tcPr>
          <w:p>
            <w:pPr>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10,005,748</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2,730,323</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3"/>
        </w:trPr>
        <w:tc>
          <w:tcPr>
            <w:tcW w:w="2780" w:type="dxa"/>
            <w:vAlign w:val="bottom"/>
            <w:tcBorders>
              <w:bottom w:val="single" w:sz="8" w:color="CCEEFF"/>
            </w:tcBorders>
            <w:gridSpan w:val="24"/>
            <w:vMerge w:val="restart"/>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9"/>
              </w:rPr>
              <w:t>Xgroup Holdings Limited (d/b/a Xpoint)</w:t>
            </w:r>
          </w:p>
        </w:tc>
        <w:tc>
          <w:tcPr>
            <w:tcW w:w="140" w:type="dxa"/>
            <w:vAlign w:val="bottom"/>
            <w:tcBorders>
              <w:bottom w:val="single" w:sz="8" w:color="auto"/>
            </w:tcBorders>
            <w:gridSpan w:val="2"/>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(7)</w:t>
            </w: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20" w:type="dxa"/>
            <w:vAlign w:val="bottom"/>
            <w:tcBorders>
              <w:bottom w:val="single" w:sz="8" w:color="CCEEFF"/>
            </w:tcBorders>
            <w:gridSpan w:val="2"/>
            <w:vMerge w:val="restart"/>
            <w:shd w:val="clear" w:color="auto" w:fill="CCEEFF"/>
          </w:tcPr>
          <w:p>
            <w:pPr>
              <w:spacing w:after="0"/>
              <w:rPr>
                <w:sz w:val="9"/>
                <w:szCs w:val="9"/>
                <w:color w:val="auto"/>
              </w:rPr>
            </w:pPr>
          </w:p>
        </w:tc>
        <w:tc>
          <w:tcPr>
            <w:tcW w:w="260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Philadelphia, PA</w:t>
            </w:r>
          </w:p>
        </w:tc>
        <w:tc>
          <w:tcPr>
            <w:tcW w:w="1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780" w:type="dxa"/>
            <w:vAlign w:val="bottom"/>
            <w:tcBorders>
              <w:bottom w:val="single" w:sz="8" w:color="auto"/>
            </w:tcBorders>
            <w:gridSpan w:val="24"/>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gridSpan w:val="2"/>
            <w:vMerge w:val="continue"/>
            <w:shd w:val="clear" w:color="auto" w:fill="CCEEFF"/>
          </w:tcPr>
          <w:p>
            <w:pPr>
              <w:spacing w:after="0"/>
              <w:rPr>
                <w:sz w:val="3"/>
                <w:szCs w:val="3"/>
                <w:color w:val="auto"/>
              </w:rPr>
            </w:pPr>
          </w:p>
        </w:tc>
        <w:tc>
          <w:tcPr>
            <w:tcW w:w="2600" w:type="dxa"/>
            <w:vAlign w:val="bottom"/>
            <w:tcBorders>
              <w:bottom w:val="single" w:sz="8" w:color="CCEEFF"/>
            </w:tcBorders>
            <w:gridSpan w:val="2"/>
            <w:vMerge w:val="continue"/>
            <w:shd w:val="clear" w:color="auto" w:fill="CCEEFF"/>
          </w:tcPr>
          <w:p>
            <w:pPr>
              <w:spacing w:after="0"/>
              <w:rPr>
                <w:sz w:val="3"/>
                <w:szCs w:val="3"/>
                <w:color w:val="auto"/>
              </w:rPr>
            </w:pPr>
          </w:p>
        </w:tc>
        <w:tc>
          <w:tcPr>
            <w:tcW w:w="110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66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6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20" w:type="dxa"/>
            <w:vAlign w:val="bottom"/>
            <w:tcBorders>
              <w:bottom w:val="single" w:sz="8" w:color="auto"/>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w w:val="92"/>
              </w:rPr>
              <w:t>(12)</w:t>
            </w: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2"/>
            <w:vMerge w:val="continue"/>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Geolocation 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136,114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161,862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76"/>
        </w:trPr>
        <w:tc>
          <w:tcPr>
            <w:tcW w:w="3180" w:type="dxa"/>
            <w:vAlign w:val="bottom"/>
            <w:gridSpan w:val="30"/>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Series A-1 Warrants, Strike Price $0.0001,</w:t>
            </w:r>
          </w:p>
        </w:tc>
        <w:tc>
          <w:tcPr>
            <w:tcW w:w="2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5/14/2044</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3,286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985,180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1,171,540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176"/>
        </w:trPr>
        <w:tc>
          <w:tcPr>
            <w:tcW w:w="3180" w:type="dxa"/>
            <w:vAlign w:val="bottom"/>
            <w:gridSpan w:val="30"/>
          </w:tcPr>
          <w:p>
            <w:pPr>
              <w:spacing w:after="0" w:line="177" w:lineRule="exact"/>
              <w:rPr>
                <w:sz w:val="20"/>
                <w:szCs w:val="20"/>
                <w:color w:val="auto"/>
              </w:rPr>
            </w:pPr>
            <w:r>
              <w:rPr>
                <w:rFonts w:ascii="Times New Roman" w:cs="Times New Roman" w:eastAsia="Times New Roman" w:hAnsi="Times New Roman"/>
                <w:sz w:val="16"/>
                <w:szCs w:val="16"/>
                <w:color w:val="auto"/>
              </w:rPr>
              <w:t>Series A Warrants, Strike Price $0.0001,</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Expiration Date 5/14/2044</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261,735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324,931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85"/>
        </w:trPr>
        <w:tc>
          <w:tcPr>
            <w:tcW w:w="16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1,383,029</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1,658,333</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7"/>
        </w:trPr>
        <w:tc>
          <w:tcPr>
            <w:tcW w:w="2780" w:type="dxa"/>
            <w:vAlign w:val="bottom"/>
            <w:tcBorders>
              <w:bottom w:val="single" w:sz="8" w:color="auto"/>
            </w:tcBorders>
            <w:gridSpan w:val="24"/>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9"/>
              </w:rPr>
              <w:t>PSQ Holdings, Inc. (d/b/a PublicSquare)</w:t>
            </w:r>
          </w:p>
        </w:tc>
        <w:tc>
          <w:tcPr>
            <w:tcW w:w="400" w:type="dxa"/>
            <w:vAlign w:val="bottom"/>
            <w:gridSpan w:val="6"/>
          </w:tcPr>
          <w:p>
            <w:pPr>
              <w:spacing w:after="0"/>
              <w:rPr>
                <w:sz w:val="13"/>
                <w:szCs w:val="13"/>
                <w:color w:val="auto"/>
              </w:rPr>
            </w:pPr>
          </w:p>
        </w:tc>
        <w:tc>
          <w:tcPr>
            <w:tcW w:w="2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color w:val="auto"/>
                <w:w w:val="98"/>
              </w:rPr>
              <w:t>West Palm Beach, FL</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Warrants, Strike Price $11.50,</w:t>
            </w:r>
          </w:p>
        </w:tc>
        <w:tc>
          <w:tcPr>
            <w:tcW w:w="2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180" w:type="dxa"/>
            <w:vAlign w:val="bottom"/>
            <w:gridSpan w:val="30"/>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Expiration Date 7/19/2028</w:t>
            </w:r>
            <w:r>
              <w:rPr>
                <w:rFonts w:ascii="Times New Roman" w:cs="Times New Roman" w:eastAsia="Times New Roman" w:hAnsi="Times New Roman"/>
                <w:sz w:val="26"/>
                <w:szCs w:val="26"/>
                <w:color w:val="auto"/>
                <w:vertAlign w:val="superscript"/>
              </w:rPr>
              <w:t>(3)</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E-Commerce Marketplace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1,796,037</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771,065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1,436,830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57"/>
        </w:trPr>
        <w:tc>
          <w:tcPr>
            <w:tcW w:w="3180" w:type="dxa"/>
            <w:vAlign w:val="bottom"/>
            <w:gridSpan w:val="3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Residential Homes for Rent, LLC (d/b/a</w:t>
            </w: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Borders>
              <w:top w:val="single" w:sz="8" w:color="auto"/>
              <w:bottom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Second Avenue)</w:t>
            </w:r>
          </w:p>
        </w:tc>
        <w:tc>
          <w:tcPr>
            <w:tcW w:w="220" w:type="dxa"/>
            <w:vAlign w:val="bottom"/>
            <w:tcBorders>
              <w:top w:val="single" w:sz="8" w:color="auto"/>
              <w:bottom w:val="single" w:sz="8" w:color="auto"/>
            </w:tcBorders>
            <w:gridSpan w:val="4"/>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2"/>
              </w:rPr>
              <w:t>(11)</w:t>
            </w:r>
          </w:p>
        </w:tc>
        <w:tc>
          <w:tcPr>
            <w:tcW w:w="2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50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280" w:type="dxa"/>
            <w:vAlign w:val="bottom"/>
            <w:tcBorders>
              <w:top w:val="single" w:sz="8" w:color="auto"/>
              <w:bottom w:val="single" w:sz="8" w:color="auto"/>
            </w:tcBorders>
            <w:gridSpan w:val="2"/>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20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Chicago, IL</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080" w:type="dxa"/>
            <w:vAlign w:val="bottom"/>
            <w:tcBorders>
              <w:bottom w:val="single" w:sz="8" w:color="auto"/>
            </w:tcBorders>
            <w:gridSpan w:val="7"/>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260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Real Estate Platform</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12/23/2020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1,500,000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1,431,967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33"/>
        </w:trPr>
        <w:tc>
          <w:tcPr>
            <w:tcW w:w="118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Varo Money, Inc.</w:t>
            </w:r>
          </w:p>
        </w:tc>
        <w:tc>
          <w:tcPr>
            <w:tcW w:w="140" w:type="dxa"/>
            <w:vAlign w:val="bottom"/>
            <w:tcBorders>
              <w:bottom w:val="single" w:sz="8" w:color="auto"/>
            </w:tcBorders>
            <w:gridSpan w:val="4"/>
          </w:tcPr>
          <w:p>
            <w:pPr>
              <w:jc w:val="right"/>
              <w:ind w:right="20"/>
              <w:spacing w:after="0" w:line="113"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5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280" w:type="dxa"/>
            <w:vAlign w:val="bottom"/>
            <w:gridSpan w:val="2"/>
            <w:vMerge w:val="restart"/>
          </w:tcPr>
          <w:p>
            <w:pPr>
              <w:spacing w:after="0"/>
              <w:rPr>
                <w:sz w:val="11"/>
                <w:szCs w:val="11"/>
                <w:color w:val="auto"/>
              </w:rPr>
            </w:pPr>
          </w:p>
        </w:tc>
        <w:tc>
          <w:tcPr>
            <w:tcW w:w="360" w:type="dxa"/>
            <w:vAlign w:val="bottom"/>
            <w:gridSpan w:val="5"/>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gridSpan w:val="2"/>
            <w:vMerge w:val="restart"/>
          </w:tcPr>
          <w:p>
            <w:pPr>
              <w:spacing w:after="0"/>
              <w:rPr>
                <w:sz w:val="11"/>
                <w:szCs w:val="11"/>
                <w:color w:val="auto"/>
              </w:rPr>
            </w:pP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180" w:type="dxa"/>
            <w:vAlign w:val="bottom"/>
            <w:tcBorders>
              <w:bottom w:val="single" w:sz="8" w:color="auto"/>
            </w:tcBorders>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6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60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Financial Services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1,079,266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10,005,548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1,347,058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auto"/>
            </w:tcBorders>
            <w:gridSpan w:val="6"/>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Skillsoft Corp.</w:t>
            </w:r>
          </w:p>
        </w:tc>
        <w:tc>
          <w:tcPr>
            <w:tcW w:w="2180" w:type="dxa"/>
            <w:vAlign w:val="bottom"/>
            <w:gridSpan w:val="24"/>
          </w:tcPr>
          <w:p>
            <w:pPr>
              <w:spacing w:after="0"/>
              <w:rPr>
                <w:sz w:val="14"/>
                <w:szCs w:val="14"/>
                <w:color w:val="auto"/>
              </w:rPr>
            </w:pPr>
          </w:p>
        </w:tc>
        <w:tc>
          <w:tcPr>
            <w:tcW w:w="26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Nashua, NH</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gridSpan w:val="30"/>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Online Education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49,092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9,818,428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1,176,244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57"/>
        </w:trPr>
        <w:tc>
          <w:tcPr>
            <w:tcW w:w="2580" w:type="dxa"/>
            <w:vAlign w:val="bottom"/>
            <w:tcBorders>
              <w:bottom w:val="single" w:sz="8" w:color="auto"/>
            </w:tcBorders>
            <w:gridSpan w:val="22"/>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9"/>
              </w:rPr>
              <w:t>Commercial Streaming Solutions Inc.</w:t>
            </w:r>
          </w:p>
        </w:tc>
        <w:tc>
          <w:tcPr>
            <w:tcW w:w="600" w:type="dxa"/>
            <w:vAlign w:val="bottom"/>
            <w:gridSpan w:val="8"/>
          </w:tcPr>
          <w:p>
            <w:pPr>
              <w:spacing w:after="0"/>
              <w:rPr>
                <w:sz w:val="13"/>
                <w:szCs w:val="13"/>
                <w:color w:val="auto"/>
              </w:rPr>
            </w:pP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(d/b/a BettorView)</w:t>
            </w:r>
          </w:p>
        </w:tc>
        <w:tc>
          <w:tcPr>
            <w:tcW w:w="160" w:type="dxa"/>
            <w:vAlign w:val="bottom"/>
            <w:tcBorders>
              <w:bottom w:val="single" w:sz="8" w:color="auto"/>
            </w:tcBorders>
            <w:gridSpan w:val="4"/>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78"/>
              </w:rPr>
              <w:t>(7)</w:t>
            </w: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640" w:type="dxa"/>
            <w:vAlign w:val="bottom"/>
            <w:gridSpan w:val="7"/>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Las Vegas, NV</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gridSpan w:val="10"/>
            <w:vMerge w:val="continue"/>
          </w:tcPr>
          <w:p>
            <w:pPr>
              <w:spacing w:after="0"/>
              <w:rPr>
                <w:sz w:val="4"/>
                <w:szCs w:val="4"/>
                <w:color w:val="auto"/>
              </w:rPr>
            </w:pPr>
          </w:p>
        </w:tc>
        <w:tc>
          <w:tcPr>
            <w:tcW w:w="1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gridSpan w:val="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60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Interactive Media &amp; Services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1,004,240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165"/>
        </w:trPr>
        <w:tc>
          <w:tcPr>
            <w:tcW w:w="2100" w:type="dxa"/>
            <w:vAlign w:val="bottom"/>
            <w:tcBorders>
              <w:bottom w:val="single" w:sz="8" w:color="auto"/>
            </w:tcBorders>
            <w:gridSpan w:val="17"/>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Aventine Property Group, Inc.</w:t>
            </w:r>
          </w:p>
        </w:tc>
        <w:tc>
          <w:tcPr>
            <w:tcW w:w="1080" w:type="dxa"/>
            <w:vAlign w:val="bottom"/>
            <w:gridSpan w:val="13"/>
          </w:tcPr>
          <w:p>
            <w:pPr>
              <w:spacing w:after="0"/>
              <w:rPr>
                <w:sz w:val="14"/>
                <w:szCs w:val="14"/>
                <w:color w:val="auto"/>
              </w:rPr>
            </w:pPr>
          </w:p>
        </w:tc>
        <w:tc>
          <w:tcPr>
            <w:tcW w:w="26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rPr>
              <w:t>Chicago, IL</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gridSpan w:val="30"/>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Cannabis REIT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9/11/2019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312,500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2,580,750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962,341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57"/>
        </w:trPr>
        <w:tc>
          <w:tcPr>
            <w:tcW w:w="3180" w:type="dxa"/>
            <w:vAlign w:val="bottom"/>
            <w:gridSpan w:val="3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Forge Global, Inc.</w:t>
            </w:r>
          </w:p>
        </w:tc>
        <w:tc>
          <w:tcPr>
            <w:tcW w:w="26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rPr>
              <w:t>San Francisco, CA</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gridSpan w:val="30"/>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Online Marketplace Finance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7/20/2011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1,020,875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1,978,921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950,333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157"/>
        </w:trPr>
        <w:tc>
          <w:tcPr>
            <w:tcW w:w="3180" w:type="dxa"/>
            <w:vAlign w:val="bottom"/>
            <w:gridSpan w:val="3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Stake Trade, Inc. (d/b/a Prophet Exchange)</w:t>
            </w: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New York, NY</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(7)</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Sports Betting</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7/26/2023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1,002,153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862,362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33"/>
        </w:trPr>
        <w:tc>
          <w:tcPr>
            <w:tcW w:w="142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EDGE Markets, Inc.</w:t>
            </w:r>
          </w:p>
        </w:tc>
        <w:tc>
          <w:tcPr>
            <w:tcW w:w="16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(7)</w:t>
            </w:r>
          </w:p>
        </w:tc>
        <w:tc>
          <w:tcPr>
            <w:tcW w:w="20" w:type="dxa"/>
            <w:vAlign w:val="bottom"/>
            <w:vMerge w:val="restart"/>
          </w:tcPr>
          <w:p>
            <w:pPr>
              <w:spacing w:after="0"/>
              <w:rPr>
                <w:sz w:val="11"/>
                <w:szCs w:val="11"/>
                <w:color w:val="auto"/>
              </w:rPr>
            </w:pPr>
          </w:p>
        </w:tc>
        <w:tc>
          <w:tcPr>
            <w:tcW w:w="52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640" w:type="dxa"/>
            <w:vAlign w:val="bottom"/>
            <w:gridSpan w:val="7"/>
            <w:vMerge w:val="restart"/>
          </w:tcPr>
          <w:p>
            <w:pPr>
              <w:spacing w:after="0"/>
              <w:rPr>
                <w:sz w:val="11"/>
                <w:szCs w:val="11"/>
                <w:color w:val="auto"/>
              </w:rPr>
            </w:pPr>
          </w:p>
        </w:tc>
        <w:tc>
          <w:tcPr>
            <w:tcW w:w="240" w:type="dxa"/>
            <w:vAlign w:val="bottom"/>
            <w:gridSpan w:val="3"/>
            <w:vMerge w:val="restart"/>
          </w:tcPr>
          <w:p>
            <w:pPr>
              <w:spacing w:after="0"/>
              <w:rPr>
                <w:sz w:val="11"/>
                <w:szCs w:val="11"/>
                <w:color w:val="auto"/>
              </w:rPr>
            </w:pP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San Diego, CA</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420" w:type="dxa"/>
            <w:vAlign w:val="bottom"/>
            <w:tcBorders>
              <w:bottom w:val="single" w:sz="8" w:color="auto"/>
            </w:tcBorders>
            <w:gridSpan w:val="13"/>
            <w:vMerge w:val="continue"/>
          </w:tcPr>
          <w:p>
            <w:pPr>
              <w:spacing w:after="0"/>
              <w:rPr>
                <w:sz w:val="4"/>
                <w:szCs w:val="4"/>
                <w:color w:val="auto"/>
              </w:rPr>
            </w:pPr>
          </w:p>
        </w:tc>
        <w:tc>
          <w:tcPr>
            <w:tcW w:w="16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gridSpan w:val="7"/>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260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Gaming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456,704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501,330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33"/>
        </w:trPr>
        <w:tc>
          <w:tcPr>
            <w:tcW w:w="21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Rebric, Inc. (d/b/a Compliable)</w:t>
            </w:r>
          </w:p>
        </w:tc>
        <w:tc>
          <w:tcPr>
            <w:tcW w:w="1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2"/>
              </w:rPr>
              <w:t>(7)</w:t>
            </w:r>
          </w:p>
        </w:tc>
        <w:tc>
          <w:tcPr>
            <w:tcW w:w="640" w:type="dxa"/>
            <w:vAlign w:val="bottom"/>
            <w:gridSpan w:val="7"/>
            <w:vMerge w:val="restart"/>
          </w:tcPr>
          <w:p>
            <w:pPr>
              <w:spacing w:after="0"/>
              <w:rPr>
                <w:sz w:val="11"/>
                <w:szCs w:val="11"/>
                <w:color w:val="auto"/>
              </w:rPr>
            </w:pPr>
          </w:p>
        </w:tc>
        <w:tc>
          <w:tcPr>
            <w:tcW w:w="240" w:type="dxa"/>
            <w:vAlign w:val="bottom"/>
            <w:gridSpan w:val="3"/>
            <w:vMerge w:val="restart"/>
          </w:tcPr>
          <w:p>
            <w:pPr>
              <w:spacing w:after="0"/>
              <w:rPr>
                <w:sz w:val="11"/>
                <w:szCs w:val="11"/>
                <w:color w:val="auto"/>
              </w:rPr>
            </w:pPr>
          </w:p>
        </w:tc>
        <w:tc>
          <w:tcPr>
            <w:tcW w:w="2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Denver, CO</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auto"/>
            </w:tcBorders>
            <w:gridSpan w:val="19"/>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gridSpan w:val="7"/>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260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Seed-4</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Gaming Licensing</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10/12/2021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2,406,492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1,002,755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157,658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65"/>
        </w:trPr>
        <w:tc>
          <w:tcPr>
            <w:tcW w:w="1600" w:type="dxa"/>
            <w:vAlign w:val="bottom"/>
            <w:tcBorders>
              <w:bottom w:val="single" w:sz="8" w:color="auto"/>
            </w:tcBorders>
            <w:gridSpan w:val="16"/>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Kinetiq Holdings, LLC</w:t>
            </w:r>
          </w:p>
        </w:tc>
        <w:tc>
          <w:tcPr>
            <w:tcW w:w="1580" w:type="dxa"/>
            <w:vAlign w:val="bottom"/>
            <w:gridSpan w:val="14"/>
          </w:tcPr>
          <w:p>
            <w:pPr>
              <w:spacing w:after="0"/>
              <w:rPr>
                <w:sz w:val="14"/>
                <w:szCs w:val="14"/>
                <w:color w:val="auto"/>
              </w:rPr>
            </w:pPr>
          </w:p>
        </w:tc>
        <w:tc>
          <w:tcPr>
            <w:tcW w:w="26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7"/>
              </w:rPr>
              <w:t>Philadelphia, PA</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Social Data Platform</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3/30/2012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112,374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180" w:type="dxa"/>
            <w:vAlign w:val="bottom"/>
            <w:gridSpan w:val="30"/>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CTN Holdings, Inc. (d/b/a Catona Climate,</w:t>
            </w: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20" w:type="dxa"/>
            <w:vAlign w:val="bottom"/>
            <w:tcBorders>
              <w:top w:val="single" w:sz="8" w:color="auto"/>
              <w:bottom w:val="single" w:sz="8" w:color="auto"/>
            </w:tcBorders>
            <w:gridSpan w:val="18"/>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9"/>
              </w:rPr>
              <w:t>f/k/a Aspiration Partners, Inc.)</w:t>
            </w:r>
          </w:p>
        </w:tc>
        <w:tc>
          <w:tcPr>
            <w:tcW w:w="820" w:type="dxa"/>
            <w:vAlign w:val="bottom"/>
            <w:tcBorders>
              <w:top w:val="single" w:sz="8" w:color="auto"/>
            </w:tcBorders>
            <w:gridSpan w:val="9"/>
          </w:tcPr>
          <w:p>
            <w:pPr>
              <w:spacing w:after="0"/>
              <w:rPr>
                <w:sz w:val="15"/>
                <w:szCs w:val="15"/>
                <w:color w:val="auto"/>
              </w:rPr>
            </w:pPr>
          </w:p>
        </w:tc>
        <w:tc>
          <w:tcPr>
            <w:tcW w:w="240" w:type="dxa"/>
            <w:vAlign w:val="bottom"/>
            <w:gridSpan w:val="3"/>
          </w:tcPr>
          <w:p>
            <w:pPr>
              <w:spacing w:after="0"/>
              <w:rPr>
                <w:sz w:val="15"/>
                <w:szCs w:val="15"/>
                <w:color w:val="auto"/>
              </w:rPr>
            </w:pPr>
          </w:p>
        </w:tc>
        <w:tc>
          <w:tcPr>
            <w:tcW w:w="260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color w:val="auto"/>
              </w:rPr>
              <w:t>Marina Del Rey, CA</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Carbon Credit Services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540,270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1,001,815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8/12/2019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24,912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281,190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16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1,283,005</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 of Net</w:t>
            </w:r>
          </w:p>
        </w:tc>
        <w:tc>
          <w:tcPr>
            <w:tcW w:w="0" w:type="dxa"/>
            <w:vAlign w:val="bottom"/>
          </w:tcPr>
          <w:p>
            <w:pPr>
              <w:spacing w:after="0"/>
              <w:rPr>
                <w:sz w:val="1"/>
                <w:szCs w:val="1"/>
                <w:color w:val="auto"/>
              </w:rPr>
            </w:pPr>
          </w:p>
        </w:tc>
      </w:tr>
      <w:tr>
        <w:trPr>
          <w:trHeight w:val="241"/>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120" w:type="dxa"/>
            <w:vAlign w:val="bottom"/>
            <w:gridSpan w:val="3"/>
          </w:tcPr>
          <w:p>
            <w:pPr>
              <w:jc w:val="center"/>
              <w:spacing w:after="0" w:line="241" w:lineRule="exact"/>
              <w:rPr>
                <w:sz w:val="20"/>
                <w:szCs w:val="20"/>
                <w:color w:val="auto"/>
              </w:rPr>
            </w:pPr>
            <w:r>
              <w:rPr>
                <w:rFonts w:ascii="Times New Roman" w:cs="Times New Roman" w:eastAsia="Times New Roman" w:hAnsi="Times New Roman"/>
                <w:sz w:val="16"/>
                <w:szCs w:val="16"/>
                <w:b w:val="1"/>
                <w:bCs w:val="1"/>
                <w:color w:val="auto"/>
                <w:w w:val="93"/>
              </w:rPr>
              <w:t>Quantity</w:t>
            </w:r>
            <w:r>
              <w:rPr>
                <w:rFonts w:ascii="Times New Roman" w:cs="Times New Roman" w:eastAsia="Times New Roman" w:hAnsi="Times New Roman"/>
                <w:sz w:val="26"/>
                <w:szCs w:val="26"/>
                <w:b w:val="1"/>
                <w:bCs w:val="1"/>
                <w:color w:val="auto"/>
                <w:w w:val="93"/>
                <w:vertAlign w:val="superscript"/>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9"/>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Fullbridge, Inc.</w:t>
            </w:r>
          </w:p>
        </w:tc>
        <w:tc>
          <w:tcPr>
            <w:tcW w:w="2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Cambridge, MA</w:t>
            </w:r>
          </w:p>
        </w:tc>
        <w:tc>
          <w:tcPr>
            <w:tcW w:w="2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120" w:type="dxa"/>
            <w:vAlign w:val="bottom"/>
            <w:tcBorders>
              <w:top w:val="single" w:sz="8" w:color="CCEEFF"/>
            </w:tcBorders>
            <w:gridSpan w:val="8"/>
          </w:tcPr>
          <w:p>
            <w:pPr>
              <w:spacing w:after="0"/>
              <w:rPr>
                <w:sz w:val="16"/>
                <w:szCs w:val="16"/>
                <w:color w:val="auto"/>
              </w:rPr>
            </w:pPr>
          </w:p>
        </w:tc>
        <w:tc>
          <w:tcPr>
            <w:tcW w:w="22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Business Education</w:t>
            </w:r>
          </w:p>
        </w:tc>
        <w:tc>
          <w:tcPr>
            <w:tcW w:w="1260" w:type="dxa"/>
            <w:vAlign w:val="bottom"/>
            <w:tcBorders>
              <w:top w:val="single" w:sz="8" w:color="CCEEFF"/>
            </w:tcBorders>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5/13/2012</w:t>
            </w:r>
          </w:p>
        </w:tc>
        <w:tc>
          <w:tcPr>
            <w:tcW w:w="112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517,917</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6,150,506</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3180" w:type="dxa"/>
            <w:vAlign w:val="bottom"/>
            <w:gridSpan w:val="10"/>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(4)(13)</w:t>
            </w:r>
          </w:p>
        </w:tc>
        <w:tc>
          <w:tcPr>
            <w:tcW w:w="2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3/3/2016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$ 2,270,458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2,270,858</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0"/>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8,421,364</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7"/>
        </w:trPr>
        <w:tc>
          <w:tcPr>
            <w:tcW w:w="2780" w:type="dxa"/>
            <w:vAlign w:val="bottom"/>
            <w:tcBorders>
              <w:bottom w:val="single" w:sz="8" w:color="auto"/>
            </w:tcBorders>
            <w:gridSpan w:val="8"/>
            <w:shd w:val="clear" w:color="auto" w:fill="CCEEFF"/>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Treehouse Real Estate Investment Trust,</w:t>
            </w:r>
          </w:p>
        </w:tc>
        <w:tc>
          <w:tcPr>
            <w:tcW w:w="400" w:type="dxa"/>
            <w:vAlign w:val="bottom"/>
            <w:tcBorders>
              <w:bottom w:val="single" w:sz="8" w:color="CCEEFF"/>
            </w:tcBorders>
            <w:gridSpan w:val="2"/>
            <w:shd w:val="clear" w:color="auto" w:fill="CCEEFF"/>
          </w:tcPr>
          <w:p>
            <w:pPr>
              <w:spacing w:after="0"/>
              <w:rPr>
                <w:sz w:val="11"/>
                <w:szCs w:val="11"/>
                <w:color w:val="auto"/>
              </w:rPr>
            </w:pPr>
          </w:p>
        </w:tc>
        <w:tc>
          <w:tcPr>
            <w:tcW w:w="2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1"/>
              </w:rPr>
              <w:t>Inc.</w:t>
            </w:r>
          </w:p>
        </w:tc>
        <w:tc>
          <w:tcPr>
            <w:tcW w:w="2920" w:type="dxa"/>
            <w:vAlign w:val="bottom"/>
            <w:tcBorders>
              <w:bottom w:val="single" w:sz="8" w:color="CCEEFF"/>
            </w:tcBorders>
            <w:gridSpan w:val="9"/>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color w:val="auto"/>
              </w:rPr>
              <w:t>Chicago, IL</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0"/>
          </w:tcPr>
          <w:p>
            <w:pPr>
              <w:spacing w:after="0" w:line="228"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Cannabis REIT</w:t>
            </w:r>
          </w:p>
        </w:tc>
        <w:tc>
          <w:tcPr>
            <w:tcW w:w="126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8"/>
              </w:rPr>
              <w:t>9/11/2019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312,500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4,919,250</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gridSpan w:val="10"/>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234,601,314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198,511,915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125.98%</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0"/>
          </w:tcPr>
          <w:p>
            <w:pPr>
              <w:spacing w:after="0" w:line="228"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2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StormWind, LLC</w:t>
            </w:r>
          </w:p>
        </w:tc>
        <w:tc>
          <w:tcPr>
            <w:tcW w:w="260" w:type="dxa"/>
            <w:vAlign w:val="bottom"/>
            <w:tcBorders>
              <w:bottom w:val="single" w:sz="8" w:color="auto"/>
              <w:right w:val="single" w:sz="8" w:color="CCEEFF"/>
            </w:tcBorders>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3"/>
                <w:szCs w:val="13"/>
                <w:b w:val="1"/>
                <w:bCs w:val="1"/>
                <w:color w:val="auto"/>
                <w:w w:val="92"/>
              </w:rPr>
              <w:t>(14)</w:t>
            </w:r>
          </w:p>
        </w:tc>
        <w:tc>
          <w:tcPr>
            <w:tcW w:w="38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020" w:type="dxa"/>
            <w:vAlign w:val="bottom"/>
            <w:tcBorders>
              <w:bottom w:val="single" w:sz="8" w:color="CCEEFF"/>
            </w:tcBorders>
            <w:gridSpan w:val="3"/>
            <w:vMerge w:val="restart"/>
            <w:shd w:val="clear" w:color="auto" w:fill="CCEEFF"/>
          </w:tcPr>
          <w:p>
            <w:pPr>
              <w:spacing w:after="0"/>
              <w:rPr>
                <w:sz w:val="11"/>
                <w:szCs w:val="11"/>
                <w:color w:val="auto"/>
              </w:rPr>
            </w:pPr>
          </w:p>
        </w:tc>
        <w:tc>
          <w:tcPr>
            <w:tcW w:w="22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Scottsdale, AZ</w:t>
            </w: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20" w:type="dxa"/>
            <w:vAlign w:val="bottom"/>
            <w:tcBorders>
              <w:bottom w:val="single" w:sz="8" w:color="auto"/>
            </w:tcBorders>
            <w:gridSpan w:val="3"/>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right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020" w:type="dxa"/>
            <w:vAlign w:val="bottom"/>
            <w:tcBorders>
              <w:bottom w:val="single" w:sz="8" w:color="CCEEFF"/>
            </w:tcBorders>
            <w:gridSpan w:val="3"/>
            <w:vMerge w:val="continue"/>
            <w:shd w:val="clear" w:color="auto" w:fill="CCEEFF"/>
          </w:tcPr>
          <w:p>
            <w:pPr>
              <w:spacing w:after="0"/>
              <w:rPr>
                <w:sz w:val="4"/>
                <w:szCs w:val="4"/>
                <w:color w:val="auto"/>
              </w:rPr>
            </w:pPr>
          </w:p>
        </w:tc>
        <w:tc>
          <w:tcPr>
            <w:tcW w:w="226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Interactive Learning</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11/26/2019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329,337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501,626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93"/>
        </w:trPr>
        <w:tc>
          <w:tcPr>
            <w:tcW w:w="3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1/7/2014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2,779,134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4,000,787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5,376,994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93"/>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2260" w:type="dxa"/>
            <w:vAlign w:val="bottom"/>
          </w:tcPr>
          <w:p>
            <w:pPr>
              <w:spacing w:after="0"/>
              <w:rPr>
                <w:sz w:val="16"/>
                <w:szCs w:val="16"/>
                <w:color w:val="auto"/>
              </w:rPr>
            </w:pP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12/16/2011</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3,279,629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2,019,687</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3,233,922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5"/>
        </w:trPr>
        <w:tc>
          <w:tcPr>
            <w:tcW w:w="3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2/25/2014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366,666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110,000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156,285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0"/>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6,387,741</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9"/>
        </w:trPr>
        <w:tc>
          <w:tcPr>
            <w:tcW w:w="318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2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San Francisco, CA</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Knowledge Networks</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7/2/2012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318,979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2,000,447</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2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2/28/2012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49,505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217,206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2,217,653</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65"/>
        </w:trPr>
        <w:tc>
          <w:tcPr>
            <w:tcW w:w="124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Curious.com, Inc.</w:t>
            </w:r>
          </w:p>
        </w:tc>
        <w:tc>
          <w:tcPr>
            <w:tcW w:w="1940" w:type="dxa"/>
            <w:vAlign w:val="bottom"/>
            <w:tcBorders>
              <w:bottom w:val="single" w:sz="8" w:color="CCEEFF"/>
            </w:tcBorders>
            <w:gridSpan w:val="6"/>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6"/>
                <w:szCs w:val="16"/>
                <w:color w:val="auto"/>
              </w:rPr>
              <w:t>Menlo Park, CA</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11/22/2013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1,135,944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12,000,006</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gridSpan w:val="10"/>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20,605,400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9,268,827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5.88%</w:t>
            </w: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gridSpan w:val="10"/>
          </w:tcPr>
          <w:p>
            <w:pPr>
              <w:spacing w:after="0" w:line="228" w:lineRule="exact"/>
              <w:rPr>
                <w:sz w:val="20"/>
                <w:szCs w:val="20"/>
                <w:color w:val="auto"/>
              </w:rPr>
            </w:pP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26"/>
                <w:szCs w:val="26"/>
                <w:b w:val="1"/>
                <w:bCs w:val="1"/>
                <w:color w:val="auto"/>
                <w:vertAlign w:val="superscript"/>
              </w:rPr>
              <w:t>(2)</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86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Colombier Sponsor II LLC</w:t>
            </w:r>
          </w:p>
        </w:tc>
        <w:tc>
          <w:tcPr>
            <w:tcW w:w="3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99"/>
              </w:rPr>
              <w:t>**(6)</w:t>
            </w:r>
          </w:p>
        </w:tc>
        <w:tc>
          <w:tcPr>
            <w:tcW w:w="1020" w:type="dxa"/>
            <w:vAlign w:val="bottom"/>
            <w:tcBorders>
              <w:bottom w:val="single" w:sz="8" w:color="CCEEFF"/>
            </w:tcBorders>
            <w:gridSpan w:val="3"/>
            <w:vMerge w:val="restart"/>
            <w:shd w:val="clear" w:color="auto" w:fill="CCEEFF"/>
          </w:tcPr>
          <w:p>
            <w:pPr>
              <w:spacing w:after="0"/>
              <w:rPr>
                <w:sz w:val="11"/>
                <w:szCs w:val="11"/>
                <w:color w:val="auto"/>
              </w:rPr>
            </w:pPr>
          </w:p>
        </w:tc>
        <w:tc>
          <w:tcPr>
            <w:tcW w:w="22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Palm Beach, FL</w:t>
            </w: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860" w:type="dxa"/>
            <w:vAlign w:val="bottom"/>
            <w:tcBorders>
              <w:bottom w:val="single" w:sz="8" w:color="auto"/>
            </w:tcBorders>
            <w:gridSpan w:val="6"/>
            <w:vMerge w:val="continue"/>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CCEEFF"/>
            </w:tcBorders>
            <w:gridSpan w:val="3"/>
            <w:vMerge w:val="continue"/>
            <w:shd w:val="clear" w:color="auto" w:fill="CCEEFF"/>
          </w:tcPr>
          <w:p>
            <w:pPr>
              <w:spacing w:after="0"/>
              <w:rPr>
                <w:sz w:val="4"/>
                <w:szCs w:val="4"/>
                <w:color w:val="auto"/>
              </w:rPr>
            </w:pPr>
          </w:p>
        </w:tc>
        <w:tc>
          <w:tcPr>
            <w:tcW w:w="226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Special Purpose Acquisition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Class B Units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12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11/20/2023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1,040,000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1,103,719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1,101,695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05"/>
        </w:trPr>
        <w:tc>
          <w:tcPr>
            <w:tcW w:w="3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W Units</w:t>
            </w: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499,221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498,305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CCEEFF"/>
            </w:tcBorders>
            <w:gridSpan w:val="10"/>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1,602,940</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3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5"/>
        </w:trPr>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80" w:type="dxa"/>
            <w:vAlign w:val="bottom"/>
            <w:gridSpan w:val="10"/>
          </w:tcPr>
          <w:p>
            <w:pPr>
              <w:ind w:left="16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0" w:type="dxa"/>
            <w:vAlign w:val="bottom"/>
          </w:tcPr>
          <w:p>
            <w:pPr>
              <w:spacing w:after="0"/>
              <w:rPr>
                <w:sz w:val="1"/>
                <w:szCs w:val="1"/>
                <w:color w:val="auto"/>
              </w:rPr>
            </w:pPr>
          </w:p>
        </w:tc>
      </w:tr>
      <w:tr>
        <w:trPr>
          <w:trHeight w:val="197"/>
        </w:trPr>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80" w:type="dxa"/>
            <w:vAlign w:val="bottom"/>
            <w:gridSpan w:val="10"/>
          </w:tcPr>
          <w:p>
            <w:pPr>
              <w:ind w:left="16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256,809,654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209,380,742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132.88%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8"/>
          </w:tcPr>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14" w:name="page15"/>
    <w:bookmarkEnd w:id="1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7849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90" w:lineRule="exact"/>
        <w:rPr>
          <w:sz w:val="20"/>
          <w:szCs w:val="20"/>
          <w:color w:val="auto"/>
        </w:rPr>
      </w:pPr>
    </w:p>
    <w:p>
      <w:pPr>
        <w:jc w:val="both"/>
        <w:ind w:left="583" w:hanging="583"/>
        <w:spacing w:after="0" w:line="255" w:lineRule="auto"/>
        <w:tabs>
          <w:tab w:leader="none" w:pos="58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p>
    <w:p>
      <w:pPr>
        <w:spacing w:after="0" w:line="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both"/>
        <w:ind w:left="583" w:hanging="583"/>
        <w:spacing w:after="0" w:line="251" w:lineRule="auto"/>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2024, 39.56% of its total investments are non-qualifying assets, excluding cash and short-term US treasuries.</w:t>
      </w:r>
    </w:p>
    <w:p>
      <w:pPr>
        <w:spacing w:after="0" w:line="1"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86" w:lineRule="exact"/>
        <w:rPr>
          <w:sz w:val="20"/>
          <w:szCs w:val="20"/>
          <w:color w:val="auto"/>
        </w:rPr>
      </w:pPr>
    </w:p>
    <w:p>
      <w:pPr>
        <w:jc w:val="both"/>
        <w:ind w:left="583" w:right="20" w:hanging="583"/>
        <w:spacing w:after="0" w:line="262"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1" w:lineRule="exact"/>
        <w:rPr>
          <w:rFonts w:ascii="Times New Roman" w:cs="Times New Roman" w:eastAsia="Times New Roman" w:hAnsi="Times New Roman"/>
          <w:sz w:val="16"/>
          <w:szCs w:val="16"/>
          <w:color w:val="auto"/>
        </w:rPr>
      </w:pPr>
    </w:p>
    <w:p>
      <w:pPr>
        <w:jc w:val="both"/>
        <w:ind w:left="583" w:hanging="583"/>
        <w:spacing w:after="0" w:line="262"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1"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investments noted had been placed on non-accrual status.</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respective number of shares, principal amount, fund commitment, or membership interest.</w:t>
      </w:r>
    </w:p>
    <w:p>
      <w:pPr>
        <w:spacing w:after="0" w:line="202" w:lineRule="exact"/>
        <w:rPr>
          <w:rFonts w:ascii="Times New Roman" w:cs="Times New Roman" w:eastAsia="Times New Roman" w:hAnsi="Times New Roman"/>
          <w:sz w:val="16"/>
          <w:szCs w:val="16"/>
          <w:color w:val="auto"/>
        </w:rPr>
      </w:pPr>
    </w:p>
    <w:p>
      <w:pPr>
        <w:ind w:left="583" w:right="20" w:hanging="583"/>
        <w:spacing w:after="0" w:line="284"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3" w:lineRule="exact"/>
        <w:rPr>
          <w:rFonts w:ascii="Times New Roman" w:cs="Times New Roman" w:eastAsia="Times New Roman" w:hAnsi="Times New Roman"/>
          <w:sz w:val="16"/>
          <w:szCs w:val="16"/>
          <w:color w:val="auto"/>
        </w:rPr>
      </w:pPr>
    </w:p>
    <w:p>
      <w:pPr>
        <w:jc w:val="both"/>
        <w:ind w:left="583" w:right="20" w:hanging="583"/>
        <w:spacing w:after="0" w:line="268"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Capital Sports”).</w:t>
      </w:r>
    </w:p>
    <w:p>
      <w:pPr>
        <w:spacing w:after="0" w:line="155" w:lineRule="exact"/>
        <w:rPr>
          <w:rFonts w:ascii="Times New Roman" w:cs="Times New Roman" w:eastAsia="Times New Roman" w:hAnsi="Times New Roman"/>
          <w:sz w:val="16"/>
          <w:szCs w:val="16"/>
          <w:color w:val="auto"/>
        </w:rPr>
      </w:pPr>
    </w:p>
    <w:p>
      <w:pPr>
        <w:jc w:val="both"/>
        <w:ind w:left="583" w:right="20" w:hanging="583"/>
        <w:spacing w:after="0" w:line="262"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 special purpose vehicle (“SPV”) for which the Class A Interest is solely invested in the Series C Preferred Shares of CoreWeave, Inc. SuRo Capital Corp. is invested in the Series C Preferred Shares of CoreWeave, Inc. through its investment in the Class A Interest of CW Opportunity 2 LP. The Series C Preferred Shares of CoreWeave, Inc. accrue a 10% per annum dividend, paid quarterly in cash or in-kind. CW Opportunity 2 LP does not charge a management fee but does charge an incentive fee of 20%, subject to an annual 15% IRR hurdle rate.</w:t>
      </w:r>
    </w:p>
    <w:p>
      <w:pPr>
        <w:spacing w:after="0" w:line="161" w:lineRule="exact"/>
        <w:rPr>
          <w:rFonts w:ascii="Times New Roman" w:cs="Times New Roman" w:eastAsia="Times New Roman" w:hAnsi="Times New Roman"/>
          <w:sz w:val="16"/>
          <w:szCs w:val="16"/>
          <w:color w:val="auto"/>
        </w:rPr>
      </w:pPr>
    </w:p>
    <w:p>
      <w:pPr>
        <w:jc w:val="both"/>
        <w:ind w:left="583" w:right="20" w:hanging="583"/>
        <w:spacing w:after="0" w:line="262"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 Corp.’s investment in the fund.</w:t>
      </w:r>
    </w:p>
    <w:p>
      <w:pPr>
        <w:spacing w:after="0" w:line="161" w:lineRule="exact"/>
        <w:rPr>
          <w:rFonts w:ascii="Times New Roman" w:cs="Times New Roman" w:eastAsia="Times New Roman" w:hAnsi="Times New Roman"/>
          <w:sz w:val="16"/>
          <w:szCs w:val="16"/>
          <w:color w:val="auto"/>
        </w:rPr>
      </w:pPr>
    </w:p>
    <w:p>
      <w:pPr>
        <w:ind w:left="583" w:right="20" w:hanging="583"/>
        <w:spacing w:after="0" w:line="284"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True Global Ventures 4 Plus Pte Ltd charges a 1.8% management fee and a 22.5% incentive fee, subject to an annual 5% IRR hurdle rate.</w:t>
      </w:r>
    </w:p>
    <w:p>
      <w:pPr>
        <w:spacing w:after="0" w:line="143" w:lineRule="exact"/>
        <w:rPr>
          <w:rFonts w:ascii="Times New Roman" w:cs="Times New Roman" w:eastAsia="Times New Roman" w:hAnsi="Times New Roman"/>
          <w:sz w:val="16"/>
          <w:szCs w:val="16"/>
          <w:color w:val="auto"/>
        </w:rPr>
      </w:pPr>
    </w:p>
    <w:p>
      <w:pPr>
        <w:ind w:left="583" w:hanging="583"/>
        <w:spacing w:after="0" w:line="284"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 in Residential Homes for Rent, LLC (d/b/a Second Avenue) is held through SuRo Capital Corp.’s wholly owned subsidiary, GSVC AV Holdings, Inc.</w:t>
      </w:r>
    </w:p>
    <w:p>
      <w:pPr>
        <w:spacing w:after="0" w:line="143" w:lineRule="exact"/>
        <w:rPr>
          <w:rFonts w:ascii="Times New Roman" w:cs="Times New Roman" w:eastAsia="Times New Roman" w:hAnsi="Times New Roman"/>
          <w:sz w:val="16"/>
          <w:szCs w:val="16"/>
          <w:color w:val="auto"/>
        </w:rPr>
      </w:pPr>
    </w:p>
    <w:p>
      <w:pPr>
        <w:ind w:left="583" w:hanging="583"/>
        <w:spacing w:after="0" w:line="284"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14, 2024, as part of Xgroup Holding Limited (d/b/a Xpoint)’s most recent financing round, SuRo Capital Corp.’s 6% Convertible Note due October 17, 2024 was converted into Series A-1 Shares, Series A Warrants, and Series A-1 Warrants.</w:t>
      </w:r>
    </w:p>
    <w:p>
      <w:pPr>
        <w:spacing w:after="0" w:line="143"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02" w:lineRule="exact"/>
        <w:rPr>
          <w:rFonts w:ascii="Times New Roman" w:cs="Times New Roman" w:eastAsia="Times New Roman" w:hAnsi="Times New Roman"/>
          <w:sz w:val="16"/>
          <w:szCs w:val="16"/>
          <w:color w:val="auto"/>
        </w:rPr>
      </w:pPr>
    </w:p>
    <w:p>
      <w:pPr>
        <w:jc w:val="both"/>
        <w:ind w:left="583" w:right="20" w:hanging="583"/>
        <w:spacing w:after="0" w:line="268"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Corp. is invested in the Series B Preferred Shares of VAST Data, Ltd. through its investment in the Membership Interest of IH10, LLC. IH10, LLC does not charge a management or an incentive fee; however, SuRo Capital Corp. has prepaid operating expenses. Accordingly, these will adjust the total cost basis of SuRo Capital Corp.’s investment.</w:t>
      </w:r>
    </w:p>
    <w:p>
      <w:pPr>
        <w:spacing w:after="0" w:line="155" w:lineRule="exact"/>
        <w:rPr>
          <w:rFonts w:ascii="Times New Roman" w:cs="Times New Roman" w:eastAsia="Times New Roman" w:hAnsi="Times New Roman"/>
          <w:sz w:val="16"/>
          <w:szCs w:val="16"/>
          <w:color w:val="auto"/>
        </w:rPr>
      </w:pPr>
    </w:p>
    <w:p>
      <w:pPr>
        <w:jc w:val="both"/>
        <w:ind w:left="583" w:right="20" w:hanging="583"/>
        <w:spacing w:after="0" w:line="268"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SuRo Capital Corp.’s shares of ServiceTitan, Inc. were not registered and were therefore subject to certain restrictions on sale or transfer for which the Company has applied a discount to the closing public share price as of year-end. The Company anticipates the shares will be registered and freely tradable in June 2025.</w:t>
      </w:r>
    </w:p>
    <w:p>
      <w:pPr>
        <w:sectPr>
          <w:pgSz w:w="11900" w:h="16838" w:orient="portrait"/>
          <w:cols w:equalWidth="0" w:num="1">
            <w:col w:w="11263"/>
          </w:cols>
          <w:pgMar w:left="317" w:top="220" w:right="319" w:bottom="1440" w:gutter="0" w:footer="0" w:header="0"/>
        </w:sectPr>
      </w:pPr>
    </w:p>
    <w:p>
      <w:pPr>
        <w:spacing w:after="0" w:line="15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1—NATURE OF OPERATIONS</w:t>
      </w:r>
    </w:p>
    <w:p>
      <w:pPr>
        <w:spacing w:after="0" w:line="204"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2"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56"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The table below displays the Company’s subsidiaries as of June 30, 2025, which, other than GSV Capital Lending, LLC (“GCL”), SuRo Capital Sports, LLC, and 1789 Capital Nirvana II LP,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6"/>
          <w:szCs w:val="16"/>
          <w:i w:val="1"/>
          <w:iCs w:val="1"/>
          <w:color w:val="auto"/>
        </w:rPr>
        <w:t>Basis of Consolidation</w:t>
      </w:r>
      <w:r>
        <w:rPr>
          <w:rFonts w:ascii="Times New Roman" w:cs="Times New Roman" w:eastAsia="Times New Roman" w:hAnsi="Times New Roman"/>
          <w:sz w:val="16"/>
          <w:szCs w:val="16"/>
          <w:color w:val="auto"/>
        </w:rPr>
        <w:t>” below for further detail.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Jurisdiction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1"/>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60" w:type="dxa"/>
            <w:vAlign w:val="bottom"/>
            <w:tcBorders>
              <w:bottom w:val="single" w:sz="8" w:color="CCEEFF"/>
            </w:tcBorders>
          </w:tcPr>
          <w:p>
            <w:pPr>
              <w:spacing w:after="0"/>
              <w:rPr>
                <w:sz w:val="18"/>
                <w:szCs w:val="18"/>
                <w:color w:val="auto"/>
              </w:rPr>
            </w:pPr>
          </w:p>
        </w:tc>
      </w:tr>
      <w:tr>
        <w:trPr>
          <w:trHeight w:val="18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GCL</w:t>
            </w:r>
          </w:p>
        </w:tc>
        <w:tc>
          <w:tcPr>
            <w:tcW w:w="2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13, 2012</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SuRo Capital Sports, LLC (“SuRo Capital Sports”)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March 19, 2021</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1789 Capital Nirvana II LP</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March 27, 2025</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AE Holdings, Inc. (“GAE”)</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November 28, 2012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AV Holdings, Inc. (“GAV”)</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November 28, 2012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SW Holdings, Inc. (“GSW”)</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November 28, 2012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SVDS Holdings, Inc. (“SVDS”)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August 13, 2013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60" w:lineRule="exact"/>
        <w:rPr>
          <w:sz w:val="20"/>
          <w:szCs w:val="20"/>
          <w:color w:val="auto"/>
        </w:rPr>
      </w:pPr>
    </w:p>
    <w:p>
      <w:pPr>
        <w:jc w:val="both"/>
        <w:ind w:firstLine="326"/>
        <w:spacing w:after="0" w:line="257" w:lineRule="auto"/>
        <w:rPr>
          <w:sz w:val="20"/>
          <w:szCs w:val="20"/>
          <w:color w:val="auto"/>
        </w:rPr>
      </w:pPr>
      <w:r>
        <w:rPr>
          <w:rFonts w:ascii="Times New Roman" w:cs="Times New Roman" w:eastAsia="Times New Roman" w:hAnsi="Times New Roman"/>
          <w:sz w:val="16"/>
          <w:szCs w:val="16"/>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04"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 xml:space="preserve">The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6"/>
          <w:szCs w:val="16"/>
          <w:i w:val="1"/>
          <w:iCs w:val="1"/>
          <w:color w:val="auto"/>
        </w:rPr>
        <w:t>Financial Services—Investment Companies</w:t>
      </w:r>
      <w:r>
        <w:rPr>
          <w:rFonts w:ascii="Times New Roman" w:cs="Times New Roman" w:eastAsia="Times New Roman" w:hAnsi="Times New Roman"/>
          <w:sz w:val="16"/>
          <w:szCs w:val="16"/>
          <w:color w:val="auto"/>
        </w:rPr>
        <w:t>. In the opinion of management, all adjustments, all of which were of a normal recurring nature, were considered necessary for the fair presentation of condensed consolidated financial statements for the period and have been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204" w:lineRule="exact"/>
        <w:rPr>
          <w:sz w:val="20"/>
          <w:szCs w:val="20"/>
          <w:color w:val="auto"/>
        </w:rPr>
      </w:pPr>
    </w:p>
    <w:p>
      <w:pPr>
        <w:jc w:val="both"/>
        <w:ind w:firstLine="326"/>
        <w:spacing w:after="0" w:line="260" w:lineRule="auto"/>
        <w:rPr>
          <w:sz w:val="20"/>
          <w:szCs w:val="20"/>
          <w:color w:val="auto"/>
        </w:rPr>
      </w:pPr>
      <w:r>
        <w:rPr>
          <w:rFonts w:ascii="Times New Roman" w:cs="Times New Roman" w:eastAsia="Times New Roman" w:hAnsi="Times New Roman"/>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SuRo Capital Sports, and 1789 Capital Nirvana II LP, its wholly owned subsidiaries. All intercompany balances and transactions have been eliminated in consolidation. The Company operates as a single operating segment.</w:t>
      </w:r>
    </w:p>
    <w:p>
      <w:pPr>
        <w:spacing w:after="0" w:line="161"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The Company also consolidates entities that meet the definition of a Variable Interest Entity (“VIE”) for which the Company is the primary beneficiary. The primary beneficiary is the party who has the power to direct the activities of a VIE that most significantly impact the entity’s economic performance and who has an obligation to absorb losses or a right to receive benefits from the entity. The Company determined that 1789 Capital Nirvana II LP is a VIE and the Company is the primary beneficiary. As such, 1789 Capital Nirvana II LP is consolidated by the Company. The Company’s Condensed Consolidated Financial Statements include the accounts of 1789 Capital Nirvana II LP, which was formed in 2025 as part of the Company’s investment in Plaid, Inc via its Sole Limited Partnership Interest in 1789 Capital Nirvana II LP.</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04"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SuRo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Consolidated Statement of Operations along with significant expenses. The measure of segment assets is reported on the Consolidated Balance Sheets as total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04"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Uncertainties and Risk Factors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 is subject to a number of risks and uncertainties in the nature of its operations, as well as vulnerability due to certain concentrations. Refer to “Risk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in Part II, Item 1A of this Form 10-Q for a detailed discussion of the risks and uncertainties inherent in the nature of the Company’s operations. Refer to “Note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at Fair Value” for an overview of the Company’s industry and geographic concentrations.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p>
      <w:pPr>
        <w:spacing w:after="0" w:line="204" w:lineRule="exact"/>
        <w:rPr>
          <w:sz w:val="20"/>
          <w:szCs w:val="20"/>
          <w:color w:val="auto"/>
        </w:rPr>
      </w:pPr>
    </w:p>
    <w:p>
      <w:pPr>
        <w:jc w:val="both"/>
        <w:ind w:right="20" w:firstLine="326"/>
        <w:spacing w:after="0" w:line="284" w:lineRule="auto"/>
        <w:rPr>
          <w:sz w:val="20"/>
          <w:szCs w:val="20"/>
          <w:color w:val="auto"/>
        </w:rPr>
      </w:pPr>
      <w:r>
        <w:rPr>
          <w:rFonts w:ascii="Times New Roman" w:cs="Times New Roman" w:eastAsia="Times New Roman" w:hAnsi="Times New Roman"/>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4"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60" w:lineRule="exact"/>
        <w:rPr>
          <w:sz w:val="20"/>
          <w:szCs w:val="20"/>
          <w:color w:val="auto"/>
        </w:rPr>
      </w:pPr>
    </w:p>
    <w:p>
      <w:pPr>
        <w:jc w:val="both"/>
        <w:ind w:right="20" w:firstLine="326"/>
        <w:spacing w:after="0" w:line="287" w:lineRule="auto"/>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—Valuations based on unadjusted quoted prices for identical assets or liabilities in an active market that the Company has the ability to access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date.</w:t>
      </w:r>
    </w:p>
    <w:p>
      <w:pPr>
        <w:spacing w:after="0" w:line="139" w:lineRule="exact"/>
        <w:rPr>
          <w:sz w:val="20"/>
          <w:szCs w:val="20"/>
          <w:color w:val="auto"/>
        </w:rPr>
      </w:pPr>
    </w:p>
    <w:p>
      <w:pPr>
        <w:jc w:val="both"/>
        <w:ind w:right="20" w:firstLine="326"/>
        <w:spacing w:after="0" w:line="287"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—Valuations based on observable inputs other than Level 1 prices, such as quoted prices for similar assets or liabilities; quoted prices in markets that are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active; or other inputs that are observable or can be corroborated by observable market data at the measurement date for substantially the full term of the assets or liabilities.</w:t>
      </w:r>
    </w:p>
    <w:p>
      <w:pPr>
        <w:spacing w:after="0" w:line="139" w:lineRule="exact"/>
        <w:rPr>
          <w:sz w:val="20"/>
          <w:szCs w:val="20"/>
          <w:color w:val="auto"/>
        </w:rPr>
      </w:pPr>
    </w:p>
    <w:p>
      <w:pPr>
        <w:jc w:val="both"/>
        <w:ind w:firstLine="326"/>
        <w:spacing w:after="0" w:line="269"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—Valuations based on unobservable inputs that reflect management’s best estimate of what market participants would use in pricing the asset or liability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firstLine="326"/>
        <w:spacing w:after="0" w:line="262" w:lineRule="auto"/>
        <w:rPr>
          <w:sz w:val="20"/>
          <w:szCs w:val="20"/>
          <w:color w:val="auto"/>
        </w:rPr>
      </w:pPr>
      <w:r>
        <w:rPr>
          <w:rFonts w:ascii="Times New Roman" w:cs="Times New Roman" w:eastAsia="Times New Roman" w:hAnsi="Times New Roman"/>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62"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“Leveling Policy” below for a detailed discussion of the leveling of the Company’s financial assets or liabilities and events that may cause a reclassification within the fair value hierarchy.</w:t>
      </w:r>
    </w:p>
    <w:p>
      <w:pPr>
        <w:spacing w:after="0" w:line="162" w:lineRule="exact"/>
        <w:rPr>
          <w:sz w:val="20"/>
          <w:szCs w:val="20"/>
          <w:color w:val="auto"/>
        </w:rPr>
      </w:pPr>
    </w:p>
    <w:p>
      <w:pPr>
        <w:jc w:val="both"/>
        <w:ind w:firstLine="326"/>
        <w:spacing w:after="0" w:line="257" w:lineRule="auto"/>
        <w:rPr>
          <w:sz w:val="20"/>
          <w:szCs w:val="20"/>
          <w:color w:val="auto"/>
        </w:rPr>
      </w:pPr>
      <w:r>
        <w:rPr>
          <w:rFonts w:ascii="Times New Roman" w:cs="Times New Roman" w:eastAsia="Times New Roman" w:hAnsi="Times New Roman"/>
          <w:sz w:val="16"/>
          <w:szCs w:val="16"/>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65"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56" w:lineRule="exact"/>
        <w:rPr>
          <w:sz w:val="20"/>
          <w:szCs w:val="20"/>
          <w:color w:val="auto"/>
        </w:rPr>
      </w:pPr>
    </w:p>
    <w:p>
      <w:pPr>
        <w:ind w:left="580" w:right="20" w:hanging="294"/>
        <w:spacing w:after="0" w:line="284"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valuation process begins with each portfolio company or investment being initially valued by the internal investment professionals responsible for the portfolio investment;</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estimates are then documented and discussed with senior management;</w:t>
      </w:r>
    </w:p>
    <w:p>
      <w:pPr>
        <w:spacing w:after="0" w:line="202"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43" w:lineRule="exact"/>
        <w:rPr>
          <w:rFonts w:ascii="Times New Roman" w:cs="Times New Roman" w:eastAsia="Times New Roman" w:hAnsi="Times New Roman"/>
          <w:sz w:val="16"/>
          <w:szCs w:val="16"/>
          <w:color w:val="auto"/>
        </w:rPr>
      </w:pPr>
    </w:p>
    <w:p>
      <w:pPr>
        <w:jc w:val="both"/>
        <w:ind w:left="580" w:right="20" w:hanging="294"/>
        <w:spacing w:after="0" w:line="268"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55"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Board of Directors then discusses the valuations recommended by the Valuation Committee and determines in good faith the fair value of each investment in the portfolio.</w:t>
      </w:r>
    </w:p>
    <w:p>
      <w:pPr>
        <w:spacing w:after="0" w:line="144"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62" w:lineRule="exact"/>
        <w:rPr>
          <w:sz w:val="20"/>
          <w:szCs w:val="20"/>
          <w:color w:val="auto"/>
        </w:rPr>
      </w:pPr>
    </w:p>
    <w:p>
      <w:pPr>
        <w:jc w:val="both"/>
        <w:ind w:firstLine="326"/>
        <w:spacing w:after="0" w:line="260"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206" w:lineRule="exact"/>
        <w:rPr>
          <w:sz w:val="20"/>
          <w:szCs w:val="20"/>
          <w:color w:val="auto"/>
        </w:rPr>
      </w:pPr>
    </w:p>
    <w:p>
      <w:pPr>
        <w:jc w:val="both"/>
        <w:ind w:right="20" w:firstLine="326"/>
        <w:spacing w:after="0" w:line="256" w:lineRule="auto"/>
        <w:rPr>
          <w:sz w:val="20"/>
          <w:szCs w:val="20"/>
          <w:color w:val="auto"/>
        </w:rPr>
      </w:pPr>
      <w:r>
        <w:rPr>
          <w:rFonts w:ascii="Times New Roman" w:cs="Times New Roman" w:eastAsia="Times New Roman" w:hAnsi="Times New Roman"/>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spacing w:after="0" w:line="167" w:lineRule="exact"/>
        <w:rPr>
          <w:sz w:val="20"/>
          <w:szCs w:val="20"/>
          <w:color w:val="auto"/>
        </w:rPr>
      </w:pPr>
    </w:p>
    <w:p>
      <w:pPr>
        <w:jc w:val="both"/>
        <w:ind w:right="20" w:firstLine="326"/>
        <w:spacing w:after="0" w:line="257" w:lineRule="auto"/>
        <w:rPr>
          <w:sz w:val="20"/>
          <w:szCs w:val="20"/>
          <w:color w:val="auto"/>
        </w:rPr>
      </w:pPr>
      <w:r>
        <w:rPr>
          <w:rFonts w:ascii="Times New Roman" w:cs="Times New Roman" w:eastAsia="Times New Roman" w:hAnsi="Times New Roman"/>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5"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Investments</w:t>
      </w:r>
    </w:p>
    <w:p>
      <w:pPr>
        <w:spacing w:after="0" w:line="20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206"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SPVs and Investment Funds</w:t>
      </w:r>
    </w:p>
    <w:p>
      <w:pPr>
        <w:spacing w:after="0" w:line="206" w:lineRule="exact"/>
        <w:rPr>
          <w:sz w:val="20"/>
          <w:szCs w:val="20"/>
          <w:color w:val="auto"/>
        </w:rPr>
      </w:pPr>
    </w:p>
    <w:p>
      <w:pPr>
        <w:jc w:val="both"/>
        <w:ind w:firstLine="326"/>
        <w:spacing w:after="0" w:line="255" w:lineRule="auto"/>
        <w:rPr>
          <w:sz w:val="20"/>
          <w:szCs w:val="20"/>
          <w:color w:val="auto"/>
        </w:rPr>
      </w:pPr>
      <w:r>
        <w:rPr>
          <w:rFonts w:ascii="Times New Roman" w:cs="Times New Roman" w:eastAsia="Times New Roman" w:hAnsi="Times New Roman"/>
          <w:sz w:val="16"/>
          <w:szCs w:val="16"/>
          <w:color w:val="auto"/>
        </w:rPr>
        <w:t>At various times, the Company may utilize SPVs and similar investment fund structures in the investment process. The Company advances money to these SPVs or investment funds that are formed for the specific purpose of investing in securities of a single private issuer. Generally speaking, these entities have the following characteristics: (1) the underlying investment in the securities of the single private issuer is the sole activity of the SPV or investment fund; (2) the Company’s underlying ownership of the single private issuer is proportionate to the Company’s contributions made to the SPV or investment fund; and (3) the Company will receive its proportionate share of the cash proceeds as the single private issuer is monetized and distributed. The Condensed Consolidated Schedule of Investments presents the value of the Company’s investment in the SPV or investment fund. These SPV and fund investments are valued at estimated fair value as determined in good faith by the Company’s Board of Directors. The SPVs may incur a tax liability associated with distributions made by underlying portfolio investments. If an SPV or investment fund charges fees or expenses, those fees may impact the fair value of the Company’s investment. The Company’s investments in SPVs and Investment Funds may be subject to certain redemption, sale, or transfer restrictions.</w:t>
      </w:r>
    </w:p>
    <w:p>
      <w:pPr>
        <w:spacing w:after="0" w:line="171"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In valuing the Company’s investments in venture investment funds (“Venture Investment Funds”), the Company may apply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Purpose Acquisition Companies</w:t>
      </w:r>
    </w:p>
    <w:p>
      <w:pPr>
        <w:spacing w:after="0" w:line="206"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The Company’s SPAC investments are valued at estimated fair value as determined in good faith by the Company’s Board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Investment Classification</w:t>
      </w:r>
    </w:p>
    <w:p>
      <w:pPr>
        <w:spacing w:after="0" w:line="206"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2025 and December 31, 2024 for details regarding the nature and composition of the Company’s investment portfolio.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Leveling Policy</w:t>
      </w:r>
    </w:p>
    <w:p>
      <w:pPr>
        <w:spacing w:after="0" w:line="206" w:lineRule="exact"/>
        <w:rPr>
          <w:sz w:val="20"/>
          <w:szCs w:val="20"/>
          <w:color w:val="auto"/>
        </w:rPr>
      </w:pPr>
    </w:p>
    <w:p>
      <w:pPr>
        <w:jc w:val="both"/>
        <w:ind w:firstLine="326"/>
        <w:spacing w:after="0" w:line="256" w:lineRule="auto"/>
        <w:rPr>
          <w:sz w:val="20"/>
          <w:szCs w:val="20"/>
          <w:color w:val="auto"/>
        </w:rPr>
      </w:pPr>
      <w:r>
        <w:rPr>
          <w:rFonts w:ascii="Times New Roman" w:cs="Times New Roman" w:eastAsia="Times New Roman" w:hAnsi="Times New Roman"/>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Transactions</w:t>
      </w:r>
    </w:p>
    <w:p>
      <w:pPr>
        <w:spacing w:after="0" w:line="202" w:lineRule="exact"/>
        <w:rPr>
          <w:sz w:val="20"/>
          <w:szCs w:val="20"/>
          <w:color w:val="auto"/>
        </w:rPr>
      </w:pPr>
    </w:p>
    <w:p>
      <w:pPr>
        <w:jc w:val="both"/>
        <w:ind w:right="20" w:firstLine="326"/>
        <w:spacing w:after="0" w:line="269" w:lineRule="auto"/>
        <w:rPr>
          <w:sz w:val="20"/>
          <w:szCs w:val="20"/>
          <w:color w:val="auto"/>
        </w:rPr>
      </w:pPr>
      <w:r>
        <w:rPr>
          <w:rFonts w:ascii="Times New Roman" w:cs="Times New Roman" w:eastAsia="Times New Roman" w:hAnsi="Times New Roman"/>
          <w:sz w:val="16"/>
          <w:szCs w:val="16"/>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Other Financial Instruments</w:t>
      </w:r>
    </w:p>
    <w:p>
      <w:pPr>
        <w:spacing w:after="0" w:line="204" w:lineRule="exact"/>
        <w:rPr>
          <w:sz w:val="20"/>
          <w:szCs w:val="20"/>
          <w:color w:val="auto"/>
        </w:rPr>
      </w:pPr>
    </w:p>
    <w:p>
      <w:pPr>
        <w:jc w:val="both"/>
        <w:ind w:right="20" w:firstLine="326"/>
        <w:spacing w:after="0" w:line="284" w:lineRule="auto"/>
        <w:rPr>
          <w:sz w:val="20"/>
          <w:szCs w:val="20"/>
          <w:color w:val="auto"/>
        </w:rPr>
      </w:pPr>
      <w:r>
        <w:rPr>
          <w:rFonts w:ascii="Times New Roman" w:cs="Times New Roman" w:eastAsia="Times New Roman" w:hAnsi="Times New Roman"/>
          <w:sz w:val="16"/>
          <w:szCs w:val="16"/>
          <w:color w:val="auto"/>
        </w:rPr>
        <w:t>The carrying amounts of the Company’s other, non-investment financial instruments, consisting of cash, receivables, accounts payable, and accrued expenses, approximate fair value due to their short-term nature.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20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06" w:lineRule="exact"/>
        <w:rPr>
          <w:sz w:val="20"/>
          <w:szCs w:val="20"/>
          <w:color w:val="auto"/>
        </w:rPr>
      </w:pPr>
    </w:p>
    <w:p>
      <w:pPr>
        <w:jc w:val="both"/>
        <w:ind w:right="20" w:firstLine="326"/>
        <w:spacing w:after="0" w:line="284" w:lineRule="auto"/>
        <w:rPr>
          <w:sz w:val="20"/>
          <w:szCs w:val="20"/>
          <w:color w:val="auto"/>
        </w:rPr>
      </w:pPr>
      <w:r>
        <w:rPr>
          <w:rFonts w:ascii="Times New Roman" w:cs="Times New Roman" w:eastAsia="Times New Roman" w:hAnsi="Times New Roman"/>
          <w:sz w:val="16"/>
          <w:szCs w:val="16"/>
          <w:color w:val="auto"/>
        </w:rPr>
        <w:t>Restricted Cash consists of amounts that are held in a separate account and are subject to specific contractual restrictions that limit their availability for general corporate use. These funds are not readily available for use in the Company’s general operations and are segregated from unrestricted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Escrow Proceeds Receivable</w:t>
      </w:r>
    </w:p>
    <w:p>
      <w:pPr>
        <w:spacing w:after="0" w:line="206"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June 30, 2025 and December 31, 2024, the Company had $0 and $45,298, respectively, in escrow proceeds receivable.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206"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61" w:lineRule="exact"/>
        <w:rPr>
          <w:sz w:val="20"/>
          <w:szCs w:val="20"/>
          <w:color w:val="auto"/>
        </w:rPr>
      </w:pPr>
    </w:p>
    <w:p>
      <w:pPr>
        <w:jc w:val="both"/>
        <w:ind w:firstLine="326"/>
        <w:spacing w:after="0" w:line="262"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June 30, 2025 and December 31, 2024, the Company had deferred financing costs of $555,688 and $526,261, respectively, on the Condensed Consolidated Statement of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5"/>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34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1,302,165</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1,417,155</w:t>
            </w:r>
          </w:p>
        </w:tc>
        <w:tc>
          <w:tcPr>
            <w:tcW w:w="120" w:type="dxa"/>
            <w:vAlign w:val="bottom"/>
            <w:tcBorders>
              <w:top w:val="single" w:sz="8" w:color="CCEEFF"/>
            </w:tcBorders>
            <w:shd w:val="clear" w:color="auto" w:fill="CCEEFF"/>
          </w:tcPr>
          <w:p>
            <w:pPr>
              <w:spacing w:after="0"/>
              <w:rPr>
                <w:sz w:val="16"/>
                <w:szCs w:val="16"/>
                <w:color w:val="auto"/>
              </w:rPr>
            </w:pPr>
          </w:p>
        </w:tc>
      </w:tr>
      <w:tr>
        <w:trPr>
          <w:trHeight w:val="20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3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555,688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526,261</w:t>
            </w:r>
          </w:p>
        </w:tc>
      </w:tr>
      <w:tr>
        <w:trPr>
          <w:trHeight w:val="197"/>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1,857,853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10 — Debt Capital Activities” for further detail regarding the Company’s deferred debt issuance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&amp; Related Deposits</w:t>
      </w:r>
    </w:p>
    <w:p>
      <w:pPr>
        <w:spacing w:after="0" w:line="204" w:lineRule="exact"/>
        <w:rPr>
          <w:sz w:val="20"/>
          <w:szCs w:val="20"/>
          <w:color w:val="auto"/>
        </w:rPr>
      </w:pPr>
    </w:p>
    <w:p>
      <w:pPr>
        <w:jc w:val="both"/>
        <w:ind w:firstLine="362"/>
        <w:spacing w:after="0" w:line="256" w:lineRule="auto"/>
        <w:rPr>
          <w:sz w:val="20"/>
          <w:szCs w:val="20"/>
          <w:color w:val="auto"/>
        </w:rPr>
      </w:pPr>
      <w:r>
        <w:rPr>
          <w:rFonts w:ascii="Times New Roman" w:cs="Times New Roman" w:eastAsia="Times New Roman" w:hAnsi="Times New Roman"/>
          <w:sz w:val="16"/>
          <w:szCs w:val="16"/>
          <w:color w:val="auto"/>
        </w:rPr>
        <w:t xml:space="preserve">The Company accounts for its operating leases as prescribed by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on May 12, 2028. The Company has recorded a right-of-use asset and a corresponding lease liability for the operating lease obligation. These amounts have been discounted using the rate implicit in the lease. Refer to “Note 7—Commitments and Contingencies— </w:t>
      </w:r>
      <w:r>
        <w:rPr>
          <w:rFonts w:ascii="Times New Roman" w:cs="Times New Roman" w:eastAsia="Times New Roman" w:hAnsi="Times New Roman"/>
          <w:sz w:val="16"/>
          <w:szCs w:val="16"/>
          <w:i w:val="1"/>
          <w:iCs w:val="1"/>
          <w:color w:val="auto"/>
        </w:rPr>
        <w:t>Operating Leases and Related Deposits</w:t>
      </w:r>
      <w:r>
        <w:rPr>
          <w:rFonts w:ascii="Times New Roman" w:cs="Times New Roman" w:eastAsia="Times New Roman" w:hAnsi="Times New Roman"/>
          <w:sz w:val="16"/>
          <w:szCs w:val="16"/>
          <w:color w:val="auto"/>
        </w:rPr>
        <w:t>” for further detail.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04" w:lineRule="exact"/>
        <w:rPr>
          <w:sz w:val="20"/>
          <w:szCs w:val="20"/>
          <w:color w:val="auto"/>
        </w:rPr>
      </w:pPr>
    </w:p>
    <w:p>
      <w:pPr>
        <w:jc w:val="both"/>
        <w:ind w:right="20" w:firstLine="362"/>
        <w:spacing w:after="0" w:line="263" w:lineRule="auto"/>
        <w:rPr>
          <w:sz w:val="20"/>
          <w:szCs w:val="20"/>
          <w:color w:val="auto"/>
        </w:rPr>
      </w:pPr>
      <w:r>
        <w:rPr>
          <w:rFonts w:ascii="Times New Roman" w:cs="Times New Roman" w:eastAsia="Times New Roman" w:hAnsi="Times New Roman"/>
          <w:sz w:val="16"/>
          <w:szCs w:val="16"/>
          <w:color w:val="auto"/>
        </w:rPr>
        <w:t xml:space="preserve">Using the fair value recognition provisions as prescribed by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4" w:lineRule="exact"/>
        <w:rPr>
          <w:sz w:val="20"/>
          <w:szCs w:val="20"/>
          <w:color w:val="auto"/>
        </w:rPr>
      </w:pPr>
    </w:p>
    <w:p>
      <w:pPr>
        <w:jc w:val="both"/>
        <w:ind w:right="20" w:firstLine="326"/>
        <w:spacing w:after="0" w:line="284" w:lineRule="auto"/>
        <w:rPr>
          <w:sz w:val="20"/>
          <w:szCs w:val="20"/>
          <w:color w:val="auto"/>
        </w:rPr>
      </w:pPr>
      <w:r>
        <w:rPr>
          <w:rFonts w:ascii="Times New Roman" w:cs="Times New Roman" w:eastAsia="Times New Roman" w:hAnsi="Times New Roman"/>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Transaction Costs and Escrow Deposits</w:t>
      </w:r>
    </w:p>
    <w:p>
      <w:pPr>
        <w:spacing w:after="0" w:line="204"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2025 and December 31, 2024, the Company had no escrow deposits.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Unrealized Appreciation or Depreciation of Investments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Unrealized appreciation or depreciation is calculated as the difference between the fair value of the investment and the cost basis of such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and State Income Taxes</w:t>
      </w:r>
    </w:p>
    <w:p>
      <w:pPr>
        <w:spacing w:after="0" w:line="204"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64" w:lineRule="exact"/>
        <w:rPr>
          <w:sz w:val="20"/>
          <w:szCs w:val="20"/>
          <w:color w:val="auto"/>
        </w:rPr>
      </w:pPr>
    </w:p>
    <w:p>
      <w:pPr>
        <w:jc w:val="both"/>
        <w:ind w:firstLine="326"/>
        <w:spacing w:after="0" w:line="257" w:lineRule="auto"/>
        <w:rPr>
          <w:sz w:val="20"/>
          <w:szCs w:val="20"/>
          <w:color w:val="auto"/>
        </w:rPr>
      </w:pPr>
      <w:r>
        <w:rPr>
          <w:rFonts w:ascii="Times New Roman" w:cs="Times New Roman" w:eastAsia="Times New Roman" w:hAnsi="Times New Roman"/>
          <w:sz w:val="16"/>
          <w:szCs w:val="16"/>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5" w:lineRule="exact"/>
        <w:rPr>
          <w:sz w:val="20"/>
          <w:szCs w:val="20"/>
          <w:color w:val="auto"/>
        </w:rPr>
      </w:pPr>
    </w:p>
    <w:p>
      <w:pPr>
        <w:jc w:val="both"/>
        <w:ind w:firstLine="326"/>
        <w:spacing w:after="0" w:line="258" w:lineRule="auto"/>
        <w:rPr>
          <w:sz w:val="20"/>
          <w:szCs w:val="20"/>
          <w:color w:val="auto"/>
        </w:rPr>
      </w:pPr>
      <w:r>
        <w:rPr>
          <w:rFonts w:ascii="Times New Roman" w:cs="Times New Roman" w:eastAsia="Times New Roman" w:hAnsi="Times New Roman"/>
          <w:sz w:val="16"/>
          <w:szCs w:val="16"/>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64" w:lineRule="exact"/>
        <w:rPr>
          <w:sz w:val="20"/>
          <w:szCs w:val="20"/>
          <w:color w:val="auto"/>
        </w:rPr>
      </w:pPr>
    </w:p>
    <w:p>
      <w:pPr>
        <w:jc w:val="both"/>
        <w:ind w:firstLine="326"/>
        <w:spacing w:after="0" w:line="254" w:lineRule="auto"/>
        <w:rPr>
          <w:sz w:val="20"/>
          <w:szCs w:val="20"/>
          <w:color w:val="auto"/>
        </w:rPr>
      </w:pPr>
      <w:r>
        <w:rPr>
          <w:rFonts w:ascii="Times New Roman" w:cs="Times New Roman" w:eastAsia="Times New Roman" w:hAnsi="Times New Roman"/>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 Share Information</w:t>
      </w:r>
    </w:p>
    <w:p>
      <w:pPr>
        <w:spacing w:after="0" w:line="204"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6"/>
          <w:szCs w:val="16"/>
          <w:i w:val="1"/>
          <w:iCs w:val="1"/>
          <w:color w:val="auto"/>
        </w:rPr>
        <w:t>, Earnings 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Share </w:t>
      </w:r>
      <w:r>
        <w:rPr>
          <w:rFonts w:ascii="Times New Roman" w:cs="Times New Roman" w:eastAsia="Times New Roman" w:hAnsi="Times New Roman"/>
          <w:sz w:val="16"/>
          <w:szCs w:val="16"/>
          <w:color w:val="auto"/>
        </w:rPr>
        <w:t>(“ASC 260”), to determine the number of potentially dilutive shares outstanding. Refer to “Note 6—Net Increase in Net Assets Resulting from Operations per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Share—Basic and Diluted” for further detail.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w:t>
      </w:r>
    </w:p>
    <w:p>
      <w:pPr>
        <w:spacing w:after="0" w:line="204"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In March 2024, the FASB issued ASU 2024-01, “Compensation — 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currently effective for public entities. The Company adopted this provision as of the effective date. However, ASU 2024-01 does not have a material impact on the Company’s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204"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In October 2023, the FASB issued ASU 2023-06, “Disclosure Improvements: Codification Amendments in Response to the SEC’s Disclosure Update and Simplification Initiative.” ASU 2023-06 amends the disclosure or presentation requirements related to various subtopics in the FASB Accounting Standards Codification including requiring investment companies to disclose the components of capital on the balance sheet. The amendments in ASU 2023-06 will become effective on the date which the SEC’s removal of related disclosures from Regulation S-X or Regulation S-K become effective, but no later than June 30, 2027. The Company is currently evaluating the impact of the new guidance. However, it does not expect ASU 2023-06 to have a material impact on the Company’s future Condensed Consolidated Financial Statements.</w:t>
      </w:r>
    </w:p>
    <w:p>
      <w:pPr>
        <w:spacing w:after="0" w:line="161"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ASU 2023-09 requires more disaggregated information on income taxes paid. The standard is effective for annual periods beginning after December 15, 2024. Early adoption is permitted; however, the Company has not elected to adopt this provision as of the date of the condensed consolidated financial statements. The Company is still assessing the impact of the new guidance. However, it does not expect ASU 2023-09 to have a material impact on the Company’s future Condensed Consolidated Financial Statements.</w:t>
      </w:r>
    </w:p>
    <w:p>
      <w:pPr>
        <w:spacing w:after="0" w:line="162"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Condensed Consolidated Financial Statements.</w:t>
      </w:r>
    </w:p>
    <w:p>
      <w:pPr>
        <w:spacing w:after="0" w:line="161"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is still assessing the impact of the new guidance.</w:t>
      </w:r>
    </w:p>
    <w:p>
      <w:pPr>
        <w:spacing w:after="0" w:line="156"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In May 2025, the FASB issued ASU 2025-03, “Business Combinations (Topic 805) and Consolidation (Topic 810) - Determining the Accounting Acquirer in the acquisition of a Variable Interest Entity”, which requires an entity to determine the accounting acquirer by considering the factors in ASC 805-10-55-12 through 55-15. The amendments are effective for fiscal years and interim periods within fiscal years beginning after December 15, 2026. The Company is still assessing the impact of the new guidance.</w:t>
      </w:r>
    </w:p>
    <w:p>
      <w:pPr>
        <w:spacing w:after="0" w:line="162"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3—RELATED-PARTY ARRANGEMENTS</w:t>
      </w:r>
    </w:p>
    <w:p>
      <w:pPr>
        <w:spacing w:after="0" w:line="204"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56"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62"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62"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On August 18, 2024, Churchill Capital Corp. VII announced that it would not consummate an initial business combination within the time period required by its Amended and Restated Certificate of Incorporation, as amended, and the Company realized a loss on the entirety of its Churchill Sponsor VII LLC common share units and warrant units in the amount of $300,000.</w:t>
      </w:r>
    </w:p>
    <w:p>
      <w:pPr>
        <w:spacing w:after="0" w:line="164"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June 30, 2025, the fair value of the Company’s remote-affiliate investment in Skillsoft was $783,999.</w:t>
      </w:r>
    </w:p>
    <w:p>
      <w:pPr>
        <w:spacing w:after="0" w:line="161"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controlled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November 15, 2024, the Company had sold its investment in Oklo,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4—INVESTMENTS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Portfolio Composition</w:t>
      </w:r>
    </w:p>
    <w:p>
      <w:pPr>
        <w:spacing w:after="0" w:line="204"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June 30, 2025, the Company had 60 positions in 36 portfolio companies. As of December 31, 2024, the Company had 60 positions in 37 portfolio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6" w:name="page27"/>
    <w:bookmarkEnd w:id="2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ind w:left="3" w:firstLine="326"/>
        <w:spacing w:after="0" w:line="284" w:lineRule="auto"/>
        <w:rPr>
          <w:sz w:val="20"/>
          <w:szCs w:val="20"/>
          <w:color w:val="auto"/>
        </w:rPr>
      </w:pPr>
      <w:r>
        <w:rPr>
          <w:rFonts w:ascii="Times New Roman" w:cs="Times New Roman" w:eastAsia="Times New Roman" w:hAnsi="Times New Roman"/>
          <w:sz w:val="16"/>
          <w:szCs w:val="16"/>
          <w:color w:val="auto"/>
        </w:rPr>
        <w:t>The following tables summarize the composition of the Company’s investment portfolio by security type at cost and fair value as of June 30, 2025 and December 31, 2024:</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67"/>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10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0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1"/>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5"/>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29"/>
        </w:trPr>
        <w:tc>
          <w:tcPr>
            <w:tcW w:w="3240" w:type="dxa"/>
            <w:vAlign w:val="bottom"/>
          </w:tcPr>
          <w:p>
            <w:pPr>
              <w:ind w:left="160"/>
              <w:spacing w:after="0" w:line="228"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$ 140,643,661</w:t>
            </w:r>
          </w:p>
        </w:tc>
        <w:tc>
          <w:tcPr>
            <w:tcW w:w="2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7"/>
              </w:rPr>
              <w:t>$ 142,108,054</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7"/>
              </w:rPr>
              <w:t>$ 159,592,108</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7"/>
              </w:rPr>
              <w:t>$ 151,003,991</w:t>
            </w: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29"/>
        </w:trPr>
        <w:tc>
          <w:tcPr>
            <w:tcW w:w="324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83,038,654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88,396,978</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67,469,643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35,922,154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93"/>
        </w:trPr>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2,777,197</w:t>
            </w:r>
          </w:p>
        </w:tc>
        <w:tc>
          <w:tcPr>
            <w:tcW w:w="28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506,339</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2,777,197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506,339</w:t>
            </w:r>
          </w:p>
        </w:tc>
        <w:tc>
          <w:tcPr>
            <w:tcW w:w="1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1"/>
        </w:trPr>
        <w:tc>
          <w:tcPr>
            <w:tcW w:w="3240" w:type="dxa"/>
            <w:vAlign w:val="bottom"/>
            <w:shd w:val="clear" w:color="auto" w:fill="CCEEFF"/>
          </w:tcPr>
          <w:p>
            <w:pPr>
              <w:ind w:left="160"/>
              <w:spacing w:after="0" w:line="241"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4,473,031</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10,283,118</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4,394,059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4,357,138</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85"/>
        </w:trPr>
        <w:tc>
          <w:tcPr>
            <w:tcW w:w="3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 Private Portfolio Companies</w:t>
            </w:r>
          </w:p>
        </w:tc>
        <w:tc>
          <w:tcPr>
            <w:tcW w:w="1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230,932,543</w:t>
            </w:r>
          </w:p>
        </w:tc>
        <w:tc>
          <w:tcPr>
            <w:tcW w:w="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241,294,489</w:t>
            </w:r>
          </w:p>
        </w:tc>
        <w:tc>
          <w:tcPr>
            <w:tcW w:w="28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3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234,233,007</w:t>
            </w:r>
          </w:p>
        </w:tc>
        <w:tc>
          <w:tcPr>
            <w:tcW w:w="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2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8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3"/>
        </w:trPr>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11,797,349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2,126,890</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21,805,582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16,154,290</w:t>
            </w:r>
          </w:p>
        </w:tc>
        <w:tc>
          <w:tcPr>
            <w:tcW w:w="1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5"/>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771,065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377,168</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771,065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1,436,830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185"/>
        </w:trPr>
        <w:tc>
          <w:tcPr>
            <w:tcW w:w="3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 Publicly Traded Portfolio Companies</w:t>
            </w:r>
          </w:p>
        </w:tc>
        <w:tc>
          <w:tcPr>
            <w:tcW w:w="1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12,568,414</w:t>
            </w:r>
          </w:p>
        </w:tc>
        <w:tc>
          <w:tcPr>
            <w:tcW w:w="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28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22,576,647</w:t>
            </w:r>
          </w:p>
        </w:tc>
        <w:tc>
          <w:tcPr>
            <w:tcW w:w="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17,591,120</w:t>
            </w:r>
          </w:p>
        </w:tc>
        <w:tc>
          <w:tcPr>
            <w:tcW w:w="2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7"/>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$ 243,500,957</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$ 243,798,547</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$ 256,809,654</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$ 209,380,742</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583" w:right="20" w:hanging="583"/>
        <w:spacing w:after="0" w:line="255" w:lineRule="auto"/>
        <w:tabs>
          <w:tab w:leader="none" w:pos="5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 As of December 31, 2024, 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jc w:val="both"/>
        <w:ind w:left="583" w:right="20" w:hanging="583"/>
        <w:spacing w:after="0" w:line="251" w:lineRule="auto"/>
        <w:tabs>
          <w:tab w:leader="none" w:pos="5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Common Stock in Private Portfolio Companies also includes the Company’s Limited Partner Fund Investment in True Global Ventures 4 Plus Pte Ltd. and the Company’s investment in the Class A Interest of CW Opportunity 2 LP which is invested in Class A Common Stock. As of December 31, 2024, Common Stock also includes the Company’s Limited Partner Fund Investment in True Global Ventures 4 Plus Pte Ltd.</w:t>
      </w:r>
    </w:p>
    <w:p>
      <w:pPr>
        <w:spacing w:after="0" w:line="1" w:lineRule="exact"/>
        <w:rPr>
          <w:rFonts w:ascii="Times New Roman" w:cs="Times New Roman" w:eastAsia="Times New Roman" w:hAnsi="Times New Roman"/>
          <w:sz w:val="16"/>
          <w:szCs w:val="16"/>
          <w:color w:val="auto"/>
        </w:rPr>
      </w:pPr>
    </w:p>
    <w:p>
      <w:pPr>
        <w:jc w:val="both"/>
        <w:ind w:left="583" w:right="20" w:hanging="583"/>
        <w:spacing w:after="0" w:line="257" w:lineRule="auto"/>
        <w:tabs>
          <w:tab w:leader="none" w:pos="5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Options in Private Portfolio Companies also includes the Company’s investments in the SAFEs of Orchard Technologies, Inc., PayJoy, Inc., Stake Trade, Inc. (d/b/a Prophet Exchange), and Whoop, Inc. As of December 31, 2024, Options also includes the Company’s investments in the SAFEs of Commercial Streaming Solutions Inc. (d/b/a BettorView), PayJoy, Inc., and Stake Trade, Inc. (d/b/a Prophet Exchange).</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geographic and industrial compositions of the Company’s portfolio at fair value as of June 30, 2025 and December 31, 2024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67"/>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380" w:type="dxa"/>
            <w:vAlign w:val="bottom"/>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500"/>
              <w:spacing w:after="0" w:line="167"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220" w:type="dxa"/>
            <w:vAlign w:val="bottom"/>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1"/>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86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5"/>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Northeast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66,899,361</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72,100,161</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19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Midwest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58,053,426</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37,261,207</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19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West</w:t>
            </w: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51,078,629</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61,124,969</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19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Southeast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48,434,082</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20,675,077</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5"/>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19,333,049</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18,219,328</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97"/>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243,798,547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2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209,380,742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3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67"/>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360" w:type="dxa"/>
            <w:vAlign w:val="bottom"/>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center"/>
              <w:ind w:right="50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220" w:type="dxa"/>
            <w:vAlign w:val="bottom"/>
          </w:tcPr>
          <w:p>
            <w:pPr>
              <w:jc w:val="right"/>
              <w:ind w:right="120"/>
              <w:spacing w:after="0" w:line="167"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1"/>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4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5"/>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76"/>
        </w:trPr>
        <w:tc>
          <w:tcPr>
            <w:tcW w:w="20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Artificial Intelligence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Infrastructure &amp; Applications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80,819,406</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33.2%</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58,072,060</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177"/>
        </w:trPr>
        <w:tc>
          <w:tcPr>
            <w:tcW w:w="2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Financial Technology &amp;</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41,734,860</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17,192,986</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Consumer Goods &amp; Services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38,230,231</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30,351,636</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19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Software-as-a-Service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33,905,698</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49,225,370</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19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Education Technology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24,609,666</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27,327,100</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19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Logistics &amp; Supply Chain</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20,243,074</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23,033,237</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SuRo Capital Sports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4,255,612</w:t>
            </w:r>
          </w:p>
        </w:tc>
        <w:tc>
          <w:tcPr>
            <w:tcW w:w="32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4,178,353</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7"/>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243,798,547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4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209,380,742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details the composition of the Company’s industrial themes presented in the preceding tables:</w:t>
      </w:r>
    </w:p>
    <w:p>
      <w:pPr>
        <w:sectPr>
          <w:pgSz w:w="11900" w:h="16838" w:orient="portrait"/>
          <w:cols w:equalWidth="0" w:num="1">
            <w:col w:w="10139"/>
          </w:cols>
          <w:pgMar w:left="320" w:top="220" w:right="1440"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Theme</w:t>
      </w:r>
    </w:p>
    <w:p>
      <w:pPr>
        <w:spacing w:after="0" w:line="27"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6"/>
          <w:szCs w:val="16"/>
          <w:color w:val="auto"/>
        </w:rPr>
        <w:t>Artificial Intelligence Infrastructure &amp;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-271145</wp:posOffset>
            </wp:positionV>
            <wp:extent cx="21450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Consumer Goods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Logistics &amp;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SuRo Capital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214503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5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Application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Infrastructure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E-Commerce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Lifestyle Beverage Brand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Micromobility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Education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Carbon Credit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Technology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Marketplace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Estate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Special Purpose Acquisition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Venture Investment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Supply Chain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Automation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 Management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Improvement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Productivity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Data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856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Geolocation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Sports Betting</w:t>
      </w:r>
    </w:p>
    <w:p>
      <w:pPr>
        <w:spacing w:after="0" w:line="1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16510</wp:posOffset>
            </wp:positionV>
            <wp:extent cx="714692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2">
            <w:col w:w="2880" w:space="720"/>
            <w:col w:w="6539"/>
          </w:cols>
          <w:pgMar w:left="320" w:top="220" w:right="1440" w:bottom="1440" w:gutter="0" w:footer="0" w:header="0"/>
          <w:type w:val="continuous"/>
        </w:sectPr>
      </w:pPr>
    </w:p>
    <w:bookmarkStart w:id="29" w:name="page30"/>
    <w:bookmarkEnd w:id="2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Investment Valuation Inputs</w:t>
      </w:r>
    </w:p>
    <w:p>
      <w:pPr>
        <w:spacing w:after="0" w:line="204" w:lineRule="exact"/>
        <w:rPr>
          <w:sz w:val="20"/>
          <w:szCs w:val="20"/>
          <w:color w:val="auto"/>
        </w:rPr>
      </w:pPr>
    </w:p>
    <w:p>
      <w:pPr>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The fair values of the Company’s investments disaggregated into the three levels of the fair value hierarchy based upon the lowest level of significant input used in the valuation as of June 30, 2025 and December 31, 2024 are as follows:</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60"/>
              <w:spacing w:after="0" w:line="167"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280" w:type="dxa"/>
            <w:vAlign w:val="bottom"/>
          </w:tcPr>
          <w:p>
            <w:pPr>
              <w:spacing w:after="0"/>
              <w:rPr>
                <w:sz w:val="16"/>
                <w:szCs w:val="16"/>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Active Markets for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280" w:type="dxa"/>
            <w:vAlign w:val="bottom"/>
          </w:tcPr>
          <w:p>
            <w:pPr>
              <w:spacing w:after="0"/>
              <w:rPr>
                <w:sz w:val="16"/>
                <w:szCs w:val="16"/>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Identical Securities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30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28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142,108,054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142,108,054</w:t>
            </w:r>
          </w:p>
        </w:tc>
        <w:tc>
          <w:tcPr>
            <w:tcW w:w="100" w:type="dxa"/>
            <w:vAlign w:val="bottom"/>
            <w:shd w:val="clear" w:color="auto" w:fill="CCEEFF"/>
          </w:tcPr>
          <w:p>
            <w:pPr>
              <w:spacing w:after="0"/>
              <w:rPr>
                <w:sz w:val="19"/>
                <w:szCs w:val="19"/>
                <w:color w:val="auto"/>
              </w:rPr>
            </w:pPr>
          </w:p>
        </w:tc>
      </w:tr>
      <w:tr>
        <w:trPr>
          <w:trHeight w:val="229"/>
        </w:trPr>
        <w:tc>
          <w:tcPr>
            <w:tcW w:w="4280" w:type="dxa"/>
            <w:vAlign w:val="bottom"/>
          </w:tcPr>
          <w:p>
            <w:pPr>
              <w:ind w:left="160"/>
              <w:spacing w:after="0" w:line="228"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88,396,978</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88,396,978</w:t>
            </w:r>
          </w:p>
        </w:tc>
        <w:tc>
          <w:tcPr>
            <w:tcW w:w="100" w:type="dxa"/>
            <w:vAlign w:val="bottom"/>
          </w:tcPr>
          <w:p>
            <w:pPr>
              <w:spacing w:after="0"/>
              <w:rPr>
                <w:sz w:val="19"/>
                <w:szCs w:val="19"/>
                <w:color w:val="auto"/>
              </w:rPr>
            </w:pPr>
          </w:p>
        </w:tc>
      </w:tr>
      <w:tr>
        <w:trPr>
          <w:trHeight w:val="193"/>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506,339</w:t>
            </w:r>
          </w:p>
        </w:tc>
        <w:tc>
          <w:tcPr>
            <w:tcW w:w="100" w:type="dxa"/>
            <w:vAlign w:val="bottom"/>
            <w:shd w:val="clear" w:color="auto" w:fill="CCEEFF"/>
          </w:tcPr>
          <w:p>
            <w:pPr>
              <w:spacing w:after="0"/>
              <w:rPr>
                <w:sz w:val="16"/>
                <w:szCs w:val="16"/>
                <w:color w:val="auto"/>
              </w:rPr>
            </w:pPr>
          </w:p>
        </w:tc>
      </w:tr>
      <w:tr>
        <w:trPr>
          <w:trHeight w:val="241"/>
        </w:trPr>
        <w:tc>
          <w:tcPr>
            <w:tcW w:w="428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10,283,118</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10,283,118</w:t>
            </w:r>
          </w:p>
        </w:tc>
        <w:tc>
          <w:tcPr>
            <w:tcW w:w="100" w:type="dxa"/>
            <w:vAlign w:val="bottom"/>
          </w:tcPr>
          <w:p>
            <w:pPr>
              <w:spacing w:after="0"/>
              <w:rPr>
                <w:sz w:val="20"/>
                <w:szCs w:val="20"/>
                <w:color w:val="auto"/>
              </w:rPr>
            </w:pP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241,294,489</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241,294,489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2,126,890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2,126,890</w:t>
            </w:r>
          </w:p>
        </w:tc>
        <w:tc>
          <w:tcPr>
            <w:tcW w:w="100" w:type="dxa"/>
            <w:vAlign w:val="bottom"/>
            <w:shd w:val="clear" w:color="auto" w:fill="CCEEFF"/>
          </w:tcPr>
          <w:p>
            <w:pPr>
              <w:spacing w:after="0"/>
              <w:rPr>
                <w:sz w:val="16"/>
                <w:szCs w:val="16"/>
                <w:color w:val="auto"/>
              </w:rPr>
            </w:pPr>
          </w:p>
        </w:tc>
      </w:tr>
      <w:tr>
        <w:trPr>
          <w:trHeight w:val="205"/>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377,168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377,168</w:t>
            </w:r>
          </w:p>
        </w:tc>
        <w:tc>
          <w:tcPr>
            <w:tcW w:w="100" w:type="dxa"/>
            <w:vAlign w:val="bottom"/>
          </w:tcPr>
          <w:p>
            <w:pPr>
              <w:spacing w:after="0"/>
              <w:rPr>
                <w:sz w:val="17"/>
                <w:szCs w:val="17"/>
                <w:color w:val="auto"/>
              </w:rPr>
            </w:pP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241,294,489</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243,798,547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right="20" w:hanging="443"/>
        <w:spacing w:after="0" w:line="258" w:lineRule="auto"/>
        <w:tabs>
          <w:tab w:leader="none" w:pos="44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443" w:right="20" w:hanging="443"/>
        <w:spacing w:after="0" w:line="251" w:lineRule="auto"/>
        <w:tabs>
          <w:tab w:leader="none" w:pos="44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w:t>
      </w:r>
    </w:p>
    <w:p>
      <w:pPr>
        <w:spacing w:after="0" w:line="1" w:lineRule="exact"/>
        <w:rPr>
          <w:rFonts w:ascii="Times New Roman" w:cs="Times New Roman" w:eastAsia="Times New Roman" w:hAnsi="Times New Roman"/>
          <w:sz w:val="16"/>
          <w:szCs w:val="16"/>
          <w:color w:val="auto"/>
        </w:rPr>
      </w:pPr>
    </w:p>
    <w:p>
      <w:pPr>
        <w:ind w:left="443" w:right="20" w:hanging="443"/>
        <w:spacing w:after="0" w:line="263" w:lineRule="auto"/>
        <w:tabs>
          <w:tab w:leader="none" w:pos="44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Stake Trade, Inc. (d/b/a Prophet Exchange), and Whoop, Inc.</w:t>
      </w:r>
    </w:p>
    <w:p>
      <w:pPr>
        <w:spacing w:after="0" w:line="1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30" w:name="page31"/>
    <w:bookmarkEnd w:id="3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00"/>
              <w:spacing w:after="0" w:line="167"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300"/>
              <w:spacing w:after="0" w:line="167"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2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 for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2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Securities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30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28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151,003,991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151,003,991</w:t>
            </w:r>
          </w:p>
        </w:tc>
        <w:tc>
          <w:tcPr>
            <w:tcW w:w="100" w:type="dxa"/>
            <w:vAlign w:val="bottom"/>
            <w:shd w:val="clear" w:color="auto" w:fill="CCEEFF"/>
          </w:tcPr>
          <w:p>
            <w:pPr>
              <w:spacing w:after="0"/>
              <w:rPr>
                <w:sz w:val="19"/>
                <w:szCs w:val="19"/>
                <w:color w:val="auto"/>
              </w:rPr>
            </w:pPr>
          </w:p>
        </w:tc>
      </w:tr>
      <w:tr>
        <w:trPr>
          <w:trHeight w:val="229"/>
        </w:trPr>
        <w:tc>
          <w:tcPr>
            <w:tcW w:w="4280" w:type="dxa"/>
            <w:vAlign w:val="bottom"/>
          </w:tcPr>
          <w:p>
            <w:pPr>
              <w:ind w:left="160"/>
              <w:spacing w:after="0" w:line="228"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35,922,154</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35,922,154</w:t>
            </w:r>
          </w:p>
        </w:tc>
        <w:tc>
          <w:tcPr>
            <w:tcW w:w="100" w:type="dxa"/>
            <w:vAlign w:val="bottom"/>
          </w:tcPr>
          <w:p>
            <w:pPr>
              <w:spacing w:after="0"/>
              <w:rPr>
                <w:sz w:val="19"/>
                <w:szCs w:val="19"/>
                <w:color w:val="auto"/>
              </w:rPr>
            </w:pPr>
          </w:p>
        </w:tc>
      </w:tr>
      <w:tr>
        <w:trPr>
          <w:trHeight w:val="193"/>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506,339</w:t>
            </w:r>
          </w:p>
        </w:tc>
        <w:tc>
          <w:tcPr>
            <w:tcW w:w="100" w:type="dxa"/>
            <w:vAlign w:val="bottom"/>
            <w:shd w:val="clear" w:color="auto" w:fill="CCEEFF"/>
          </w:tcPr>
          <w:p>
            <w:pPr>
              <w:spacing w:after="0"/>
              <w:rPr>
                <w:sz w:val="16"/>
                <w:szCs w:val="16"/>
                <w:color w:val="auto"/>
              </w:rPr>
            </w:pPr>
          </w:p>
        </w:tc>
      </w:tr>
      <w:tr>
        <w:trPr>
          <w:trHeight w:val="241"/>
        </w:trPr>
        <w:tc>
          <w:tcPr>
            <w:tcW w:w="428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4,357,138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4,357,138</w:t>
            </w:r>
          </w:p>
        </w:tc>
        <w:tc>
          <w:tcPr>
            <w:tcW w:w="100" w:type="dxa"/>
            <w:vAlign w:val="bottom"/>
          </w:tcPr>
          <w:p>
            <w:pPr>
              <w:spacing w:after="0"/>
              <w:rPr>
                <w:sz w:val="20"/>
                <w:szCs w:val="20"/>
                <w:color w:val="auto"/>
              </w:rPr>
            </w:pP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2,126,577</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14,027,713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16,154,290</w:t>
            </w:r>
          </w:p>
        </w:tc>
        <w:tc>
          <w:tcPr>
            <w:tcW w:w="100" w:type="dxa"/>
            <w:vAlign w:val="bottom"/>
            <w:shd w:val="clear" w:color="auto" w:fill="CCEEFF"/>
          </w:tcPr>
          <w:p>
            <w:pPr>
              <w:spacing w:after="0"/>
              <w:rPr>
                <w:sz w:val="16"/>
                <w:szCs w:val="16"/>
                <w:color w:val="auto"/>
              </w:rPr>
            </w:pPr>
          </w:p>
        </w:tc>
      </w:tr>
      <w:tr>
        <w:trPr>
          <w:trHeight w:val="205"/>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1,436,830</w:t>
            </w:r>
          </w:p>
        </w:tc>
        <w:tc>
          <w:tcPr>
            <w:tcW w:w="100" w:type="dxa"/>
            <w:vAlign w:val="bottom"/>
          </w:tcPr>
          <w:p>
            <w:pPr>
              <w:spacing w:after="0"/>
              <w:rPr>
                <w:sz w:val="17"/>
                <w:szCs w:val="17"/>
                <w:color w:val="auto"/>
              </w:rPr>
            </w:pPr>
          </w:p>
        </w:tc>
      </w:tr>
      <w:tr>
        <w:trPr>
          <w:trHeight w:val="18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3,563,407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14,027,713</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17,591,120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3,563,407</w:t>
            </w:r>
          </w:p>
        </w:tc>
        <w:tc>
          <w:tcPr>
            <w:tcW w:w="3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14,027,713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209,380,742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right="20" w:hanging="443"/>
        <w:spacing w:after="0" w:line="257" w:lineRule="auto"/>
        <w:tabs>
          <w:tab w:leader="none" w:pos="44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443" w:hanging="443"/>
        <w:spacing w:after="0"/>
        <w:tabs>
          <w:tab w:leader="none" w:pos="44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w:t>
      </w:r>
    </w:p>
    <w:p>
      <w:pPr>
        <w:spacing w:after="0" w:line="9" w:lineRule="exact"/>
        <w:rPr>
          <w:rFonts w:ascii="Times New Roman" w:cs="Times New Roman" w:eastAsia="Times New Roman" w:hAnsi="Times New Roman"/>
          <w:sz w:val="16"/>
          <w:szCs w:val="16"/>
          <w:color w:val="auto"/>
        </w:rPr>
      </w:pPr>
    </w:p>
    <w:p>
      <w:pPr>
        <w:ind w:left="443" w:hanging="443"/>
        <w:spacing w:after="0" w:line="263" w:lineRule="auto"/>
        <w:tabs>
          <w:tab w:leader="none" w:pos="44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Commercial Streaming Solutions Inc. (d/b/a BettorView), PayJoy, Inc., and Stake Trade, Inc. (d/b/a Prophet Exchange).</w:t>
      </w:r>
    </w:p>
    <w:p>
      <w:pPr>
        <w:spacing w:after="0" w:line="1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1" w:name="page32"/>
    <w:bookmarkEnd w:id="3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Significant Unobservable Inputs for Level 3 Assets and Liabilities</w:t>
      </w:r>
    </w:p>
    <w:p>
      <w:pPr>
        <w:spacing w:after="0" w:line="204" w:lineRule="exact"/>
        <w:rPr>
          <w:sz w:val="20"/>
          <w:szCs w:val="20"/>
          <w:color w:val="auto"/>
        </w:rPr>
      </w:pPr>
    </w:p>
    <w:p>
      <w:pPr>
        <w:jc w:val="both"/>
        <w:ind w:left="3" w:firstLine="289"/>
        <w:spacing w:after="0" w:line="257" w:lineRule="auto"/>
        <w:rPr>
          <w:sz w:val="20"/>
          <w:szCs w:val="20"/>
          <w:color w:val="auto"/>
        </w:rPr>
      </w:pPr>
      <w:r>
        <w:rPr>
          <w:rFonts w:ascii="Times New Roman" w:cs="Times New Roman" w:eastAsia="Times New Roman" w:hAnsi="Times New Roman"/>
          <w:sz w:val="16"/>
          <w:szCs w:val="16"/>
          <w:color w:val="auto"/>
        </w:rPr>
        <w:t xml:space="preserve">In accordance with FASB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tables below provide quantitative information about the fair value measurements of the Company’s Level 3 assets as of June 30, 2025 and December 31, 2024.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June 30, 2025 and December 31, 2024.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5"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9"/>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Valuation Approach/</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46"/>
        </w:trPr>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8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1"/>
                <w:szCs w:val="21"/>
                <w:color w:val="auto"/>
              </w:rPr>
            </w:pPr>
          </w:p>
        </w:tc>
        <w:tc>
          <w:tcPr>
            <w:tcW w:w="204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3"/>
              </w:rPr>
              <w:t>Technique</w:t>
            </w:r>
            <w:r>
              <w:rPr>
                <w:rFonts w:ascii="Times New Roman" w:cs="Times New Roman" w:eastAsia="Times New Roman" w:hAnsi="Times New Roman"/>
                <w:sz w:val="26"/>
                <w:szCs w:val="26"/>
                <w:b w:val="1"/>
                <w:bCs w:val="1"/>
                <w:color w:val="auto"/>
                <w:w w:val="93"/>
                <w:vertAlign w:val="superscript"/>
              </w:rPr>
              <w:t>(1)</w:t>
            </w:r>
          </w:p>
        </w:tc>
        <w:tc>
          <w:tcPr>
            <w:tcW w:w="224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6"/>
              </w:rPr>
              <w:t>Unobservable Inputs</w:t>
            </w:r>
            <w:r>
              <w:rPr>
                <w:rFonts w:ascii="Times New Roman" w:cs="Times New Roman" w:eastAsia="Times New Roman" w:hAnsi="Times New Roman"/>
                <w:sz w:val="26"/>
                <w:szCs w:val="26"/>
                <w:b w:val="1"/>
                <w:bCs w:val="1"/>
                <w:color w:val="auto"/>
                <w:w w:val="96"/>
                <w:vertAlign w:val="superscript"/>
              </w:rPr>
              <w:t>(2)</w:t>
            </w:r>
          </w:p>
        </w:tc>
        <w:tc>
          <w:tcPr>
            <w:tcW w:w="2020" w:type="dxa"/>
            <w:vAlign w:val="bottom"/>
          </w:tcPr>
          <w:p>
            <w:pPr>
              <w:jc w:val="center"/>
              <w:spacing w:after="0" w:line="246" w:lineRule="exact"/>
              <w:rPr>
                <w:sz w:val="20"/>
                <w:szCs w:val="20"/>
                <w:color w:val="auto"/>
              </w:rPr>
            </w:pPr>
            <w:r>
              <w:rPr>
                <w:rFonts w:ascii="Times New Roman" w:cs="Times New Roman" w:eastAsia="Times New Roman" w:hAnsi="Times New Roman"/>
                <w:sz w:val="16"/>
                <w:szCs w:val="16"/>
                <w:b w:val="1"/>
                <w:bCs w:val="1"/>
                <w:color w:val="auto"/>
                <w:w w:val="96"/>
              </w:rPr>
              <w:t>(Weighted Average)</w:t>
            </w:r>
            <w:r>
              <w:rPr>
                <w:rFonts w:ascii="Times New Roman" w:cs="Times New Roman" w:eastAsia="Times New Roman" w:hAnsi="Times New Roman"/>
                <w:sz w:val="26"/>
                <w:szCs w:val="26"/>
                <w:b w:val="1"/>
                <w:bCs w:val="1"/>
                <w:color w:val="auto"/>
                <w:w w:val="96"/>
                <w:vertAlign w:val="superscript"/>
              </w:rPr>
              <w:t>(3)</w:t>
            </w:r>
          </w:p>
        </w:tc>
      </w:tr>
      <w:tr>
        <w:trPr>
          <w:trHeight w:val="205"/>
        </w:trPr>
        <w:tc>
          <w:tcPr>
            <w:tcW w:w="270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5"/>
                <w:szCs w:val="15"/>
                <w:color w:val="auto"/>
              </w:rPr>
              <w:t>Preferred stock in private companies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$142,108,054</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0.61x - 6.12x (2.28x)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Precedent Transactions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 - 100% (77%)</w:t>
            </w:r>
          </w:p>
        </w:tc>
      </w:tr>
      <w:tr>
        <w:trPr>
          <w:trHeight w:val="229"/>
        </w:trPr>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1.33x - 5.24x (4.89x)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Dissolution Risk</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w:t>
            </w:r>
          </w:p>
        </w:tc>
      </w:tr>
      <w:tr>
        <w:trPr>
          <w:trHeight w:val="229"/>
        </w:trPr>
        <w:tc>
          <w:tcPr>
            <w:tcW w:w="292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8"/>
              </w:rPr>
              <w:t>Common stock in private companies</w:t>
            </w:r>
            <w:r>
              <w:rPr>
                <w:rFonts w:ascii="Times New Roman" w:cs="Times New Roman" w:eastAsia="Times New Roman" w:hAnsi="Times New Roman"/>
                <w:sz w:val="26"/>
                <w:szCs w:val="26"/>
                <w:color w:val="auto"/>
                <w:w w:val="98"/>
                <w:vertAlign w:val="superscript"/>
              </w:rPr>
              <w:t>(7)</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$88,396,978</w:t>
            </w:r>
          </w:p>
        </w:tc>
        <w:tc>
          <w:tcPr>
            <w:tcW w:w="22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0.60x - 6.43x (5.60x)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Discount Rate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Precedent Transactions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 - 100% (92.7%)</w:t>
            </w:r>
          </w:p>
        </w:tc>
      </w:tr>
      <w:tr>
        <w:trPr>
          <w:trHeight w:val="229"/>
        </w:trPr>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6"/>
              </w:rPr>
              <w:t>AFFO</w:t>
            </w:r>
            <w:r>
              <w:rPr>
                <w:rFonts w:ascii="Times New Roman" w:cs="Times New Roman" w:eastAsia="Times New Roman" w:hAnsi="Times New Roman"/>
                <w:sz w:val="26"/>
                <w:szCs w:val="26"/>
                <w:color w:val="auto"/>
                <w:w w:val="96"/>
                <w:vertAlign w:val="superscript"/>
              </w:rPr>
              <w:t>(4)</w:t>
            </w:r>
            <w:r>
              <w:rPr>
                <w:rFonts w:ascii="Times New Roman" w:cs="Times New Roman" w:eastAsia="Times New Roman" w:hAnsi="Times New Roman"/>
                <w:sz w:val="16"/>
                <w:szCs w:val="16"/>
                <w:color w:val="auto"/>
                <w:w w:val="96"/>
              </w:rPr>
              <w:t xml:space="preserv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7.40x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Dissolution Risk</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Discount Rate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5.81x - 6.53x (6.17x)</w:t>
            </w:r>
          </w:p>
        </w:tc>
      </w:tr>
      <w:tr>
        <w:trPr>
          <w:trHeight w:val="193"/>
        </w:trPr>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Debt investments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$506,339</w:t>
            </w:r>
          </w:p>
        </w:tc>
        <w:tc>
          <w:tcPr>
            <w:tcW w:w="2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0.60x - 2.35x (2.22x)</w:t>
            </w:r>
          </w:p>
        </w:tc>
      </w:tr>
      <w:tr>
        <w:trPr>
          <w:trHeight w:val="229"/>
        </w:trPr>
        <w:tc>
          <w:tcPr>
            <w:tcW w:w="292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Options</w:t>
            </w:r>
            <w:r>
              <w:rPr>
                <w:rFonts w:ascii="Times New Roman" w:cs="Times New Roman" w:eastAsia="Times New Roman" w:hAnsi="Times New Roman"/>
                <w:sz w:val="26"/>
                <w:szCs w:val="26"/>
                <w:color w:val="auto"/>
                <w:w w:val="93"/>
                <w:vertAlign w:val="superscript"/>
              </w:rPr>
              <w:t>(8)</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$10,283,118</w:t>
            </w:r>
          </w:p>
        </w:tc>
        <w:tc>
          <w:tcPr>
            <w:tcW w:w="22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Option Pricing Model</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to Expiration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1.00 - 1.86</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Precedent Transactions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 - 100% (73%)</w:t>
            </w: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Volatility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 - 62% (51%)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hanging="443"/>
        <w:spacing w:after="0" w:line="260" w:lineRule="auto"/>
        <w:tabs>
          <w:tab w:leader="none" w:pos="44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8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32" w:name="page33"/>
    <w:bookmarkEnd w:id="3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left="443" w:hanging="443"/>
        <w:spacing w:after="0" w:line="254" w:lineRule="auto"/>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ind w:left="443" w:hanging="443"/>
        <w:spacing w:after="0"/>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9" w:lineRule="exact"/>
        <w:rPr>
          <w:rFonts w:ascii="Times New Roman" w:cs="Times New Roman" w:eastAsia="Times New Roman" w:hAnsi="Times New Roman"/>
          <w:sz w:val="16"/>
          <w:szCs w:val="16"/>
          <w:color w:val="auto"/>
        </w:rPr>
      </w:pPr>
    </w:p>
    <w:p>
      <w:pPr>
        <w:jc w:val="both"/>
        <w:ind w:left="443" w:right="20" w:hanging="443"/>
        <w:spacing w:after="0" w:line="251" w:lineRule="auto"/>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443" w:right="20" w:hanging="443"/>
        <w:spacing w:after="0" w:line="251" w:lineRule="auto"/>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the Class A Common Stock.</w:t>
      </w:r>
    </w:p>
    <w:p>
      <w:pPr>
        <w:spacing w:after="0" w:line="1" w:lineRule="exact"/>
        <w:rPr>
          <w:rFonts w:ascii="Times New Roman" w:cs="Times New Roman" w:eastAsia="Times New Roman" w:hAnsi="Times New Roman"/>
          <w:sz w:val="16"/>
          <w:szCs w:val="16"/>
          <w:color w:val="auto"/>
        </w:rPr>
      </w:pPr>
    </w:p>
    <w:p>
      <w:pPr>
        <w:ind w:left="443" w:right="20" w:hanging="443"/>
        <w:spacing w:after="0" w:line="263" w:lineRule="auto"/>
        <w:tabs>
          <w:tab w:leader="none" w:pos="4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Stake Trade, Inc. (d/b/a Prophet Exchange), and Whoop, Inc.</w:t>
      </w:r>
    </w:p>
    <w:p>
      <w:pPr>
        <w:spacing w:after="0" w:line="158"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9"/>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Valuation Approach/</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46"/>
        </w:trPr>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8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1"/>
                <w:szCs w:val="21"/>
                <w:color w:val="auto"/>
              </w:rPr>
            </w:pPr>
          </w:p>
        </w:tc>
        <w:tc>
          <w:tcPr>
            <w:tcW w:w="204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3"/>
              </w:rPr>
              <w:t>Technique</w:t>
            </w:r>
            <w:r>
              <w:rPr>
                <w:rFonts w:ascii="Times New Roman" w:cs="Times New Roman" w:eastAsia="Times New Roman" w:hAnsi="Times New Roman"/>
                <w:sz w:val="26"/>
                <w:szCs w:val="26"/>
                <w:b w:val="1"/>
                <w:bCs w:val="1"/>
                <w:color w:val="auto"/>
                <w:w w:val="93"/>
                <w:vertAlign w:val="superscript"/>
              </w:rPr>
              <w:t>(1)</w:t>
            </w:r>
          </w:p>
        </w:tc>
        <w:tc>
          <w:tcPr>
            <w:tcW w:w="224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6"/>
              </w:rPr>
              <w:t>Unobservable Inputs</w:t>
            </w:r>
            <w:r>
              <w:rPr>
                <w:rFonts w:ascii="Times New Roman" w:cs="Times New Roman" w:eastAsia="Times New Roman" w:hAnsi="Times New Roman"/>
                <w:sz w:val="26"/>
                <w:szCs w:val="26"/>
                <w:b w:val="1"/>
                <w:bCs w:val="1"/>
                <w:color w:val="auto"/>
                <w:w w:val="96"/>
                <w:vertAlign w:val="superscript"/>
              </w:rPr>
              <w:t>(2)</w:t>
            </w:r>
          </w:p>
        </w:tc>
        <w:tc>
          <w:tcPr>
            <w:tcW w:w="2020" w:type="dxa"/>
            <w:vAlign w:val="bottom"/>
          </w:tcPr>
          <w:p>
            <w:pPr>
              <w:jc w:val="center"/>
              <w:spacing w:after="0" w:line="246" w:lineRule="exact"/>
              <w:rPr>
                <w:sz w:val="20"/>
                <w:szCs w:val="20"/>
                <w:color w:val="auto"/>
              </w:rPr>
            </w:pPr>
            <w:r>
              <w:rPr>
                <w:rFonts w:ascii="Times New Roman" w:cs="Times New Roman" w:eastAsia="Times New Roman" w:hAnsi="Times New Roman"/>
                <w:sz w:val="16"/>
                <w:szCs w:val="16"/>
                <w:b w:val="1"/>
                <w:bCs w:val="1"/>
                <w:color w:val="auto"/>
                <w:w w:val="96"/>
              </w:rPr>
              <w:t>(Weighted Average)</w:t>
            </w:r>
            <w:r>
              <w:rPr>
                <w:rFonts w:ascii="Times New Roman" w:cs="Times New Roman" w:eastAsia="Times New Roman" w:hAnsi="Times New Roman"/>
                <w:sz w:val="26"/>
                <w:szCs w:val="26"/>
                <w:b w:val="1"/>
                <w:bCs w:val="1"/>
                <w:color w:val="auto"/>
                <w:w w:val="96"/>
                <w:vertAlign w:val="superscript"/>
              </w:rPr>
              <w:t>(3)</w:t>
            </w:r>
          </w:p>
        </w:tc>
      </w:tr>
      <w:tr>
        <w:trPr>
          <w:trHeight w:val="205"/>
        </w:trPr>
        <w:tc>
          <w:tcPr>
            <w:tcW w:w="270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5"/>
                <w:szCs w:val="15"/>
                <w:color w:val="auto"/>
              </w:rPr>
              <w:t>Preferred stock in private companies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$151,003,991</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0.67x - 5.96x (1.82x)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Precedent Transactions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 - 100% (55%)</w:t>
            </w:r>
          </w:p>
        </w:tc>
      </w:tr>
      <w:tr>
        <w:trPr>
          <w:trHeight w:val="229"/>
        </w:trPr>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1.76x - 2.95x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Dissolution Risk</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 - 100% (87.5%)</w:t>
            </w:r>
          </w:p>
        </w:tc>
      </w:tr>
      <w:tr>
        <w:trPr>
          <w:trHeight w:val="229"/>
        </w:trPr>
        <w:tc>
          <w:tcPr>
            <w:tcW w:w="292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8"/>
              </w:rPr>
              <w:t>Common stock in private companies</w:t>
            </w:r>
            <w:r>
              <w:rPr>
                <w:rFonts w:ascii="Times New Roman" w:cs="Times New Roman" w:eastAsia="Times New Roman" w:hAnsi="Times New Roman"/>
                <w:sz w:val="26"/>
                <w:szCs w:val="26"/>
                <w:color w:val="auto"/>
                <w:w w:val="98"/>
                <w:vertAlign w:val="superscript"/>
              </w:rPr>
              <w:t>(7)</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$35,922,154</w:t>
            </w:r>
          </w:p>
        </w:tc>
        <w:tc>
          <w:tcPr>
            <w:tcW w:w="22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0.77x - 8.81x (7.59x)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Precedent Transactions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29"/>
        </w:trPr>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6"/>
              </w:rPr>
              <w:t>AFFO</w:t>
            </w:r>
            <w:r>
              <w:rPr>
                <w:rFonts w:ascii="Times New Roman" w:cs="Times New Roman" w:eastAsia="Times New Roman" w:hAnsi="Times New Roman"/>
                <w:sz w:val="26"/>
                <w:szCs w:val="26"/>
                <w:color w:val="auto"/>
                <w:w w:val="96"/>
                <w:vertAlign w:val="superscript"/>
              </w:rPr>
              <w:t>(4)</w:t>
            </w:r>
            <w:r>
              <w:rPr>
                <w:rFonts w:ascii="Times New Roman" w:cs="Times New Roman" w:eastAsia="Times New Roman" w:hAnsi="Times New Roman"/>
                <w:sz w:val="16"/>
                <w:szCs w:val="16"/>
                <w:color w:val="auto"/>
                <w:w w:val="96"/>
              </w:rPr>
              <w:t xml:space="preserv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7.88x</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Dissolution Risk</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Debt investments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$506,339</w:t>
            </w:r>
          </w:p>
        </w:tc>
        <w:tc>
          <w:tcPr>
            <w:tcW w:w="2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Revenue Multiples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0.90x - 1.31x (1.22x)</w:t>
            </w:r>
          </w:p>
        </w:tc>
      </w:tr>
      <w:tr>
        <w:trPr>
          <w:trHeight w:val="229"/>
        </w:trPr>
        <w:tc>
          <w:tcPr>
            <w:tcW w:w="292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Options</w:t>
            </w:r>
            <w:r>
              <w:rPr>
                <w:rFonts w:ascii="Times New Roman" w:cs="Times New Roman" w:eastAsia="Times New Roman" w:hAnsi="Times New Roman"/>
                <w:sz w:val="26"/>
                <w:szCs w:val="26"/>
                <w:color w:val="auto"/>
                <w:w w:val="93"/>
                <w:vertAlign w:val="superscript"/>
              </w:rPr>
              <w:t>(8)</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$4,357,138</w:t>
            </w:r>
          </w:p>
        </w:tc>
        <w:tc>
          <w:tcPr>
            <w:tcW w:w="22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Option Pricing Model</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to Expiration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1.5 - 19.38</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Volatility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 - 67%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hanging="443"/>
        <w:spacing w:after="0" w:line="260" w:lineRule="auto"/>
        <w:tabs>
          <w:tab w:leader="none" w:pos="44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8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3" w:name="page34"/>
    <w:bookmarkEnd w:id="3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left="443" w:hanging="443"/>
        <w:spacing w:after="0" w:line="254"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ind w:left="443" w:hanging="443"/>
        <w:spacing w:after="0"/>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9" w:lineRule="exact"/>
        <w:rPr>
          <w:rFonts w:ascii="Times New Roman" w:cs="Times New Roman" w:eastAsia="Times New Roman" w:hAnsi="Times New Roman"/>
          <w:sz w:val="16"/>
          <w:szCs w:val="16"/>
          <w:color w:val="auto"/>
        </w:rPr>
      </w:pPr>
    </w:p>
    <w:p>
      <w:pPr>
        <w:jc w:val="both"/>
        <w:ind w:left="443" w:right="20" w:hanging="443"/>
        <w:spacing w:after="0" w:line="251"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2"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also includes the Company’s Limited Partner Fund Investment in True Global Ventures 4 Plus Pte Ltd.</w:t>
      </w:r>
    </w:p>
    <w:p>
      <w:pPr>
        <w:spacing w:after="0" w:line="9" w:lineRule="exact"/>
        <w:rPr>
          <w:rFonts w:ascii="Times New Roman" w:cs="Times New Roman" w:eastAsia="Times New Roman" w:hAnsi="Times New Roman"/>
          <w:sz w:val="16"/>
          <w:szCs w:val="16"/>
          <w:color w:val="auto"/>
        </w:rPr>
      </w:pPr>
    </w:p>
    <w:p>
      <w:pPr>
        <w:ind w:left="443" w:right="20" w:hanging="443"/>
        <w:spacing w:after="0" w:line="263"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also includes the Company’s investments in the SAFEs of Commercial Streaming Solutions Inc. (d/b/a BettorView), PayJoy, Inc., and Stake Trade, Inc. (d/b/a Prophet Exchange).</w:t>
      </w:r>
    </w:p>
    <w:p>
      <w:pPr>
        <w:spacing w:after="0" w:line="18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six months ended June 30, 2025 as follows:</w:t>
      </w:r>
    </w:p>
    <w:p>
      <w:pPr>
        <w:spacing w:after="0" w:line="212"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620"/>
              <w:spacing w:after="0" w:line="173"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5"/>
                <w:szCs w:val="15"/>
                <w:color w:val="auto"/>
              </w:rPr>
            </w:pPr>
          </w:p>
        </w:tc>
        <w:tc>
          <w:tcPr>
            <w:tcW w:w="1340" w:type="dxa"/>
            <w:vAlign w:val="bottom"/>
            <w:gridSpan w:val="2"/>
          </w:tcPr>
          <w:p>
            <w:pPr>
              <w:jc w:val="right"/>
              <w:ind w:right="620"/>
              <w:spacing w:after="0" w:line="173"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5"/>
                <w:szCs w:val="15"/>
                <w:color w:val="auto"/>
              </w:rPr>
            </w:pPr>
          </w:p>
        </w:tc>
        <w:tc>
          <w:tcPr>
            <w:tcW w:w="1340" w:type="dxa"/>
            <w:vAlign w:val="bottom"/>
            <w:gridSpan w:val="2"/>
          </w:tcPr>
          <w:p>
            <w:pPr>
              <w:jc w:val="center"/>
              <w:ind w:right="480"/>
              <w:spacing w:after="0" w:line="173" w:lineRule="exact"/>
              <w:rPr>
                <w:sz w:val="20"/>
                <w:szCs w:val="20"/>
                <w:color w:val="auto"/>
              </w:rPr>
            </w:pPr>
            <w:r>
              <w:rPr>
                <w:rFonts w:ascii="Times New Roman" w:cs="Times New Roman" w:eastAsia="Times New Roman" w:hAnsi="Times New Roman"/>
                <w:sz w:val="16"/>
                <w:szCs w:val="16"/>
                <w:b w:val="1"/>
                <w:bCs w:val="1"/>
                <w:color w:val="auto"/>
              </w:rPr>
              <w:t>Debt</w:t>
            </w:r>
          </w:p>
        </w:tc>
        <w:tc>
          <w:tcPr>
            <w:tcW w:w="180" w:type="dxa"/>
            <w:vAlign w:val="bottom"/>
          </w:tcPr>
          <w:p>
            <w:pPr>
              <w:spacing w:after="0"/>
              <w:rPr>
                <w:sz w:val="15"/>
                <w:szCs w:val="15"/>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3"/>
              </w:rPr>
              <w:t>Options</w:t>
            </w:r>
            <w:r>
              <w:rPr>
                <w:rFonts w:ascii="Times New Roman" w:cs="Times New Roman" w:eastAsia="Times New Roman" w:hAnsi="Times New Roman"/>
                <w:sz w:val="26"/>
                <w:szCs w:val="26"/>
                <w:b w:val="1"/>
                <w:bCs w:val="1"/>
                <w:color w:val="auto"/>
                <w:w w:val="93"/>
                <w:vertAlign w:val="superscript"/>
              </w:rPr>
              <w:t>(3)</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60"/>
              <w:spacing w:after="0" w:line="241"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(1)</w:t>
            </w:r>
          </w:p>
        </w:tc>
        <w:tc>
          <w:tcPr>
            <w:tcW w:w="140" w:type="dxa"/>
            <w:vAlign w:val="bottom"/>
          </w:tcPr>
          <w:p>
            <w:pPr>
              <w:spacing w:after="0"/>
              <w:rPr>
                <w:sz w:val="20"/>
                <w:szCs w:val="20"/>
                <w:color w:val="auto"/>
              </w:rPr>
            </w:pPr>
          </w:p>
        </w:tc>
        <w:tc>
          <w:tcPr>
            <w:tcW w:w="1340" w:type="dxa"/>
            <w:vAlign w:val="bottom"/>
            <w:gridSpan w:val="2"/>
          </w:tcPr>
          <w:p>
            <w:pPr>
              <w:jc w:val="right"/>
              <w:ind w:right="640"/>
              <w:spacing w:after="0" w:line="241"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(2)</w:t>
            </w:r>
          </w:p>
        </w:tc>
        <w:tc>
          <w:tcPr>
            <w:tcW w:w="12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151,003,991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35,922,154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4,357,138</w:t>
            </w:r>
          </w:p>
        </w:tc>
        <w:tc>
          <w:tcPr>
            <w:tcW w:w="34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191,789,622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(5,221,824)</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(5,221,824)</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(10,443,648)</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4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224,366</w:t>
            </w:r>
          </w:p>
        </w:tc>
        <w:tc>
          <w:tcPr>
            <w:tcW w:w="14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5,395,541</w:t>
            </w: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1,083,211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6,703,118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Exercises and conversions</w:t>
            </w:r>
            <w:r>
              <w:rPr>
                <w:rFonts w:ascii="Times New Roman" w:cs="Times New Roman" w:eastAsia="Times New Roman" w:hAnsi="Times New Roman"/>
                <w:sz w:val="26"/>
                <w:szCs w:val="26"/>
                <w:color w:val="auto"/>
                <w:vertAlign w:val="superscript"/>
              </w:rPr>
              <w:t>(4)</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(16,770,915)</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17,775,155</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(1,004,240)</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41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included in earnings</w:t>
            </w:r>
          </w:p>
        </w:tc>
        <w:tc>
          <w:tcPr>
            <w:tcW w:w="1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12,872,436</w:t>
            </w:r>
          </w:p>
        </w:tc>
        <w:tc>
          <w:tcPr>
            <w:tcW w:w="1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34,525,952</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5,847,009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53,245,397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142,108,054</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88,396,978</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10,283,118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241,294,489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line="168"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Level 3 investments still held as of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12,872,431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34,525,952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5,842,768</w:t>
            </w:r>
          </w:p>
        </w:tc>
        <w:tc>
          <w:tcPr>
            <w:tcW w:w="340" w:type="dxa"/>
            <w:vAlign w:val="bottom"/>
          </w:tcPr>
          <w:p>
            <w:pPr>
              <w:spacing w:after="0"/>
              <w:rPr>
                <w:sz w:val="20"/>
                <w:szCs w:val="20"/>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53,241,151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right="20" w:hanging="443"/>
        <w:spacing w:after="0" w:line="258"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443" w:right="20" w:hanging="443"/>
        <w:spacing w:after="0" w:line="251"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w:t>
      </w:r>
    </w:p>
    <w:p>
      <w:pPr>
        <w:spacing w:after="0" w:line="1" w:lineRule="exact"/>
        <w:rPr>
          <w:rFonts w:ascii="Times New Roman" w:cs="Times New Roman" w:eastAsia="Times New Roman" w:hAnsi="Times New Roman"/>
          <w:sz w:val="16"/>
          <w:szCs w:val="16"/>
          <w:color w:val="auto"/>
        </w:rPr>
      </w:pPr>
    </w:p>
    <w:p>
      <w:pPr>
        <w:ind w:left="443" w:right="20" w:hanging="443"/>
        <w:spacing w:after="0" w:line="251"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Stake Trade, Inc. (d/b/a Prophet Exchange), and Whoop, Inc.</w:t>
      </w:r>
    </w:p>
    <w:p>
      <w:pPr>
        <w:spacing w:after="0" w:line="1"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2025, the Company’s portfolio investments had the following corporate actions which are reflected above:</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r>
      <w:tr>
        <w:trPr>
          <w:trHeight w:val="169"/>
        </w:trPr>
        <w:tc>
          <w:tcPr>
            <w:tcW w:w="36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CoreWeave, Inc.</w:t>
            </w:r>
          </w:p>
        </w:tc>
        <w:tc>
          <w:tcPr>
            <w:tcW w:w="24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Preferred Shares, Series A</w:t>
            </w:r>
          </w:p>
        </w:tc>
        <w:tc>
          <w:tcPr>
            <w:tcW w:w="2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Common Shares (Level 2)</w:t>
            </w:r>
          </w:p>
        </w:tc>
      </w:tr>
      <w:tr>
        <w:trPr>
          <w:trHeight w:val="210"/>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Common shares</w:t>
            </w:r>
          </w:p>
        </w:tc>
        <w:tc>
          <w:tcPr>
            <w:tcW w:w="3600" w:type="dxa"/>
            <w:vAlign w:val="bottom"/>
            <w:shd w:val="clear" w:color="auto" w:fill="CCEEFF"/>
          </w:tcPr>
          <w:p>
            <w:pPr>
              <w:spacing w:after="0"/>
              <w:rPr>
                <w:sz w:val="18"/>
                <w:szCs w:val="18"/>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Preferred Shares, Series C</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(Level 3)</w:t>
            </w:r>
          </w:p>
        </w:tc>
      </w:tr>
      <w:tr>
        <w:trPr>
          <w:trHeight w:val="176"/>
        </w:trPr>
        <w:tc>
          <w:tcPr>
            <w:tcW w:w="38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Commercial Streaming Solutions Inc.</w:t>
            </w:r>
          </w:p>
        </w:tc>
        <w:tc>
          <w:tcPr>
            <w:tcW w:w="3820" w:type="dxa"/>
            <w:vAlign w:val="bottom"/>
            <w:gridSpan w:val="2"/>
            <w:shd w:val="clear" w:color="auto" w:fill="CCEEFF"/>
          </w:tcPr>
          <w:p>
            <w:pPr>
              <w:jc w:val="center"/>
              <w:ind w:right="220"/>
              <w:spacing w:after="0" w:line="177" w:lineRule="exact"/>
              <w:rPr>
                <w:sz w:val="20"/>
                <w:szCs w:val="20"/>
                <w:color w:val="auto"/>
              </w:rPr>
            </w:pPr>
            <w:r>
              <w:rPr>
                <w:rFonts w:ascii="Times New Roman" w:cs="Times New Roman" w:eastAsia="Times New Roman" w:hAnsi="Times New Roman"/>
                <w:sz w:val="16"/>
                <w:szCs w:val="16"/>
                <w:color w:val="auto"/>
              </w:rPr>
              <w:t>Simple Agreement for Future Equity</w:t>
            </w:r>
          </w:p>
        </w:tc>
        <w:tc>
          <w:tcPr>
            <w:tcW w:w="36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rPr>
              <w:t>Preferred Shares, Class A-1 (Level 3)</w:t>
            </w:r>
          </w:p>
        </w:tc>
      </w:tr>
      <w:tr>
        <w:trPr>
          <w:trHeight w:val="21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(d/b/a BettorView)</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392"/>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4726305</wp:posOffset>
            </wp:positionH>
            <wp:positionV relativeFrom="paragraph">
              <wp:posOffset>-880110</wp:posOffset>
            </wp:positionV>
            <wp:extent cx="13779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795" cy="762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-880110</wp:posOffset>
            </wp:positionV>
            <wp:extent cx="1454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41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34" w:name="page35"/>
    <w:bookmarkEnd w:id="3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ind w:left="5163"/>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2024 as follows:</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600"/>
              <w:spacing w:after="0" w:line="173"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5"/>
                <w:szCs w:val="15"/>
                <w:color w:val="auto"/>
              </w:rPr>
            </w:pPr>
          </w:p>
        </w:tc>
        <w:tc>
          <w:tcPr>
            <w:tcW w:w="1320" w:type="dxa"/>
            <w:vAlign w:val="bottom"/>
            <w:gridSpan w:val="2"/>
          </w:tcPr>
          <w:p>
            <w:pPr>
              <w:jc w:val="right"/>
              <w:ind w:right="600"/>
              <w:spacing w:after="0" w:line="173"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5"/>
                <w:szCs w:val="15"/>
                <w:color w:val="auto"/>
              </w:rPr>
            </w:pPr>
          </w:p>
        </w:tc>
        <w:tc>
          <w:tcPr>
            <w:tcW w:w="1340" w:type="dxa"/>
            <w:vAlign w:val="bottom"/>
            <w:gridSpan w:val="2"/>
          </w:tcPr>
          <w:p>
            <w:pPr>
              <w:jc w:val="right"/>
              <w:ind w:right="720"/>
              <w:spacing w:after="0" w:line="173" w:lineRule="exact"/>
              <w:rPr>
                <w:sz w:val="20"/>
                <w:szCs w:val="20"/>
                <w:color w:val="auto"/>
              </w:rPr>
            </w:pPr>
            <w:r>
              <w:rPr>
                <w:rFonts w:ascii="Times New Roman" w:cs="Times New Roman" w:eastAsia="Times New Roman" w:hAnsi="Times New Roman"/>
                <w:sz w:val="16"/>
                <w:szCs w:val="16"/>
                <w:b w:val="1"/>
                <w:bCs w:val="1"/>
                <w:color w:val="auto"/>
              </w:rPr>
              <w:t>Debt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6"/>
              </w:rPr>
              <w:t>Options</w:t>
            </w:r>
            <w:r>
              <w:rPr>
                <w:rFonts w:ascii="Times New Roman" w:cs="Times New Roman" w:eastAsia="Times New Roman" w:hAnsi="Times New Roman"/>
                <w:sz w:val="26"/>
                <w:szCs w:val="26"/>
                <w:b w:val="1"/>
                <w:bCs w:val="1"/>
                <w:color w:val="auto"/>
                <w:w w:val="96"/>
                <w:vertAlign w:val="superscript"/>
              </w:rPr>
              <w:t>(3)</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60"/>
              <w:spacing w:after="0" w:line="241"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(1)</w:t>
            </w:r>
          </w:p>
        </w:tc>
        <w:tc>
          <w:tcPr>
            <w:tcW w:w="160" w:type="dxa"/>
            <w:vAlign w:val="bottom"/>
          </w:tcPr>
          <w:p>
            <w:pPr>
              <w:spacing w:after="0"/>
              <w:rPr>
                <w:sz w:val="20"/>
                <w:szCs w:val="20"/>
                <w:color w:val="auto"/>
              </w:rPr>
            </w:pPr>
          </w:p>
        </w:tc>
        <w:tc>
          <w:tcPr>
            <w:tcW w:w="1320" w:type="dxa"/>
            <w:vAlign w:val="bottom"/>
            <w:gridSpan w:val="2"/>
          </w:tcPr>
          <w:p>
            <w:pPr>
              <w:jc w:val="right"/>
              <w:ind w:right="640"/>
              <w:spacing w:after="0" w:line="241"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(2)</w:t>
            </w:r>
          </w:p>
        </w:tc>
        <w:tc>
          <w:tcPr>
            <w:tcW w:w="1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122,744,564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39,086,792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3,098,734</w:t>
            </w:r>
          </w:p>
        </w:tc>
        <w:tc>
          <w:tcPr>
            <w:tcW w:w="3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3,638,161</w:t>
            </w:r>
          </w:p>
        </w:tc>
        <w:tc>
          <w:tcPr>
            <w:tcW w:w="34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168,568,251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(12,896,367)</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(12,896,367)</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4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60,155,557</w:t>
            </w:r>
          </w:p>
        </w:tc>
        <w:tc>
          <w:tcPr>
            <w:tcW w:w="160" w:type="dxa"/>
            <w:vAlign w:val="bottom"/>
          </w:tcPr>
          <w:p>
            <w:pPr>
              <w:spacing w:after="0"/>
              <w:rPr>
                <w:sz w:val="16"/>
                <w:szCs w:val="16"/>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15,061,793</w:t>
            </w: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13,230</w:t>
            </w: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75,230,580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Sales/Redemptions of investments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(374,950)</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(10,375,762)</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(1,414,278)</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(1,585,722)</w:t>
            </w: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(13,750,712)</w:t>
            </w:r>
          </w:p>
        </w:tc>
        <w:tc>
          <w:tcPr>
            <w:tcW w:w="0" w:type="dxa"/>
            <w:vAlign w:val="bottom"/>
          </w:tcPr>
          <w:p>
            <w:pPr>
              <w:spacing w:after="0"/>
              <w:rPr>
                <w:sz w:val="1"/>
                <w:szCs w:val="1"/>
                <w:color w:val="auto"/>
              </w:rPr>
            </w:pPr>
          </w:p>
        </w:tc>
      </w:tr>
      <w:tr>
        <w:trPr>
          <w:trHeight w:val="229"/>
        </w:trPr>
        <w:tc>
          <w:tcPr>
            <w:tcW w:w="41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Exercises and conversions</w:t>
            </w:r>
            <w:r>
              <w:rPr>
                <w:rFonts w:ascii="Times New Roman" w:cs="Times New Roman" w:eastAsia="Times New Roman" w:hAnsi="Times New Roman"/>
                <w:sz w:val="26"/>
                <w:szCs w:val="26"/>
                <w:color w:val="auto"/>
                <w:vertAlign w:val="superscript"/>
              </w:rPr>
              <w:t>(4)</w:t>
            </w:r>
          </w:p>
        </w:tc>
        <w:tc>
          <w:tcPr>
            <w:tcW w:w="1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136,114</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(1,338,976)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1,246,916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(7,533,623)</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(222,565)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384,102</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(7,076,812)</w:t>
            </w: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(14,448,898)</w:t>
            </w:r>
          </w:p>
        </w:tc>
        <w:tc>
          <w:tcPr>
            <w:tcW w:w="0" w:type="dxa"/>
            <w:vAlign w:val="bottom"/>
          </w:tcPr>
          <w:p>
            <w:pPr>
              <w:spacing w:after="0"/>
              <w:rPr>
                <w:sz w:val="1"/>
                <w:szCs w:val="1"/>
                <w:color w:val="auto"/>
              </w:rPr>
            </w:pPr>
          </w:p>
        </w:tc>
      </w:tr>
      <w:tr>
        <w:trPr>
          <w:trHeight w:val="176"/>
        </w:trPr>
        <w:tc>
          <w:tcPr>
            <w:tcW w:w="41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included in earnings</w:t>
            </w: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(24,123,671)</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5,268,263</w:t>
            </w: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(223,243)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8,121,365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(10,957,286)</w:t>
            </w: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151,003,991</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35,922,154</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4,357,138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line="168"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Level 3 investments still held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(32,741,143)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5,418,630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111,916</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(27,210,597)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right="20" w:hanging="443"/>
        <w:spacing w:after="0" w:line="257" w:lineRule="auto"/>
        <w:tabs>
          <w:tab w:leader="none" w:pos="4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443" w:hanging="443"/>
        <w:spacing w:after="0"/>
        <w:tabs>
          <w:tab w:leader="none" w:pos="4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also includes the Company’s Limited Partner Fund Investment in True Global Ventures 4 Plus Pte Ltd.</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also includes the Company’s investments in the SAFEs of PayJoy, Inc. and Commercial Streaming Solutions Inc. (d/b/a BettorView).</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the Company’s portfolio investments had the following corporate actions which are reflected above:</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r>
      <w:tr>
        <w:trPr>
          <w:trHeight w:val="169"/>
        </w:trPr>
        <w:tc>
          <w:tcPr>
            <w:tcW w:w="36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AltC Sponsor LLC</w:t>
            </w:r>
          </w:p>
        </w:tc>
        <w:tc>
          <w:tcPr>
            <w:tcW w:w="24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Common Shares, Class A</w:t>
            </w:r>
          </w:p>
        </w:tc>
        <w:tc>
          <w:tcPr>
            <w:tcW w:w="2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Oklo, Inc. - Common Shares, Class A (Level 2)</w:t>
            </w:r>
          </w:p>
        </w:tc>
      </w:tr>
      <w:tr>
        <w:trPr>
          <w:trHeight w:val="210"/>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Common Shares, Class B</w:t>
            </w:r>
          </w:p>
        </w:tc>
        <w:tc>
          <w:tcPr>
            <w:tcW w:w="3600" w:type="dxa"/>
            <w:vAlign w:val="bottom"/>
            <w:shd w:val="clear" w:color="auto" w:fill="CCEEFF"/>
          </w:tcPr>
          <w:p>
            <w:pPr>
              <w:spacing w:after="0"/>
              <w:rPr>
                <w:sz w:val="18"/>
                <w:szCs w:val="18"/>
                <w:color w:val="auto"/>
              </w:rPr>
            </w:pPr>
          </w:p>
        </w:tc>
      </w:tr>
      <w:tr>
        <w:trPr>
          <w:trHeight w:val="176"/>
        </w:trPr>
        <w:tc>
          <w:tcPr>
            <w:tcW w:w="384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Xgroup Holdings Limited (d/b/a Xpoint)</w:t>
            </w:r>
          </w:p>
        </w:tc>
        <w:tc>
          <w:tcPr>
            <w:tcW w:w="382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6"/>
                <w:szCs w:val="16"/>
                <w:color w:val="auto"/>
              </w:rPr>
              <w:t>Convertible Note 6%, Due 10/17/2024</w:t>
            </w:r>
          </w:p>
        </w:tc>
        <w:tc>
          <w:tcPr>
            <w:tcW w:w="36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Preferred Shares, Series A-1 (Level 3)</w:t>
            </w:r>
          </w:p>
        </w:tc>
      </w:tr>
      <w:tr>
        <w:trPr>
          <w:trHeight w:val="193"/>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Series A-1 (Level 3)</w:t>
            </w:r>
          </w:p>
        </w:tc>
      </w:tr>
      <w:tr>
        <w:trPr>
          <w:trHeight w:val="209"/>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Warrants, Series A (Level 3)</w:t>
            </w: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Common Shares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Shares (Level 2)</w:t>
            </w:r>
          </w:p>
        </w:tc>
      </w:tr>
      <w:tr>
        <w:trPr>
          <w:trHeight w:val="392"/>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4726305</wp:posOffset>
            </wp:positionH>
            <wp:positionV relativeFrom="paragraph">
              <wp:posOffset>-1002665</wp:posOffset>
            </wp:positionV>
            <wp:extent cx="1377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795" cy="762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-1002665</wp:posOffset>
            </wp:positionV>
            <wp:extent cx="1454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41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5" w:name="page36"/>
    <w:bookmarkEnd w:id="3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Transactions during the six months ended June 30, 2025 involving the Company’s controlled investments and non-controlled/affiliate investments were as follows:</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1"/>
        </w:trPr>
        <w:tc>
          <w:tcPr>
            <w:tcW w:w="5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Type/Industry/Portfolio Company/Investment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25"/>
        </w:trPr>
        <w:tc>
          <w:tcPr>
            <w:tcW w:w="244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CONTROLLED INVESTMENTS*</w:t>
            </w:r>
          </w:p>
        </w:tc>
        <w:tc>
          <w:tcPr>
            <w:tcW w:w="1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116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6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4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44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Special Purpose Acquisition Company</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gridSpan w:val="6"/>
          </w:tcPr>
          <w:p>
            <w:pPr>
              <w:ind w:left="320"/>
              <w:spacing w:after="0" w:line="228" w:lineRule="exact"/>
              <w:rPr>
                <w:sz w:val="20"/>
                <w:szCs w:val="20"/>
                <w:color w:val="auto"/>
              </w:rPr>
            </w:pPr>
            <w:r>
              <w:rPr>
                <w:rFonts w:ascii="Times New Roman" w:cs="Times New Roman" w:eastAsia="Times New Roman" w:hAnsi="Times New Roman"/>
                <w:sz w:val="16"/>
                <w:szCs w:val="16"/>
                <w:color w:val="auto"/>
              </w:rPr>
              <w:t>Colombier Sponsor II LLC**</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–Class B Units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13,195,755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14,297,450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05"/>
        </w:trPr>
        <w:tc>
          <w:tcPr>
            <w:tcW w:w="5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13,195,755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14,297,450</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185"/>
        </w:trPr>
        <w:tc>
          <w:tcPr>
            <w:tcW w:w="5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Special Purpose Acquisition Company</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gridSpan w:val="6"/>
          </w:tcPr>
          <w:p>
            <w:pPr>
              <w:ind w:left="320"/>
              <w:spacing w:after="0" w:line="228" w:lineRule="exact"/>
              <w:rPr>
                <w:sz w:val="20"/>
                <w:szCs w:val="20"/>
                <w:color w:val="auto"/>
              </w:rPr>
            </w:pPr>
            <w:r>
              <w:rPr>
                <w:rFonts w:ascii="Times New Roman" w:cs="Times New Roman" w:eastAsia="Times New Roman" w:hAnsi="Times New Roman"/>
                <w:sz w:val="16"/>
                <w:szCs w:val="16"/>
                <w:color w:val="auto"/>
              </w:rPr>
              <w:t>Colombier Sponsor II LLC**</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–Class W Units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498,305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5,501,695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6,000,000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5"/>
        </w:trPr>
        <w:tc>
          <w:tcPr>
            <w:tcW w:w="5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498,305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5,501,695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spacing w:after="0" w:line="253" w:lineRule="exact"/>
              <w:rPr>
                <w:sz w:val="20"/>
                <w:szCs w:val="20"/>
                <w:color w:val="auto"/>
              </w:rPr>
            </w:pPr>
            <w:r>
              <w:rPr>
                <w:rFonts w:ascii="Times New Roman" w:cs="Times New Roman" w:eastAsia="Times New Roman" w:hAnsi="Times New Roman"/>
                <w:sz w:val="16"/>
                <w:szCs w:val="16"/>
                <w:b w:val="1"/>
                <w:bCs w:val="1"/>
                <w:color w:val="auto"/>
              </w:rPr>
              <w:t>TOTAL CONTROLLED INVESTMENTS*</w:t>
            </w:r>
            <w:r>
              <w:rPr>
                <w:rFonts w:ascii="Times New Roman" w:cs="Times New Roman" w:eastAsia="Times New Roman" w:hAnsi="Times New Roman"/>
                <w:sz w:val="26"/>
                <w:szCs w:val="26"/>
                <w:b w:val="1"/>
                <w:bCs w:val="1"/>
                <w:color w:val="auto"/>
                <w:vertAlign w:val="superscript"/>
              </w:rPr>
              <w:t>(2)</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440" w:type="dxa"/>
            <w:vAlign w:val="bottom"/>
            <w:gridSpan w:val="6"/>
            <w:vMerge w:val="continue"/>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18,697,450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20,297,450</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9.25%</w:t>
            </w:r>
          </w:p>
        </w:tc>
        <w:tc>
          <w:tcPr>
            <w:tcW w:w="0" w:type="dxa"/>
            <w:vAlign w:val="bottom"/>
          </w:tcPr>
          <w:p>
            <w:pPr>
              <w:spacing w:after="0"/>
              <w:rPr>
                <w:sz w:val="1"/>
                <w:szCs w:val="1"/>
                <w:color w:val="auto"/>
              </w:rPr>
            </w:pPr>
          </w:p>
        </w:tc>
      </w:tr>
      <w:tr>
        <w:trPr>
          <w:trHeight w:val="85"/>
        </w:trPr>
        <w:tc>
          <w:tcPr>
            <w:tcW w:w="3740" w:type="dxa"/>
            <w:vAlign w:val="bottom"/>
            <w:tcBorders>
              <w:top w:val="single" w:sz="8" w:color="CCEEFF"/>
              <w:bottom w:val="single" w:sz="8" w:color="CCEEFF"/>
            </w:tcBorders>
            <w:gridSpan w:val="3"/>
            <w:vMerge w:val="restart"/>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NON-CONTROLLED/AFFILIATE INVESTMENTS*</w:t>
            </w:r>
          </w:p>
        </w:tc>
        <w:tc>
          <w:tcPr>
            <w:tcW w:w="160" w:type="dxa"/>
            <w:vAlign w:val="bottom"/>
            <w:tcBorders>
              <w:top w:val="single" w:sz="8" w:color="CCEEFF"/>
              <w:bottom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b w:val="1"/>
                <w:bCs w:val="1"/>
                <w:color w:val="auto"/>
              </w:rPr>
              <w:t>(1)</w:t>
            </w:r>
          </w:p>
        </w:tc>
        <w:tc>
          <w:tcPr>
            <w:tcW w:w="1540" w:type="dxa"/>
            <w:vAlign w:val="bottom"/>
            <w:tcBorders>
              <w:top w:val="single" w:sz="8" w:color="CCEEFF"/>
              <w:bottom w:val="single" w:sz="8" w:color="CCEEFF"/>
            </w:tcBorders>
            <w:gridSpan w:val="2"/>
            <w:vMerge w:val="restart"/>
            <w:shd w:val="clear" w:color="auto" w:fill="CCEEFF"/>
          </w:tcPr>
          <w:p>
            <w:pPr>
              <w:spacing w:after="0"/>
              <w:rPr>
                <w:sz w:val="7"/>
                <w:szCs w:val="7"/>
                <w:color w:val="auto"/>
              </w:rPr>
            </w:pPr>
          </w:p>
        </w:tc>
        <w:tc>
          <w:tcPr>
            <w:tcW w:w="88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20" w:type="dxa"/>
            <w:vAlign w:val="bottom"/>
            <w:tcBorders>
              <w:top w:val="single" w:sz="8" w:color="auto"/>
              <w:bottom w:val="single" w:sz="8" w:color="CCEEFF"/>
            </w:tcBorders>
            <w:shd w:val="clear" w:color="auto" w:fill="CCEEFF"/>
          </w:tcPr>
          <w:p>
            <w:pPr>
              <w:spacing w:after="0"/>
              <w:rPr>
                <w:sz w:val="7"/>
                <w:szCs w:val="7"/>
                <w:color w:val="auto"/>
              </w:rPr>
            </w:pPr>
          </w:p>
        </w:tc>
        <w:tc>
          <w:tcPr>
            <w:tcW w:w="820" w:type="dxa"/>
            <w:vAlign w:val="bottom"/>
            <w:tcBorders>
              <w:top w:val="single" w:sz="8" w:color="auto"/>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CCEEFF"/>
            </w:tcBorders>
            <w:shd w:val="clear" w:color="auto" w:fill="CCEEFF"/>
          </w:tcPr>
          <w:p>
            <w:pPr>
              <w:spacing w:after="0"/>
              <w:rPr>
                <w:sz w:val="7"/>
                <w:szCs w:val="7"/>
                <w:color w:val="auto"/>
              </w:rPr>
            </w:pPr>
          </w:p>
        </w:tc>
        <w:tc>
          <w:tcPr>
            <w:tcW w:w="820" w:type="dxa"/>
            <w:vAlign w:val="bottom"/>
            <w:tcBorders>
              <w:top w:val="single" w:sz="8" w:color="auto"/>
              <w:bottom w:val="single" w:sz="8" w:color="CCEEFF"/>
            </w:tcBorders>
            <w:shd w:val="clear" w:color="auto" w:fill="CCEEFF"/>
          </w:tcPr>
          <w:p>
            <w:pPr>
              <w:spacing w:after="0"/>
              <w:rPr>
                <w:sz w:val="7"/>
                <w:szCs w:val="7"/>
                <w:color w:val="auto"/>
              </w:rPr>
            </w:pP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CCEEFF"/>
            </w:tcBorders>
            <w:shd w:val="clear" w:color="auto" w:fill="CCEEFF"/>
          </w:tcPr>
          <w:p>
            <w:pPr>
              <w:spacing w:after="0"/>
              <w:rPr>
                <w:sz w:val="7"/>
                <w:szCs w:val="7"/>
                <w:color w:val="auto"/>
              </w:rPr>
            </w:pPr>
          </w:p>
        </w:tc>
        <w:tc>
          <w:tcPr>
            <w:tcW w:w="880" w:type="dxa"/>
            <w:vAlign w:val="bottom"/>
            <w:tcBorders>
              <w:top w:val="single" w:sz="8" w:color="auto"/>
              <w:bottom w:val="single" w:sz="8" w:color="CCEEFF"/>
            </w:tcBorders>
            <w:shd w:val="clear" w:color="auto" w:fill="CCEEFF"/>
          </w:tcPr>
          <w:p>
            <w:pPr>
              <w:spacing w:after="0"/>
              <w:rPr>
                <w:sz w:val="7"/>
                <w:szCs w:val="7"/>
                <w:color w:val="auto"/>
              </w:rPr>
            </w:pPr>
          </w:p>
        </w:tc>
        <w:tc>
          <w:tcPr>
            <w:tcW w:w="220" w:type="dxa"/>
            <w:vAlign w:val="bottom"/>
            <w:tcBorders>
              <w:top w:val="single" w:sz="8" w:color="CCEEFF"/>
              <w:bottom w:val="single" w:sz="8" w:color="CCEEFF"/>
            </w:tcBorders>
            <w:shd w:val="clear" w:color="auto" w:fill="CCEEFF"/>
          </w:tcPr>
          <w:p>
            <w:pPr>
              <w:spacing w:after="0"/>
              <w:rPr>
                <w:sz w:val="7"/>
                <w:szCs w:val="7"/>
                <w:color w:val="auto"/>
              </w:rPr>
            </w:pPr>
          </w:p>
        </w:tc>
        <w:tc>
          <w:tcPr>
            <w:tcW w:w="920" w:type="dxa"/>
            <w:vAlign w:val="bottom"/>
            <w:tcBorders>
              <w:top w:val="single" w:sz="8" w:color="auto"/>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60" w:type="dxa"/>
            <w:vAlign w:val="bottom"/>
            <w:tcBorders>
              <w:top w:val="single" w:sz="8" w:color="CCEEFF"/>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740" w:type="dxa"/>
            <w:vAlign w:val="bottom"/>
            <w:tcBorders>
              <w:bottom w:val="single" w:sz="8" w:color="auto"/>
            </w:tcBorders>
            <w:gridSpan w:val="3"/>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540" w:type="dxa"/>
            <w:vAlign w:val="bottom"/>
            <w:tcBorders>
              <w:bottom w:val="single" w:sz="8" w:color="CCEEFF"/>
            </w:tcBorders>
            <w:gridSpan w:val="2"/>
            <w:vMerge w:val="continue"/>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Maven Research, Inc.–Preferred Shares, Series 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44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Maven Research, Inc.–Preferred Shares, Series B</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40" w:type="dxa"/>
            <w:vAlign w:val="bottom"/>
            <w:gridSpan w:val="6"/>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gridSpan w:val="6"/>
          </w:tcPr>
          <w:p>
            <w:pPr>
              <w:ind w:left="320"/>
              <w:spacing w:after="0" w:line="228"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D 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501,626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463,741</w:t>
            </w:r>
          </w:p>
        </w:tc>
        <w:tc>
          <w:tcPr>
            <w:tcW w:w="2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29"/>
        </w:trPr>
        <w:tc>
          <w:tcPr>
            <w:tcW w:w="5440" w:type="dxa"/>
            <w:vAlign w:val="bottom"/>
            <w:gridSpan w:val="6"/>
            <w:shd w:val="clear" w:color="auto" w:fill="CCEEFF"/>
          </w:tcPr>
          <w:p>
            <w:pPr>
              <w:ind w:left="320"/>
              <w:spacing w:after="0" w:line="228"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C 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5,376,994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(355,080)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5,021,914</w:t>
            </w: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29"/>
        </w:trPr>
        <w:tc>
          <w:tcPr>
            <w:tcW w:w="5440" w:type="dxa"/>
            <w:vAlign w:val="bottom"/>
            <w:gridSpan w:val="6"/>
          </w:tcPr>
          <w:p>
            <w:pPr>
              <w:ind w:left="320"/>
              <w:spacing w:after="0" w:line="228"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B 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(377,262)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2,856,660</w:t>
            </w:r>
          </w:p>
        </w:tc>
        <w:tc>
          <w:tcPr>
            <w:tcW w:w="2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41"/>
        </w:trPr>
        <w:tc>
          <w:tcPr>
            <w:tcW w:w="5440" w:type="dxa"/>
            <w:vAlign w:val="bottom"/>
            <w:gridSpan w:val="6"/>
            <w:shd w:val="clear" w:color="auto" w:fill="CCEEFF"/>
          </w:tcPr>
          <w:p>
            <w:pPr>
              <w:ind w:left="320"/>
              <w:spacing w:after="0" w:line="241"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A 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156,285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(42,178)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114,107</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40" w:type="dxa"/>
            <w:vAlign w:val="bottom"/>
            <w:gridSpan w:val="6"/>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(812,405)</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8,456,422</w:t>
            </w:r>
          </w:p>
        </w:tc>
        <w:tc>
          <w:tcPr>
            <w:tcW w:w="22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(812,405)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8,456,422</w:t>
            </w:r>
          </w:p>
        </w:tc>
        <w:tc>
          <w:tcPr>
            <w:tcW w:w="2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93"/>
        </w:trPr>
        <w:tc>
          <w:tcPr>
            <w:tcW w:w="5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spacing w:after="0" w:line="253" w:lineRule="exact"/>
              <w:rPr>
                <w:sz w:val="20"/>
                <w:szCs w:val="20"/>
                <w:color w:val="auto"/>
              </w:rPr>
            </w:pPr>
            <w:r>
              <w:rPr>
                <w:rFonts w:ascii="Times New Roman" w:cs="Times New Roman" w:eastAsia="Times New Roman" w:hAnsi="Times New Roman"/>
                <w:sz w:val="16"/>
                <w:szCs w:val="16"/>
                <w:b w:val="1"/>
                <w:bCs w:val="1"/>
                <w:color w:val="auto"/>
              </w:rPr>
              <w:t>TOTAL NON-CONTROLLED/AFFILIATE INVESTMENTS*</w:t>
            </w:r>
            <w:r>
              <w:rPr>
                <w:rFonts w:ascii="Times New Roman" w:cs="Times New Roman" w:eastAsia="Times New Roman" w:hAnsi="Times New Roman"/>
                <w:sz w:val="26"/>
                <w:szCs w:val="26"/>
                <w:b w:val="1"/>
                <w:bCs w:val="1"/>
                <w:color w:val="auto"/>
                <w:vertAlign w:val="superscript"/>
              </w:rPr>
              <w:t>(1)</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40" w:type="dxa"/>
            <w:vAlign w:val="bottom"/>
            <w:gridSpan w:val="6"/>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9,268,827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(812,405)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8,456,422</w:t>
            </w:r>
          </w:p>
        </w:tc>
        <w:tc>
          <w:tcPr>
            <w:tcW w:w="22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323" w:hanging="323"/>
        <w:spacing w:after="0" w:line="256" w:lineRule="auto"/>
        <w:tabs>
          <w:tab w:leader="none" w:pos="32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w:t>
      </w:r>
    </w:p>
    <w:p>
      <w:pPr>
        <w:ind w:left="323"/>
        <w:spacing w:after="0"/>
        <w:rPr>
          <w:sz w:val="20"/>
          <w:szCs w:val="20"/>
          <w:color w:val="auto"/>
        </w:rPr>
      </w:pPr>
      <w:r>
        <w:rPr>
          <w:rFonts w:ascii="Times New Roman" w:cs="Times New Roman" w:eastAsia="Times New Roman" w:hAnsi="Times New Roman"/>
          <w:sz w:val="16"/>
          <w:szCs w:val="16"/>
          <w:color w:val="auto"/>
        </w:rPr>
        <w:t>(Refer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323" w:right="20" w:hanging="323"/>
        <w:spacing w:after="0" w:line="251" w:lineRule="auto"/>
        <w:tabs>
          <w:tab w:leader="none" w:pos="32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June 30, 2025, 50.25% of its total investments are non-qualifying assets, excluding cash and short-term US treasuries.</w:t>
      </w:r>
    </w:p>
    <w:p>
      <w:pPr>
        <w:spacing w:after="0" w:line="1" w:lineRule="exact"/>
        <w:rPr>
          <w:sz w:val="20"/>
          <w:szCs w:val="20"/>
          <w:color w:val="auto"/>
        </w:rPr>
      </w:pPr>
    </w:p>
    <w:p>
      <w:pPr>
        <w:jc w:val="both"/>
        <w:ind w:left="323" w:right="20" w:hanging="323"/>
        <w:spacing w:after="0" w:line="251" w:lineRule="auto"/>
        <w:tabs>
          <w:tab w:leader="none" w:pos="3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 w:lineRule="exact"/>
        <w:rPr>
          <w:rFonts w:ascii="Times New Roman" w:cs="Times New Roman" w:eastAsia="Times New Roman" w:hAnsi="Times New Roman"/>
          <w:sz w:val="16"/>
          <w:szCs w:val="16"/>
          <w:color w:val="auto"/>
        </w:rPr>
      </w:pPr>
    </w:p>
    <w:p>
      <w:pPr>
        <w:jc w:val="both"/>
        <w:ind w:left="323" w:right="20" w:hanging="323"/>
        <w:spacing w:after="0" w:line="251" w:lineRule="auto"/>
        <w:tabs>
          <w:tab w:leader="none" w:pos="3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 w:lineRule="exact"/>
        <w:rPr>
          <w:rFonts w:ascii="Times New Roman" w:cs="Times New Roman" w:eastAsia="Times New Roman" w:hAnsi="Times New Roman"/>
          <w:sz w:val="16"/>
          <w:szCs w:val="16"/>
          <w:color w:val="auto"/>
        </w:rPr>
      </w:pPr>
    </w:p>
    <w:p>
      <w:pPr>
        <w:ind w:left="323" w:right="20" w:hanging="323"/>
        <w:spacing w:after="0" w:line="251" w:lineRule="auto"/>
        <w:tabs>
          <w:tab w:leader="none" w:pos="3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 w:lineRule="exact"/>
        <w:rPr>
          <w:rFonts w:ascii="Times New Roman" w:cs="Times New Roman" w:eastAsia="Times New Roman" w:hAnsi="Times New Roman"/>
          <w:sz w:val="16"/>
          <w:szCs w:val="16"/>
          <w:color w:val="auto"/>
        </w:rPr>
      </w:pPr>
    </w:p>
    <w:p>
      <w:pPr>
        <w:ind w:left="323" w:hanging="323"/>
        <w:spacing w:after="0"/>
        <w:tabs>
          <w:tab w:leader="none" w:pos="3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Transactions during the year ended December 31, 2024 involving the Company’s controlled investments and non-controlled/affiliate investments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6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22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Realized</w:t>
            </w:r>
          </w:p>
        </w:tc>
        <w:tc>
          <w:tcPr>
            <w:tcW w:w="12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3"/>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6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(Out)</w:t>
            </w:r>
          </w:p>
        </w:tc>
        <w:tc>
          <w:tcPr>
            <w:tcW w:w="22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4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8"/>
              </w:rPr>
              <w:t>CONTROLLED</w:t>
            </w:r>
          </w:p>
        </w:tc>
        <w:tc>
          <w:tcPr>
            <w:tcW w:w="920" w:type="dxa"/>
            <w:vAlign w:val="bottom"/>
            <w:tcBorders>
              <w:top w:val="single" w:sz="8" w:color="auto"/>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(2)</w:t>
            </w:r>
          </w:p>
        </w:tc>
        <w:tc>
          <w:tcPr>
            <w:tcW w:w="6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240" w:type="dxa"/>
            <w:vAlign w:val="bottom"/>
            <w:tcBorders>
              <w:bottom w:val="single" w:sz="8" w:color="auto"/>
            </w:tcBorders>
            <w:gridSpan w:val="3"/>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7"/>
          </w:tcPr>
          <w:p>
            <w:pPr>
              <w:ind w:left="320"/>
              <w:spacing w:after="0" w:line="177"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Sustainability Partners,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Inc.)–Preferred shares,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Class A</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382,381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(374,950)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(6,780,680)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6,769,031</w:t>
            </w:r>
          </w:p>
        </w:tc>
        <w:tc>
          <w:tcPr>
            <w:tcW w:w="8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382,381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(374,950)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(6,780,680)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6,769,031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7"/>
          </w:tcPr>
          <w:p>
            <w:pPr>
              <w:ind w:left="320"/>
              <w:spacing w:after="0" w:line="177"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Sustainability Partners,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Inc.)–Common shares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7"/>
          </w:tcPr>
          <w:p>
            <w:pPr>
              <w:ind w:left="320"/>
              <w:spacing w:after="0" w:line="177" w:lineRule="exact"/>
              <w:rPr>
                <w:sz w:val="20"/>
                <w:szCs w:val="20"/>
                <w:color w:val="auto"/>
              </w:rPr>
            </w:pPr>
            <w:r>
              <w:rPr>
                <w:rFonts w:ascii="Times New Roman" w:cs="Times New Roman" w:eastAsia="Times New Roman" w:hAnsi="Times New Roman"/>
                <w:sz w:val="16"/>
                <w:szCs w:val="16"/>
                <w:color w:val="auto"/>
              </w:rPr>
              <w:t>Architect Capital PayJoy</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SPV, LLC**–Membership</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Interest in Lending</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SPV***</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955,628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100" w:type="dxa"/>
            <w:vAlign w:val="bottom"/>
            <w:gridSpan w:val="7"/>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00" w:type="dxa"/>
            <w:vAlign w:val="bottom"/>
            <w:gridSpan w:val="7"/>
          </w:tcPr>
          <w:p>
            <w:pPr>
              <w:ind w:left="320"/>
              <w:spacing w:after="0" w:line="181" w:lineRule="exact"/>
              <w:rPr>
                <w:sz w:val="20"/>
                <w:szCs w:val="20"/>
                <w:color w:val="auto"/>
              </w:rPr>
            </w:pPr>
            <w:r>
              <w:rPr>
                <w:rFonts w:ascii="Times New Roman" w:cs="Times New Roman" w:eastAsia="Times New Roman" w:hAnsi="Times New Roman"/>
                <w:sz w:val="16"/>
                <w:szCs w:val="16"/>
                <w:color w:val="auto"/>
              </w:rPr>
              <w:t>Colombier Sponsor II</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100" w:type="dxa"/>
            <w:vAlign w:val="bottom"/>
            <w:gridSpan w:val="7"/>
          </w:tcPr>
          <w:p>
            <w:pPr>
              <w:ind w:left="320"/>
              <w:spacing w:after="0" w:line="242"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–Class B Units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1,040,000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1,101,695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1,101,695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955,628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11,101,695</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16,745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1,101,695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00" w:type="dxa"/>
            <w:vAlign w:val="bottom"/>
            <w:gridSpan w:val="7"/>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00" w:type="dxa"/>
            <w:vAlign w:val="bottom"/>
            <w:gridSpan w:val="7"/>
          </w:tcPr>
          <w:p>
            <w:pPr>
              <w:ind w:left="320"/>
              <w:spacing w:after="0" w:line="181" w:lineRule="exact"/>
              <w:rPr>
                <w:sz w:val="20"/>
                <w:szCs w:val="20"/>
                <w:color w:val="auto"/>
              </w:rPr>
            </w:pPr>
            <w:r>
              <w:rPr>
                <w:rFonts w:ascii="Times New Roman" w:cs="Times New Roman" w:eastAsia="Times New Roman" w:hAnsi="Times New Roman"/>
                <w:sz w:val="16"/>
                <w:szCs w:val="16"/>
                <w:color w:val="auto"/>
              </w:rPr>
              <w:t>Colombier Sponsor II</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100" w:type="dxa"/>
            <w:vAlign w:val="bottom"/>
            <w:gridSpan w:val="7"/>
          </w:tcPr>
          <w:p>
            <w:pPr>
              <w:ind w:left="320"/>
              <w:spacing w:after="0" w:line="242"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–Class W Units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1,600,000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498,305</w:t>
            </w:r>
          </w:p>
        </w:tc>
        <w:tc>
          <w:tcPr>
            <w:tcW w:w="100" w:type="dxa"/>
            <w:vAlign w:val="bottom"/>
          </w:tcPr>
          <w:p>
            <w:pPr>
              <w:spacing w:after="0"/>
              <w:rPr>
                <w:sz w:val="21"/>
                <w:szCs w:val="21"/>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498,305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498,305</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498,305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100" w:type="dxa"/>
            <w:vAlign w:val="bottom"/>
            <w:gridSpan w:val="7"/>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00" w:type="dxa"/>
            <w:vAlign w:val="bottom"/>
            <w:gridSpan w:val="7"/>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2"/>
                <w:szCs w:val="22"/>
                <w:b w:val="1"/>
                <w:bCs w:val="1"/>
                <w:color w:val="auto"/>
                <w:vertAlign w:val="superscript"/>
              </w:rPr>
              <w:t>(2)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955,628</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11,982,381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4,218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(6,797,425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6,785,776</w:t>
            </w:r>
          </w:p>
        </w:tc>
        <w:tc>
          <w:tcPr>
            <w:tcW w:w="80" w:type="dxa"/>
            <w:vAlign w:val="bottom"/>
          </w:tcPr>
          <w:p>
            <w:pPr>
              <w:spacing w:after="0"/>
              <w:rPr>
                <w:sz w:val="17"/>
                <w:szCs w:val="17"/>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112"/>
        </w:trPr>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940" w:type="dxa"/>
            <w:vAlign w:val="bottom"/>
            <w:gridSpan w:val="2"/>
          </w:tcPr>
          <w:p>
            <w:pPr>
              <w:jc w:val="right"/>
              <w:ind w:right="80"/>
              <w:spacing w:after="0" w:line="73" w:lineRule="exact"/>
              <w:rPr>
                <w:sz w:val="20"/>
                <w:szCs w:val="20"/>
                <w:color w:val="auto"/>
              </w:rPr>
            </w:pPr>
            <w:r>
              <w:rPr>
                <w:rFonts w:ascii="Times New Roman" w:cs="Times New Roman" w:eastAsia="Times New Roman" w:hAnsi="Times New Roman"/>
                <w:sz w:val="8"/>
                <w:szCs w:val="8"/>
                <w:b w:val="1"/>
                <w:bCs w:val="1"/>
                <w:color w:val="auto"/>
              </w:rPr>
              <w:t>(10,374,950</w:t>
            </w:r>
          </w:p>
        </w:tc>
        <w:tc>
          <w:tcPr>
            <w:tcW w:w="1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100" w:type="dxa"/>
            <w:vAlign w:val="bottom"/>
            <w:tcBorders>
              <w:top w:val="single" w:sz="8" w:color="CCEEFF"/>
            </w:tcBorders>
            <w:gridSpan w:val="7"/>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640" w:type="dxa"/>
            <w:vAlign w:val="bottom"/>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00" w:type="dxa"/>
            <w:vAlign w:val="bottom"/>
            <w:gridSpan w:val="7"/>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w w:val="92"/>
              </w:rPr>
              <w:t>(1)</w:t>
            </w:r>
          </w:p>
        </w:tc>
        <w:tc>
          <w:tcPr>
            <w:tcW w:w="6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240" w:type="dxa"/>
            <w:vAlign w:val="bottom"/>
            <w:tcBorders>
              <w:bottom w:val="single" w:sz="8" w:color="auto"/>
            </w:tcBorders>
            <w:gridSpan w:val="3"/>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7"/>
          </w:tcPr>
          <w:p>
            <w:pPr>
              <w:ind w:left="320"/>
              <w:spacing w:after="0" w:line="177" w:lineRule="exact"/>
              <w:rPr>
                <w:sz w:val="20"/>
                <w:szCs w:val="20"/>
                <w:color w:val="auto"/>
              </w:rPr>
            </w:pPr>
            <w:r>
              <w:rPr>
                <w:rFonts w:ascii="Times New Roman" w:cs="Times New Roman" w:eastAsia="Times New Roman" w:hAnsi="Times New Roman"/>
                <w:sz w:val="16"/>
                <w:szCs w:val="16"/>
                <w:color w:val="auto"/>
              </w:rPr>
              <w:t>OneValley, Inc. (f/k/a</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NestGSV, Inc.)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Convertible Promissory</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Note 8%, Due 8/23/2024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1,267,395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(1,414,278)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384,102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(237,219)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1,267,395</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(1,414,278)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(237,219)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6"/>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35</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219" w:right="299" w:bottom="1440" w:gutter="0" w:footer="0" w:header="0"/>
        </w:sectPr>
      </w:pPr>
    </w:p>
    <w:bookmarkStart w:id="37" w:name="page38"/>
    <w:bookmarkEnd w:id="37"/>
    <w:p>
      <w:pPr>
        <w:spacing w:after="0" w:line="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Realized</w:t>
            </w:r>
          </w:p>
        </w:tc>
        <w:tc>
          <w:tcPr>
            <w:tcW w:w="12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Credited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Transfer In/</w:t>
            </w:r>
          </w:p>
        </w:tc>
        <w:tc>
          <w:tcPr>
            <w:tcW w:w="120" w:type="dxa"/>
            <w:vAlign w:val="bottom"/>
          </w:tcPr>
          <w:p>
            <w:pPr>
              <w:spacing w:after="0"/>
              <w:rPr>
                <w:sz w:val="16"/>
                <w:szCs w:val="16"/>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(Out)</w:t>
            </w:r>
          </w:p>
        </w:tc>
        <w:tc>
          <w:tcPr>
            <w:tcW w:w="120" w:type="dxa"/>
            <w:vAlign w:val="bottom"/>
          </w:tcPr>
          <w:p>
            <w:pPr>
              <w:spacing w:after="0"/>
              <w:rPr>
                <w:sz w:val="18"/>
                <w:szCs w:val="18"/>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1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10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gridSpan w:val="2"/>
            <w:shd w:val="clear" w:color="auto" w:fill="CCEEFF"/>
          </w:tcPr>
          <w:p>
            <w:pPr>
              <w:ind w:left="320"/>
              <w:spacing w:after="0" w:line="212"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653,975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(152,349)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501,626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3"/>
        </w:trPr>
        <w:tc>
          <w:tcPr>
            <w:tcW w:w="2100" w:type="dxa"/>
            <w:vAlign w:val="bottom"/>
            <w:gridSpan w:val="2"/>
          </w:tcPr>
          <w:p>
            <w:pPr>
              <w:ind w:left="320"/>
              <w:spacing w:after="0" w:line="212"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6,804,933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(1,427,939)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5,376,994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3"/>
        </w:trPr>
        <w:tc>
          <w:tcPr>
            <w:tcW w:w="2100" w:type="dxa"/>
            <w:vAlign w:val="bottom"/>
            <w:gridSpan w:val="2"/>
            <w:shd w:val="clear" w:color="auto" w:fill="CCEEFF"/>
          </w:tcPr>
          <w:p>
            <w:pPr>
              <w:ind w:left="320"/>
              <w:spacing w:after="0" w:line="213"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4,751,064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(1,517,142)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3,233,922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2100" w:type="dxa"/>
            <w:vAlign w:val="bottom"/>
            <w:gridSpan w:val="2"/>
          </w:tcPr>
          <w:p>
            <w:pPr>
              <w:ind w:left="320"/>
              <w:spacing w:after="0" w:line="212"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325,903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(169,618)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156,285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2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12,535,875</w:t>
            </w:r>
          </w:p>
        </w:tc>
        <w:tc>
          <w:tcPr>
            <w:tcW w:w="10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(3,267,048)</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100" w:type="dxa"/>
            <w:vAlign w:val="bottom"/>
            <w:vMerge w:val="continue"/>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12,535,875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(3,267,048)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9,268,827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NestGSV, Inc.)–Derivative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Security, Expiration Date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8/23/2024</w:t>
            </w:r>
          </w:p>
        </w:tc>
        <w:tc>
          <w:tcPr>
            <w:tcW w:w="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Borders>
              <w:right w:val="single" w:sz="8" w:color="CCEEFF"/>
            </w:tcBorders>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4"/>
        </w:trPr>
        <w:tc>
          <w:tcPr>
            <w:tcW w:w="210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6"/>
                <w:szCs w:val="16"/>
                <w:i w:val="1"/>
                <w:iCs w:val="1"/>
                <w:color w:val="auto"/>
              </w:rPr>
              <w:t>Total Global Innovation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00" w:type="dxa"/>
            <w:vAlign w:val="bottom"/>
            <w:gridSpan w:val="2"/>
          </w:tcPr>
          <w:p>
            <w:pPr>
              <w:ind w:left="320"/>
              <w:spacing w:after="0" w:line="225" w:lineRule="exact"/>
              <w:rPr>
                <w:sz w:val="20"/>
                <w:szCs w:val="20"/>
                <w:color w:val="auto"/>
              </w:rPr>
            </w:pPr>
            <w:r>
              <w:rPr>
                <w:rFonts w:ascii="Times New Roman" w:cs="Times New Roman" w:eastAsia="Times New Roman" w:hAnsi="Times New Roman"/>
                <w:sz w:val="16"/>
                <w:szCs w:val="16"/>
                <w:color w:val="auto"/>
              </w:rPr>
              <w:t>PublicSquare)**</w:t>
            </w:r>
            <w:r>
              <w:rPr>
                <w:rFonts w:ascii="Times New Roman" w:cs="Times New Roman" w:eastAsia="Times New Roman" w:hAnsi="Times New Roman"/>
                <w:sz w:val="26"/>
                <w:szCs w:val="26"/>
                <w:color w:val="auto"/>
                <w:vertAlign w:val="superscript"/>
              </w:rPr>
              <w:t>(3)(4)</w:t>
            </w:r>
            <w:r>
              <w:rPr>
                <w:rFonts w:ascii="Times New Roman" w:cs="Times New Roman" w:eastAsia="Times New Roman" w:hAnsi="Times New Roman"/>
                <w:sz w:val="16"/>
                <w:szCs w:val="16"/>
                <w:color w:val="auto"/>
              </w:rPr>
              <w:t xml:space="preserve"> –</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2,585,677</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6"/>
                <w:szCs w:val="16"/>
                <w:color w:val="auto"/>
              </w:rPr>
              <w:t>Curious.com, Inc.–</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Common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00" w:type="dxa"/>
            <w:vAlign w:val="bottom"/>
            <w:gridSpan w:val="2"/>
          </w:tcPr>
          <w:p>
            <w:pPr>
              <w:ind w:left="320"/>
              <w:spacing w:after="0" w:line="225" w:lineRule="exact"/>
              <w:rPr>
                <w:sz w:val="20"/>
                <w:szCs w:val="20"/>
                <w:color w:val="auto"/>
              </w:rPr>
            </w:pPr>
            <w:r>
              <w:rPr>
                <w:rFonts w:ascii="Times New Roman" w:cs="Times New Roman" w:eastAsia="Times New Roman" w:hAnsi="Times New Roman"/>
                <w:sz w:val="16"/>
                <w:szCs w:val="16"/>
                <w:color w:val="auto"/>
              </w:rPr>
              <w:t>PublicSquare)**</w:t>
            </w:r>
            <w:r>
              <w:rPr>
                <w:rFonts w:ascii="Times New Roman" w:cs="Times New Roman" w:eastAsia="Times New Roman" w:hAnsi="Times New Roman"/>
                <w:sz w:val="26"/>
                <w:szCs w:val="26"/>
                <w:color w:val="auto"/>
                <w:vertAlign w:val="superscript"/>
              </w:rPr>
              <w:t>(3)(4)</w:t>
            </w:r>
            <w:r>
              <w:rPr>
                <w:rFonts w:ascii="Times New Roman" w:cs="Times New Roman" w:eastAsia="Times New Roman" w:hAnsi="Times New Roman"/>
                <w:sz w:val="16"/>
                <w:szCs w:val="16"/>
                <w:color w:val="auto"/>
              </w:rPr>
              <w:t xml:space="preserve"> –</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Common shares, Class A</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4"/>
        </w:trPr>
        <w:tc>
          <w:tcPr>
            <w:tcW w:w="21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2"/>
                <w:szCs w:val="22"/>
                <w:b w:val="1"/>
                <w:bCs w:val="1"/>
                <w:color w:val="auto"/>
                <w:vertAlign w:val="superscript"/>
              </w:rPr>
              <w:t>(1)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24,931,333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(10,507,136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13,230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(6,598,526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$ 4,429,926</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9,268,827</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20" w:type="dxa"/>
            <w:vAlign w:val="bottom"/>
            <w:gridSpan w:val="2"/>
          </w:tcPr>
          <w:p>
            <w:pPr>
              <w:jc w:val="right"/>
              <w:ind w:right="100"/>
              <w:spacing w:after="0" w:line="73" w:lineRule="exact"/>
              <w:rPr>
                <w:sz w:val="20"/>
                <w:szCs w:val="20"/>
                <w:color w:val="auto"/>
              </w:rPr>
            </w:pPr>
            <w:r>
              <w:rPr>
                <w:rFonts w:ascii="Times New Roman" w:cs="Times New Roman" w:eastAsia="Times New Roman" w:hAnsi="Times New Roman"/>
                <w:sz w:val="8"/>
                <w:szCs w:val="8"/>
                <w:b w:val="1"/>
                <w:bCs w:val="1"/>
                <w:color w:val="auto"/>
              </w:rPr>
              <w:t>$  (3,000,000</w:t>
            </w: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443" w:right="100" w:hanging="443"/>
        <w:spacing w:after="0" w:line="258" w:lineRule="auto"/>
        <w:tabs>
          <w:tab w:leader="none" w:pos="44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443" w:right="80" w:hanging="443"/>
        <w:spacing w:after="0" w:line="284" w:lineRule="auto"/>
        <w:tabs>
          <w:tab w:leader="none" w:pos="4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2024, 39.56% of its total investments are non-qualifying assets, excluding cash and short-term US treasuries.</w:t>
      </w:r>
    </w:p>
    <w:p>
      <w:pPr>
        <w:spacing w:after="0" w:line="143"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02" w:lineRule="exact"/>
        <w:rPr>
          <w:sz w:val="20"/>
          <w:szCs w:val="20"/>
          <w:color w:val="auto"/>
        </w:rPr>
      </w:pPr>
    </w:p>
    <w:p>
      <w:pPr>
        <w:jc w:val="both"/>
        <w:ind w:left="443" w:right="100" w:hanging="443"/>
        <w:spacing w:after="0" w:line="268" w:lineRule="auto"/>
        <w:tabs>
          <w:tab w:leader="none" w:pos="44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55" w:lineRule="exact"/>
        <w:rPr>
          <w:rFonts w:ascii="Times New Roman" w:cs="Times New Roman" w:eastAsia="Times New Roman" w:hAnsi="Times New Roman"/>
          <w:sz w:val="16"/>
          <w:szCs w:val="16"/>
          <w:color w:val="auto"/>
        </w:rPr>
      </w:pPr>
    </w:p>
    <w:p>
      <w:pPr>
        <w:jc w:val="both"/>
        <w:ind w:left="443" w:right="80" w:hanging="443"/>
        <w:spacing w:after="0" w:line="268" w:lineRule="auto"/>
        <w:tabs>
          <w:tab w:leader="none" w:pos="44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55"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02"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ownership percentage in PSQ Holdings, Inc. (d/b/a PublicSquare) decreased to below 5% and as such, PSQ Holdings, Inc. (d/b/a PublicSquare)</w:t>
      </w:r>
    </w:p>
    <w:p>
      <w:pPr>
        <w:sectPr>
          <w:pgSz w:w="11900" w:h="16877" w:orient="portrait"/>
          <w:cols w:equalWidth="0" w:num="1">
            <w:col w:w="11343"/>
          </w:cols>
          <w:pgMar w:left="317" w:top="220" w:right="239" w:bottom="0" w:gutter="0" w:footer="0" w:header="0"/>
        </w:sectPr>
      </w:pPr>
    </w:p>
    <w:bookmarkStart w:id="38" w:name="page39"/>
    <w:bookmarkEnd w:id="38"/>
    <w:p>
      <w:pPr>
        <w:jc w:val="both"/>
        <w:ind w:left="443"/>
        <w:spacing w:after="0" w:line="268" w:lineRule="auto"/>
        <w:rPr>
          <w:sz w:val="20"/>
          <w:szCs w:val="20"/>
          <w:color w:val="auto"/>
        </w:rPr>
      </w:pPr>
      <w:r>
        <w:rPr>
          <w:rFonts w:ascii="Times New Roman" w:cs="Times New Roman" w:eastAsia="Times New Roman" w:hAnsi="Times New Roman"/>
          <w:sz w:val="16"/>
          <w:szCs w:val="16"/>
          <w:color w:val="auto"/>
        </w:rPr>
        <w:t>was no longer classified as an “affiliate investment” as of September 30, 2024. As such, the Company has reflected a “transfer out” of the “Non-Controlled/Affiliate Investment” category above as of September 30, 2024 to indicate that the investment in PSQ Holdings, Inc. (d/b/a PublicSquare), while still held as of December 31, 2024, does not meet the criteria of an affiliate investment as defined in the 1940 Act.</w:t>
      </w:r>
    </w:p>
    <w:p>
      <w:pPr>
        <w:spacing w:after="0" w:line="156" w:lineRule="exact"/>
        <w:rPr>
          <w:sz w:val="20"/>
          <w:szCs w:val="20"/>
          <w:color w:val="auto"/>
        </w:rPr>
      </w:pPr>
    </w:p>
    <w:p>
      <w:pPr>
        <w:ind w:left="443" w:hanging="443"/>
        <w:spacing w:after="0"/>
        <w:tabs>
          <w:tab w:leader="none" w:pos="4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02" w:lineRule="exact"/>
        <w:rPr>
          <w:rFonts w:ascii="Times New Roman" w:cs="Times New Roman" w:eastAsia="Times New Roman" w:hAnsi="Times New Roman"/>
          <w:sz w:val="16"/>
          <w:szCs w:val="16"/>
          <w:color w:val="auto"/>
        </w:rPr>
      </w:pPr>
    </w:p>
    <w:p>
      <w:pPr>
        <w:ind w:left="443" w:hanging="443"/>
        <w:spacing w:after="0" w:line="284" w:lineRule="auto"/>
        <w:tabs>
          <w:tab w:leader="none" w:pos="4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6"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2024, the Company’s Board of Directors authorized an extension, and increase in the amount of common shares that may be purchased under, of the Company’s discretionary Share Repurchase Program until the earlier of (i) October 31, 2025 or (ii) the repurchase of $64.3 million in aggregate amount of the Company’s common stock.</w:t>
      </w:r>
    </w:p>
    <w:p>
      <w:pPr>
        <w:spacing w:after="0" w:line="164"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62"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During the three and six months ended June 30, 2025 and 2024, the Company did not repurchase any shares of the Company’s common stock under the Share Repurchase Program. As of June 30, 2025, the dollar value of shares that remained available to be purchased by the Company under the Share Repurchase Program was approximately $25.0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Amended and Restated 2019 Equity Incentive Plan</w:t>
      </w:r>
    </w:p>
    <w:p>
      <w:pPr>
        <w:spacing w:after="0" w:line="206" w:lineRule="exact"/>
        <w:rPr>
          <w:sz w:val="20"/>
          <w:szCs w:val="20"/>
          <w:color w:val="auto"/>
        </w:rPr>
      </w:pPr>
    </w:p>
    <w:p>
      <w:pPr>
        <w:jc w:val="both"/>
        <w:ind w:firstLine="289"/>
        <w:spacing w:after="0" w:line="284" w:lineRule="auto"/>
        <w:rPr>
          <w:sz w:val="20"/>
          <w:szCs w:val="20"/>
          <w:color w:val="auto"/>
        </w:rPr>
      </w:pPr>
      <w:r>
        <w:rPr>
          <w:rFonts w:ascii="Times New Roman" w:cs="Times New Roman" w:eastAsia="Times New Roman" w:hAnsi="Times New Roman"/>
          <w:sz w:val="16"/>
          <w:szCs w:val="16"/>
          <w:color w:val="auto"/>
        </w:rPr>
        <w:t>Refer to “Note 11—Stock-Based Compensation” for a description of the Company’s restricted shares of common stock granted under the Second Amended &amp; Restated 2019 Equity Incentive Plan (as defined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At-the-Market Offering</w:t>
      </w:r>
    </w:p>
    <w:p>
      <w:pPr>
        <w:spacing w:after="0" w:line="206"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$150.0 million in aggregate amount of shares of its common stock (the “Shares”) from time to time through the Agents or to them as principal for their own account. The Company intends to use the net proceeds from the ATM Program to make investments in portfolio companies in accordance with its investment objective and strategy and for general corporate purposes.</w:t>
      </w:r>
    </w:p>
    <w:p>
      <w:pPr>
        <w:spacing w:after="0" w:line="164"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0" w:name="page41"/>
    <w:bookmarkEnd w:id="4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56"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three and six months ended June 30, 2025 and 2024, the Company did not issue or sell Shares under the ATM Program. As of June 30, 2025, up to approximately $98.8 million in aggregate amount of the Shares remain available for sale under the ATM Program.</w:t>
      </w:r>
    </w:p>
    <w:p>
      <w:pPr>
        <w:spacing w:after="0" w:line="1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6—NET CHANGE IN NET ASSETS RESULTING FROM OPERATIONS PER COMMON SHARE—BASIC AND DILUTED</w:t>
      </w:r>
    </w:p>
    <w:p>
      <w:pPr>
        <w:spacing w:after="0" w:line="204"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The following information sets forth the computation of basic and diluted net change in net assets resulting from operations per common share, pursuant to ASC 260, for the three and six months ended June 30, 2025 and 2024.</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8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9"/>
              </w:rPr>
              <w:t>Earnings per common share–basic:</w:t>
            </w:r>
          </w:p>
        </w:tc>
        <w:tc>
          <w:tcPr>
            <w:tcW w:w="232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62,328,070</w:t>
            </w:r>
          </w:p>
        </w:tc>
        <w:tc>
          <w:tcPr>
            <w:tcW w:w="24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(10,651,183)</w:t>
            </w:r>
          </w:p>
        </w:tc>
        <w:tc>
          <w:tcPr>
            <w:tcW w:w="22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61,521,355</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(32,716,529)</w:t>
            </w:r>
          </w:p>
        </w:tc>
        <w:tc>
          <w:tcPr>
            <w:tcW w:w="0" w:type="dxa"/>
            <w:vAlign w:val="bottom"/>
          </w:tcPr>
          <w:p>
            <w:pPr>
              <w:spacing w:after="0"/>
              <w:rPr>
                <w:sz w:val="1"/>
                <w:szCs w:val="1"/>
                <w:color w:val="auto"/>
              </w:rPr>
            </w:pPr>
          </w:p>
        </w:tc>
      </w:tr>
      <w:tr>
        <w:trPr>
          <w:trHeight w:val="205"/>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23,728,095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23,410,235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23,650,399</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24,401,863</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9"/>
        </w:trPr>
        <w:tc>
          <w:tcPr>
            <w:tcW w:w="2560" w:type="dxa"/>
            <w:vAlign w:val="bottom"/>
            <w:tcBorders>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2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62,328,070</w:t>
            </w:r>
          </w:p>
        </w:tc>
        <w:tc>
          <w:tcPr>
            <w:tcW w:w="24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(10,651,183)</w:t>
            </w:r>
          </w:p>
        </w:tc>
        <w:tc>
          <w:tcPr>
            <w:tcW w:w="22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61,521,355</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(32,716,529)</w:t>
            </w:r>
          </w:p>
        </w:tc>
        <w:tc>
          <w:tcPr>
            <w:tcW w:w="0" w:type="dxa"/>
            <w:vAlign w:val="bottom"/>
          </w:tcPr>
          <w:p>
            <w:pPr>
              <w:spacing w:after="0"/>
              <w:rPr>
                <w:sz w:val="1"/>
                <w:szCs w:val="1"/>
                <w:color w:val="auto"/>
              </w:rPr>
            </w:pPr>
          </w:p>
        </w:tc>
      </w:tr>
      <w:tr>
        <w:trPr>
          <w:trHeight w:val="180"/>
        </w:trPr>
        <w:tc>
          <w:tcPr>
            <w:tcW w:w="4740" w:type="dxa"/>
            <w:vAlign w:val="bottom"/>
            <w:gridSpan w:val="3"/>
            <w:shd w:val="clear" w:color="auto" w:fill="CCEEFF"/>
          </w:tcPr>
          <w:p>
            <w:pPr>
              <w:ind w:left="320"/>
              <w:spacing w:after="0" w:line="181" w:lineRule="exact"/>
              <w:rPr>
                <w:sz w:val="20"/>
                <w:szCs w:val="20"/>
                <w:color w:val="auto"/>
              </w:rPr>
            </w:pPr>
            <w:r>
              <w:rPr>
                <w:rFonts w:ascii="Times New Roman" w:cs="Times New Roman" w:eastAsia="Times New Roman" w:hAnsi="Times New Roman"/>
                <w:sz w:val="16"/>
                <w:szCs w:val="16"/>
                <w:color w:val="auto"/>
              </w:rPr>
              <w:t>Adjustment for interest and amortization on 6.50% Convertible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740" w:type="dxa"/>
            <w:vAlign w:val="bottom"/>
            <w:gridSpan w:val="3"/>
            <w:shd w:val="clear" w:color="auto" w:fill="CCEEFF"/>
          </w:tcPr>
          <w:p>
            <w:pPr>
              <w:ind w:left="320"/>
              <w:spacing w:after="0" w:line="253" w:lineRule="exact"/>
              <w:rPr>
                <w:sz w:val="20"/>
                <w:szCs w:val="20"/>
                <w:color w:val="auto"/>
              </w:rPr>
            </w:pPr>
            <w:r>
              <w:rPr>
                <w:rFonts w:ascii="Times New Roman" w:cs="Times New Roman" w:eastAsia="Times New Roman" w:hAnsi="Times New Roman"/>
                <w:sz w:val="16"/>
                <w:szCs w:val="16"/>
                <w:color w:val="auto"/>
              </w:rPr>
              <w:t>Notes due 2029</w:t>
            </w:r>
            <w:r>
              <w:rPr>
                <w:rFonts w:ascii="Times New Roman" w:cs="Times New Roman" w:eastAsia="Times New Roman" w:hAnsi="Times New Roman"/>
                <w:sz w:val="26"/>
                <w:szCs w:val="26"/>
                <w:color w:val="auto"/>
                <w:vertAlign w:val="superscript"/>
              </w:rPr>
              <w:t>(1)</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628,529</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1,241,345</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3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62,956,599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(10,651,183)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62,762,700</w:t>
            </w:r>
          </w:p>
        </w:tc>
        <w:tc>
          <w:tcPr>
            <w:tcW w:w="320" w:type="dxa"/>
            <w:vAlign w:val="bottom"/>
          </w:tcPr>
          <w:p>
            <w:pPr>
              <w:spacing w:after="0"/>
              <w:rPr>
                <w:sz w:val="17"/>
                <w:szCs w:val="17"/>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(32,716,529)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gridSpan w:val="3"/>
            <w:shd w:val="clear" w:color="auto" w:fill="CCEEFF"/>
          </w:tcPr>
          <w:p>
            <w:pPr>
              <w:ind w:left="320"/>
              <w:spacing w:after="0" w:line="181" w:lineRule="exact"/>
              <w:rPr>
                <w:sz w:val="20"/>
                <w:szCs w:val="20"/>
                <w:color w:val="auto"/>
              </w:rPr>
            </w:pPr>
            <w:r>
              <w:rPr>
                <w:rFonts w:ascii="Times New Roman" w:cs="Times New Roman" w:eastAsia="Times New Roman" w:hAnsi="Times New Roman"/>
                <w:sz w:val="16"/>
                <w:szCs w:val="16"/>
                <w:color w:val="auto"/>
              </w:rPr>
              <w:t>Adjustment for dilutive effect of 6.50% Convertible Notes due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420" w:type="dxa"/>
            <w:vAlign w:val="bottom"/>
            <w:shd w:val="clear" w:color="auto" w:fill="CCEEFF"/>
          </w:tcPr>
          <w:p>
            <w:pPr>
              <w:ind w:left="320"/>
              <w:spacing w:after="0" w:line="253" w:lineRule="exact"/>
              <w:rPr>
                <w:sz w:val="20"/>
                <w:szCs w:val="20"/>
                <w:color w:val="auto"/>
              </w:rPr>
            </w:pPr>
            <w:r>
              <w:rPr>
                <w:rFonts w:ascii="Times New Roman" w:cs="Times New Roman" w:eastAsia="Times New Roman" w:hAnsi="Times New Roman"/>
                <w:sz w:val="16"/>
                <w:szCs w:val="16"/>
                <w:color w:val="auto"/>
              </w:rPr>
              <w:t>2029</w:t>
            </w:r>
            <w:r>
              <w:rPr>
                <w:rFonts w:ascii="Times New Roman" w:cs="Times New Roman" w:eastAsia="Times New Roman" w:hAnsi="Times New Roman"/>
                <w:sz w:val="26"/>
                <w:szCs w:val="26"/>
                <w:color w:val="auto"/>
                <w:vertAlign w:val="superscript"/>
              </w:rPr>
              <w:t>(1)</w:t>
            </w:r>
          </w:p>
        </w:tc>
        <w:tc>
          <w:tcPr>
            <w:tcW w:w="1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4,516,130</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4,462,664</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line="241" w:lineRule="exact"/>
              <w:rPr>
                <w:sz w:val="20"/>
                <w:szCs w:val="20"/>
                <w:color w:val="auto"/>
              </w:rPr>
            </w:pPr>
            <w:r>
              <w:rPr>
                <w:rFonts w:ascii="Times New Roman" w:cs="Times New Roman" w:eastAsia="Times New Roman" w:hAnsi="Times New Roman"/>
                <w:sz w:val="16"/>
                <w:szCs w:val="16"/>
                <w:color w:val="auto"/>
              </w:rPr>
              <w:t>Weighted-average common shares outstanding–diluted</w:t>
            </w:r>
            <w:r>
              <w:rPr>
                <w:rFonts w:ascii="Times New Roman" w:cs="Times New Roman" w:eastAsia="Times New Roman" w:hAnsi="Times New Roman"/>
                <w:sz w:val="26"/>
                <w:szCs w:val="26"/>
                <w:color w:val="auto"/>
                <w:vertAlign w:val="superscript"/>
              </w:rPr>
              <w:t>(1)</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28,244,225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23,410,235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28,113,063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24,401,863</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hanging="443"/>
        <w:spacing w:after="0"/>
        <w:tabs>
          <w:tab w:leader="none" w:pos="44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2024, there were no potentially dilutive securities outstanding.</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7—COMMITMENTS AND CONTINGENCIES</w:t>
      </w:r>
    </w:p>
    <w:p>
      <w:pPr>
        <w:spacing w:after="0" w:line="204"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w:t>
      </w:r>
    </w:p>
    <w:p>
      <w:pPr>
        <w:spacing w:after="0" w:line="144"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and Related Deposits</w:t>
      </w:r>
    </w:p>
    <w:p>
      <w:pPr>
        <w:spacing w:after="0" w:line="206" w:lineRule="exact"/>
        <w:rPr>
          <w:sz w:val="20"/>
          <w:szCs w:val="20"/>
          <w:color w:val="auto"/>
        </w:rPr>
      </w:pPr>
    </w:p>
    <w:p>
      <w:pPr>
        <w:jc w:val="both"/>
        <w:ind w:left="3" w:right="20" w:firstLine="289"/>
        <w:spacing w:after="0" w:line="260" w:lineRule="auto"/>
        <w:rPr>
          <w:sz w:val="20"/>
          <w:szCs w:val="20"/>
          <w:color w:val="auto"/>
        </w:rPr>
      </w:pPr>
      <w:r>
        <w:rPr>
          <w:rFonts w:ascii="Times New Roman" w:cs="Times New Roman" w:eastAsia="Times New Roman" w:hAnsi="Times New Roman"/>
          <w:sz w:val="16"/>
          <w:szCs w:val="16"/>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May 12, 2028. The lease expense is presented as a single lease cost that is amortized on a straight-line basis over the life of the lease.</w:t>
      </w:r>
    </w:p>
    <w:p>
      <w:pPr>
        <w:spacing w:after="0" w:line="1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41" w:name="page42"/>
    <w:bookmarkEnd w:id="4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left="3" w:right="20" w:firstLine="289"/>
        <w:spacing w:after="0" w:line="258" w:lineRule="auto"/>
        <w:rPr>
          <w:sz w:val="20"/>
          <w:szCs w:val="20"/>
          <w:color w:val="auto"/>
        </w:rPr>
      </w:pPr>
      <w:r>
        <w:rPr>
          <w:rFonts w:ascii="Times New Roman" w:cs="Times New Roman" w:eastAsia="Times New Roman" w:hAnsi="Times New Roman"/>
          <w:sz w:val="16"/>
          <w:szCs w:val="16"/>
          <w:color w:val="auto"/>
        </w:rPr>
        <w:t>As of June 30, 2025 and December 31, 2024, the Company booked a right-of-use asset and operating lease liability of $392,609 and $446,349, respectively, on the Condensed Consolidated Statement of Assets and Liabilities. As of June 30, 2025 and December 31, 2024, the Company recorded a security deposit of $16,574 and $16,574, respectively, on the Condensed Consolidated Statement of Assets and Liabilities. For the three months ended June 30, 2025 and 2024, the Company incurred $34,021 and $53,684, respectively, of operating lease expense. For the six months ended June 30, 2025 and 2024, the Company incurred $57,209 and $106,346, respectively, of operating lease expense. The amounts reflected on the Condensed Consolidated Statement of Assets and Liabilities have been discounted using the rate implicit in the lease. As of June 30, 2025, the remaining lease term was 2.9 years and the discount rate was 3.00%.</w:t>
      </w:r>
    </w:p>
    <w:p>
      <w:pPr>
        <w:spacing w:after="0" w:line="16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following table shows future minimum payments under the Company’s operating lease as of June 30, 2025:</w:t>
      </w:r>
    </w:p>
    <w:p>
      <w:pPr>
        <w:spacing w:after="0" w:line="200" w:lineRule="exact"/>
        <w:rPr>
          <w:sz w:val="20"/>
          <w:szCs w:val="20"/>
          <w:color w:val="auto"/>
        </w:rPr>
      </w:pPr>
    </w:p>
    <w:tbl>
      <w:tblPr>
        <w:tblLayout w:type="fixed"/>
        <w:tblInd w:w="1123" w:type="dxa"/>
        <w:tblCellMar>
          <w:top w:w="0" w:type="dxa"/>
          <w:left w:w="0" w:type="dxa"/>
          <w:bottom w:w="0" w:type="dxa"/>
          <w:right w:w="0" w:type="dxa"/>
        </w:tblCellMar>
      </w:tblPr>
      <w:tr>
        <w:trPr>
          <w:trHeight w:val="22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5"/>
        </w:trPr>
        <w:tc>
          <w:tcPr>
            <w:tcW w:w="20" w:type="dxa"/>
            <w:vAlign w:val="bottom"/>
          </w:tcPr>
          <w:p>
            <w:pPr>
              <w:spacing w:after="0"/>
              <w:rPr>
                <w:sz w:val="16"/>
                <w:szCs w:val="16"/>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75,420</w:t>
            </w:r>
          </w:p>
        </w:tc>
        <w:tc>
          <w:tcPr>
            <w:tcW w:w="80" w:type="dxa"/>
            <w:vAlign w:val="bottom"/>
            <w:tcBorders>
              <w:top w:val="single" w:sz="8" w:color="CCEEFF"/>
            </w:tcBorders>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154,826</w:t>
            </w: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159,471</w:t>
            </w:r>
          </w:p>
        </w:tc>
        <w:tc>
          <w:tcPr>
            <w:tcW w:w="8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2028</w:t>
            </w:r>
          </w:p>
        </w:tc>
        <w:tc>
          <w:tcPr>
            <w:tcW w:w="2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59,689</w:t>
            </w:r>
          </w:p>
        </w:tc>
        <w:tc>
          <w:tcPr>
            <w:tcW w:w="80" w:type="dxa"/>
            <w:vAlign w:val="bottom"/>
            <w:tcBorders>
              <w:bottom w:val="single" w:sz="8" w:color="CCEEFF"/>
            </w:tcBorders>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76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449,406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8—FINANCIAL HIGHLIGHTS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6"/>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24"/>
                <w:szCs w:val="24"/>
                <w:color w:val="auto"/>
              </w:rPr>
            </w:pPr>
          </w:p>
        </w:tc>
        <w:tc>
          <w:tcPr>
            <w:tcW w:w="31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85"/>
        </w:trPr>
        <w:tc>
          <w:tcPr>
            <w:tcW w:w="39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Basic Share Data</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 beginning of period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7.17</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6.68</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(0.31)</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29"/>
        </w:trPr>
        <w:tc>
          <w:tcPr>
            <w:tcW w:w="3920" w:type="dxa"/>
            <w:vAlign w:val="bottom"/>
          </w:tcPr>
          <w:p>
            <w:pPr>
              <w:ind w:left="160"/>
              <w:spacing w:after="0" w:line="228" w:lineRule="exact"/>
              <w:rPr>
                <w:sz w:val="20"/>
                <w:szCs w:val="20"/>
                <w:color w:val="auto"/>
              </w:rPr>
            </w:pPr>
            <w:r>
              <w:rPr>
                <w:rFonts w:ascii="Times New Roman" w:cs="Times New Roman" w:eastAsia="Times New Roman" w:hAnsi="Times New Roman"/>
                <w:sz w:val="16"/>
                <w:szCs w:val="16"/>
                <w:color w:val="auto"/>
              </w:rPr>
              <w:t>Net realized gain/(loss) on investments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&lt;(0.01)</w:t>
            </w:r>
          </w:p>
        </w:tc>
        <w:tc>
          <w:tcPr>
            <w:tcW w:w="3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0.90</w:t>
            </w: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Realized loss on partial repurchase of 6.00% Notes due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160"/>
              <w:spacing w:after="0" w:line="242" w:lineRule="exact"/>
              <w:rPr>
                <w:sz w:val="20"/>
                <w:szCs w:val="20"/>
                <w:color w:val="auto"/>
              </w:rPr>
            </w:pPr>
            <w:r>
              <w:rPr>
                <w:rFonts w:ascii="Times New Roman" w:cs="Times New Roman" w:eastAsia="Times New Roman" w:hAnsi="Times New Roman"/>
                <w:sz w:val="16"/>
                <w:szCs w:val="16"/>
                <w:color w:val="auto"/>
              </w:rPr>
              <w:t>December 30, 2026</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&lt;(0.01)</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Net change in unrealized appreciation/(depreciation) of</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line="242" w:lineRule="exact"/>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(0.30)</w:t>
            </w:r>
          </w:p>
        </w:tc>
        <w:tc>
          <w:tcPr>
            <w:tcW w:w="32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2.02</w:t>
            </w:r>
          </w:p>
        </w:tc>
        <w:tc>
          <w:tcPr>
            <w:tcW w:w="3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29"/>
        </w:trPr>
        <w:tc>
          <w:tcPr>
            <w:tcW w:w="3920" w:type="dxa"/>
            <w:vAlign w:val="bottom"/>
          </w:tcPr>
          <w:p>
            <w:pPr>
              <w:ind w:left="160"/>
              <w:spacing w:after="0" w:line="228"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0.03</w:t>
            </w:r>
          </w:p>
        </w:tc>
        <w:tc>
          <w:tcPr>
            <w:tcW w:w="3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85"/>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8.21</w:t>
            </w:r>
          </w:p>
        </w:tc>
        <w:tc>
          <w:tcPr>
            <w:tcW w:w="3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4.01</w:t>
            </w:r>
          </w:p>
        </w:tc>
        <w:tc>
          <w:tcPr>
            <w:tcW w:w="400" w:type="dxa"/>
            <w:vAlign w:val="bottom"/>
            <w:vMerge w:val="continue"/>
          </w:tcPr>
          <w:p>
            <w:pPr>
              <w:spacing w:after="0"/>
              <w:rPr>
                <w:sz w:val="14"/>
                <w:szCs w:val="14"/>
                <w:color w:val="auto"/>
              </w:rPr>
            </w:pPr>
          </w:p>
        </w:tc>
        <w:tc>
          <w:tcPr>
            <w:tcW w:w="32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8.21</w:t>
            </w:r>
          </w:p>
        </w:tc>
        <w:tc>
          <w:tcPr>
            <w:tcW w:w="400" w:type="dxa"/>
            <w:vAlign w:val="bottom"/>
            <w:vMerge w:val="continue"/>
          </w:tcPr>
          <w:p>
            <w:pPr>
              <w:spacing w:after="0"/>
              <w:rPr>
                <w:sz w:val="14"/>
                <w:szCs w:val="14"/>
                <w:color w:val="auto"/>
              </w:rPr>
            </w:pPr>
          </w:p>
        </w:tc>
        <w:tc>
          <w:tcPr>
            <w:tcW w:w="32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4.01</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6"/>
                <w:szCs w:val="26"/>
                <w:color w:val="auto"/>
                <w:vertAlign w:val="superscript"/>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(11.87)%</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39.63%</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29"/>
        </w:trPr>
        <w:tc>
          <w:tcPr>
            <w:tcW w:w="392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(3.21)%</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37.43%</w:t>
            </w: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23,888,107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23,378,002</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23,888,107</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23,378,002</w:t>
            </w:r>
          </w:p>
        </w:tc>
        <w:tc>
          <w:tcPr>
            <w:tcW w:w="0" w:type="dxa"/>
            <w:vAlign w:val="bottom"/>
          </w:tcPr>
          <w:p>
            <w:pPr>
              <w:spacing w:after="0"/>
              <w:rPr>
                <w:sz w:val="1"/>
                <w:szCs w:val="1"/>
                <w:color w:val="auto"/>
              </w:rPr>
            </w:pPr>
          </w:p>
        </w:tc>
      </w:tr>
      <w:tr>
        <w:trPr>
          <w:trHeight w:val="19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219,409,595</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162,312,191</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219,409,595</w:t>
            </w: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162,312,191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Average net assets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160,412,515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175,240,305</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158,444,298</w:t>
            </w:r>
          </w:p>
        </w:tc>
        <w:tc>
          <w:tcPr>
            <w:tcW w:w="40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188,879,950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Ratio of net operating expenses to average net assets</w:t>
            </w:r>
            <w:r>
              <w:rPr>
                <w:rFonts w:ascii="Times New Roman" w:cs="Times New Roman" w:eastAsia="Times New Roman" w:hAnsi="Times New Roman"/>
                <w:sz w:val="22"/>
                <w:szCs w:val="22"/>
                <w:color w:val="auto"/>
                <w:vertAlign w:val="superscript"/>
              </w:rPr>
              <w:t>(3)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30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9"/>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221"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5"/>
                <w:szCs w:val="25"/>
                <w:color w:val="auto"/>
                <w:vertAlign w:val="superscript"/>
              </w:rPr>
              <w:t>(3)</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(8.39)%</w:t>
            </w:r>
          </w:p>
        </w:tc>
        <w:tc>
          <w:tcPr>
            <w:tcW w:w="320" w:type="dxa"/>
            <w:vAlign w:val="bottom"/>
          </w:tcPr>
          <w:p>
            <w:pPr>
              <w:spacing w:after="0"/>
              <w:rPr>
                <w:sz w:val="15"/>
                <w:szCs w:val="15"/>
                <w:color w:val="auto"/>
              </w:rPr>
            </w:pPr>
          </w:p>
        </w:tc>
        <w:tc>
          <w:tcPr>
            <w:tcW w:w="15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(9.40)%</w:t>
            </w:r>
          </w:p>
        </w:tc>
        <w:tc>
          <w:tcPr>
            <w:tcW w:w="320" w:type="dxa"/>
            <w:vAlign w:val="bottom"/>
          </w:tcPr>
          <w:p>
            <w:pPr>
              <w:spacing w:after="0"/>
              <w:rPr>
                <w:sz w:val="15"/>
                <w:szCs w:val="15"/>
                <w:color w:val="auto"/>
              </w:rPr>
            </w:pPr>
          </w:p>
        </w:tc>
        <w:tc>
          <w:tcPr>
            <w:tcW w:w="13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Ratio</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5.72%</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3.02%</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hanging="443"/>
        <w:spacing w:after="0"/>
        <w:tabs>
          <w:tab w:leader="none" w:pos="44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25" w:lineRule="exact"/>
        <w:rPr>
          <w:rFonts w:ascii="Times New Roman" w:cs="Times New Roman" w:eastAsia="Times New Roman" w:hAnsi="Times New Roman"/>
          <w:sz w:val="16"/>
          <w:szCs w:val="16"/>
          <w:color w:val="auto"/>
        </w:rPr>
      </w:pPr>
    </w:p>
    <w:p>
      <w:pPr>
        <w:jc w:val="both"/>
        <w:ind w:left="443" w:right="20" w:hanging="443"/>
        <w:spacing w:after="0" w:line="251" w:lineRule="auto"/>
        <w:tabs>
          <w:tab w:leader="none" w:pos="44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6"/>
          <w:szCs w:val="16"/>
          <w:color w:val="auto"/>
        </w:rPr>
      </w:pPr>
    </w:p>
    <w:p>
      <w:pPr>
        <w:jc w:val="both"/>
        <w:ind w:left="443" w:hanging="443"/>
        <w:spacing w:after="0" w:line="257" w:lineRule="auto"/>
        <w:tabs>
          <w:tab w:leader="none" w:pos="44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9—INCOME TAXES</w:t>
      </w:r>
    </w:p>
    <w:p>
      <w:pPr>
        <w:spacing w:after="0" w:line="204"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1"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61"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64" w:lineRule="exact"/>
        <w:rPr>
          <w:sz w:val="20"/>
          <w:szCs w:val="20"/>
          <w:color w:val="auto"/>
        </w:rPr>
      </w:pPr>
    </w:p>
    <w:p>
      <w:pPr>
        <w:jc w:val="both"/>
        <w:ind w:right="20" w:firstLine="289"/>
        <w:spacing w:after="0" w:line="258" w:lineRule="auto"/>
        <w:rPr>
          <w:sz w:val="20"/>
          <w:szCs w:val="20"/>
          <w:color w:val="auto"/>
        </w:rPr>
      </w:pPr>
      <w:r>
        <w:rPr>
          <w:rFonts w:ascii="Times New Roman" w:cs="Times New Roman" w:eastAsia="Times New Roman" w:hAnsi="Times New Roman"/>
          <w:sz w:val="16"/>
          <w:szCs w:val="16"/>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64"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condensed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spacing w:after="0" w:line="164"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56"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The Company is required to include net deferred tax provision/benefit in calculating its total expenses even though these net deferred taxes are not currently payable/receivable.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6"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For accounting purposes, the Company and the Taxable Subsidiaries identified their major tax jurisdictions as U.S. federal, New York, and California and may be subject to the taxing authorities’ examination for the tax years 2021–2024 for federal and New York and 2020–2024 in California, respectively. Further, the Company and the Taxable Subsidiaries accrue all interest and penalties related to uncertain tax positions as incurred. As of June 30, 2025, there were no material interest or penalties incurred related to uncertain tax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10—DEBT CAPITAL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 Notes due 2026</w:t>
      </w:r>
    </w:p>
    <w:p>
      <w:pPr>
        <w:spacing w:after="0" w:line="204"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65"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 xml:space="preserve">The 6.00% Notes due 2026 are direct unsecured obligations of the Company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66"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The Company records certain fees and expenses incurred in connection with its 6.00% Notes due 2026 as deferred debt issuance costs. Such costs are reflected in the carrying value of the 6.00% Notes due 2026. As of June 30, 2025 and December 31, 2024, the Company had deferred debt issuance costs of $312,803 and $468,562, respectively, associated with the 6.00% Notes due 2026. The table below shows a reconciliation from the aggregate principal amount of 6.00% Notes due 2026 to the balance shown on the Consolidated Statements of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6.00% Notes due 2026</w:t>
            </w: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39,667,650</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44,667,400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5"/>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Direct deduction of deferred debt issuance costs</w:t>
            </w:r>
          </w:p>
        </w:tc>
        <w:tc>
          <w:tcPr>
            <w:tcW w:w="30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(312,803)</w:t>
            </w:r>
          </w:p>
        </w:tc>
        <w:tc>
          <w:tcPr>
            <w:tcW w:w="18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(468,562)</w:t>
            </w:r>
          </w:p>
        </w:tc>
      </w:tr>
      <w:tr>
        <w:trPr>
          <w:trHeight w:val="19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39,354,847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44,198,838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The 6.00% Notes due 2026 are listed for trading on the Nasdaq Global Select Market under the symbol “SSSSL”. The reported closing market price of SSSSL on June 30, 2025 and December 31, 2024 was $24.64 and $24.50 per note, respectively. As of June 30, 2025 and December 31, 2024, the fair value of the 6.00% Notes due 2026 was $39.1 million and $43.8 million,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On August 6, 2024, the Company’s Board of Directors approved a discretionary note repurchase program (the “Note Repurchase Program”), which allows the Company to repurchase up to $35.0 million, of its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During the six months ended June 30, 2025, the Company repurchased and retired $5.0 million of aggregate principal amount of the 6.00% Notes due 2026, resulting in the total use of the authorized amount under the Note Repurchase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6.50% Convertible Notes due 2029</w:t>
      </w:r>
    </w:p>
    <w:p>
      <w:pPr>
        <w:spacing w:after="0" w:line="204"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On August 14, 2024, the Company privately issued $25.0 million aggregate principal amount of its 6.50% Convertible Notes due 2029 (the “Initial Notes”) pursuant to a Notes Purchase Agreement (the “Notes Purchase Agreement”) between the Company and the purchaser identified therein (the “Purchaser”). On October 9, 2024, the Company issued an additional $5.0 million in aggregate principal amount of 6.50% Convertible Notes due 2029 (the “Additional Notes”), which are treated as a single series with the Initial Notes. On January 16, 2025, the Company issued $5.0 million in Additional Notes, which are treated as a single series with the Initial Notes and prior issuances of Additional Notes. As of June 30, 2025, $35.0 million of 6.50% Convertible Notes due 2029 had been issued.</w:t>
      </w:r>
    </w:p>
    <w:p>
      <w:pPr>
        <w:spacing w:after="0" w:line="16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The 6.50% Convertible Notes due 2029 bear interest at a rate of 6.50% per year, payable quarterly in arrears on March 30, June 30, September 30, and December 30 of each year, commencing on September 30, 2024. The 6.50% Convertible Notes due 2029 have a maturity date of 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w:t>
      </w:r>
    </w:p>
    <w:p>
      <w:pPr>
        <w:spacing w:after="0" w:line="162"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The 6.50% Convertible Notes due 2029 are convertible into shares of the Company’s common stock at the Purchaser’s sole discretion at an initial conversion rate of 129.0323 shares of common stock per $1,000 principal amount of the 6.50% Convertible Notes due 2029, which represent a conversion price of approximately $7.75 per share, subject to adjustment as provided in the Notes Purchase Agreement. Upon evaluation, the Company has identified an embedded derivative within the Notes Purchase Agreement. As a result, the Company may incur a potential liability. As of June 30, 2025, the potential liability was $0. Management will continue to assess the fair value of the embedded derivative at each reporting period.</w:t>
      </w:r>
    </w:p>
    <w:p>
      <w:pPr>
        <w:spacing w:after="0" w:line="159"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 xml:space="preserve">The 6.50% Convertible Notes due 2029 are direct unsecured obligations of the Company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63"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The table below shows a reconciliation from the aggregate principal amount of 6.50% Convertible Notes due 2029 to the balance shown on the Consolidated Statements of Assets and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5"/>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6.50% Convertible Notes due 2029</w:t>
            </w:r>
          </w:p>
        </w:tc>
        <w:tc>
          <w:tcPr>
            <w:tcW w:w="20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35,000,000</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Direct deduction of deferred debt issuance costs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(989,362)</w:t>
            </w:r>
          </w:p>
        </w:tc>
        <w:tc>
          <w:tcPr>
            <w:tcW w:w="18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(948,592)</w:t>
            </w: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34,010,638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29,051,408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vMerge w:val="restart"/>
          </w:tcPr>
          <w:p>
            <w:pPr>
              <w:jc w:val="right"/>
              <w:ind w:right="1200"/>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Amended and Restated 2019 Equity Incentive Plan</w:t>
      </w:r>
    </w:p>
    <w:p>
      <w:pPr>
        <w:spacing w:after="0" w:line="204" w:lineRule="exact"/>
        <w:rPr>
          <w:sz w:val="20"/>
          <w:szCs w:val="20"/>
          <w:color w:val="auto"/>
        </w:rPr>
      </w:pPr>
    </w:p>
    <w:p>
      <w:pPr>
        <w:jc w:val="both"/>
        <w:ind w:right="20" w:firstLine="289"/>
        <w:spacing w:after="0" w:line="255" w:lineRule="auto"/>
        <w:rPr>
          <w:sz w:val="20"/>
          <w:szCs w:val="20"/>
          <w:color w:val="auto"/>
        </w:rPr>
      </w:pPr>
      <w:r>
        <w:rPr>
          <w:rFonts w:ascii="Times New Roman" w:cs="Times New Roman" w:eastAsia="Times New Roman" w:hAnsi="Times New Roman"/>
          <w:sz w:val="16"/>
          <w:szCs w:val="16"/>
          <w:color w:val="auto"/>
        </w:rPr>
        <w:t>On May 28, 2025, the Company’s Board of Directors adopted, and the Company’s stockholders approved, an amendment and restatement of the Company’s Amended and Restated 2019 Equity Incentive Plan (the “Second Amended &amp; Restated 2019 Equity Incentive Plan”) under which the Company is authorized to grant equity awards for up to 2,390,186 shares of its common stock. In accordance with the exemptive relief granted to the Company by the SEC on June 16, 2020 with respect to the Second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Second Amended &amp; Restated 2019 Equity Incentive Plan, and (iv) permit the Participants to pay the exercise price of Options granted to them with shares of the Company’s common stock.</w:t>
      </w:r>
    </w:p>
    <w:p>
      <w:pPr>
        <w:spacing w:after="0" w:line="171" w:lineRule="exact"/>
        <w:rPr>
          <w:sz w:val="20"/>
          <w:szCs w:val="20"/>
          <w:color w:val="auto"/>
        </w:rPr>
      </w:pPr>
    </w:p>
    <w:p>
      <w:pPr>
        <w:jc w:val="both"/>
        <w:ind w:right="20" w:firstLine="289"/>
        <w:spacing w:after="0" w:line="258" w:lineRule="auto"/>
        <w:rPr>
          <w:sz w:val="20"/>
          <w:szCs w:val="20"/>
          <w:color w:val="auto"/>
        </w:rPr>
      </w:pPr>
      <w:r>
        <w:rPr>
          <w:rFonts w:ascii="Times New Roman" w:cs="Times New Roman" w:eastAsia="Times New Roman" w:hAnsi="Times New Roman"/>
          <w:sz w:val="16"/>
          <w:szCs w:val="16"/>
          <w:color w:val="auto"/>
        </w:rPr>
        <w:t>Under the Second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six months ended June 30, 2025, the Company granted 31,248 restricted shares to the Company’s non-employee directors pursuant to the Second Amended &amp; Restated 2019 Equity Incentive Plan. Additionally, on May 28, 2025, 48,192 restricted shares related to the 2024 non-employee director grants vested. Compensation expense associated with the restricted shares is recognized on a quarterly basis over the respective vesting periods.</w:t>
      </w:r>
    </w:p>
    <w:p>
      <w:pPr>
        <w:spacing w:after="0" w:line="164"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Other than such restricted shares granted to non-employee directors, the Compensation Committee of the Company’s Board of Directors may determine the time or times at which restricted shares and Options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65"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six months ended June 30, 2025, the Company granted 350,000 restricted shares to the Company’s officers pursuant to the Second Amended &amp; Restated 2019 Equity Incentive Plan.</w:t>
      </w:r>
    </w:p>
    <w:p>
      <w:pPr>
        <w:spacing w:after="0" w:line="144"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For the six months ended June 30, 2025 and 2024, the Company recognized stock-based compensation expense of $499,125 and $1,392,266, respectively, not including executive and employee forfeits. As of June 30, 2025 and December 31, 2024, there were approximately $6,011,726 and $3,657,621, respectively, of total unrecognized compensation costs related to the restricted share grants. Compensation expense associated with the restricted shares is recognized on a quarterly basis over the respective vesting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6" w:name="page47"/>
    <w:bookmarkEnd w:id="4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0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86" w:lineRule="exact"/>
        <w:rPr>
          <w:sz w:val="20"/>
          <w:szCs w:val="20"/>
          <w:color w:val="auto"/>
        </w:rPr>
      </w:pPr>
    </w:p>
    <w:p>
      <w:pPr>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The following table summarizes the activities for the Company’s restricted share grants for the six months ended June 30, 2025 under the Second Amended &amp; Restated 2019 Equity Incentive Plan:</w:t>
      </w:r>
    </w:p>
    <w:p>
      <w:pPr>
        <w:spacing w:after="0" w:line="142" w:lineRule="exact"/>
        <w:rPr>
          <w:sz w:val="20"/>
          <w:szCs w:val="20"/>
          <w:color w:val="auto"/>
        </w:rPr>
      </w:pPr>
    </w:p>
    <w:tbl>
      <w:tblPr>
        <w:tblLayout w:type="fixed"/>
        <w:tblInd w:w="1123"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1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1"/>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Restricted Shares</w:t>
            </w:r>
          </w:p>
        </w:tc>
      </w:tr>
      <w:tr>
        <w:trPr>
          <w:trHeight w:val="209"/>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Outstanding as of December 31, 2024</w:t>
            </w:r>
            <w:r>
              <w:rPr>
                <w:rFonts w:ascii="Times New Roman" w:cs="Times New Roman" w:eastAsia="Times New Roman" w:hAnsi="Times New Roman"/>
                <w:sz w:val="24"/>
                <w:szCs w:val="24"/>
                <w:color w:val="auto"/>
                <w:vertAlign w:val="superscript"/>
              </w:rPr>
              <w:t>(1)</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532,136</w:t>
            </w:r>
          </w:p>
        </w:tc>
        <w:tc>
          <w:tcPr>
            <w:tcW w:w="80" w:type="dxa"/>
            <w:vAlign w:val="bottom"/>
            <w:tcBorders>
              <w:top w:val="single" w:sz="8" w:color="CCEEFF"/>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384,248</w:t>
            </w:r>
          </w:p>
        </w:tc>
        <w:tc>
          <w:tcPr>
            <w:tcW w:w="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840" w:type="dxa"/>
            <w:vAlign w:val="bottom"/>
            <w:shd w:val="clear" w:color="auto" w:fill="CCEEFF"/>
          </w:tcPr>
          <w:p>
            <w:pPr>
              <w:ind w:left="140"/>
              <w:spacing w:after="0" w:line="228"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6"/>
                <w:szCs w:val="26"/>
                <w:color w:val="auto"/>
                <w:vertAlign w:val="superscript"/>
              </w:rPr>
              <w:t>(2)</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(128,802)</w:t>
            </w:r>
          </w:p>
        </w:tc>
      </w:tr>
      <w:tr>
        <w:trPr>
          <w:trHeight w:val="205"/>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(55,000)</w:t>
            </w:r>
          </w:p>
        </w:tc>
      </w:tr>
      <w:tr>
        <w:trPr>
          <w:trHeight w:val="197"/>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732,582</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Total vested since inception as of June 30, 2025</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1,079,919</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8498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64" w:lineRule="exact"/>
        <w:rPr>
          <w:sz w:val="20"/>
          <w:szCs w:val="20"/>
          <w:color w:val="auto"/>
        </w:rPr>
      </w:pPr>
    </w:p>
    <w:p>
      <w:pPr>
        <w:ind w:left="443" w:hanging="443"/>
        <w:spacing w:after="0"/>
        <w:tabs>
          <w:tab w:leader="none" w:pos="44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including unvested dividends.</w:t>
      </w:r>
    </w:p>
    <w:p>
      <w:pPr>
        <w:spacing w:after="0" w:line="25" w:lineRule="exact"/>
        <w:rPr>
          <w:rFonts w:ascii="Times New Roman" w:cs="Times New Roman" w:eastAsia="Times New Roman" w:hAnsi="Times New Roman"/>
          <w:sz w:val="16"/>
          <w:szCs w:val="16"/>
          <w:color w:val="auto"/>
        </w:rPr>
      </w:pPr>
    </w:p>
    <w:p>
      <w:pPr>
        <w:ind w:left="443" w:right="20" w:hanging="443"/>
        <w:spacing w:after="0" w:line="263" w:lineRule="auto"/>
        <w:tabs>
          <w:tab w:leader="none" w:pos="44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reflects the total shares vested during the period and has not been reduced for those vested shares forfeited at time of vest related to net share settlement.</w:t>
      </w:r>
    </w:p>
    <w:p>
      <w:pPr>
        <w:spacing w:after="0" w:line="160"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The Second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12—SUBSEQUENT EVENTS</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Portfolio Activity</w:t>
      </w:r>
    </w:p>
    <w:p>
      <w:pPr>
        <w:spacing w:after="0" w:line="20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From July 1, 2025 through August 6, 2025, the Company made the following investment (not including capitalized transaction costs).</w:t>
      </w:r>
    </w:p>
    <w:p>
      <w:pPr>
        <w:spacing w:after="0" w:line="212"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3340" w:type="dxa"/>
            <w:vAlign w:val="bottom"/>
            <w:gridSpan w:val="4"/>
          </w:tcPr>
          <w:p>
            <w:pPr>
              <w:jc w:val="center"/>
              <w:ind w:right="705"/>
              <w:spacing w:after="0"/>
              <w:rPr>
                <w:sz w:val="20"/>
                <w:szCs w:val="20"/>
                <w:color w:val="auto"/>
              </w:rPr>
            </w:pPr>
            <w:r>
              <w:rPr>
                <w:rFonts w:ascii="Times New Roman" w:cs="Times New Roman" w:eastAsia="Times New Roman" w:hAnsi="Times New Roman"/>
                <w:sz w:val="16"/>
                <w:szCs w:val="16"/>
                <w:b w:val="1"/>
                <w:bCs w:val="1"/>
                <w:color w:val="auto"/>
                <w:w w:val="99"/>
              </w:rPr>
              <w:t>Transaction Date</w:t>
            </w:r>
          </w:p>
        </w:tc>
        <w:tc>
          <w:tcPr>
            <w:tcW w:w="206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69"/>
        </w:trPr>
        <w:tc>
          <w:tcPr>
            <w:tcW w:w="27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Supplying Demand, Inc. (d/b/a Liquid</w:t>
            </w:r>
          </w:p>
        </w:tc>
        <w:tc>
          <w:tcPr>
            <w:tcW w:w="22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Convertible Note 4.12% Due 6/30/2028</w:t>
            </w:r>
          </w:p>
        </w:tc>
        <w:tc>
          <w:tcPr>
            <w:tcW w:w="22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jc w:val="right"/>
              <w:ind w:right="900"/>
              <w:spacing w:after="0" w:line="169" w:lineRule="exact"/>
              <w:rPr>
                <w:sz w:val="20"/>
                <w:szCs w:val="20"/>
                <w:color w:val="auto"/>
              </w:rPr>
            </w:pPr>
            <w:r>
              <w:rPr>
                <w:rFonts w:ascii="Times New Roman" w:cs="Times New Roman" w:eastAsia="Times New Roman" w:hAnsi="Times New Roman"/>
                <w:sz w:val="16"/>
                <w:szCs w:val="16"/>
                <w:color w:val="auto"/>
              </w:rPr>
              <w:t>7/29/2025</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Death)</w:t>
            </w:r>
          </w:p>
        </w:tc>
        <w:tc>
          <w:tcPr>
            <w:tcW w:w="2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340" w:type="dxa"/>
            <w:vAlign w:val="bottom"/>
            <w:gridSpan w:val="4"/>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r>
      <w:tr>
        <w:trPr>
          <w:trHeight w:val="197"/>
        </w:trPr>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00" w:type="dxa"/>
            <w:vAlign w:val="bottom"/>
            <w:tcBorders>
              <w:top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3" w:right="20" w:firstLine="289"/>
        <w:spacing w:after="0" w:line="260" w:lineRule="auto"/>
        <w:rPr>
          <w:sz w:val="20"/>
          <w:szCs w:val="20"/>
          <w:color w:val="auto"/>
        </w:rPr>
      </w:pPr>
      <w:r>
        <w:rPr>
          <w:rFonts w:ascii="Times New Roman" w:cs="Times New Roman" w:eastAsia="Times New Roman" w:hAnsi="Times New Roman"/>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06" w:lineRule="exact"/>
        <w:rPr>
          <w:sz w:val="20"/>
          <w:szCs w:val="20"/>
          <w:color w:val="auto"/>
        </w:rPr>
      </w:pPr>
    </w:p>
    <w:p>
      <w:pPr>
        <w:jc w:val="both"/>
        <w:ind w:left="3" w:firstLine="289"/>
        <w:spacing w:after="0" w:line="284" w:lineRule="auto"/>
        <w:rPr>
          <w:sz w:val="20"/>
          <w:szCs w:val="20"/>
          <w:color w:val="auto"/>
        </w:rPr>
      </w:pPr>
      <w:r>
        <w:rPr>
          <w:rFonts w:ascii="Times New Roman" w:cs="Times New Roman" w:eastAsia="Times New Roman" w:hAnsi="Times New Roman"/>
          <w:sz w:val="16"/>
          <w:szCs w:val="16"/>
          <w:color w:val="auto"/>
        </w:rPr>
        <w:t>On July 3, 2025, the Company’s Board of Directors declared a dividend of $0.25 per share payable on July 31, 2025 to the Company’s common stockholders of record as of the close of business on July 21, 2025. The dividend will be paid in cash.</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Adjustment to Conversion Rate of 6.50% Convertible Notes due 2029</w:t>
      </w:r>
    </w:p>
    <w:p>
      <w:pPr>
        <w:spacing w:after="0" w:line="206" w:lineRule="exact"/>
        <w:rPr>
          <w:sz w:val="20"/>
          <w:szCs w:val="20"/>
          <w:color w:val="auto"/>
        </w:rPr>
      </w:pPr>
    </w:p>
    <w:p>
      <w:pPr>
        <w:jc w:val="both"/>
        <w:ind w:left="3" w:right="20" w:firstLine="289"/>
        <w:spacing w:after="0" w:line="260" w:lineRule="auto"/>
        <w:rPr>
          <w:sz w:val="20"/>
          <w:szCs w:val="20"/>
          <w:color w:val="auto"/>
        </w:rPr>
      </w:pPr>
      <w:r>
        <w:rPr>
          <w:rFonts w:ascii="Times New Roman" w:cs="Times New Roman" w:eastAsia="Times New Roman" w:hAnsi="Times New Roman"/>
          <w:sz w:val="16"/>
          <w:szCs w:val="16"/>
          <w:color w:val="auto"/>
        </w:rPr>
        <w:t>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 Purchase Agreement governing the 6.50% Convertible Notes due 2029 as a result of the Company’s cash dividend of $0.25 per share, paid on July 31, 2025 to stockholders of record as of the close of business on July 21, 2025.</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13—SUPPLEMENTAL FINANCIAL DATA</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Summarized Financial Information of Unconsolidated Subsidiaries</w:t>
      </w:r>
    </w:p>
    <w:p>
      <w:pPr>
        <w:spacing w:after="0" w:line="204"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56" w:lineRule="exact"/>
        <w:rPr>
          <w:sz w:val="20"/>
          <w:szCs w:val="20"/>
          <w:color w:val="auto"/>
        </w:rPr>
      </w:pPr>
    </w:p>
    <w:p>
      <w:pPr>
        <w:jc w:val="both"/>
        <w:ind w:left="3" w:right="20" w:firstLine="289"/>
        <w:spacing w:after="0" w:line="260" w:lineRule="auto"/>
        <w:rPr>
          <w:sz w:val="20"/>
          <w:szCs w:val="20"/>
          <w:color w:val="auto"/>
        </w:rPr>
      </w:pPr>
      <w:r>
        <w:rPr>
          <w:rFonts w:ascii="Times New Roman" w:cs="Times New Roman" w:eastAsia="Times New Roman" w:hAnsi="Times New Roman"/>
          <w:sz w:val="16"/>
          <w:szCs w:val="16"/>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In accordance with Rules 3-09, 4-08(g), and 10-01(b)(1) of Regulation S-X, the Company must determine if any of its unconsolidated subsidiaries are considered a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61"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The Company’s one controlled portfolio company as of June 30, 2025, Colombier Sponsor II LLC, did not meet the definition of a “significant subsidiary” as set forth in Rule 1-02(w)(2) of Regulation S-X. The Company’s two controlled portfolio companies as of June 30, 2024, SPBRX, INC. (f/k/a GSV Sustainability Partners, Inc.) and Colombier Sponsor II LLC, did not meet the definition of significant subsidiaries under the Final Rules.</w:t>
      </w:r>
    </w:p>
    <w:p>
      <w:pPr>
        <w:sectPr>
          <w:pgSz w:w="11900" w:h="16838" w:orient="portrait"/>
          <w:cols w:equalWidth="0" w:num="1">
            <w:col w:w="11263"/>
          </w:cols>
          <w:pgMar w:left="317" w:top="220" w:right="319" w:bottom="1440" w:gutter="0" w:footer="0" w:header="0"/>
        </w:sectPr>
      </w:pPr>
    </w:p>
    <w:p>
      <w:pPr>
        <w:spacing w:after="0" w:line="15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4"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forward-looking statements contained in this quarterly report on Form 10-Q involve risks and uncertainties, including, without limitation, statements as to:</w:t>
      </w:r>
    </w:p>
    <w:p>
      <w:pPr>
        <w:spacing w:after="0" w:line="202" w:lineRule="exact"/>
        <w:rPr>
          <w:sz w:val="20"/>
          <w:szCs w:val="20"/>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results;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our management team and key investment professionals;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prospects and the prospects of our portfolio companies;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business and future growth;</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investments that we expect to make;</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investments in growth-stage companies, other venture capital-backed companies, and generally U.S. companies;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make distributions;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uncertainty of the value of our portfolio investments;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political, economic or industry conditions;</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w:t>
      </w:r>
    </w:p>
    <w:p>
      <w:pPr>
        <w:spacing w:after="0" w:line="202" w:lineRule="exact"/>
        <w:rPr>
          <w:rFonts w:ascii="Times New Roman" w:cs="Times New Roman" w:eastAsia="Times New Roman" w:hAnsi="Times New Roman"/>
          <w:sz w:val="16"/>
          <w:szCs w:val="16"/>
          <w:color w:val="auto"/>
        </w:rPr>
      </w:pPr>
    </w:p>
    <w:p>
      <w:pPr>
        <w:ind w:left="580" w:hanging="294"/>
        <w:spacing w:after="0" w:line="284"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laws or regulations (including the interpretation thereof), including tax laws, on our operations and/or the operation of our portfolio companies;</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cash resources and working capital;</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market volatility, including general price and volume fluctuations in stock markets; and</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202" w:lineRule="exact"/>
        <w:rPr>
          <w:sz w:val="20"/>
          <w:szCs w:val="20"/>
          <w:color w:val="auto"/>
        </w:rPr>
      </w:pPr>
    </w:p>
    <w:p>
      <w:pPr>
        <w:ind w:right="20" w:firstLine="289"/>
        <w:spacing w:after="0" w:line="284" w:lineRule="auto"/>
        <w:rPr>
          <w:sz w:val="20"/>
          <w:szCs w:val="20"/>
          <w:color w:val="auto"/>
        </w:rPr>
      </w:pPr>
      <w:r>
        <w:rPr>
          <w:rFonts w:ascii="Times New Roman" w:cs="Times New Roman" w:eastAsia="Times New Roman" w:hAnsi="Times New Roman"/>
          <w:sz w:val="16"/>
          <w:szCs w:val="16"/>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4" w:lineRule="exact"/>
        <w:rPr>
          <w:sz w:val="20"/>
          <w:szCs w:val="20"/>
          <w:color w:val="auto"/>
        </w:rPr>
      </w:pPr>
    </w:p>
    <w:p>
      <w:pPr>
        <w:ind w:left="580" w:right="20" w:hanging="294"/>
        <w:spacing w:after="0" w:line="284"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impair our portfolio companies’ ability to continue to operate, which could lead to the loss of some or all of our investments in such portfolio companies;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580" w:right="20" w:hanging="294"/>
        <w:spacing w:after="0" w:line="284"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disproportionately impact the market sectors in which a significant portion of our portfolio is concentrated, causing us to suffer losses in our portfolio;</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contraction of available credit and/or an inability to access the equity markets could impair our investment activities;</w:t>
      </w:r>
    </w:p>
    <w:p>
      <w:pPr>
        <w:spacing w:after="0" w:line="202"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inflation or an inflationary economic environment could adversely affect our portfolio companies’ operating results, causing us to suffer losses in our portfolio;</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volatility could adversely affect our results, particularly because we use leverage as part of our investment strategy; and</w:t>
      </w:r>
    </w:p>
    <w:p>
      <w:pPr>
        <w:spacing w:after="0" w:line="202"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uncertainties and other factors we identify in the sections entitled “Risk Factors” in our quarterly reports on Form 10-Q, our annual report on Form 10-K, and in our other filings with the SEC.</w:t>
      </w:r>
    </w:p>
    <w:p>
      <w:pPr>
        <w:spacing w:after="0" w:line="144" w:lineRule="exact"/>
        <w:rPr>
          <w:sz w:val="20"/>
          <w:szCs w:val="20"/>
          <w:color w:val="auto"/>
        </w:rPr>
      </w:pPr>
    </w:p>
    <w:p>
      <w:pPr>
        <w:jc w:val="both"/>
        <w:ind w:right="20" w:firstLine="289"/>
        <w:spacing w:after="0" w:line="256"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4"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6"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special purpose vehicles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private equity funds and hedge funds that are excluded from the definition of “investment company” under the 1940 Act by Section 3(c)(1) or 3(c)(7) of the 1940 Act, or certain non-U.S. companies that otherwise meet our investment criteria, subject to applicable requirements of the 1940 Act.</w:t>
      </w:r>
    </w:p>
    <w:p>
      <w:pPr>
        <w:spacing w:after="0" w:line="167"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6"/>
          <w:szCs w:val="16"/>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9" w:name="page50"/>
    <w:bookmarkEnd w:id="4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left="3" w:firstLine="289"/>
        <w:spacing w:after="0" w:line="258"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Software-as-a-Service, Artificial Intelligence Infrastructure &amp; Applications, Consumer Goods &amp; Services, Education Technology, Logistics &amp; Supply Chain, Financial Technology &amp; Services, and SuRo Capital Sports.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64" w:lineRule="exact"/>
        <w:rPr>
          <w:sz w:val="20"/>
          <w:szCs w:val="20"/>
          <w:color w:val="auto"/>
        </w:rPr>
      </w:pPr>
    </w:p>
    <w:p>
      <w:pPr>
        <w:jc w:val="both"/>
        <w:ind w:left="3" w:firstLine="289"/>
        <w:spacing w:after="0" w:line="260"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6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204"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44"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44" w:lineRule="exact"/>
        <w:rPr>
          <w:sz w:val="20"/>
          <w:szCs w:val="20"/>
          <w:color w:val="auto"/>
        </w:rPr>
      </w:pPr>
    </w:p>
    <w:p>
      <w:pPr>
        <w:jc w:val="both"/>
        <w:ind w:left="3" w:right="20" w:firstLine="289"/>
        <w:spacing w:after="0" w:line="258" w:lineRule="auto"/>
        <w:rPr>
          <w:sz w:val="20"/>
          <w:szCs w:val="20"/>
          <w:color w:val="auto"/>
        </w:rPr>
      </w:pPr>
      <w:r>
        <w:rPr>
          <w:rFonts w:ascii="Times New Roman" w:cs="Times New Roman" w:eastAsia="Times New Roman" w:hAnsi="Times New Roman"/>
          <w:sz w:val="16"/>
          <w:szCs w:val="16"/>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Six Months Ended June 30, 2025</w:t>
      </w:r>
    </w:p>
    <w:p>
      <w:pPr>
        <w:spacing w:after="0" w:line="206" w:lineRule="exact"/>
        <w:rPr>
          <w:sz w:val="20"/>
          <w:szCs w:val="20"/>
          <w:color w:val="auto"/>
        </w:rPr>
      </w:pPr>
    </w:p>
    <w:p>
      <w:pPr>
        <w:jc w:val="both"/>
        <w:ind w:left="3" w:firstLine="289"/>
        <w:spacing w:after="0" w:line="26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2025 of all of our portfolio investments was $243,798,547.</w:t>
      </w:r>
    </w:p>
    <w:p>
      <w:pPr>
        <w:spacing w:after="0" w:line="156"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six months ended June 30, 2025, we funded investments in an aggregate amount of $6,302,884 (not including capitalized transaction costs) as shown in the following table:</w:t>
      </w:r>
    </w:p>
    <w:p>
      <w:pPr>
        <w:spacing w:after="0" w:line="142"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80" w:type="dxa"/>
            <w:vAlign w:val="bottom"/>
            <w:gridSpan w:val="2"/>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Gross</w:t>
            </w:r>
          </w:p>
        </w:tc>
      </w:tr>
      <w:tr>
        <w:trPr>
          <w:trHeight w:val="211"/>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6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Payments</w:t>
            </w:r>
          </w:p>
        </w:tc>
      </w:tr>
      <w:tr>
        <w:trPr>
          <w:trHeight w:val="185"/>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2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Senior Preferred Shares, Series 1</w:t>
            </w:r>
          </w:p>
        </w:tc>
        <w:tc>
          <w:tcPr>
            <w:tcW w:w="2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1/31/2025</w:t>
            </w: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222,210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80,800</w:t>
            </w:r>
          </w:p>
        </w:tc>
      </w:tr>
      <w:tr>
        <w:trPr>
          <w:trHeight w:val="193"/>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Whoop, Inc.</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2/6/2025</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r>
      <w:tr>
        <w:trPr>
          <w:trHeight w:val="229"/>
        </w:trPr>
        <w:tc>
          <w:tcPr>
            <w:tcW w:w="292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Plaid Inc.</w:t>
            </w:r>
            <w:r>
              <w:rPr>
                <w:rFonts w:ascii="Times New Roman" w:cs="Times New Roman" w:eastAsia="Times New Roman" w:hAnsi="Times New Roman"/>
                <w:sz w:val="26"/>
                <w:szCs w:val="26"/>
                <w:color w:val="auto"/>
                <w:vertAlign w:val="superscript"/>
              </w:rPr>
              <w:t>(1)</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Shares, Class A</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4/4/2025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4,999,874</w:t>
            </w:r>
          </w:p>
        </w:tc>
      </w:tr>
      <w:tr>
        <w:trPr>
          <w:trHeight w:val="185"/>
        </w:trPr>
        <w:tc>
          <w:tcPr>
            <w:tcW w:w="29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6,302,884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right="20" w:hanging="443"/>
        <w:spacing w:after="0" w:line="284" w:lineRule="auto"/>
        <w:tabs>
          <w:tab w:leader="none" w:pos="44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the Class A Common Shares of Plaid Inc. was made through 1789 Capital Nirvana II LP, an SPV in which SuRo Capital is the Sole Limited Partner. SuRo Capital paid a 7% origination fee at the time of investment.</w:t>
      </w:r>
    </w:p>
    <w:p>
      <w:pPr>
        <w:spacing w:after="0" w:line="14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During the six months ended June 30, 2025, we capitalized fees of $400,237.</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50" w:name="page51"/>
    <w:bookmarkEnd w:id="5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six months ended June 30, 2025, we exited or received proceeds from investments in the amount of $41,251,774, net of transaction costs, and realized a net gain on investments of $21,194,660 (including adjustments to amounts held in escrow receivable) as shown in following table:</w:t>
      </w:r>
    </w:p>
    <w:p>
      <w:pPr>
        <w:spacing w:after="0" w:line="142" w:lineRule="exact"/>
        <w:rPr>
          <w:sz w:val="20"/>
          <w:szCs w:val="20"/>
          <w:color w:val="auto"/>
        </w:rPr>
      </w:pPr>
    </w:p>
    <w:tbl>
      <w:tblPr>
        <w:tblLayout w:type="fixed"/>
        <w:tblInd w:w="3" w:type="dxa"/>
        <w:tblCellMar>
          <w:top w:w="0" w:type="dxa"/>
          <w:left w:w="0" w:type="dxa"/>
          <w:bottom w:w="0" w:type="dxa"/>
          <w:right w:w="0" w:type="dxa"/>
        </w:tblCellMar>
      </w:tblPr>
      <w:tr>
        <w:trPr>
          <w:trHeight w:val="199"/>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Average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Realized</w:t>
            </w:r>
          </w:p>
        </w:tc>
      </w:tr>
      <w:tr>
        <w:trPr>
          <w:trHeight w:val="241"/>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 Date</w:t>
            </w:r>
          </w:p>
        </w:tc>
        <w:tc>
          <w:tcPr>
            <w:tcW w:w="2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80"/>
              <w:spacing w:after="0" w:line="241" w:lineRule="exact"/>
              <w:rPr>
                <w:sz w:val="20"/>
                <w:szCs w:val="20"/>
                <w:color w:val="auto"/>
              </w:rPr>
            </w:pPr>
            <w:r>
              <w:rPr>
                <w:rFonts w:ascii="Times New Roman" w:cs="Times New Roman" w:eastAsia="Times New Roman" w:hAnsi="Times New Roman"/>
                <w:sz w:val="16"/>
                <w:szCs w:val="16"/>
                <w:b w:val="1"/>
                <w:bCs w:val="1"/>
                <w:color w:val="auto"/>
              </w:rPr>
              <w:t>Share Price</w:t>
            </w:r>
            <w:r>
              <w:rPr>
                <w:rFonts w:ascii="Times New Roman" w:cs="Times New Roman" w:eastAsia="Times New Roman" w:hAnsi="Times New Roman"/>
                <w:sz w:val="26"/>
                <w:szCs w:val="26"/>
                <w:b w:val="1"/>
                <w:bCs w:val="1"/>
                <w:color w:val="auto"/>
                <w:vertAlign w:val="superscript"/>
              </w:rPr>
              <w:t>(1)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00"/>
              <w:spacing w:after="0" w:line="241" w:lineRule="exact"/>
              <w:rPr>
                <w:sz w:val="20"/>
                <w:szCs w:val="20"/>
                <w:color w:val="auto"/>
              </w:rPr>
            </w:pPr>
            <w:r>
              <w:rPr>
                <w:rFonts w:ascii="Times New Roman" w:cs="Times New Roman" w:eastAsia="Times New Roman" w:hAnsi="Times New Roman"/>
                <w:sz w:val="16"/>
                <w:szCs w:val="16"/>
                <w:b w:val="1"/>
                <w:bCs w:val="1"/>
                <w:color w:val="auto"/>
              </w:rPr>
              <w:t>Gain</w:t>
            </w:r>
            <w:r>
              <w:rPr>
                <w:rFonts w:ascii="Times New Roman" w:cs="Times New Roman" w:eastAsia="Times New Roman" w:hAnsi="Times New Roman"/>
                <w:sz w:val="26"/>
                <w:szCs w:val="26"/>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r>
      <w:tr>
        <w:trPr>
          <w:trHeight w:val="221"/>
        </w:trPr>
        <w:tc>
          <w:tcPr>
            <w:tcW w:w="24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6"/>
                <w:szCs w:val="16"/>
                <w:color w:val="auto"/>
              </w:rPr>
              <w:t>CoreWeave, Inc.</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Various</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222,240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113.99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25,332,125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15,328,543</w:t>
            </w:r>
          </w:p>
        </w:tc>
      </w:tr>
      <w:tr>
        <w:trPr>
          <w:trHeight w:val="241"/>
        </w:trPr>
        <w:tc>
          <w:tcPr>
            <w:tcW w:w="27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ServiceTitan, Inc.</w:t>
            </w:r>
            <w:r>
              <w:rPr>
                <w:rFonts w:ascii="Times New Roman" w:cs="Times New Roman" w:eastAsia="Times New Roman" w:hAnsi="Times New Roman"/>
                <w:sz w:val="26"/>
                <w:szCs w:val="26"/>
                <w:color w:val="auto"/>
                <w:vertAlign w:val="superscript"/>
              </w:rPr>
              <w:t>(4)</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Various</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151,515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105.07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15,919,649</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5,911,416</w:t>
            </w:r>
          </w:p>
        </w:tc>
      </w:tr>
      <w:tr>
        <w:trPr>
          <w:trHeight w:val="197"/>
        </w:trPr>
        <w:tc>
          <w:tcPr>
            <w:tcW w:w="2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7"/>
              </w:rPr>
              <w:t>41,251,774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21,239,959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hanging="443"/>
        <w:spacing w:after="0"/>
        <w:tabs>
          <w:tab w:leader="none" w:pos="44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5"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does not include adjustments to amounts held in escrow receivable.</w:t>
      </w:r>
    </w:p>
    <w:p>
      <w:pPr>
        <w:spacing w:after="0" w:line="9" w:lineRule="exact"/>
        <w:rPr>
          <w:rFonts w:ascii="Times New Roman" w:cs="Times New Roman" w:eastAsia="Times New Roman" w:hAnsi="Times New Roman"/>
          <w:sz w:val="16"/>
          <w:szCs w:val="16"/>
          <w:color w:val="auto"/>
        </w:rPr>
      </w:pPr>
    </w:p>
    <w:p>
      <w:pPr>
        <w:ind w:left="443" w:right="20" w:hanging="443"/>
        <w:spacing w:after="0" w:line="251" w:lineRule="auto"/>
        <w:tabs>
          <w:tab w:leader="none" w:pos="44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20, 2025, we had sold the entirety of our directly held CoreWeave, Inc. public common shares. As of June 30, 2025, we continue to hold the entirety of our interest in CW Opportunity 2 LP.</w:t>
      </w:r>
    </w:p>
    <w:p>
      <w:pPr>
        <w:spacing w:after="0" w:line="1"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27, 2025, we had sold our entire position in ServiceTitan, Inc. public common shares.</w:t>
      </w:r>
    </w:p>
    <w:p>
      <w:pPr>
        <w:spacing w:after="0" w:line="18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During the six months ended June 30, 2025, we did not write-off any investments.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Six Months Ended June 30, 2024</w:t>
      </w:r>
    </w:p>
    <w:p>
      <w:pPr>
        <w:spacing w:after="0" w:line="206" w:lineRule="exact"/>
        <w:rPr>
          <w:sz w:val="20"/>
          <w:szCs w:val="20"/>
          <w:color w:val="auto"/>
        </w:rPr>
      </w:pPr>
    </w:p>
    <w:p>
      <w:pPr>
        <w:jc w:val="both"/>
        <w:ind w:left="3" w:firstLine="289"/>
        <w:spacing w:after="0" w:line="26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2024 of all of our portfolio investments was $182,904,880.</w:t>
      </w:r>
    </w:p>
    <w:p>
      <w:pPr>
        <w:spacing w:after="0" w:line="156"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six months ended June 30, 2024, we funded investments in an aggregate amount of $34,999,944 (not including capitalized transaction costs) as shown in the following table:</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300" w:type="dxa"/>
            <w:vAlign w:val="bottom"/>
          </w:tcPr>
          <w:p>
            <w:pPr>
              <w:spacing w:after="0"/>
              <w:rPr>
                <w:sz w:val="18"/>
                <w:szCs w:val="18"/>
                <w:color w:val="auto"/>
              </w:rPr>
            </w:pP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Gross Payments</w:t>
            </w:r>
          </w:p>
        </w:tc>
        <w:tc>
          <w:tcPr>
            <w:tcW w:w="0" w:type="dxa"/>
            <w:vAlign w:val="bottom"/>
          </w:tcPr>
          <w:p>
            <w:pPr>
              <w:spacing w:after="0"/>
              <w:rPr>
                <w:sz w:val="1"/>
                <w:szCs w:val="1"/>
                <w:color w:val="auto"/>
              </w:rPr>
            </w:pPr>
          </w:p>
        </w:tc>
      </w:tr>
      <w:tr>
        <w:trPr>
          <w:trHeight w:val="185"/>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Supplying Demand, Inc. (d/b/a Liquid Death)</w:t>
            </w:r>
          </w:p>
        </w:tc>
        <w:tc>
          <w:tcPr>
            <w:tcW w:w="2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2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1/18/2024</w:t>
            </w: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Canva, Inc.</w:t>
            </w: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Shares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4/17/2024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9,999,948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CW Opportunity 2 LP</w:t>
            </w:r>
            <w:r>
              <w:rPr>
                <w:rFonts w:ascii="Times New Roman" w:cs="Times New Roman" w:eastAsia="Times New Roman" w:hAnsi="Times New Roman"/>
                <w:sz w:val="26"/>
                <w:szCs w:val="26"/>
                <w:color w:val="auto"/>
                <w:vertAlign w:val="superscript"/>
              </w:rPr>
              <w:t>(1)</w:t>
            </w:r>
          </w:p>
        </w:tc>
        <w:tc>
          <w:tcPr>
            <w:tcW w:w="3400" w:type="dxa"/>
            <w:vAlign w:val="bottom"/>
            <w:gridSpan w:val="2"/>
            <w:shd w:val="clear" w:color="auto" w:fill="CCEEFF"/>
          </w:tcPr>
          <w:p>
            <w:pPr>
              <w:jc w:val="center"/>
              <w:ind w:right="220"/>
              <w:spacing w:after="0" w:line="177" w:lineRule="exact"/>
              <w:rPr>
                <w:sz w:val="20"/>
                <w:szCs w:val="20"/>
                <w:color w:val="auto"/>
              </w:rPr>
            </w:pPr>
            <w:r>
              <w:rPr>
                <w:rFonts w:ascii="Times New Roman" w:cs="Times New Roman" w:eastAsia="Times New Roman" w:hAnsi="Times New Roman"/>
                <w:sz w:val="16"/>
                <w:szCs w:val="16"/>
                <w:color w:val="auto"/>
              </w:rPr>
              <w:t>Membership</w:t>
            </w: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gridSpan w:val="2"/>
            <w:vMerge w:val="continue"/>
            <w:shd w:val="clear" w:color="auto" w:fill="CCEEFF"/>
          </w:tcPr>
          <w:p>
            <w:pPr>
              <w:spacing w:after="0"/>
              <w:rPr>
                <w:sz w:val="19"/>
                <w:szCs w:val="19"/>
                <w:color w:val="auto"/>
              </w:rPr>
            </w:pPr>
          </w:p>
        </w:tc>
        <w:tc>
          <w:tcPr>
            <w:tcW w:w="34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Interest, Class A</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5/7/2024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34,999,944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93" w:lineRule="exact"/>
        <w:rPr>
          <w:sz w:val="20"/>
          <w:szCs w:val="20"/>
          <w:color w:val="auto"/>
        </w:rPr>
      </w:pPr>
    </w:p>
    <w:p>
      <w:pPr>
        <w:ind w:left="443" w:right="20" w:hanging="443"/>
        <w:spacing w:after="0" w:line="284" w:lineRule="auto"/>
        <w:tabs>
          <w:tab w:leader="none" w:pos="44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an SPV that is solely invested in the Series C Preferred Shares of CoreWeave, Inc. SuRo Capital Corp. is invested in the Series C Preferred Shares of CoreWeave, Inc. through its investment in the Class A Interest of CW Opportunity 2 LP.</w:t>
      </w:r>
    </w:p>
    <w:p>
      <w:pPr>
        <w:spacing w:after="0" w:line="14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During the six months ended June 30, 2024, we capitalized fees of $73,100.</w:t>
      </w:r>
    </w:p>
    <w:p>
      <w:pPr>
        <w:spacing w:after="0" w:line="202" w:lineRule="exact"/>
        <w:rPr>
          <w:sz w:val="20"/>
          <w:szCs w:val="20"/>
          <w:color w:val="auto"/>
        </w:rPr>
      </w:pPr>
    </w:p>
    <w:p>
      <w:pPr>
        <w:jc w:val="both"/>
        <w:ind w:left="3" w:firstLine="289"/>
        <w:spacing w:after="0" w:line="277" w:lineRule="auto"/>
        <w:rPr>
          <w:sz w:val="20"/>
          <w:szCs w:val="20"/>
          <w:color w:val="auto"/>
        </w:rPr>
      </w:pPr>
      <w:r>
        <w:rPr>
          <w:rFonts w:ascii="Times New Roman" w:cs="Times New Roman" w:eastAsia="Times New Roman" w:hAnsi="Times New Roman"/>
          <w:sz w:val="16"/>
          <w:szCs w:val="16"/>
          <w:color w:val="auto"/>
        </w:rPr>
        <w:t>During the six months ended June 30, 2024, we exited or received proceeds from investments (not including short-term U.S. Treasury bills) in the amount of $10,551,335, net of transaction costs, and realized a net loss on investments of $453,686 (including adjustments to amounts held in escrow receivable) as shown in following table:</w:t>
      </w:r>
    </w:p>
    <w:p>
      <w:pPr>
        <w:spacing w:after="0" w:line="345" w:lineRule="exact"/>
        <w:rPr>
          <w:sz w:val="20"/>
          <w:szCs w:val="20"/>
          <w:color w:val="auto"/>
        </w:rPr>
      </w:pPr>
    </w:p>
    <w:tbl>
      <w:tblPr>
        <w:tblLayout w:type="fixed"/>
        <w:tblInd w:w="3" w:type="dxa"/>
        <w:tblCellMar>
          <w:top w:w="0" w:type="dxa"/>
          <w:left w:w="0" w:type="dxa"/>
          <w:bottom w:w="0" w:type="dxa"/>
          <w:right w:w="0" w:type="dxa"/>
        </w:tblCellMar>
      </w:tblPr>
      <w:tr>
        <w:trPr>
          <w:trHeight w:val="199"/>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Average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7"/>
                <w:szCs w:val="17"/>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Realized</w:t>
            </w:r>
          </w:p>
        </w:tc>
      </w:tr>
      <w:tr>
        <w:trPr>
          <w:trHeight w:val="241"/>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line="241" w:lineRule="exact"/>
              <w:rPr>
                <w:sz w:val="20"/>
                <w:szCs w:val="20"/>
                <w:color w:val="auto"/>
              </w:rPr>
            </w:pPr>
            <w:r>
              <w:rPr>
                <w:rFonts w:ascii="Times New Roman" w:cs="Times New Roman" w:eastAsia="Times New Roman" w:hAnsi="Times New Roman"/>
                <w:sz w:val="16"/>
                <w:szCs w:val="16"/>
                <w:b w:val="1"/>
                <w:bCs w:val="1"/>
                <w:color w:val="auto"/>
              </w:rPr>
              <w:t>Share Price</w:t>
            </w:r>
            <w:r>
              <w:rPr>
                <w:rFonts w:ascii="Times New Roman" w:cs="Times New Roman" w:eastAsia="Times New Roman" w:hAnsi="Times New Roman"/>
                <w:sz w:val="26"/>
                <w:szCs w:val="26"/>
                <w:b w:val="1"/>
                <w:bCs w:val="1"/>
                <w:color w:val="auto"/>
                <w:vertAlign w:val="superscript"/>
              </w:rPr>
              <w:t>(1)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60"/>
              <w:spacing w:after="0" w:line="241" w:lineRule="exact"/>
              <w:rPr>
                <w:sz w:val="20"/>
                <w:szCs w:val="20"/>
                <w:color w:val="auto"/>
              </w:rPr>
            </w:pPr>
            <w:r>
              <w:rPr>
                <w:rFonts w:ascii="Times New Roman" w:cs="Times New Roman" w:eastAsia="Times New Roman" w:hAnsi="Times New Roman"/>
                <w:sz w:val="16"/>
                <w:szCs w:val="16"/>
                <w:b w:val="1"/>
                <w:bCs w:val="1"/>
                <w:color w:val="auto"/>
              </w:rPr>
              <w:t>Gain/(Loss)</w:t>
            </w:r>
            <w:r>
              <w:rPr>
                <w:rFonts w:ascii="Times New Roman" w:cs="Times New Roman" w:eastAsia="Times New Roman" w:hAnsi="Times New Roman"/>
                <w:sz w:val="26"/>
                <w:szCs w:val="26"/>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r>
      <w:tr>
        <w:trPr>
          <w:trHeight w:val="221"/>
        </w:trPr>
        <w:tc>
          <w:tcPr>
            <w:tcW w:w="24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6"/>
                <w:szCs w:val="16"/>
                <w:color w:val="auto"/>
              </w:rPr>
              <w:t>Nextdoor Holdings, Inc.</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Various</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112,420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1.92</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215,318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(411,151)</w:t>
            </w:r>
          </w:p>
        </w:tc>
      </w:tr>
      <w:tr>
        <w:trPr>
          <w:trHeight w:val="180"/>
        </w:trPr>
        <w:tc>
          <w:tcPr>
            <w:tcW w:w="27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PSQ Holdings, Inc. (d/b/a</w:t>
            </w:r>
          </w:p>
        </w:tc>
        <w:tc>
          <w:tcPr>
            <w:tcW w:w="15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color w:val="auto"/>
                <w:w w:val="98"/>
              </w:rPr>
              <w:t>Various</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2"/>
        </w:trPr>
        <w:tc>
          <w:tcPr>
            <w:tcW w:w="272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 xml:space="preserve">PublicSquare) </w:t>
            </w:r>
            <w:r>
              <w:rPr>
                <w:rFonts w:ascii="Times New Roman" w:cs="Times New Roman" w:eastAsia="Times New Roman" w:hAnsi="Times New Roman"/>
                <w:sz w:val="16"/>
                <w:szCs w:val="16"/>
                <w:i w:val="1"/>
                <w:iCs w:val="1"/>
                <w:color w:val="auto"/>
              </w:rPr>
              <w:t>- Warrants</w:t>
            </w:r>
            <w:r>
              <w:rPr>
                <w:rFonts w:ascii="Times New Roman" w:cs="Times New Roman" w:eastAsia="Times New Roman" w:hAnsi="Times New Roman"/>
                <w:sz w:val="26"/>
                <w:szCs w:val="26"/>
                <w:color w:val="auto"/>
                <w:vertAlign w:val="superscript"/>
              </w:rPr>
              <w:t>(4)</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21"/>
                <w:szCs w:val="21"/>
                <w:color w:val="auto"/>
              </w:rPr>
            </w:pP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102,998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60,067</w:t>
            </w:r>
          </w:p>
        </w:tc>
      </w:tr>
      <w:tr>
        <w:trPr>
          <w:trHeight w:val="229"/>
        </w:trPr>
        <w:tc>
          <w:tcPr>
            <w:tcW w:w="272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Architect Capital PayJoy SPV, LLC</w:t>
            </w:r>
            <w:r>
              <w:rPr>
                <w:rFonts w:ascii="Times New Roman" w:cs="Times New Roman" w:eastAsia="Times New Roman" w:hAnsi="Times New Roman"/>
                <w:sz w:val="26"/>
                <w:szCs w:val="26"/>
                <w:color w:val="auto"/>
                <w:vertAlign w:val="superscript"/>
              </w:rPr>
              <w:t>(5)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6/28/2024</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10,000,000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r>
      <w:tr>
        <w:trPr>
          <w:trHeight w:val="241"/>
        </w:trPr>
        <w:tc>
          <w:tcPr>
            <w:tcW w:w="27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True Global Ventures 4 Plus Pte Ltd</w:t>
            </w:r>
            <w:r>
              <w:rPr>
                <w:rFonts w:ascii="Times New Roman" w:cs="Times New Roman" w:eastAsia="Times New Roman" w:hAnsi="Times New Roman"/>
                <w:sz w:val="26"/>
                <w:szCs w:val="26"/>
                <w:color w:val="auto"/>
                <w:vertAlign w:val="superscript"/>
              </w:rPr>
              <w:t>(6)</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6/28/2024</w:t>
            </w:r>
          </w:p>
        </w:tc>
        <w:tc>
          <w:tcPr>
            <w:tcW w:w="2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233,019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10,551,335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(357,829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5"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23, 2024, we had sold our remaining Nextdoor Holdings, Inc. public common shares.</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2024, we held 2,296,037 remaining PSQ Holdings, Inc. (d/b/a PublicSquare) public warrants.</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2024, we redeemed the entirety of our Membership Interest in Architect Capital PayJoy SPV, LLC.</w:t>
      </w:r>
    </w:p>
    <w:p>
      <w:pPr>
        <w:spacing w:after="0" w:line="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2024, we received a return of capital distribution from our investment in True Global Ventures 4 Plus Pte Ltd.</w:t>
      </w:r>
    </w:p>
    <w:p>
      <w:pPr>
        <w:spacing w:after="0" w:line="18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During the six months ended June 30, 2024, we did not write-off any investments.</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692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six months ended June 30, 2025 and 2024</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Operating results for the three and six months ended June 30, 2025 and 2024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82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7"/>
        </w:trPr>
        <w:tc>
          <w:tcPr>
            <w:tcW w:w="47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8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167,304</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1,027,353</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666,398</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2,555,444</w:t>
            </w:r>
          </w:p>
        </w:tc>
        <w:tc>
          <w:tcPr>
            <w:tcW w:w="120" w:type="dxa"/>
            <w:vAlign w:val="bottom"/>
            <w:shd w:val="clear" w:color="auto" w:fill="CCEEFF"/>
          </w:tcPr>
          <w:p>
            <w:pPr>
              <w:spacing w:after="0"/>
              <w:rPr>
                <w:sz w:val="16"/>
                <w:szCs w:val="16"/>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167,304</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1,027,353</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317,951</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2,533,569</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348,447</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21,875</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3,889,464</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4,682,978</w:t>
            </w:r>
          </w:p>
        </w:tc>
        <w:tc>
          <w:tcPr>
            <w:tcW w:w="32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8,050,327</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9,433,971</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1,571,856</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2,198,509</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3,239,691</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4,383,827</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175,495</w:t>
            </w:r>
          </w:p>
        </w:tc>
        <w:tc>
          <w:tcPr>
            <w:tcW w:w="30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167,825</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346,060</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338,938</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1,275,485</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1,214,267</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2,535,334</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2,428,534</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680,857</w:t>
            </w:r>
          </w:p>
        </w:tc>
        <w:tc>
          <w:tcPr>
            <w:tcW w:w="30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586,825</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1,431,081</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1,315,384</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(218,745)</w:t>
            </w: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52,794</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(215,949)</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54,894</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404,516</w:t>
            </w:r>
          </w:p>
        </w:tc>
        <w:tc>
          <w:tcPr>
            <w:tcW w:w="30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462,758</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714,110</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912,394</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(3,722,160)</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(3,655,625)</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(7,383,929)</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(6,878,527)</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21,212,611</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(29,612)</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21,194,660</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(453,686)</w:t>
            </w:r>
          </w:p>
        </w:tc>
      </w:tr>
      <w:tr>
        <w:trPr>
          <w:trHeight w:val="176"/>
        </w:trPr>
        <w:tc>
          <w:tcPr>
            <w:tcW w:w="4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Realized loss on partial repurchase of 6.00% Notes due December 30,</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(15,873)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44,837,619</w:t>
            </w:r>
          </w:p>
        </w:tc>
        <w:tc>
          <w:tcPr>
            <w:tcW w:w="3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(6,965,946)</w:t>
            </w:r>
          </w:p>
        </w:tc>
        <w:tc>
          <w:tcPr>
            <w:tcW w:w="3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47,726,497</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(25,384,316)</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62,328,070</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(10,651,183)</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61,521,355</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(32,716,529)</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06" w:lineRule="exact"/>
        <w:rPr>
          <w:sz w:val="20"/>
          <w:szCs w:val="20"/>
          <w:color w:val="auto"/>
        </w:rPr>
      </w:pPr>
    </w:p>
    <w:p>
      <w:pPr>
        <w:jc w:val="both"/>
        <w:ind w:right="20" w:firstLine="326"/>
        <w:spacing w:after="0" w:line="260" w:lineRule="auto"/>
        <w:rPr>
          <w:sz w:val="20"/>
          <w:szCs w:val="20"/>
          <w:color w:val="auto"/>
        </w:rPr>
      </w:pPr>
      <w:r>
        <w:rPr>
          <w:rFonts w:ascii="Times New Roman" w:cs="Times New Roman" w:eastAsia="Times New Roman" w:hAnsi="Times New Roman"/>
          <w:sz w:val="16"/>
          <w:szCs w:val="16"/>
          <w:color w:val="auto"/>
        </w:rPr>
        <w:t>Investment income decreased to $167,304 for the three months ended June 30, 2025 from $1,027,353 for the three months ended June 30, 2024. The net decrease between periods was primarily due to the cessation of interest income from short-term U.S. Treasury bills and a decrease in interest income received on cash, in addition to no longer receiving interest income from Architect Capital PayJoy SPV, LLC following the redemption of our investment in June 2024. Additional decreases were related to a decrease in interest income from interest accruals on our debt investment in Xgroup Holdings Limited (d/b/a Xpoint) during the three months ended June 30, 2025, relative to the three months ended June 30, 2024.</w:t>
      </w:r>
    </w:p>
    <w:p>
      <w:pPr>
        <w:spacing w:after="0" w:line="161" w:lineRule="exact"/>
        <w:rPr>
          <w:sz w:val="20"/>
          <w:szCs w:val="20"/>
          <w:color w:val="auto"/>
        </w:rPr>
      </w:pPr>
    </w:p>
    <w:p>
      <w:pPr>
        <w:jc w:val="both"/>
        <w:ind w:right="20" w:firstLine="326"/>
        <w:spacing w:after="0" w:line="258" w:lineRule="auto"/>
        <w:rPr>
          <w:sz w:val="20"/>
          <w:szCs w:val="20"/>
          <w:color w:val="auto"/>
        </w:rPr>
      </w:pPr>
      <w:r>
        <w:rPr>
          <w:rFonts w:ascii="Times New Roman" w:cs="Times New Roman" w:eastAsia="Times New Roman" w:hAnsi="Times New Roman"/>
          <w:sz w:val="16"/>
          <w:szCs w:val="16"/>
          <w:color w:val="auto"/>
        </w:rPr>
        <w:t>Investment income decreased to $666,398 for the six months ended June 30, 2025 from $2,555,444 for the six months ended June 30, 2024. The net decrease between periods was primarily due to the cessation of interest income from short-term U.S. Treasury bills and a decrease in interest income received on cash, in addition to no longer receiving interest income from Architect Capital PayJoy SPV, LLC following the redemption of our investment in June 2024. Additional decreases were related to a decrease in interest income from interest accruals on our debt investment in Xgroup Holdings Limited (d/b/a Xpoint), and a decrease in dividend income from Aventine Property Group, Inc. due to the pause placed on their declaration of dividends that began in August 2024. The decreases were offset by an increase in dividend income from CW Opportunity 2 LP during the six months ended June 30, 2025, relative to the six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6" w:lineRule="exact"/>
        <w:rPr>
          <w:sz w:val="20"/>
          <w:szCs w:val="20"/>
          <w:color w:val="auto"/>
        </w:rPr>
      </w:pPr>
    </w:p>
    <w:p>
      <w:pPr>
        <w:jc w:val="both"/>
        <w:ind w:firstLine="326"/>
        <w:spacing w:after="0" w:line="262" w:lineRule="auto"/>
        <w:rPr>
          <w:sz w:val="20"/>
          <w:szCs w:val="20"/>
          <w:color w:val="auto"/>
        </w:rPr>
      </w:pPr>
      <w:r>
        <w:rPr>
          <w:rFonts w:ascii="Times New Roman" w:cs="Times New Roman" w:eastAsia="Times New Roman" w:hAnsi="Times New Roman"/>
          <w:sz w:val="16"/>
          <w:szCs w:val="16"/>
          <w:color w:val="auto"/>
        </w:rPr>
        <w:t>Total operating expenses decreased to $3,889,464 for the three months ended June 30, 2025 from $4,682,978 for the three months ended June 30, 2024. The decrease in operating expense was primarily due to decreases in compensation expense and other expenses, in addition to a decrease in income tax expense due to the receipt of a prior year tax refund in the current period. These decreases were partially offset by increases in professional fees, interest expense, and directors’ fees during the three months ended June 30, 2025, relative to the three months ended June 30, 2024.</w:t>
      </w:r>
    </w:p>
    <w:p>
      <w:pPr>
        <w:spacing w:after="0" w:line="162" w:lineRule="exact"/>
        <w:rPr>
          <w:sz w:val="20"/>
          <w:szCs w:val="20"/>
          <w:color w:val="auto"/>
        </w:rPr>
      </w:pPr>
    </w:p>
    <w:p>
      <w:pPr>
        <w:jc w:val="both"/>
        <w:ind w:right="20" w:firstLine="326"/>
        <w:spacing w:after="0" w:line="262" w:lineRule="auto"/>
        <w:rPr>
          <w:sz w:val="20"/>
          <w:szCs w:val="20"/>
          <w:color w:val="auto"/>
        </w:rPr>
      </w:pPr>
      <w:r>
        <w:rPr>
          <w:rFonts w:ascii="Times New Roman" w:cs="Times New Roman" w:eastAsia="Times New Roman" w:hAnsi="Times New Roman"/>
          <w:sz w:val="16"/>
          <w:szCs w:val="16"/>
          <w:color w:val="auto"/>
        </w:rPr>
        <w:t>Total operating expenses decreased to $8,050,327 for the six months ended June 30, 2025 from $9,433,971 for the six months ended June 30, 2024. The decrease in operating expense was primarily due to decreases in compensation expense and other expenses, in addition to a decrease in income tax expense due to the receipt of a prior year tax refund in the current period. These decreases were partially offset by increases in professional fees, interest expense, and directors’ fees during the six months ended June 30, 2025, relative to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Loss</w:t>
      </w:r>
    </w:p>
    <w:p>
      <w:pPr>
        <w:spacing w:after="0" w:line="20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For the three months ended June 30, 2025, we recognized a net investment loss of $3,722,160, compared to a net investment loss of $3,655,625 for the three months ended June 30, 2024. The change between periods resulted from a decrease in total investment income and operating expenses during the three months ended June 30, 2025, relative to the three months ended June 30, 2024.</w:t>
      </w:r>
    </w:p>
    <w:p>
      <w:pPr>
        <w:spacing w:after="0" w:line="15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For the six months ended June 30, 2025, we recognized a net investment loss of $7,383,929, compared to a net investment loss of $6,878,527 for the six months ended June 30, 2024. The change between periods resulted from a decrease in total investment income and operating expenses during the six months ended June 30, 2025, relative to the six months ended June 30,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Gain/(Loss) on Investments</w:t>
      </w:r>
    </w:p>
    <w:p>
      <w:pPr>
        <w:spacing w:after="0" w:line="20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For the three months ended June 30, 2025, we recognized a net realized gain on our investments of $21,212,611, compared to a net realized loss of $29,612 for the three months ended June 30, 2024. The components of our net realized gains or losses on portfolio investments for the three months ended June 30, 2025 and 2024, excluding short-term U.S. Treasury bills and fluctuations in escrow receivables estimates, are reflected in the tables above, under “—Portfolio and Investment Activity.”</w:t>
      </w:r>
    </w:p>
    <w:p>
      <w:pPr>
        <w:spacing w:after="0" w:line="156" w:lineRule="exact"/>
        <w:rPr>
          <w:sz w:val="20"/>
          <w:szCs w:val="20"/>
          <w:color w:val="auto"/>
        </w:rPr>
      </w:pPr>
    </w:p>
    <w:p>
      <w:pPr>
        <w:jc w:val="both"/>
        <w:ind w:right="20" w:firstLine="326"/>
        <w:spacing w:after="0" w:line="268" w:lineRule="auto"/>
        <w:rPr>
          <w:sz w:val="20"/>
          <w:szCs w:val="20"/>
          <w:color w:val="auto"/>
        </w:rPr>
      </w:pPr>
      <w:r>
        <w:rPr>
          <w:rFonts w:ascii="Times New Roman" w:cs="Times New Roman" w:eastAsia="Times New Roman" w:hAnsi="Times New Roman"/>
          <w:sz w:val="16"/>
          <w:szCs w:val="16"/>
          <w:color w:val="auto"/>
        </w:rPr>
        <w:t>For the six months ended June 30, 2025, we recognized a net realized gain on our investments of $21,194,660, compared to a net realized loss of $453,686 for the six months ended June 30, 2024. The components of our net realized gains or losses on portfolio investments for the six months ended June 30, 2025 and 2024, excluding short-term U.S. Treasury bills and fluctuations in escrow receivables estimates, are reflected in the tables above, under “—Portfolio and Investment Activity.”</w:t>
      </w:r>
    </w:p>
    <w:p>
      <w:pPr>
        <w:sectPr>
          <w:pgSz w:w="11900" w:h="16838" w:orient="portrait"/>
          <w:cols w:equalWidth="0" w:num="1">
            <w:col w:w="11260"/>
          </w:cols>
          <w:pgMar w:left="320" w:top="220" w:right="319" w:bottom="1440" w:gutter="0" w:footer="0" w:header="0"/>
        </w:sectPr>
      </w:pP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52" w:name="page53"/>
    <w:bookmarkEnd w:id="5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Appreciation/(Depreciation) of Investments</w:t>
      </w:r>
    </w:p>
    <w:p>
      <w:pPr>
        <w:spacing w:after="0" w:line="206"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For the three months ended June 30, 2025, we had a net change in unrealized appreciation/(depreciation) of $44,837,619. For the three months ended June 30, 2024, we had a net change in unrealized appreciation/(depreciation) of $(6,965,946). The following tables summarize, by portfolio company, the significant changes in unrealized appreciation/(depreciation) of our investment portfolio for the three months ended June 30, 2025 and 2024.</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Net Change in</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 Change in</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9"/>
              </w:rPr>
              <w:t>Appreciation/</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Appreciation/</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(Depreciation) For the</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(Depreciation) For the</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18"/>
                <w:szCs w:val="18"/>
                <w:color w:val="auto"/>
              </w:rPr>
            </w:pPr>
          </w:p>
        </w:tc>
        <w:tc>
          <w:tcPr>
            <w:tcW w:w="1840" w:type="dxa"/>
            <w:vAlign w:val="bottom"/>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85"/>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2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28,595,524</w:t>
            </w:r>
          </w:p>
        </w:tc>
        <w:tc>
          <w:tcPr>
            <w:tcW w:w="3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8,312,921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Colombier Sponsor II LLC</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10,086,976</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1,039,251</w:t>
            </w:r>
          </w:p>
        </w:tc>
      </w:tr>
      <w:tr>
        <w:trPr>
          <w:trHeight w:val="229"/>
        </w:trPr>
        <w:tc>
          <w:tcPr>
            <w:tcW w:w="27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CoreWeave, Inc.</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2,999,023</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(1,865,441)</w:t>
            </w:r>
          </w:p>
        </w:tc>
      </w:tr>
      <w:tr>
        <w:trPr>
          <w:trHeight w:val="176"/>
        </w:trPr>
        <w:tc>
          <w:tcPr>
            <w:tcW w:w="2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Canva, Inc.</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PSQ Holdings, Inc. (d/b/a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2,402,950</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PublicSquare)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(2,561,945)</w:t>
            </w: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Whoop, Inc.</w:t>
            </w: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2,392,797</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(13,945,631)</w:t>
            </w:r>
          </w:p>
        </w:tc>
      </w:tr>
      <w:tr>
        <w:trPr>
          <w:trHeight w:val="19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1,513,796</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Locus Robotics Corp.</w:t>
            </w: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1,434,323</w:t>
            </w:r>
          </w:p>
        </w:tc>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(2,147,015)</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27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ServiceTitan, Inc.</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(3,393,618)</w:t>
            </w:r>
          </w:p>
        </w:tc>
        <w:tc>
          <w:tcPr>
            <w:tcW w:w="2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27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952,863</w:t>
            </w:r>
          </w:p>
        </w:tc>
        <w:tc>
          <w:tcPr>
            <w:tcW w:w="25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2,054,899</w:t>
            </w:r>
          </w:p>
        </w:tc>
      </w:tr>
      <w:tr>
        <w:trPr>
          <w:trHeight w:val="185"/>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auto"/>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44,837,619</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(6,965,946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right="20" w:hanging="443"/>
        <w:spacing w:after="0" w:line="262" w:lineRule="auto"/>
        <w:tabs>
          <w:tab w:leader="none" w:pos="44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443" w:right="20" w:hanging="443"/>
        <w:spacing w:after="0" w:line="263" w:lineRule="auto"/>
        <w:tabs>
          <w:tab w:leader="none" w:pos="44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three months ended June 30, 2025 and 2024.</w:t>
      </w:r>
    </w:p>
    <w:p>
      <w:pPr>
        <w:spacing w:after="0" w:line="160" w:lineRule="exact"/>
        <w:rPr>
          <w:sz w:val="20"/>
          <w:szCs w:val="20"/>
          <w:color w:val="auto"/>
        </w:rPr>
      </w:pPr>
    </w:p>
    <w:p>
      <w:pPr>
        <w:jc w:val="both"/>
        <w:ind w:left="3" w:firstLine="289"/>
        <w:spacing w:after="0" w:line="268" w:lineRule="auto"/>
        <w:rPr>
          <w:sz w:val="20"/>
          <w:szCs w:val="20"/>
          <w:color w:val="auto"/>
        </w:rPr>
      </w:pPr>
      <w:r>
        <w:rPr>
          <w:rFonts w:ascii="Times New Roman" w:cs="Times New Roman" w:eastAsia="Times New Roman" w:hAnsi="Times New Roman"/>
          <w:sz w:val="16"/>
          <w:szCs w:val="16"/>
          <w:color w:val="auto"/>
        </w:rPr>
        <w:t>For the six months ended June 30, 2025, we had a net change in unrealized appreciation/(depreciation) of $47,726,497. For the six months ended June 30, 2024, we had a net change in unrealized appreciation/(depreciation) of $(25,384,316). The following tables summarize, by portfolio company, the significant changes in unrealized appreciation/(depreciation) of our investment portfolio for the six months ended June 30, 2025 and 2024.</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Net Change in</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 Change in</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Appreciation/</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Appreciation/</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(Depreciation) For the</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(Depreciation) For the</w:t>
            </w:r>
          </w:p>
        </w:tc>
      </w:tr>
      <w:tr>
        <w:trPr>
          <w:trHeight w:val="193"/>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1"/>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85"/>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23,101,890</w:t>
            </w:r>
          </w:p>
        </w:tc>
        <w:tc>
          <w:tcPr>
            <w:tcW w:w="3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8,178,720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Colombier Sponsor II LLC</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18,697,452</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2,484,626</w:t>
            </w:r>
          </w:p>
        </w:tc>
      </w:tr>
      <w:tr>
        <w:trPr>
          <w:trHeight w:val="176"/>
        </w:trPr>
        <w:tc>
          <w:tcPr>
            <w:tcW w:w="27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ARK Type One Deep Ventures Fund</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LLC</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10,121,217</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1,904,023</w:t>
            </w:r>
          </w:p>
        </w:tc>
      </w:tr>
      <w:tr>
        <w:trPr>
          <w:trHeight w:val="176"/>
        </w:trPr>
        <w:tc>
          <w:tcPr>
            <w:tcW w:w="2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Whoop,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Xgroup Holdings Limited (d/b/a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7,814,651</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Xpoint)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1,114,839</w:t>
            </w: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1,472,377</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(1,158,150)</w:t>
            </w:r>
          </w:p>
        </w:tc>
      </w:tr>
      <w:tr>
        <w:trPr>
          <w:trHeight w:val="176"/>
        </w:trPr>
        <w:tc>
          <w:tcPr>
            <w:tcW w:w="2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Canva,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Residential Homes for Rent, LLC</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1,242,894</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(d/b/a Second Avenue)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(1,379,719)</w:t>
            </w: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PSQ Holdings, Inc. (d/b/a PublicSquare)</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(1,059,662)</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Forge Global, Inc.</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(2,257,374)</w:t>
            </w:r>
          </w:p>
        </w:tc>
      </w:tr>
      <w:tr>
        <w:trPr>
          <w:trHeight w:val="176"/>
        </w:trPr>
        <w:tc>
          <w:tcPr>
            <w:tcW w:w="2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Learneo, Inc. (f/k/a Course Hero,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PSQ Holdings, Inc. (d/b/a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(1,512,785)</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PublicSquare)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(2,497,333)</w:t>
            </w: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(3,122,821)</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(3,761,225)</w:t>
            </w:r>
          </w:p>
        </w:tc>
      </w:tr>
      <w:tr>
        <w:trPr>
          <w:trHeight w:val="229"/>
        </w:trPr>
        <w:tc>
          <w:tcPr>
            <w:tcW w:w="27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ServiceTitan, Inc.</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(4,019,480)</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(26,944,664)</w:t>
            </w:r>
          </w:p>
        </w:tc>
      </w:tr>
      <w:tr>
        <w:trPr>
          <w:trHeight w:val="19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(4,028,046)</w:t>
            </w:r>
          </w:p>
        </w:tc>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9"/>
        </w:trPr>
        <w:tc>
          <w:tcPr>
            <w:tcW w:w="27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(981,190)</w:t>
            </w:r>
          </w:p>
        </w:tc>
        <w:tc>
          <w:tcPr>
            <w:tcW w:w="25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(1,068,059)</w:t>
            </w:r>
          </w:p>
        </w:tc>
      </w:tr>
      <w:tr>
        <w:trPr>
          <w:trHeight w:val="185"/>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47,726,497</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(25,384,316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93" w:lineRule="exact"/>
        <w:rPr>
          <w:sz w:val="20"/>
          <w:szCs w:val="20"/>
          <w:color w:val="auto"/>
        </w:rPr>
      </w:pPr>
    </w:p>
    <w:p>
      <w:pPr>
        <w:ind w:left="443" w:right="20" w:hanging="443"/>
        <w:spacing w:after="0" w:line="262" w:lineRule="auto"/>
        <w:tabs>
          <w:tab w:leader="none" w:pos="44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443" w:right="20" w:hanging="443"/>
        <w:spacing w:after="0" w:line="263" w:lineRule="auto"/>
        <w:tabs>
          <w:tab w:leader="none" w:pos="44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six months ended June 30, 2025 and 2024.</w:t>
      </w:r>
    </w:p>
    <w:p>
      <w:pPr>
        <w:spacing w:after="0" w:line="1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692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53" w:name="page54"/>
    <w:bookmarkEnd w:id="5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4" w:lineRule="exact"/>
        <w:rPr>
          <w:sz w:val="20"/>
          <w:szCs w:val="20"/>
          <w:color w:val="auto"/>
        </w:rPr>
      </w:pPr>
    </w:p>
    <w:p>
      <w:pPr>
        <w:jc w:val="both"/>
        <w:ind w:left="3" w:firstLine="289"/>
        <w:spacing w:after="0" w:line="257" w:lineRule="auto"/>
        <w:rPr>
          <w:sz w:val="20"/>
          <w:szCs w:val="20"/>
          <w:color w:val="auto"/>
        </w:rPr>
      </w:pPr>
      <w:r>
        <w:rPr>
          <w:rFonts w:ascii="Times New Roman" w:cs="Times New Roman" w:eastAsia="Times New Roman" w:hAnsi="Times New Roman"/>
          <w:sz w:val="16"/>
          <w:szCs w:val="16"/>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On December 17, 2021, we issued $75.0 million aggregate principal amount of our 6.00% Notes due 2026 (the “6.00% Notes due 2026”), of which $39.7 million remain outstanding as of June 30, 2025. In addition, on August 14, 2024, we issued $25.0 million in aggregate principal amount of 6.50% Convertible Notes due 2029, and on October 9, 2024 and January 16, 2025, we issued $5.0 million and $5.0 million, respectively, in aggregate principal amount of the Additional Notes (as defined below), all of which remain outstanding. For additional information, see “Equity Issuances and Debt Capital Activities - 6.50% Convertible Notes due 2029” below and “Note 10—Debt Capital Activities” to our Condensed Consolidated Financial Statements as of June 30, 2025.</w:t>
      </w:r>
    </w:p>
    <w:p>
      <w:pPr>
        <w:spacing w:after="0" w:line="165" w:lineRule="exact"/>
        <w:rPr>
          <w:sz w:val="20"/>
          <w:szCs w:val="20"/>
          <w:color w:val="auto"/>
        </w:rPr>
      </w:pPr>
    </w:p>
    <w:p>
      <w:pPr>
        <w:jc w:val="both"/>
        <w:ind w:left="3" w:firstLine="289"/>
        <w:spacing w:after="0" w:line="284" w:lineRule="auto"/>
        <w:rPr>
          <w:sz w:val="20"/>
          <w:szCs w:val="20"/>
          <w:color w:val="auto"/>
        </w:rPr>
      </w:pPr>
      <w:r>
        <w:rPr>
          <w:rFonts w:ascii="Times New Roman" w:cs="Times New Roman" w:eastAsia="Times New Roman" w:hAnsi="Times New Roman"/>
          <w:sz w:val="16"/>
          <w:szCs w:val="16"/>
          <w:color w:val="auto"/>
        </w:rPr>
        <w:t>Our primary uses of cash are to make investments, pay our operating expenses, and make distributions to our stockholders. For the six months ended June 30, 2025 and 2024, our operating expenses, including interest payments on our debt obligations, were $8,050,327 and $9,433,971, respectively.</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Reserves and Liquid Securities</w:t>
            </w:r>
          </w:p>
        </w:tc>
        <w:tc>
          <w:tcPr>
            <w:tcW w:w="30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5"/>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49,852,801</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20,035,640</w:t>
            </w:r>
          </w:p>
        </w:tc>
        <w:tc>
          <w:tcPr>
            <w:tcW w:w="120" w:type="dxa"/>
            <w:vAlign w:val="bottom"/>
            <w:tcBorders>
              <w:top w:val="single" w:sz="8" w:color="CCEEFF"/>
            </w:tcBorders>
            <w:shd w:val="clear" w:color="auto" w:fill="CCEEFF"/>
          </w:tcPr>
          <w:p>
            <w:pPr>
              <w:spacing w:after="0"/>
              <w:rPr>
                <w:sz w:val="16"/>
                <w:szCs w:val="16"/>
                <w:color w:val="auto"/>
              </w:rPr>
            </w:pPr>
          </w:p>
        </w:tc>
      </w:tr>
      <w:tr>
        <w:trPr>
          <w:trHeight w:val="229"/>
        </w:trPr>
        <w:tc>
          <w:tcPr>
            <w:tcW w:w="698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Restricted cash</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38,741</w:t>
            </w:r>
          </w:p>
        </w:tc>
        <w:tc>
          <w:tcPr>
            <w:tcW w:w="1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9"/>
        </w:trPr>
        <w:tc>
          <w:tcPr>
            <w:tcW w:w="698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3,563,407</w:t>
            </w:r>
          </w:p>
        </w:tc>
      </w:tr>
      <w:tr>
        <w:trPr>
          <w:trHeight w:val="241"/>
        </w:trPr>
        <w:tc>
          <w:tcPr>
            <w:tcW w:w="6980" w:type="dxa"/>
            <w:vAlign w:val="bottom"/>
            <w:gridSpan w:val="2"/>
            <w:shd w:val="clear" w:color="auto" w:fill="CCEEFF"/>
          </w:tcPr>
          <w:p>
            <w:pPr>
              <w:ind w:left="160"/>
              <w:spacing w:after="0" w:line="241"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6"/>
                <w:szCs w:val="26"/>
                <w:color w:val="auto"/>
                <w:vertAlign w:val="superscript"/>
              </w:rPr>
              <w:t>(3)</w:t>
            </w:r>
          </w:p>
        </w:tc>
        <w:tc>
          <w:tcPr>
            <w:tcW w:w="3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14,027,713</w:t>
            </w:r>
          </w:p>
        </w:tc>
      </w:tr>
      <w:tr>
        <w:trPr>
          <w:trHeight w:val="185"/>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3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2,504,058</w:t>
            </w:r>
          </w:p>
        </w:tc>
        <w:tc>
          <w:tcPr>
            <w:tcW w:w="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17,591,120</w:t>
            </w:r>
          </w:p>
        </w:tc>
        <w:tc>
          <w:tcPr>
            <w:tcW w:w="120" w:type="dxa"/>
            <w:vAlign w:val="bottom"/>
            <w:tcBorders>
              <w:bottom w:val="single" w:sz="8" w:color="CCEEFF"/>
            </w:tcBorders>
          </w:tcPr>
          <w:p>
            <w:pPr>
              <w:spacing w:after="0"/>
              <w:rPr>
                <w:sz w:val="16"/>
                <w:szCs w:val="16"/>
                <w:color w:val="auto"/>
              </w:rPr>
            </w:pPr>
          </w:p>
        </w:tc>
      </w:tr>
      <w:tr>
        <w:trPr>
          <w:trHeight w:val="197"/>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52,395,600</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37,626,760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ind w:left="443" w:right="20" w:hanging="443"/>
        <w:spacing w:after="0" w:line="262"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consists of amounts that are held in a separate account and are subject to specific contractual restrictions that limit their availability for general corporate use.</w:t>
      </w:r>
    </w:p>
    <w:p>
      <w:pPr>
        <w:ind w:left="443" w:right="20" w:hanging="443"/>
        <w:spacing w:after="0" w:line="251"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and warrants of our publicly traded portfolio companies that are not currently subject to any restrictions upon sale. We may incur losses.</w:t>
      </w:r>
    </w:p>
    <w:p>
      <w:pPr>
        <w:spacing w:after="0" w:line="1" w:lineRule="exact"/>
        <w:rPr>
          <w:rFonts w:ascii="Times New Roman" w:cs="Times New Roman" w:eastAsia="Times New Roman" w:hAnsi="Times New Roman"/>
          <w:sz w:val="16"/>
          <w:szCs w:val="16"/>
          <w:color w:val="auto"/>
        </w:rPr>
      </w:pPr>
    </w:p>
    <w:p>
      <w:pPr>
        <w:ind w:left="443" w:right="20" w:hanging="443"/>
        <w:spacing w:after="0" w:line="263"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publicly traded portfolio companies “subject to other sales restrictions” represents common stock of our publicly traded portfolio companies that are currently subject to certain lock-up restrictions.</w:t>
      </w:r>
    </w:p>
    <w:p>
      <w:pPr>
        <w:spacing w:after="0" w:line="160"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During the six months ended June 30, 2025, cash increased to $49,891,542 from $20,035,640 at the beginning of the year. The increase in cash was primarily due to the sale of public securities. The increase was offset by payment of our operating expenses and payment of interest on the 6.00% Notes due 2026 and 6.50% Convertible Notes due 2029.</w:t>
      </w:r>
    </w:p>
    <w:p>
      <w:pPr>
        <w:spacing w:after="0" w:line="156" w:lineRule="exact"/>
        <w:rPr>
          <w:sz w:val="20"/>
          <w:szCs w:val="20"/>
          <w:color w:val="auto"/>
        </w:rPr>
      </w:pPr>
    </w:p>
    <w:p>
      <w:pPr>
        <w:jc w:val="both"/>
        <w:ind w:left="3" w:right="20" w:firstLine="289"/>
        <w:spacing w:after="0" w:line="284" w:lineRule="auto"/>
        <w:rPr>
          <w:sz w:val="20"/>
          <w:szCs w:val="20"/>
          <w:color w:val="auto"/>
        </w:rPr>
      </w:pPr>
      <w:r>
        <w:rPr>
          <w:rFonts w:ascii="Times New Roman" w:cs="Times New Roman" w:eastAsia="Times New Roman" w:hAnsi="Times New Roman"/>
          <w:sz w:val="16"/>
          <w:szCs w:val="16"/>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0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 summary of our significant contractual payment obligations as of June 30, 2025 is as follows:</w:t>
      </w:r>
    </w:p>
    <w:p>
      <w:pPr>
        <w:spacing w:after="0" w:line="210" w:lineRule="exact"/>
        <w:rPr>
          <w:sz w:val="20"/>
          <w:szCs w:val="20"/>
          <w:color w:val="auto"/>
        </w:rPr>
      </w:pPr>
    </w:p>
    <w:tbl>
      <w:tblPr>
        <w:tblLayout w:type="fixed"/>
        <w:tblInd w:w="3"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9"/>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 xml:space="preserve">Payments Due By Period </w:t>
            </w:r>
            <w:r>
              <w:rPr>
                <w:rFonts w:ascii="Times New Roman" w:cs="Times New Roman" w:eastAsia="Times New Roman" w:hAnsi="Times New Roman"/>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3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6.00% Notes due 2026</w:t>
            </w:r>
            <w:r>
              <w:rPr>
                <w:rFonts w:ascii="Times New Roman" w:cs="Times New Roman" w:eastAsia="Times New Roman" w:hAnsi="Times New Roman"/>
                <w:sz w:val="24"/>
                <w:szCs w:val="24"/>
                <w:color w:val="auto"/>
                <w:vertAlign w:val="superscript"/>
              </w:rPr>
              <w:t>(1)</w:t>
            </w:r>
          </w:p>
        </w:tc>
        <w:tc>
          <w:tcPr>
            <w:tcW w:w="78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39.7</w:t>
            </w:r>
          </w:p>
        </w:tc>
        <w:tc>
          <w:tcPr>
            <w:tcW w:w="90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1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6.50% Convertible Notes due 2029</w:t>
            </w:r>
            <w:r>
              <w:rPr>
                <w:rFonts w:ascii="Times New Roman" w:cs="Times New Roman" w:eastAsia="Times New Roman" w:hAnsi="Times New Roman"/>
                <w:sz w:val="26"/>
                <w:szCs w:val="26"/>
                <w:color w:val="auto"/>
                <w:vertAlign w:val="superscript"/>
              </w:rPr>
              <w:t>(2)</w:t>
            </w:r>
          </w:p>
        </w:tc>
        <w:tc>
          <w:tcPr>
            <w:tcW w:w="780" w:type="dxa"/>
            <w:vAlign w:val="bottom"/>
          </w:tcPr>
          <w:p>
            <w:pPr>
              <w:spacing w:after="0"/>
              <w:rPr>
                <w:sz w:val="19"/>
                <w:szCs w:val="19"/>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35.0</w:t>
            </w:r>
          </w:p>
        </w:tc>
        <w:tc>
          <w:tcPr>
            <w:tcW w:w="900" w:type="dxa"/>
            <w:vAlign w:val="bottom"/>
          </w:tcPr>
          <w:p>
            <w:pPr>
              <w:spacing w:after="0"/>
              <w:rPr>
                <w:sz w:val="19"/>
                <w:szCs w:val="19"/>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7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0.4</w:t>
            </w:r>
          </w:p>
        </w:tc>
        <w:tc>
          <w:tcPr>
            <w:tcW w:w="9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0.1</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360" w:type="dxa"/>
            <w:vAlign w:val="bottom"/>
          </w:tcPr>
          <w:p>
            <w:pPr>
              <w:spacing w:after="0"/>
              <w:rPr>
                <w:sz w:val="17"/>
                <w:szCs w:val="17"/>
                <w:color w:val="auto"/>
              </w:rPr>
            </w:pPr>
          </w:p>
        </w:tc>
        <w:tc>
          <w:tcPr>
            <w:tcW w:w="900" w:type="dxa"/>
            <w:vAlign w:val="bottom"/>
            <w:tcBorders>
              <w:top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3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3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93" w:lineRule="exact"/>
        <w:rPr>
          <w:sz w:val="20"/>
          <w:szCs w:val="20"/>
          <w:color w:val="auto"/>
        </w:rPr>
      </w:pPr>
    </w:p>
    <w:p>
      <w:pPr>
        <w:ind w:left="443" w:right="20" w:hanging="443"/>
        <w:spacing w:after="0" w:line="262" w:lineRule="auto"/>
        <w:tabs>
          <w:tab w:leader="none" w:pos="44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for the 6.00% Notes due 2026 as of June 30, 2025. Refer to “Note 10—Debt Capital Activities” in our Condensed Consolidated Financial Statements as of June 30, 2025 for more information.</w:t>
      </w:r>
    </w:p>
    <w:p>
      <w:pPr>
        <w:ind w:left="443" w:right="20" w:hanging="443"/>
        <w:spacing w:after="0" w:line="263" w:lineRule="auto"/>
        <w:tabs>
          <w:tab w:leader="none" w:pos="44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for the 6.50% Convertible Notes due 2029 as of June 30, 2025. Refer to “Note 10—Debt Capital Activities” in our Condensed Consolidated Financial Statements as of June 30, 2025 for more information.</w:t>
      </w:r>
    </w:p>
    <w:p>
      <w:pPr>
        <w:spacing w:after="0" w:line="1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69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6"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During the three and six months ended June 30, 2025 and 2024, we did not repurchase any shares of our common stock under the discretionary open-market Share Repurchase Program. As of June 30, 2025, the dollar value of shares that remained available to be purchased under the Share Repurchase Program is approximately $25.0 million. Currently, the Share Repurchase Program is authorized until the earlier of (i) October 31, 2025 or (ii) the repurchase of $64.3 million in aggregate amount of our common stock.</w:t>
      </w:r>
    </w:p>
    <w:p>
      <w:pPr>
        <w:spacing w:after="0" w:line="162"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June 30, 2025 and December 31, 2024, we had no off-balance sheet arrangements, including any risk management of commodity pricing or other hedging practices.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However, we may employ hedging and other risk management techniques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Issuances and Debt Capital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At-the-Market Offering</w:t>
      </w:r>
    </w:p>
    <w:p>
      <w:pPr>
        <w:spacing w:after="0" w:line="204"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spacing w:after="0" w:line="161"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During the six months ended June 30, 2025 and 2024, we did not issue or sell Shares under the ATM Program. As of June 30, 2025 and June 30, 2024, up to approximately $98.8 million in aggregate amount of the Shares remain available for sale under the ATM Program.</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Refer to “Note 5—Common Stock” to our Condensed Consolidated Financial Statements as of June 30, 2025 for more information regarding the ATM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6.00% Notes due 2026 - Note Repurchase Program</w:t>
      </w:r>
    </w:p>
    <w:p>
      <w:pPr>
        <w:spacing w:after="0" w:line="204" w:lineRule="exact"/>
        <w:rPr>
          <w:sz w:val="20"/>
          <w:szCs w:val="20"/>
          <w:color w:val="auto"/>
        </w:rPr>
      </w:pPr>
    </w:p>
    <w:p>
      <w:pPr>
        <w:jc w:val="both"/>
        <w:ind w:right="20" w:firstLine="289"/>
        <w:spacing w:after="0" w:line="258" w:lineRule="auto"/>
        <w:rPr>
          <w:sz w:val="20"/>
          <w:szCs w:val="20"/>
          <w:color w:val="auto"/>
        </w:rPr>
      </w:pPr>
      <w:r>
        <w:rPr>
          <w:rFonts w:ascii="Times New Roman" w:cs="Times New Roman" w:eastAsia="Times New Roman" w:hAnsi="Times New Roman"/>
          <w:sz w:val="16"/>
          <w:szCs w:val="16"/>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On August 6, 2024, our Board of Directors approved a discretionary note repurchase program (the “Note Repurchase Program”) which allows us to repurchase up to $35.0 million of our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During the three and six months ended June 30, 2025, the Company repurchased and retired $0 and $5.0 million, respectively, of aggregate principal amount of the 6.00% Notes due 2026, resulting in the total use of the authorized amount under the Note Repurchase Program.</w:t>
      </w:r>
    </w:p>
    <w:p>
      <w:pPr>
        <w:spacing w:after="0" w:line="161"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Refer to “Note 10—Debt Capital Activities” to our Condensed Consolidated Financial Statements as of June 30, 2025 for more information regarding the 6.00% Notes due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6.50% Convertible Notes due 2029</w:t>
      </w:r>
    </w:p>
    <w:p>
      <w:pPr>
        <w:spacing w:after="0" w:line="204"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and on January 16, 2025, we issued an additional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spacing w:after="0" w:line="168"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44"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Refer to “—Recent Developments” and “Note 10—Debt Capital Activities” to our Condensed Consolidated Financial Statements as of June 30, 2025 for more information regarding the 6.50% Convertible Notes due 2029.</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6" w:name="page57"/>
    <w:bookmarkEnd w:id="5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206" w:lineRule="exact"/>
        <w:rPr>
          <w:sz w:val="20"/>
          <w:szCs w:val="20"/>
          <w:color w:val="auto"/>
        </w:rPr>
      </w:pPr>
    </w:p>
    <w:p>
      <w:pPr>
        <w:jc w:val="both"/>
        <w:ind w:left="3" w:right="20" w:firstLine="289"/>
        <w:spacing w:after="0" w:line="268"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2025. The table is divided by fiscal year according to record date:</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60" w:type="dxa"/>
            <w:vAlign w:val="bottom"/>
          </w:tcPr>
          <w:p>
            <w:pPr>
              <w:spacing w:after="0"/>
              <w:rPr>
                <w:sz w:val="18"/>
                <w:szCs w:val="18"/>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 per Share</w:t>
            </w:r>
          </w:p>
        </w:tc>
      </w:tr>
      <w:tr>
        <w:trPr>
          <w:trHeight w:val="185"/>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2015:</w:t>
            </w:r>
          </w:p>
        </w:tc>
        <w:tc>
          <w:tcPr>
            <w:tcW w:w="2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6"/>
                <w:szCs w:val="26"/>
                <w:color w:val="auto"/>
                <w:vertAlign w:val="superscript"/>
              </w:rPr>
              <w:t>(1)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16, 2015</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2015</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r>
      <w:tr>
        <w:trPr>
          <w:trHeight w:val="19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6"/>
                <w:szCs w:val="26"/>
                <w:color w:val="auto"/>
                <w:vertAlign w:val="superscript"/>
              </w:rPr>
              <w:t>(2)</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August 16, 2016</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August 24, 2016</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r>
      <w:tr>
        <w:trPr>
          <w:trHeight w:val="19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November 5, 2019</w:t>
            </w:r>
            <w:r>
              <w:rPr>
                <w:rFonts w:ascii="Times New Roman" w:cs="Times New Roman" w:eastAsia="Times New Roman" w:hAnsi="Times New Roman"/>
                <w:sz w:val="26"/>
                <w:szCs w:val="26"/>
                <w:color w:val="auto"/>
                <w:vertAlign w:val="superscript"/>
              </w:rPr>
              <w:t>(3)</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December 2, 2019</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 12, 2019</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December 20, 2019</w:t>
            </w:r>
            <w:r>
              <w:rPr>
                <w:rFonts w:ascii="Times New Roman" w:cs="Times New Roman" w:eastAsia="Times New Roman" w:hAnsi="Times New Roman"/>
                <w:sz w:val="26"/>
                <w:szCs w:val="26"/>
                <w:color w:val="auto"/>
                <w:vertAlign w:val="superscript"/>
              </w:rPr>
              <w:t>(4)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2019</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15, 2020</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r>
      <w:tr>
        <w:trPr>
          <w:trHeight w:val="19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July 29, 2020</w:t>
            </w:r>
            <w:r>
              <w:rPr>
                <w:rFonts w:ascii="Times New Roman" w:cs="Times New Roman" w:eastAsia="Times New Roman" w:hAnsi="Times New Roman"/>
                <w:sz w:val="26"/>
                <w:szCs w:val="26"/>
                <w:color w:val="auto"/>
                <w:vertAlign w:val="superscript"/>
              </w:rPr>
              <w:t>(5)</w:t>
            </w:r>
          </w:p>
        </w:tc>
        <w:tc>
          <w:tcPr>
            <w:tcW w:w="2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August 11, 2020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August 25, 2020</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September 28, 2020</w:t>
            </w:r>
            <w:r>
              <w:rPr>
                <w:rFonts w:ascii="Times New Roman" w:cs="Times New Roman" w:eastAsia="Times New Roman" w:hAnsi="Times New Roman"/>
                <w:sz w:val="26"/>
                <w:szCs w:val="26"/>
                <w:color w:val="auto"/>
                <w:vertAlign w:val="superscript"/>
              </w:rPr>
              <w:t>(6)</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5, 2020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20, 2020</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October 28, 2020</w:t>
            </w:r>
            <w:r>
              <w:rPr>
                <w:rFonts w:ascii="Times New Roman" w:cs="Times New Roman" w:eastAsia="Times New Roman" w:hAnsi="Times New Roman"/>
                <w:sz w:val="26"/>
                <w:szCs w:val="26"/>
                <w:color w:val="auto"/>
                <w:vertAlign w:val="superscript"/>
              </w:rPr>
              <w:t>(7)</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10, 2020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30, 2020</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December 16, 2020</w:t>
            </w:r>
            <w:r>
              <w:rPr>
                <w:rFonts w:ascii="Times New Roman" w:cs="Times New Roman" w:eastAsia="Times New Roman" w:hAnsi="Times New Roman"/>
                <w:sz w:val="26"/>
                <w:szCs w:val="26"/>
                <w:color w:val="auto"/>
                <w:vertAlign w:val="superscript"/>
              </w:rPr>
              <w:t>(8)</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30, 2020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15, 2021</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9"/>
                <w:szCs w:val="19"/>
                <w:color w:val="auto"/>
              </w:rPr>
            </w:pPr>
          </w:p>
        </w:tc>
      </w:tr>
      <w:tr>
        <w:trPr>
          <w:trHeight w:val="19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January 26, 2021</w:t>
            </w:r>
            <w:r>
              <w:rPr>
                <w:rFonts w:ascii="Times New Roman" w:cs="Times New Roman" w:eastAsia="Times New Roman" w:hAnsi="Times New Roman"/>
                <w:sz w:val="26"/>
                <w:szCs w:val="26"/>
                <w:color w:val="auto"/>
                <w:vertAlign w:val="superscript"/>
              </w:rPr>
              <w:t>(9)</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February 5, 2021</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February 19, 2021</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March 8, 2021</w:t>
            </w:r>
            <w:r>
              <w:rPr>
                <w:rFonts w:ascii="Times New Roman" w:cs="Times New Roman" w:eastAsia="Times New Roman" w:hAnsi="Times New Roman"/>
                <w:sz w:val="26"/>
                <w:szCs w:val="26"/>
                <w:color w:val="auto"/>
                <w:vertAlign w:val="superscript"/>
              </w:rPr>
              <w:t>(10)</w:t>
            </w:r>
          </w:p>
        </w:tc>
        <w:tc>
          <w:tcPr>
            <w:tcW w:w="2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March 30, 2021</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April 15, 2021</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May 4, 2021</w:t>
            </w:r>
            <w:r>
              <w:rPr>
                <w:rFonts w:ascii="Times New Roman" w:cs="Times New Roman" w:eastAsia="Times New Roman" w:hAnsi="Times New Roman"/>
                <w:sz w:val="26"/>
                <w:szCs w:val="26"/>
                <w:color w:val="auto"/>
                <w:vertAlign w:val="superscript"/>
              </w:rPr>
              <w:t>(11)</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May 18, 2021</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August 3, 2021</w:t>
            </w:r>
            <w:r>
              <w:rPr>
                <w:rFonts w:ascii="Times New Roman" w:cs="Times New Roman" w:eastAsia="Times New Roman" w:hAnsi="Times New Roman"/>
                <w:sz w:val="26"/>
                <w:szCs w:val="26"/>
                <w:color w:val="auto"/>
                <w:vertAlign w:val="superscript"/>
              </w:rPr>
              <w:t>(12)</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August 18, 2021</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September 30, 2021</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r>
      <w:tr>
        <w:trPr>
          <w:trHeight w:val="229"/>
        </w:trPr>
        <w:tc>
          <w:tcPr>
            <w:tcW w:w="450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16"/>
                <w:szCs w:val="16"/>
                <w:color w:val="auto"/>
              </w:rPr>
              <w:t>November 2, 2021</w:t>
            </w:r>
            <w:r>
              <w:rPr>
                <w:rFonts w:ascii="Times New Roman" w:cs="Times New Roman" w:eastAsia="Times New Roman" w:hAnsi="Times New Roman"/>
                <w:sz w:val="26"/>
                <w:szCs w:val="26"/>
                <w:color w:val="auto"/>
                <w:vertAlign w:val="superscript"/>
              </w:rPr>
              <w:t>(13)</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17, 2021</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 30, 2021</w:t>
            </w:r>
          </w:p>
        </w:tc>
        <w:tc>
          <w:tcPr>
            <w:tcW w:w="2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December 20, 2021</w:t>
            </w:r>
            <w:r>
              <w:rPr>
                <w:rFonts w:ascii="Times New Roman" w:cs="Times New Roman" w:eastAsia="Times New Roman" w:hAnsi="Times New Roman"/>
                <w:sz w:val="26"/>
                <w:szCs w:val="26"/>
                <w:color w:val="auto"/>
                <w:vertAlign w:val="superscript"/>
              </w:rPr>
              <w:t>(14)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2021</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14, 2022</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19"/>
                <w:szCs w:val="19"/>
                <w:color w:val="auto"/>
              </w:rPr>
            </w:pPr>
          </w:p>
        </w:tc>
      </w:tr>
      <w:tr>
        <w:trPr>
          <w:trHeight w:val="19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4500" w:type="dxa"/>
            <w:vAlign w:val="bottom"/>
            <w:gridSpan w:val="2"/>
            <w:shd w:val="clear" w:color="auto" w:fill="CCEEFF"/>
          </w:tcPr>
          <w:p>
            <w:pPr>
              <w:ind w:left="160"/>
              <w:spacing w:after="0" w:line="241" w:lineRule="exact"/>
              <w:rPr>
                <w:sz w:val="20"/>
                <w:szCs w:val="20"/>
                <w:color w:val="auto"/>
              </w:rPr>
            </w:pPr>
            <w:r>
              <w:rPr>
                <w:rFonts w:ascii="Times New Roman" w:cs="Times New Roman" w:eastAsia="Times New Roman" w:hAnsi="Times New Roman"/>
                <w:sz w:val="16"/>
                <w:szCs w:val="16"/>
                <w:color w:val="auto"/>
              </w:rPr>
              <w:t>March 8, 2022</w:t>
            </w:r>
            <w:r>
              <w:rPr>
                <w:rFonts w:ascii="Times New Roman" w:cs="Times New Roman" w:eastAsia="Times New Roman" w:hAnsi="Times New Roman"/>
                <w:sz w:val="26"/>
                <w:szCs w:val="26"/>
                <w:color w:val="auto"/>
                <w:vertAlign w:val="superscript"/>
              </w:rPr>
              <w:t>(15)</w:t>
            </w:r>
          </w:p>
        </w:tc>
        <w:tc>
          <w:tcPr>
            <w:tcW w:w="2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March 25, 2022</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April 15, 2022</w:t>
            </w: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20"/>
                <w:szCs w:val="20"/>
                <w:color w:val="auto"/>
              </w:rPr>
            </w:pPr>
          </w:p>
        </w:tc>
      </w:tr>
      <w:tr>
        <w:trPr>
          <w:trHeight w:val="197"/>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283" w:hanging="283"/>
        <w:spacing w:after="0" w:line="256" w:lineRule="auto"/>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18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57" w:name="page58"/>
    <w:bookmarkEnd w:id="5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left="283" w:hanging="283"/>
        <w:spacing w:after="0" w:line="256" w:lineRule="auto"/>
        <w:tabs>
          <w:tab w:leader="none" w:pos="2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283" w:hanging="283"/>
        <w:spacing w:after="0" w:line="251" w:lineRule="auto"/>
        <w:tabs>
          <w:tab w:leader="none" w:pos="2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6"/>
          <w:szCs w:val="16"/>
          <w:color w:val="auto"/>
        </w:rPr>
      </w:pPr>
    </w:p>
    <w:p>
      <w:pPr>
        <w:jc w:val="both"/>
        <w:ind w:left="283" w:hanging="283"/>
        <w:spacing w:after="0" w:line="251" w:lineRule="auto"/>
        <w:tabs>
          <w:tab w:leader="none" w:pos="2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186" w:lineRule="exact"/>
        <w:rPr>
          <w:sz w:val="20"/>
          <w:szCs w:val="20"/>
          <w:color w:val="auto"/>
        </w:rPr>
      </w:pPr>
    </w:p>
    <w:p>
      <w:pPr>
        <w:jc w:val="both"/>
        <w:ind w:left="3" w:firstLine="326"/>
        <w:spacing w:after="0" w:line="262" w:lineRule="auto"/>
        <w:rPr>
          <w:sz w:val="20"/>
          <w:szCs w:val="20"/>
          <w:color w:val="auto"/>
        </w:rPr>
      </w:pPr>
      <w:r>
        <w:rPr>
          <w:rFonts w:ascii="Times New Roman" w:cs="Times New Roman" w:eastAsia="Times New Roman" w:hAnsi="Times New Roman"/>
          <w:sz w:val="16"/>
          <w:szCs w:val="16"/>
          <w:color w:val="auto"/>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62" w:lineRule="exact"/>
        <w:rPr>
          <w:sz w:val="20"/>
          <w:szCs w:val="20"/>
          <w:color w:val="auto"/>
        </w:rPr>
      </w:pPr>
    </w:p>
    <w:p>
      <w:pPr>
        <w:jc w:val="both"/>
        <w:ind w:left="3" w:firstLine="326"/>
        <w:spacing w:after="0" w:line="256" w:lineRule="auto"/>
        <w:rPr>
          <w:sz w:val="20"/>
          <w:szCs w:val="20"/>
          <w:color w:val="auto"/>
        </w:rPr>
      </w:pPr>
      <w:r>
        <w:rPr>
          <w:rFonts w:ascii="Times New Roman" w:cs="Times New Roman" w:eastAsia="Times New Roman" w:hAnsi="Times New Roman"/>
          <w:sz w:val="16"/>
          <w:szCs w:val="16"/>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67" w:lineRule="exact"/>
        <w:rPr>
          <w:sz w:val="20"/>
          <w:szCs w:val="20"/>
          <w:color w:val="auto"/>
        </w:rPr>
      </w:pPr>
    </w:p>
    <w:p>
      <w:pPr>
        <w:jc w:val="both"/>
        <w:ind w:left="3" w:right="20" w:firstLine="326"/>
        <w:spacing w:after="0" w:line="257" w:lineRule="auto"/>
        <w:rPr>
          <w:sz w:val="20"/>
          <w:szCs w:val="20"/>
          <w:color w:val="auto"/>
        </w:rPr>
      </w:pPr>
      <w:r>
        <w:rPr>
          <w:rFonts w:ascii="Times New Roman" w:cs="Times New Roman" w:eastAsia="Times New Roman" w:hAnsi="Times New Roman"/>
          <w:sz w:val="16"/>
          <w:szCs w:val="16"/>
          <w:color w:val="auto"/>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9—Income Taxes” to our Consolidated Financial Statements as of June 30, 2025 for more information. The Taxable Subsidiaries included in our Consolidated Financial 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Critical Accounting Estimates and Policies</w:t>
      </w:r>
    </w:p>
    <w:p>
      <w:pPr>
        <w:spacing w:after="0" w:line="204" w:lineRule="exact"/>
        <w:rPr>
          <w:sz w:val="20"/>
          <w:szCs w:val="20"/>
          <w:color w:val="auto"/>
        </w:rPr>
      </w:pPr>
    </w:p>
    <w:p>
      <w:pPr>
        <w:jc w:val="both"/>
        <w:ind w:left="3" w:firstLine="289"/>
        <w:spacing w:after="0" w:line="257" w:lineRule="auto"/>
        <w:rPr>
          <w:sz w:val="20"/>
          <w:szCs w:val="20"/>
          <w:color w:val="auto"/>
        </w:rPr>
      </w:pPr>
      <w:r>
        <w:rPr>
          <w:rFonts w:ascii="Times New Roman" w:cs="Times New Roman" w:eastAsia="Times New Roman" w:hAnsi="Times New Roman"/>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2025 for further detail regarding our critical accounting policies and recently issued or adopted accounting pronouncements.</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692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Related-Party Transactions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“Note 3—Related-Party Arrangements” to our Condensed Consolidated Financial Statements as of June 30, 2025 for more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Activity</w:t>
      </w:r>
    </w:p>
    <w:p>
      <w:pPr>
        <w:spacing w:after="0" w:line="206"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Please refer to “Note 12—Subsequent Events” to our Condensed Consolidated Financial Statements as of June 30, 2025 for details regarding activity in our investment portfolio from July 1, 2025 through August 6, 2025.</w:t>
      </w:r>
    </w:p>
    <w:p>
      <w:pPr>
        <w:spacing w:after="0" w:line="144"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06" w:lineRule="exact"/>
        <w:rPr>
          <w:sz w:val="20"/>
          <w:szCs w:val="20"/>
          <w:color w:val="auto"/>
        </w:rPr>
      </w:pPr>
    </w:p>
    <w:p>
      <w:pPr>
        <w:jc w:val="both"/>
        <w:ind w:right="20" w:firstLine="289"/>
        <w:spacing w:after="0" w:line="284" w:lineRule="auto"/>
        <w:rPr>
          <w:sz w:val="20"/>
          <w:szCs w:val="20"/>
          <w:color w:val="auto"/>
        </w:rPr>
      </w:pPr>
      <w:r>
        <w:rPr>
          <w:rFonts w:ascii="Times New Roman" w:cs="Times New Roman" w:eastAsia="Times New Roman" w:hAnsi="Times New Roman"/>
          <w:sz w:val="16"/>
          <w:szCs w:val="16"/>
          <w:color w:val="auto"/>
        </w:rPr>
        <w:t>On July 3, 2025, our Board of Directors declared a dividend of $0.25 per share payable on July 31, 2025 to our common stockholders of record as of the close of business on July 21, 2025. The dividend will be paid in cash.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Adjustment to Conversion Rate of 6.50% Convertible Notes due 2029</w:t>
      </w:r>
    </w:p>
    <w:p>
      <w:pPr>
        <w:spacing w:after="0" w:line="206" w:lineRule="exact"/>
        <w:rPr>
          <w:sz w:val="20"/>
          <w:szCs w:val="20"/>
          <w:color w:val="auto"/>
        </w:rPr>
      </w:pPr>
    </w:p>
    <w:p>
      <w:pPr>
        <w:jc w:val="both"/>
        <w:ind w:firstLine="289"/>
        <w:spacing w:after="0" w:line="260" w:lineRule="auto"/>
        <w:rPr>
          <w:sz w:val="20"/>
          <w:szCs w:val="20"/>
          <w:color w:val="auto"/>
        </w:rPr>
      </w:pPr>
      <w:r>
        <w:rPr>
          <w:rFonts w:ascii="Times New Roman" w:cs="Times New Roman" w:eastAsia="Times New Roman" w:hAnsi="Times New Roman"/>
          <w:sz w:val="16"/>
          <w:szCs w:val="16"/>
          <w:color w:val="auto"/>
        </w:rPr>
        <w:t>Effective as of July 21, 2025, the conversion rate applicable to the 6.50% Convertible Notes due 2029 was adjusted to $7.53 per share (132.7530 shares of our common stock per $1,000 principal amount of the 6.50% Convertible Notes due 2029) from the initial conversion price of $7.75 per share (129.0323 shares of our common stock per $1,000 principal amount of the 6.50% Convertible Notes due 2029), which had been effective since issuance. The adjustment to the conversion rate of the 6.50% Convertible Notes due 2029 was made pursuant to the Note Purchase Agreement governing the 6.50% Convertible Notes due 2029 as a result of our cash dividend of $0.25 per share, paid on July 31, 2025 to stockholders of record as of the close of business on July 21,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204" w:lineRule="exact"/>
        <w:rPr>
          <w:sz w:val="20"/>
          <w:szCs w:val="20"/>
          <w:color w:val="auto"/>
        </w:rPr>
      </w:pPr>
    </w:p>
    <w:p>
      <w:pPr>
        <w:jc w:val="both"/>
        <w:ind w:right="20" w:firstLine="289"/>
        <w:spacing w:after="0" w:line="260" w:lineRule="auto"/>
        <w:rPr>
          <w:sz w:val="20"/>
          <w:szCs w:val="20"/>
          <w:color w:val="auto"/>
        </w:rPr>
      </w:pPr>
      <w:r>
        <w:rPr>
          <w:rFonts w:ascii="Times New Roman" w:cs="Times New Roman" w:eastAsia="Times New Roman" w:hAnsi="Times New Roman"/>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Risk</w:t>
      </w:r>
    </w:p>
    <w:p>
      <w:pPr>
        <w:spacing w:after="0" w:line="204"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04"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June 30, 2025, all of our debt investments and outstanding borrowings bore fixed rates of interest.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4"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As of June 30, 2025,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4" w:lineRule="exact"/>
        <w:rPr>
          <w:sz w:val="20"/>
          <w:szCs w:val="20"/>
          <w:color w:val="auto"/>
        </w:rPr>
      </w:pPr>
    </w:p>
    <w:p>
      <w:pPr>
        <w:jc w:val="both"/>
        <w:ind w:firstLine="289"/>
        <w:spacing w:after="0" w:line="284"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04" w:lineRule="exact"/>
        <w:rPr>
          <w:sz w:val="20"/>
          <w:szCs w:val="20"/>
          <w:color w:val="auto"/>
        </w:rPr>
      </w:pPr>
    </w:p>
    <w:p>
      <w:pPr>
        <w:jc w:val="both"/>
        <w:ind w:left="3" w:right="20" w:firstLine="326"/>
        <w:spacing w:after="0" w:line="260" w:lineRule="auto"/>
        <w:rPr>
          <w:sz w:val="20"/>
          <w:szCs w:val="20"/>
          <w:color w:val="auto"/>
        </w:rPr>
      </w:pPr>
      <w:r>
        <w:rPr>
          <w:rFonts w:ascii="Times New Roman" w:cs="Times New Roman" w:eastAsia="Times New Roman" w:hAnsi="Times New Roman"/>
          <w:sz w:val="16"/>
          <w:szCs w:val="16"/>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4" w:lineRule="exact"/>
        <w:rPr>
          <w:sz w:val="20"/>
          <w:szCs w:val="20"/>
          <w:color w:val="auto"/>
        </w:rPr>
      </w:pPr>
    </w:p>
    <w:p>
      <w:pPr>
        <w:jc w:val="both"/>
        <w:ind w:left="3" w:firstLine="326"/>
        <w:spacing w:after="0" w:line="258"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2024, filed with the SEC on March 12, 2025, which could materially affect our business, financial condition and/or operating results. Although the risks described in our annual report on Form 10-K for the fiscal year ended December 31, 2024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2024.</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20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We did not sell any equity securities during the period covered in this report that were not registered under the Securities Act of 1933, as amended.</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r>
        <w:rPr>
          <w:rFonts w:ascii="Times New Roman" w:cs="Times New Roman" w:eastAsia="Times New Roman" w:hAnsi="Times New Roman"/>
          <w:sz w:val="26"/>
          <w:szCs w:val="26"/>
          <w:b w:val="1"/>
          <w:bCs w:val="1"/>
          <w:color w:val="auto"/>
          <w:vertAlign w:val="superscript"/>
        </w:rPr>
        <w:t>(1)</w:t>
      </w:r>
    </w:p>
    <w:p>
      <w:pPr>
        <w:spacing w:after="0" w:line="11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Information relating to our purchases of our common stock during the six months ended June 30, 2025 is as follows:</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Yet Be Purchased</w:t>
            </w:r>
          </w:p>
        </w:tc>
      </w:t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Under the Share</w:t>
            </w:r>
          </w:p>
        </w:tc>
      </w:tr>
      <w:tr>
        <w:trPr>
          <w:trHeight w:val="193"/>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r>
      <w:tr>
        <w:trPr>
          <w:trHeight w:val="21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4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Program</w:t>
            </w:r>
          </w:p>
        </w:tc>
      </w:tr>
      <w:tr>
        <w:trPr>
          <w:trHeight w:val="185"/>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through January 31, 2025</w:t>
            </w: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1 through February 28, 2025</w:t>
            </w:r>
          </w:p>
        </w:tc>
        <w:tc>
          <w:tcPr>
            <w:tcW w:w="1040" w:type="dxa"/>
            <w:vAlign w:val="bottom"/>
          </w:tcPr>
          <w:p>
            <w:pPr>
              <w:spacing w:after="0"/>
              <w:rPr>
                <w:sz w:val="16"/>
                <w:szCs w:val="16"/>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r>
      <w:tr>
        <w:trPr>
          <w:trHeight w:val="19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through March 31, 2025</w:t>
            </w:r>
          </w:p>
        </w:tc>
        <w:tc>
          <w:tcPr>
            <w:tcW w:w="10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r>
      <w:tr>
        <w:trPr>
          <w:trHeight w:val="19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 through April 30, 2025</w:t>
            </w:r>
          </w:p>
        </w:tc>
        <w:tc>
          <w:tcPr>
            <w:tcW w:w="1040" w:type="dxa"/>
            <w:vAlign w:val="bottom"/>
          </w:tcPr>
          <w:p>
            <w:pPr>
              <w:spacing w:after="0"/>
              <w:rPr>
                <w:sz w:val="16"/>
                <w:szCs w:val="16"/>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r>
      <w:tr>
        <w:trPr>
          <w:trHeight w:val="19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1 through May 31, 2025</w:t>
            </w:r>
          </w:p>
        </w:tc>
        <w:tc>
          <w:tcPr>
            <w:tcW w:w="10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r>
      <w:tr>
        <w:trPr>
          <w:trHeight w:val="205"/>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1 through June 30, 2025</w:t>
            </w:r>
          </w:p>
        </w:tc>
        <w:tc>
          <w:tcPr>
            <w:tcW w:w="1040" w:type="dxa"/>
            <w:vAlign w:val="bottom"/>
          </w:tcPr>
          <w:p>
            <w:pPr>
              <w:spacing w:after="0"/>
              <w:rPr>
                <w:sz w:val="17"/>
                <w:szCs w:val="17"/>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r>
      <w:tr>
        <w:trPr>
          <w:trHeight w:val="197"/>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498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181" w:lineRule="exact"/>
        <w:rPr>
          <w:sz w:val="20"/>
          <w:szCs w:val="20"/>
          <w:color w:val="auto"/>
        </w:rPr>
      </w:pPr>
    </w:p>
    <w:p>
      <w:pPr>
        <w:jc w:val="both"/>
        <w:ind w:left="583" w:hanging="583"/>
        <w:spacing w:after="0" w:line="257" w:lineRule="auto"/>
        <w:tabs>
          <w:tab w:leader="none" w:pos="58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9, 2024, our Board of Directors approved an extension of, and an increase in the amount of shares of our common stock that may be repurchased under, the Share Repurchase Program until the earlier of (i) October 31, 2025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2025, we did not repurchase shares of common stock under the Share Repurchase Program. As of June 30, 2025, the dollar value of shares that remained available to be purchased under the Share Repurchase Program was approximately $25.0 million. For more information on the Share Repurchase Program, see “Note 5 — Common Stock” to our Condensed Consolidated Financial Statements as of June 30, 2025.</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4" w:lineRule="exact"/>
        <w:rPr>
          <w:sz w:val="20"/>
          <w:szCs w:val="20"/>
          <w:color w:val="auto"/>
        </w:rPr>
      </w:pPr>
    </w:p>
    <w:p>
      <w:pPr>
        <w:ind w:left="500" w:hanging="214"/>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02" w:lineRule="exact"/>
        <w:rPr>
          <w:rFonts w:ascii="Times New Roman" w:cs="Times New Roman" w:eastAsia="Times New Roman" w:hAnsi="Times New Roman"/>
          <w:sz w:val="16"/>
          <w:szCs w:val="16"/>
          <w:color w:val="auto"/>
        </w:rPr>
      </w:pPr>
    </w:p>
    <w:p>
      <w:pPr>
        <w:ind w:left="520" w:hanging="234"/>
        <w:spacing w:after="0"/>
        <w:tabs>
          <w:tab w:leader="none" w:pos="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02" w:lineRule="exact"/>
        <w:rPr>
          <w:rFonts w:ascii="Times New Roman" w:cs="Times New Roman" w:eastAsia="Times New Roman" w:hAnsi="Times New Roman"/>
          <w:sz w:val="16"/>
          <w:szCs w:val="16"/>
          <w:color w:val="auto"/>
        </w:rPr>
      </w:pPr>
    </w:p>
    <w:p>
      <w:pPr>
        <w:jc w:val="both"/>
        <w:ind w:firstLine="286"/>
        <w:spacing w:after="0" w:line="268" w:lineRule="auto"/>
        <w:tabs>
          <w:tab w:leader="none" w:pos="51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56" w:lineRule="exact"/>
        <w:rPr>
          <w:sz w:val="20"/>
          <w:szCs w:val="20"/>
          <w:color w:val="auto"/>
        </w:rPr>
      </w:pPr>
    </w:p>
    <w:p>
      <w:pPr>
        <w:ind w:firstLine="289"/>
        <w:spacing w:after="0" w:line="284" w:lineRule="auto"/>
        <w:rPr>
          <w:sz w:val="20"/>
          <w:szCs w:val="20"/>
          <w:color w:val="auto"/>
        </w:rPr>
      </w:pPr>
      <w:r>
        <w:rPr>
          <w:rFonts w:ascii="Times New Roman" w:cs="Times New Roman" w:eastAsia="Times New Roman" w:hAnsi="Times New Roman"/>
          <w:sz w:val="16"/>
          <w:szCs w:val="16"/>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82" w:lineRule="exact"/>
        <w:rPr>
          <w:sz w:val="20"/>
          <w:szCs w:val="20"/>
          <w:color w:val="auto"/>
        </w:rPr>
      </w:pPr>
    </w:p>
    <w:tbl>
      <w:tblPr>
        <w:tblLayout w:type="fixed"/>
        <w:tblInd w:w="143" w:type="dxa"/>
        <w:tblCellMar>
          <w:top w:w="0" w:type="dxa"/>
          <w:left w:w="0" w:type="dxa"/>
          <w:bottom w:w="0" w:type="dxa"/>
          <w:right w:w="0" w:type="dxa"/>
        </w:tblCellMar>
      </w:tblPr>
      <w:tr>
        <w:trPr>
          <w:trHeight w:val="16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3.1</w:t>
            </w:r>
          </w:p>
        </w:tc>
        <w:tc>
          <w:tcPr>
            <w:tcW w:w="2620" w:type="dxa"/>
            <w:vAlign w:val="bottom"/>
            <w:gridSpan w:val="10"/>
            <w:vMerge w:val="restart"/>
          </w:tcPr>
          <w:p>
            <w:pPr>
              <w:spacing w:after="0"/>
              <w:rPr>
                <w:rFonts w:ascii="Times New Roman" w:cs="Times New Roman" w:eastAsia="Times New Roman" w:hAnsi="Times New Roman"/>
                <w:sz w:val="16"/>
                <w:szCs w:val="16"/>
                <w:color w:val="0000EE"/>
                <w:w w:val="99"/>
              </w:rPr>
            </w:pPr>
            <w:hyperlink r:id="rId120">
              <w:r>
                <w:rPr>
                  <w:rFonts w:ascii="Times New Roman" w:cs="Times New Roman" w:eastAsia="Times New Roman" w:hAnsi="Times New Roman"/>
                  <w:sz w:val="16"/>
                  <w:szCs w:val="16"/>
                  <w:color w:val="0000EE"/>
                  <w:w w:val="99"/>
                </w:rPr>
                <w:t>Articles of Amendment and Restatement</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92"/>
              </w:rPr>
              <w:t>(1)</w:t>
            </w:r>
          </w:p>
        </w:tc>
        <w:tc>
          <w:tcPr>
            <w:tcW w:w="19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5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0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8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7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40" w:type="dxa"/>
            <w:vAlign w:val="bottom"/>
            <w:vMerge w:val="continue"/>
          </w:tcPr>
          <w:p>
            <w:pPr>
              <w:spacing w:after="0"/>
              <w:rPr>
                <w:sz w:val="3"/>
                <w:szCs w:val="3"/>
                <w:color w:val="auto"/>
              </w:rPr>
            </w:pPr>
          </w:p>
        </w:tc>
        <w:tc>
          <w:tcPr>
            <w:tcW w:w="2620" w:type="dxa"/>
            <w:vAlign w:val="bottom"/>
            <w:tcBorders>
              <w:bottom w:val="single" w:sz="8" w:color="0000EE"/>
            </w:tcBorders>
            <w:gridSpan w:val="10"/>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3.2</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21">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7" w:lineRule="exact"/>
              <w:rPr>
                <w:rFonts w:ascii="Times New Roman" w:cs="Times New Roman" w:eastAsia="Times New Roman" w:hAnsi="Times New Roman"/>
                <w:sz w:val="13"/>
                <w:szCs w:val="13"/>
                <w:color w:val="0000EE"/>
                <w:w w:val="78"/>
              </w:rPr>
            </w:pPr>
            <w:hyperlink r:id="rId121">
              <w:r>
                <w:rPr>
                  <w:rFonts w:ascii="Times New Roman" w:cs="Times New Roman" w:eastAsia="Times New Roman" w:hAnsi="Times New Roman"/>
                  <w:sz w:val="13"/>
                  <w:szCs w:val="13"/>
                  <w:color w:val="0000EE"/>
                  <w:w w:val="78"/>
                </w:rPr>
                <w:t>(2)</w:t>
              </w:r>
            </w:hyperlink>
          </w:p>
        </w:tc>
        <w:tc>
          <w:tcPr>
            <w:tcW w:w="10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6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3.3</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22">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7" w:lineRule="exact"/>
              <w:rPr>
                <w:rFonts w:ascii="Times New Roman" w:cs="Times New Roman" w:eastAsia="Times New Roman" w:hAnsi="Times New Roman"/>
                <w:sz w:val="13"/>
                <w:szCs w:val="13"/>
                <w:color w:val="0000EE"/>
                <w:w w:val="78"/>
              </w:rPr>
            </w:pPr>
            <w:hyperlink r:id="rId122">
              <w:r>
                <w:rPr>
                  <w:rFonts w:ascii="Times New Roman" w:cs="Times New Roman" w:eastAsia="Times New Roman" w:hAnsi="Times New Roman"/>
                  <w:sz w:val="13"/>
                  <w:szCs w:val="13"/>
                  <w:color w:val="0000EE"/>
                  <w:w w:val="78"/>
                </w:rPr>
                <w:t>(3)</w:t>
              </w:r>
            </w:hyperlink>
          </w:p>
        </w:tc>
        <w:tc>
          <w:tcPr>
            <w:tcW w:w="10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6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3.4</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23">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7" w:lineRule="exact"/>
              <w:rPr>
                <w:rFonts w:ascii="Times New Roman" w:cs="Times New Roman" w:eastAsia="Times New Roman" w:hAnsi="Times New Roman"/>
                <w:sz w:val="13"/>
                <w:szCs w:val="13"/>
                <w:color w:val="0000EE"/>
                <w:w w:val="78"/>
              </w:rPr>
            </w:pPr>
            <w:hyperlink r:id="rId123">
              <w:r>
                <w:rPr>
                  <w:rFonts w:ascii="Times New Roman" w:cs="Times New Roman" w:eastAsia="Times New Roman" w:hAnsi="Times New Roman"/>
                  <w:sz w:val="13"/>
                  <w:szCs w:val="13"/>
                  <w:color w:val="0000EE"/>
                  <w:w w:val="78"/>
                </w:rPr>
                <w:t>(4)</w:t>
              </w:r>
            </w:hyperlink>
          </w:p>
        </w:tc>
        <w:tc>
          <w:tcPr>
            <w:tcW w:w="10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6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3.5</w:t>
            </w:r>
          </w:p>
        </w:tc>
        <w:tc>
          <w:tcPr>
            <w:tcW w:w="2520" w:type="dxa"/>
            <w:vAlign w:val="bottom"/>
            <w:gridSpan w:val="9"/>
            <w:vMerge w:val="restart"/>
          </w:tcPr>
          <w:p>
            <w:pPr>
              <w:spacing w:after="0"/>
              <w:rPr>
                <w:rFonts w:ascii="Times New Roman" w:cs="Times New Roman" w:eastAsia="Times New Roman" w:hAnsi="Times New Roman"/>
                <w:sz w:val="16"/>
                <w:szCs w:val="16"/>
                <w:color w:val="0000EE"/>
                <w:w w:val="99"/>
              </w:rPr>
            </w:pPr>
            <w:hyperlink r:id="rId124">
              <w:r>
                <w:rPr>
                  <w:rFonts w:ascii="Times New Roman" w:cs="Times New Roman" w:eastAsia="Times New Roman" w:hAnsi="Times New Roman"/>
                  <w:sz w:val="16"/>
                  <w:szCs w:val="16"/>
                  <w:color w:val="0000EE"/>
                  <w:w w:val="99"/>
                </w:rPr>
                <w:t>Second Amended and Restated Bylaws</w:t>
              </w:r>
            </w:hyperlink>
          </w:p>
        </w:tc>
        <w:tc>
          <w:tcPr>
            <w:tcW w:w="160" w:type="dxa"/>
            <w:vAlign w:val="bottom"/>
            <w:tcBorders>
              <w:bottom w:val="single" w:sz="8" w:color="0000EE"/>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0000EE"/>
                <w:w w:val="92"/>
              </w:rPr>
              <w:t>(4)</w:t>
            </w:r>
          </w:p>
        </w:tc>
        <w:tc>
          <w:tcPr>
            <w:tcW w:w="206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40" w:type="dxa"/>
            <w:vAlign w:val="bottom"/>
            <w:vMerge w:val="continue"/>
          </w:tcPr>
          <w:p>
            <w:pPr>
              <w:spacing w:after="0"/>
              <w:rPr>
                <w:sz w:val="3"/>
                <w:szCs w:val="3"/>
                <w:color w:val="auto"/>
              </w:rPr>
            </w:pPr>
          </w:p>
        </w:tc>
        <w:tc>
          <w:tcPr>
            <w:tcW w:w="2520" w:type="dxa"/>
            <w:vAlign w:val="bottom"/>
            <w:tcBorders>
              <w:bottom w:val="single" w:sz="8" w:color="0000EE"/>
            </w:tcBorders>
            <w:gridSpan w:val="9"/>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4.1</w:t>
            </w:r>
          </w:p>
        </w:tc>
        <w:tc>
          <w:tcPr>
            <w:tcW w:w="7540" w:type="dxa"/>
            <w:vAlign w:val="bottom"/>
            <w:gridSpan w:val="17"/>
            <w:vMerge w:val="restart"/>
          </w:tcPr>
          <w:p>
            <w:pPr>
              <w:spacing w:after="0"/>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Base Indenture, dated March 28, 2018, by and between the Registrant and U.S. Bank National Association, as trustee</w:t>
              </w:r>
            </w:hyperlink>
          </w:p>
        </w:tc>
        <w:tc>
          <w:tcPr>
            <w:tcW w:w="160" w:type="dxa"/>
            <w:vAlign w:val="bottom"/>
            <w:tcBorders>
              <w:bottom w:val="single" w:sz="8" w:color="0000EE"/>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0000EE"/>
                <w:w w:val="92"/>
              </w:rPr>
              <w:t>(5)</w:t>
            </w:r>
          </w:p>
        </w:tc>
        <w:tc>
          <w:tcPr>
            <w:tcW w:w="18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continue"/>
          </w:tcPr>
          <w:p>
            <w:pPr>
              <w:spacing w:after="0"/>
              <w:rPr>
                <w:sz w:val="3"/>
                <w:szCs w:val="3"/>
                <w:color w:val="auto"/>
              </w:rPr>
            </w:pPr>
          </w:p>
        </w:tc>
        <w:tc>
          <w:tcPr>
            <w:tcW w:w="7540" w:type="dxa"/>
            <w:vAlign w:val="bottom"/>
            <w:tcBorders>
              <w:bottom w:val="single" w:sz="8" w:color="0000EE"/>
            </w:tcBorders>
            <w:gridSpan w:val="1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color w:val="auto"/>
                <w:w w:val="99"/>
              </w:rPr>
              <w:t>4.2</w:t>
            </w:r>
          </w:p>
        </w:tc>
        <w:tc>
          <w:tcPr>
            <w:tcW w:w="10660" w:type="dxa"/>
            <w:vAlign w:val="bottom"/>
            <w:tcBorders>
              <w:bottom w:val="single" w:sz="8" w:color="0000EE"/>
            </w:tcBorders>
            <w:gridSpan w:val="27"/>
          </w:tcPr>
          <w:p>
            <w:pPr>
              <w:spacing w:after="0" w:line="173"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Second Supplemental Indenture, dated December 17, 2021, relating to the 6.00% Notes due 2026, by and between the Company and U.S. Bank National Association,</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00" w:type="dxa"/>
            <w:vAlign w:val="bottom"/>
            <w:vMerge w:val="restart"/>
          </w:tcPr>
          <w:p>
            <w:pPr>
              <w:spacing w:after="0"/>
              <w:rPr>
                <w:rFonts w:ascii="Times New Roman" w:cs="Times New Roman" w:eastAsia="Times New Roman" w:hAnsi="Times New Roman"/>
                <w:sz w:val="16"/>
                <w:szCs w:val="16"/>
                <w:color w:val="0000EE"/>
                <w:w w:val="96"/>
              </w:rPr>
            </w:pPr>
            <w:hyperlink r:id="rId126">
              <w:r>
                <w:rPr>
                  <w:rFonts w:ascii="Times New Roman" w:cs="Times New Roman" w:eastAsia="Times New Roman" w:hAnsi="Times New Roman"/>
                  <w:sz w:val="16"/>
                  <w:szCs w:val="16"/>
                  <w:color w:val="0000EE"/>
                  <w:w w:val="96"/>
                </w:rPr>
                <w:t>as trustee</w:t>
              </w:r>
            </w:hyperlink>
          </w:p>
        </w:tc>
        <w:tc>
          <w:tcPr>
            <w:tcW w:w="160" w:type="dxa"/>
            <w:vAlign w:val="bottom"/>
            <w:tcBorders>
              <w:bottom w:val="single" w:sz="8" w:color="0000EE"/>
            </w:tcBorders>
            <w:gridSpan w:val="2"/>
          </w:tcPr>
          <w:p>
            <w:pPr>
              <w:jc w:val="right"/>
              <w:spacing w:after="0" w:line="137" w:lineRule="exact"/>
              <w:rPr>
                <w:rFonts w:ascii="Times New Roman" w:cs="Times New Roman" w:eastAsia="Times New Roman" w:hAnsi="Times New Roman"/>
                <w:sz w:val="13"/>
                <w:szCs w:val="13"/>
                <w:color w:val="0000EE"/>
                <w:w w:val="92"/>
              </w:rPr>
            </w:pPr>
            <w:hyperlink r:id="rId126">
              <w:r>
                <w:rPr>
                  <w:rFonts w:ascii="Times New Roman" w:cs="Times New Roman" w:eastAsia="Times New Roman" w:hAnsi="Times New Roman"/>
                  <w:sz w:val="13"/>
                  <w:szCs w:val="13"/>
                  <w:color w:val="0000EE"/>
                  <w:w w:val="92"/>
                </w:rPr>
                <w:t>(6)</w:t>
              </w:r>
            </w:hyperlink>
          </w:p>
        </w:tc>
        <w:tc>
          <w:tcPr>
            <w:tcW w:w="840" w:type="dxa"/>
            <w:vAlign w:val="bottom"/>
            <w:gridSpan w:val="3"/>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980" w:type="dxa"/>
            <w:vAlign w:val="bottom"/>
            <w:gridSpan w:val="5"/>
            <w:vMerge w:val="restart"/>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10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9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4.3</w:t>
            </w:r>
          </w:p>
        </w:tc>
        <w:tc>
          <w:tcPr>
            <w:tcW w:w="60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EE"/>
                <w:w w:val="92"/>
              </w:rPr>
              <w:t>(6)</w:t>
            </w: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40" w:type="dxa"/>
            <w:vAlign w:val="bottom"/>
            <w:vMerge w:val="continue"/>
          </w:tcPr>
          <w:p>
            <w:pPr>
              <w:spacing w:after="0"/>
              <w:rPr>
                <w:sz w:val="12"/>
                <w:szCs w:val="12"/>
                <w:color w:val="auto"/>
              </w:rPr>
            </w:pPr>
          </w:p>
        </w:tc>
        <w:tc>
          <w:tcPr>
            <w:tcW w:w="4740" w:type="dxa"/>
            <w:vAlign w:val="bottom"/>
            <w:gridSpan w:val="13"/>
            <w:vMerge w:val="restart"/>
          </w:tcPr>
          <w:p>
            <w:pPr>
              <w:spacing w:after="0"/>
              <w:rPr>
                <w:rFonts w:ascii="Times New Roman" w:cs="Times New Roman" w:eastAsia="Times New Roman" w:hAnsi="Times New Roman"/>
                <w:sz w:val="16"/>
                <w:szCs w:val="16"/>
                <w:color w:val="0000EE"/>
                <w:w w:val="99"/>
              </w:rPr>
            </w:pPr>
            <w:hyperlink r:id="rId127">
              <w:r>
                <w:rPr>
                  <w:rFonts w:ascii="Times New Roman" w:cs="Times New Roman" w:eastAsia="Times New Roman" w:hAnsi="Times New Roman"/>
                  <w:sz w:val="16"/>
                  <w:szCs w:val="16"/>
                  <w:color w:val="0000EE"/>
                  <w:w w:val="99"/>
                </w:rPr>
                <w:t>Form of 6.00% Notes due 2026 (incorporated by reference to Exhibit 4.2)</w:t>
              </w:r>
            </w:hyperlink>
          </w:p>
        </w:tc>
        <w:tc>
          <w:tcPr>
            <w:tcW w:w="160" w:type="dxa"/>
            <w:vAlign w:val="bottom"/>
            <w:tcBorders>
              <w:bottom w:val="single" w:sz="8" w:color="0000EE"/>
            </w:tcBorders>
            <w:vMerge w:val="continue"/>
          </w:tcPr>
          <w:p>
            <w:pPr>
              <w:spacing w:after="0"/>
              <w:rPr>
                <w:sz w:val="12"/>
                <w:szCs w:val="12"/>
                <w:color w:val="auto"/>
              </w:rPr>
            </w:pPr>
          </w:p>
        </w:tc>
        <w:tc>
          <w:tcPr>
            <w:tcW w:w="15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10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9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40" w:type="dxa"/>
            <w:vAlign w:val="bottom"/>
            <w:vMerge w:val="continue"/>
          </w:tcPr>
          <w:p>
            <w:pPr>
              <w:spacing w:after="0"/>
              <w:rPr>
                <w:sz w:val="3"/>
                <w:szCs w:val="3"/>
                <w:color w:val="auto"/>
              </w:rPr>
            </w:pPr>
          </w:p>
        </w:tc>
        <w:tc>
          <w:tcPr>
            <w:tcW w:w="4740" w:type="dxa"/>
            <w:vAlign w:val="bottom"/>
            <w:tcBorders>
              <w:bottom w:val="single" w:sz="8" w:color="0000EE"/>
            </w:tcBorders>
            <w:gridSpan w:val="13"/>
            <w:vMerge w:val="continue"/>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4.4</w:t>
            </w:r>
          </w:p>
        </w:tc>
        <w:tc>
          <w:tcPr>
            <w:tcW w:w="1600" w:type="dxa"/>
            <w:vAlign w:val="bottom"/>
            <w:gridSpan w:val="6"/>
            <w:vMerge w:val="restart"/>
          </w:tcPr>
          <w:p>
            <w:pPr>
              <w:spacing w:after="0"/>
              <w:rPr>
                <w:rFonts w:ascii="Times New Roman" w:cs="Times New Roman" w:eastAsia="Times New Roman" w:hAnsi="Times New Roman"/>
                <w:sz w:val="16"/>
                <w:szCs w:val="16"/>
                <w:color w:val="0000EE"/>
                <w:w w:val="99"/>
              </w:rPr>
            </w:pPr>
            <w:hyperlink r:id="rId128">
              <w:r>
                <w:rPr>
                  <w:rFonts w:ascii="Times New Roman" w:cs="Times New Roman" w:eastAsia="Times New Roman" w:hAnsi="Times New Roman"/>
                  <w:sz w:val="16"/>
                  <w:szCs w:val="16"/>
                  <w:color w:val="0000EE"/>
                  <w:w w:val="99"/>
                </w:rPr>
                <w:t>Description of Securities</w:t>
              </w:r>
            </w:hyperlink>
          </w:p>
        </w:tc>
        <w:tc>
          <w:tcPr>
            <w:tcW w:w="160" w:type="dxa"/>
            <w:vAlign w:val="bottom"/>
            <w:tcBorders>
              <w:bottom w:val="single" w:sz="8" w:color="0000EE"/>
            </w:tcBorders>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0000EE"/>
                <w:w w:val="92"/>
              </w:rPr>
              <w:t>(7)</w:t>
            </w:r>
          </w:p>
        </w:tc>
        <w:tc>
          <w:tcPr>
            <w:tcW w:w="4680" w:type="dxa"/>
            <w:vAlign w:val="bottom"/>
            <w:gridSpan w:val="7"/>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10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9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40" w:type="dxa"/>
            <w:vAlign w:val="bottom"/>
            <w:vMerge w:val="continue"/>
          </w:tcPr>
          <w:p>
            <w:pPr>
              <w:spacing w:after="0"/>
              <w:rPr>
                <w:sz w:val="3"/>
                <w:szCs w:val="3"/>
                <w:color w:val="auto"/>
              </w:rPr>
            </w:pPr>
          </w:p>
        </w:tc>
        <w:tc>
          <w:tcPr>
            <w:tcW w:w="1600" w:type="dxa"/>
            <w:vAlign w:val="bottom"/>
            <w:tcBorders>
              <w:bottom w:val="single" w:sz="8" w:color="0000EE"/>
            </w:tcBorders>
            <w:gridSpan w:val="6"/>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4680" w:type="dxa"/>
            <w:vAlign w:val="bottom"/>
            <w:gridSpan w:val="7"/>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10.1</w:t>
            </w:r>
          </w:p>
        </w:tc>
        <w:tc>
          <w:tcPr>
            <w:tcW w:w="9560" w:type="dxa"/>
            <w:vAlign w:val="bottom"/>
            <w:gridSpan w:val="22"/>
            <w:vMerge w:val="restart"/>
          </w:tcPr>
          <w:p>
            <w:pPr>
              <w:spacing w:after="0"/>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Amendment No. 2 to the Second Amended and Restated Employment Agreement between SuRo Capital Corp. and Mark Klein, dated May 29, 2025</w:t>
              </w:r>
            </w:hyperlink>
          </w:p>
        </w:tc>
        <w:tc>
          <w:tcPr>
            <w:tcW w:w="160" w:type="dxa"/>
            <w:vAlign w:val="bottom"/>
            <w:tcBorders>
              <w:bottom w:val="single" w:sz="8" w:color="0000EE"/>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0000EE"/>
                <w:w w:val="92"/>
              </w:rPr>
              <w:t>(8)</w:t>
            </w: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40" w:type="dxa"/>
            <w:vAlign w:val="bottom"/>
            <w:vMerge w:val="continue"/>
          </w:tcPr>
          <w:p>
            <w:pPr>
              <w:spacing w:after="0"/>
              <w:rPr>
                <w:sz w:val="3"/>
                <w:szCs w:val="3"/>
                <w:color w:val="auto"/>
              </w:rPr>
            </w:pPr>
          </w:p>
        </w:tc>
        <w:tc>
          <w:tcPr>
            <w:tcW w:w="9560" w:type="dxa"/>
            <w:vAlign w:val="bottom"/>
            <w:tcBorders>
              <w:bottom w:val="single" w:sz="8" w:color="0000EE"/>
            </w:tcBorders>
            <w:gridSpan w:val="2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10.2</w:t>
            </w:r>
          </w:p>
        </w:tc>
        <w:tc>
          <w:tcPr>
            <w:tcW w:w="9740" w:type="dxa"/>
            <w:vAlign w:val="bottom"/>
            <w:gridSpan w:val="25"/>
            <w:vMerge w:val="restart"/>
          </w:tcPr>
          <w:p>
            <w:pPr>
              <w:spacing w:after="0"/>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Amendment No. 3 to the Second Amended and Restated Employment Agreement between SuRo Capital Corp. and Allison Green, dated May 29, 2025</w:t>
              </w:r>
            </w:hyperlink>
          </w:p>
        </w:tc>
        <w:tc>
          <w:tcPr>
            <w:tcW w:w="140" w:type="dxa"/>
            <w:vAlign w:val="bottom"/>
            <w:tcBorders>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3"/>
                <w:szCs w:val="13"/>
                <w:color w:val="0000EE"/>
                <w:w w:val="78"/>
              </w:rPr>
              <w:t>(8)</w:t>
            </w:r>
          </w:p>
        </w:tc>
        <w:tc>
          <w:tcPr>
            <w:tcW w:w="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40" w:type="dxa"/>
            <w:vAlign w:val="bottom"/>
            <w:vMerge w:val="continue"/>
          </w:tcPr>
          <w:p>
            <w:pPr>
              <w:spacing w:after="0"/>
              <w:rPr>
                <w:sz w:val="3"/>
                <w:szCs w:val="3"/>
                <w:color w:val="auto"/>
              </w:rPr>
            </w:pPr>
          </w:p>
        </w:tc>
        <w:tc>
          <w:tcPr>
            <w:tcW w:w="9740" w:type="dxa"/>
            <w:vAlign w:val="bottom"/>
            <w:tcBorders>
              <w:bottom w:val="single" w:sz="8" w:color="0000EE"/>
            </w:tcBorders>
            <w:gridSpan w:val="25"/>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color w:val="auto"/>
                <w:w w:val="99"/>
              </w:rPr>
              <w:t>31.1</w:t>
            </w:r>
          </w:p>
        </w:tc>
        <w:tc>
          <w:tcPr>
            <w:tcW w:w="7640" w:type="dxa"/>
            <w:vAlign w:val="bottom"/>
            <w:tcBorders>
              <w:bottom w:val="single" w:sz="8" w:color="0000EE"/>
            </w:tcBorders>
            <w:gridSpan w:val="20"/>
          </w:tcPr>
          <w:p>
            <w:pPr>
              <w:spacing w:after="0" w:line="173"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 of the Securities Exchange Act of 1934, as amended*</w:t>
            </w:r>
          </w:p>
        </w:tc>
        <w:tc>
          <w:tcPr>
            <w:tcW w:w="30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color w:val="auto"/>
                <w:w w:val="99"/>
              </w:rPr>
              <w:t>31.2</w:t>
            </w:r>
          </w:p>
        </w:tc>
        <w:tc>
          <w:tcPr>
            <w:tcW w:w="7600" w:type="dxa"/>
            <w:vAlign w:val="bottom"/>
            <w:tcBorders>
              <w:bottom w:val="single" w:sz="8" w:color="0000EE"/>
            </w:tcBorders>
            <w:gridSpan w:val="19"/>
          </w:tcPr>
          <w:p>
            <w:pPr>
              <w:spacing w:after="0" w:line="173" w:lineRule="exact"/>
              <w:rPr>
                <w:sz w:val="20"/>
                <w:szCs w:val="20"/>
                <w:color w:val="auto"/>
              </w:rPr>
            </w:pPr>
            <w:r>
              <w:rPr>
                <w:rFonts w:ascii="Times New Roman" w:cs="Times New Roman" w:eastAsia="Times New Roman" w:hAnsi="Times New Roman"/>
                <w:sz w:val="16"/>
                <w:szCs w:val="16"/>
                <w:color w:val="0000EE"/>
              </w:rPr>
              <w:t>Certification of Chief Financial Officer pursuant to Rule 13a-14 of the Securities Exchange Act of 1934, as amended*</w:t>
            </w:r>
          </w:p>
        </w:tc>
        <w:tc>
          <w:tcPr>
            <w:tcW w:w="30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color w:val="auto"/>
                <w:w w:val="99"/>
              </w:rPr>
              <w:t>32.1</w:t>
            </w:r>
          </w:p>
        </w:tc>
        <w:tc>
          <w:tcPr>
            <w:tcW w:w="6500" w:type="dxa"/>
            <w:vAlign w:val="bottom"/>
            <w:tcBorders>
              <w:bottom w:val="single" w:sz="8" w:color="0000EE"/>
            </w:tcBorders>
            <w:gridSpan w:val="16"/>
          </w:tcPr>
          <w:p>
            <w:pPr>
              <w:spacing w:after="0" w:line="173" w:lineRule="exact"/>
              <w:rPr>
                <w:sz w:val="20"/>
                <w:szCs w:val="20"/>
                <w:color w:val="auto"/>
              </w:rPr>
            </w:pPr>
            <w:r>
              <w:rPr>
                <w:rFonts w:ascii="Times New Roman" w:cs="Times New Roman" w:eastAsia="Times New Roman" w:hAnsi="Times New Roman"/>
                <w:sz w:val="16"/>
                <w:szCs w:val="16"/>
                <w:color w:val="0000EE"/>
              </w:rPr>
              <w:t>Certification of Chief Executive Officer pursuant to Section 906 of the Sarbanes-Oxley Act of 2002*</w:t>
            </w:r>
          </w:p>
        </w:tc>
        <w:tc>
          <w:tcPr>
            <w:tcW w:w="41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color w:val="auto"/>
                <w:w w:val="99"/>
              </w:rPr>
              <w:t>32.2</w:t>
            </w:r>
          </w:p>
        </w:tc>
        <w:tc>
          <w:tcPr>
            <w:tcW w:w="10660" w:type="dxa"/>
            <w:vAlign w:val="bottom"/>
            <w:gridSpan w:val="27"/>
          </w:tcPr>
          <w:p>
            <w:pPr>
              <w:spacing w:after="0" w:line="173" w:lineRule="exact"/>
              <w:rPr>
                <w:sz w:val="20"/>
                <w:szCs w:val="20"/>
                <w:color w:val="auto"/>
              </w:rPr>
            </w:pPr>
            <w:r>
              <w:rPr>
                <w:rFonts w:ascii="Times New Roman" w:cs="Times New Roman" w:eastAsia="Times New Roman" w:hAnsi="Times New Roman"/>
                <w:sz w:val="16"/>
                <w:szCs w:val="16"/>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49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5" w:lineRule="exact"/>
        <w:rPr>
          <w:sz w:val="20"/>
          <w:szCs w:val="20"/>
          <w:color w:val="auto"/>
        </w:rPr>
      </w:pPr>
    </w:p>
    <w:p>
      <w:pPr>
        <w:ind w:left="283" w:hanging="283"/>
        <w:spacing w:after="0" w:line="284" w:lineRule="auto"/>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2 to the Registrant’s Registration Statement on Form N-2 (File No. 333-171578), filed on March 30, 2011, and incorporated by reference herein.</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 2011, and incorporated by reference herein.</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1, 2019, and incorporated by reference herein.</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16, 2020, and incorporated by reference herein.</w:t>
      </w:r>
    </w:p>
    <w:p>
      <w:pPr>
        <w:spacing w:after="0" w:line="202" w:lineRule="exact"/>
        <w:rPr>
          <w:rFonts w:ascii="Times New Roman" w:cs="Times New Roman" w:eastAsia="Times New Roman" w:hAnsi="Times New Roman"/>
          <w:sz w:val="16"/>
          <w:szCs w:val="16"/>
          <w:color w:val="auto"/>
        </w:rPr>
      </w:pPr>
    </w:p>
    <w:p>
      <w:pPr>
        <w:ind w:left="283" w:hanging="283"/>
        <w:spacing w:after="0" w:line="284" w:lineRule="auto"/>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Registration Statement on Form N-2 (File No. 333-239681), filed on July 2, 2020, and incorporated by reference herein.</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December 17, 2021, and incorporated by reference herein.</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11, 2022, and incorporated by reference herein.</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May 30, 2025, and incorporated by reference herein.</w:t>
      </w:r>
    </w:p>
    <w:p>
      <w:pPr>
        <w:spacing w:after="0" w:line="202" w:lineRule="exact"/>
        <w:rPr>
          <w:sz w:val="20"/>
          <w:szCs w:val="20"/>
          <w:color w:val="auto"/>
        </w:rPr>
      </w:pPr>
    </w:p>
    <w:p>
      <w:pPr>
        <w:ind w:left="283" w:hanging="283"/>
        <w:spacing w:after="0"/>
        <w:tabs>
          <w:tab w:leader="none" w:pos="28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692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firstLine="28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202"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August 7, 2025</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D. Klein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-116205</wp:posOffset>
            </wp:positionV>
            <wp:extent cx="335534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84"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August 7, 2025</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-116205</wp:posOffset>
            </wp:positionV>
            <wp:extent cx="335534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86" w:lineRule="exact"/>
        <w:rPr>
          <w:sz w:val="20"/>
          <w:szCs w:val="20"/>
          <w:color w:val="auto"/>
        </w:rPr>
      </w:pPr>
    </w:p>
    <w:p>
      <w:pPr>
        <w:ind w:firstLine="28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p>
      <w:pPr>
        <w:spacing w:after="0"/>
        <w:tabs>
          <w:tab w:leader="none" w:pos="5620" w:val="left"/>
          <w:tab w:leader="none" w:pos="802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Mark D. Klein</w:t>
      </w:r>
    </w:p>
    <w:p>
      <w:pPr>
        <w:spacing w:after="0" w:line="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-116205</wp:posOffset>
            </wp:positionV>
            <wp:extent cx="335534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84" w:lineRule="exact"/>
        <w:rPr>
          <w:sz w:val="20"/>
          <w:szCs w:val="20"/>
          <w:color w:val="auto"/>
        </w:rPr>
      </w:pPr>
    </w:p>
    <w:p>
      <w:pPr>
        <w:spacing w:after="0"/>
        <w:tabs>
          <w:tab w:leader="none" w:pos="5620" w:val="left"/>
          <w:tab w:leader="none" w:pos="804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Allison Green</w:t>
      </w:r>
    </w:p>
    <w:p>
      <w:pPr>
        <w:spacing w:after="0" w:line="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-116205</wp:posOffset>
            </wp:positionV>
            <wp:extent cx="33553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92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of SuRo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Mark D. Klein, certify that:</w:t>
      </w:r>
    </w:p>
    <w:p>
      <w:pPr>
        <w:spacing w:after="0" w:line="202" w:lineRule="exact"/>
        <w:rPr>
          <w:sz w:val="20"/>
          <w:szCs w:val="20"/>
          <w:color w:val="auto"/>
        </w:rPr>
      </w:pPr>
    </w:p>
    <w:p>
      <w:pPr>
        <w:ind w:left="580" w:hanging="294"/>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SuRo Capital Corp.;</w:t>
      </w:r>
    </w:p>
    <w:p>
      <w:pPr>
        <w:spacing w:after="0" w:line="202"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80" w:hanging="294"/>
        <w:spacing w:after="0" w:line="284"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6"/>
          <w:szCs w:val="16"/>
          <w:color w:val="auto"/>
        </w:rPr>
      </w:pPr>
    </w:p>
    <w:p>
      <w:pPr>
        <w:ind w:left="860" w:hanging="284"/>
        <w:spacing w:after="0" w:line="284"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84"/>
        <w:spacing w:after="0" w:line="284"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84"/>
        <w:spacing w:after="0" w:line="284" w:lineRule="auto"/>
        <w:tabs>
          <w:tab w:leader="none" w:pos="8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7th day of August,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Klein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-116205</wp:posOffset>
            </wp:positionV>
            <wp:extent cx="33629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3362960" cy="762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250825</wp:posOffset>
            </wp:positionV>
            <wp:extent cx="714692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of SuRo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Allison Green, certify that:</w:t>
      </w:r>
    </w:p>
    <w:p>
      <w:pPr>
        <w:spacing w:after="0" w:line="202" w:lineRule="exact"/>
        <w:rPr>
          <w:sz w:val="20"/>
          <w:szCs w:val="20"/>
          <w:color w:val="auto"/>
        </w:rPr>
      </w:pPr>
    </w:p>
    <w:p>
      <w:pPr>
        <w:ind w:left="580" w:hanging="294"/>
        <w:spacing w:after="0"/>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SuRo Capital Corp.;</w:t>
      </w:r>
    </w:p>
    <w:p>
      <w:pPr>
        <w:spacing w:after="0" w:line="202"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80" w:hanging="294"/>
        <w:spacing w:after="0" w:line="284"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6"/>
          <w:szCs w:val="16"/>
          <w:color w:val="auto"/>
        </w:rPr>
      </w:pPr>
    </w:p>
    <w:p>
      <w:pPr>
        <w:ind w:left="860" w:hanging="284"/>
        <w:spacing w:after="0" w:line="284"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6"/>
          <w:szCs w:val="16"/>
          <w:color w:val="auto"/>
        </w:rPr>
      </w:pPr>
    </w:p>
    <w:p>
      <w:pPr>
        <w:jc w:val="both"/>
        <w:ind w:left="860" w:right="20" w:hanging="284"/>
        <w:spacing w:after="0" w:line="268"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580" w:right="20" w:hanging="294"/>
        <w:spacing w:after="0" w:line="284"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84"/>
        <w:spacing w:after="0" w:line="284"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84"/>
        <w:spacing w:after="0" w:line="284" w:lineRule="auto"/>
        <w:tabs>
          <w:tab w:leader="none" w:pos="8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7th day of August,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-116205</wp:posOffset>
            </wp:positionV>
            <wp:extent cx="33629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362960" cy="762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250825</wp:posOffset>
            </wp:positionV>
            <wp:extent cx="714692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6"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In connection with the quarterly report on Form 10-Q for the three and six months ended June 30, 2025 (the “Report”) of SuRo Capital Corp. (the “Registrant”), as filed with the Securities and Exchange Commission on the date hereof, I, Mark D. Klein, the Chief Executive Officer of the Registrant, hereby certify, to the best of my knowledge, that:</w:t>
      </w:r>
    </w:p>
    <w:p>
      <w:pPr>
        <w:spacing w:after="0" w:line="156" w:lineRule="exact"/>
        <w:rPr>
          <w:sz w:val="20"/>
          <w:szCs w:val="20"/>
          <w:color w:val="auto"/>
        </w:rPr>
      </w:pPr>
    </w:p>
    <w:p>
      <w:pPr>
        <w:ind w:left="580" w:hanging="294"/>
        <w:spacing w:after="0"/>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Mark D. Klein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-116205</wp:posOffset>
            </wp:positionV>
            <wp:extent cx="35693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250825</wp:posOffset>
            </wp:positionV>
            <wp:extent cx="714692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In connection with the quarterly report on Form 10-Q for the three and six months ended June 30, 2025 (the “Report”) of SuRo Capital Corp. (the “Registrant”), as filed with the Securities and Exchange Commission on the date hereof, I, Allison Green, the Chief Financial Officer of the Registrant, hereby certify, to the best of my knowledge, that:</w:t>
      </w:r>
    </w:p>
    <w:p>
      <w:pPr>
        <w:spacing w:after="0" w:line="144" w:lineRule="exact"/>
        <w:rPr>
          <w:sz w:val="20"/>
          <w:szCs w:val="20"/>
          <w:color w:val="auto"/>
        </w:rPr>
      </w:pPr>
    </w:p>
    <w:p>
      <w:pPr>
        <w:ind w:left="580" w:hanging="294"/>
        <w:spacing w:after="0"/>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Allison Green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-116205</wp:posOffset>
            </wp:positionV>
            <wp:extent cx="35693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250825</wp:posOffset>
            </wp:positionV>
            <wp:extent cx="71469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sectPr>
      <w:pgSz w:w="11900" w:h="16838" w:orient="portrait"/>
      <w:cols w:equalWidth="0" w:num="1">
        <w:col w:w="11260"/>
      </w:cols>
      <w:pgMar w:left="320" w:top="3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2"/>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5"/>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20" Type="http://schemas.openxmlformats.org/officeDocument/2006/relationships/hyperlink" Target="https://www.sec.gov/Archives/edgar/data/1509470/000113379611000069/k216228_ex99-2a.htm" TargetMode="External"/><Relationship Id="rId121" Type="http://schemas.openxmlformats.org/officeDocument/2006/relationships/hyperlink" Target="https://www.sec.gov/Archives/edgar/data/1509470/000114420411033389/v224342_ex3-1.htm" TargetMode="External"/><Relationship Id="rId122" Type="http://schemas.openxmlformats.org/officeDocument/2006/relationships/hyperlink" Target="https://www.sec.gov/Archives/edgar/data/1509470/000114420419037014/tv526412_ex3-1.htm" TargetMode="External"/><Relationship Id="rId123" Type="http://schemas.openxmlformats.org/officeDocument/2006/relationships/hyperlink" Target="https://www.sec.gov/Archives/edgar/data/1509470/000110465920073783/tm2022743d1_ex3-1.htm" TargetMode="External"/><Relationship Id="rId124" Type="http://schemas.openxmlformats.org/officeDocument/2006/relationships/hyperlink" Target="https://www.sec.gov/Archives/edgar/data/1509470/000114420419037014/tv526412_ex3-2.htm" TargetMode="External"/><Relationship Id="rId125" Type="http://schemas.openxmlformats.org/officeDocument/2006/relationships/hyperlink" Target="https://www.sec.gov/Archives/edgar/data/1509470/000110465920080689/tm2023838d1_ex-d3.htm" TargetMode="External"/><Relationship Id="rId126" Type="http://schemas.openxmlformats.org/officeDocument/2006/relationships/hyperlink" Target="https://www.sec.gov/Archives/edgar/data/1509470/000110465921150924/tm2135610d1_ex4-2.htm" TargetMode="External"/><Relationship Id="rId127" Type="http://schemas.openxmlformats.org/officeDocument/2006/relationships/hyperlink" Target="https://www.sec.gov/Archives/edgar/data/1509470/000110465921150924/tm2135610d1_ex4-2.htm#S1" TargetMode="External"/><Relationship Id="rId128" Type="http://schemas.openxmlformats.org/officeDocument/2006/relationships/hyperlink" Target="https://www.sec.gov/Archives/edgar/data/1509470/000162828022005867/surocapital-form10xkex45.htm" TargetMode="External"/><Relationship Id="rId129" Type="http://schemas.openxmlformats.org/officeDocument/2006/relationships/hyperlink" Target="https://www.sec.gov/Archives/edgar/data/1509470/000110465925054873/tm2514204d1_ex10-1.htm" TargetMode="External"/><Relationship Id="rId130" Type="http://schemas.openxmlformats.org/officeDocument/2006/relationships/hyperlink" Target="https://www.sec.gov/Archives/edgar/data/1509470/000110465925054873/tm251420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2025-08-07T07:52:40Z</dcterms:created>
  <dcterms:modified xsi:type="dcterms:W3CDTF">2025-08-07T07:52:40Z</dcterms:modified>
</cp:coreProperties>
</file>