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410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200660</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354965</wp:posOffset>
            </wp:positionV>
            <wp:extent cx="4219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20" w:hanging="685"/>
        <w:spacing w:after="0"/>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9"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4219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151" w:lineRule="exact"/>
        <w:rPr>
          <w:sz w:val="24"/>
          <w:szCs w:val="24"/>
          <w:color w:val="auto"/>
        </w:rPr>
      </w:pPr>
    </w:p>
    <w:p>
      <w:pPr>
        <w:ind w:left="1120" w:hanging="685"/>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7"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80" w:type="dxa"/>
        <w:tblCellMar>
          <w:top w:w="0" w:type="dxa"/>
          <w:left w:w="0" w:type="dxa"/>
          <w:bottom w:w="0" w:type="dxa"/>
          <w:right w:w="0" w:type="dxa"/>
        </w:tblCellMar>
      </w:tblPr>
      <w:tr>
        <w:trPr>
          <w:trHeight w:val="421"/>
        </w:trPr>
        <w:tc>
          <w:tcPr>
            <w:tcW w:w="2320" w:type="dxa"/>
            <w:vAlign w:val="bottom"/>
          </w:tcPr>
          <w:p>
            <w:pPr>
              <w:spacing w:after="0"/>
              <w:rPr>
                <w:sz w:val="24"/>
                <w:szCs w:val="24"/>
                <w:color w:val="auto"/>
              </w:rPr>
            </w:pPr>
          </w:p>
        </w:tc>
        <w:tc>
          <w:tcPr>
            <w:tcW w:w="4480" w:type="dxa"/>
            <w:vAlign w:val="bottom"/>
            <w:gridSpan w:val="3"/>
          </w:tcPr>
          <w:p>
            <w:pPr>
              <w:jc w:val="center"/>
              <w:ind w:right="1668"/>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6800" w:type="dxa"/>
            <w:vAlign w:val="bottom"/>
            <w:gridSpan w:val="4"/>
          </w:tcPr>
          <w:p>
            <w:pPr>
              <w:ind w:left="2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03"/>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481"/>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4480" w:type="dxa"/>
            <w:vAlign w:val="bottom"/>
            <w:gridSpan w:val="3"/>
          </w:tcPr>
          <w:p>
            <w:pPr>
              <w:jc w:val="right"/>
              <w:ind w:right="528"/>
              <w:spacing w:after="0"/>
              <w:rPr>
                <w:sz w:val="20"/>
                <w:szCs w:val="20"/>
                <w:color w:val="auto"/>
              </w:rPr>
            </w:pPr>
            <w:r>
              <w:rPr>
                <w:rFonts w:ascii="Arial" w:cs="Arial" w:eastAsia="Arial" w:hAnsi="Arial"/>
                <w:sz w:val="18"/>
                <w:szCs w:val="18"/>
                <w:b w:val="1"/>
                <w:bCs w:val="1"/>
                <w:color w:val="auto"/>
              </w:rPr>
              <w:t>27-4443543</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(State of incorporation)</w:t>
            </w:r>
          </w:p>
        </w:tc>
        <w:tc>
          <w:tcPr>
            <w:tcW w:w="160" w:type="dxa"/>
            <w:vAlign w:val="bottom"/>
          </w:tcPr>
          <w:p>
            <w:pPr>
              <w:spacing w:after="0"/>
              <w:rPr>
                <w:sz w:val="15"/>
                <w:szCs w:val="15"/>
                <w:color w:val="auto"/>
              </w:rPr>
            </w:pPr>
          </w:p>
        </w:tc>
        <w:tc>
          <w:tcPr>
            <w:tcW w:w="4320" w:type="dxa"/>
            <w:vAlign w:val="bottom"/>
            <w:gridSpan w:val="2"/>
          </w:tcPr>
          <w:p>
            <w:pPr>
              <w:jc w:val="center"/>
              <w:ind w:left="2168"/>
              <w:spacing w:after="0"/>
              <w:rPr>
                <w:sz w:val="20"/>
                <w:szCs w:val="20"/>
                <w:color w:val="auto"/>
              </w:rPr>
            </w:pPr>
            <w:r>
              <w:rPr>
                <w:rFonts w:ascii="Arial" w:cs="Arial" w:eastAsia="Arial" w:hAnsi="Arial"/>
                <w:sz w:val="14"/>
                <w:szCs w:val="14"/>
                <w:color w:val="auto"/>
                <w:w w:val="96"/>
              </w:rPr>
              <w:t>(I.R.S. Employer Identification No.)</w:t>
            </w:r>
          </w:p>
        </w:tc>
      </w:tr>
      <w:tr>
        <w:trPr>
          <w:trHeight w:val="277"/>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2925 Woodside Road</w:t>
            </w: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Woodside, CA</w:t>
            </w:r>
          </w:p>
        </w:tc>
        <w:tc>
          <w:tcPr>
            <w:tcW w:w="4480" w:type="dxa"/>
            <w:vAlign w:val="bottom"/>
            <w:gridSpan w:val="3"/>
          </w:tcPr>
          <w:p>
            <w:pPr>
              <w:jc w:val="right"/>
              <w:ind w:right="748"/>
              <w:spacing w:after="0"/>
              <w:rPr>
                <w:sz w:val="20"/>
                <w:szCs w:val="20"/>
                <w:color w:val="auto"/>
              </w:rPr>
            </w:pPr>
            <w:r>
              <w:rPr>
                <w:rFonts w:ascii="Arial" w:cs="Arial" w:eastAsia="Arial" w:hAnsi="Arial"/>
                <w:sz w:val="18"/>
                <w:szCs w:val="18"/>
                <w:b w:val="1"/>
                <w:bCs w:val="1"/>
                <w:color w:val="auto"/>
              </w:rPr>
              <w:t>94062</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jc w:val="center"/>
              <w:ind w:right="108"/>
              <w:spacing w:after="0"/>
              <w:rPr>
                <w:sz w:val="20"/>
                <w:szCs w:val="20"/>
                <w:color w:val="auto"/>
              </w:rPr>
            </w:pPr>
            <w:r>
              <w:rPr>
                <w:rFonts w:ascii="Arial" w:cs="Arial" w:eastAsia="Arial" w:hAnsi="Arial"/>
                <w:sz w:val="14"/>
                <w:szCs w:val="14"/>
                <w:color w:val="auto"/>
                <w:w w:val="96"/>
              </w:rPr>
              <w:t>(Zip Code)</w:t>
            </w:r>
          </w:p>
        </w:tc>
      </w:tr>
      <w:tr>
        <w:trPr>
          <w:trHeight w:val="417"/>
        </w:trPr>
        <w:tc>
          <w:tcPr>
            <w:tcW w:w="2320" w:type="dxa"/>
            <w:vAlign w:val="bottom"/>
          </w:tcPr>
          <w:p>
            <w:pPr>
              <w:spacing w:after="0"/>
              <w:rPr>
                <w:sz w:val="24"/>
                <w:szCs w:val="24"/>
                <w:color w:val="auto"/>
              </w:rPr>
            </w:pPr>
          </w:p>
        </w:tc>
        <w:tc>
          <w:tcPr>
            <w:tcW w:w="25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(650) 235-4769</w:t>
            </w:r>
          </w:p>
        </w:tc>
        <w:tc>
          <w:tcPr>
            <w:tcW w:w="1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-985520</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-694055</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8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201295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73" w:lineRule="exact"/>
        <w:rPr>
          <w:sz w:val="24"/>
          <w:szCs w:val="24"/>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39" w:lineRule="exact"/>
        <w:rPr>
          <w:sz w:val="24"/>
          <w:szCs w:val="24"/>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5282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26" w:lineRule="exact"/>
        <w:rPr>
          <w:sz w:val="24"/>
          <w:szCs w:val="24"/>
          <w:color w:val="auto"/>
        </w:rPr>
      </w:pPr>
    </w:p>
    <w:p>
      <w:pPr>
        <w:sectPr>
          <w:pgSz w:w="11900" w:h="16838" w:orient="portrait"/>
          <w:cols w:equalWidth="0" w:num="2">
            <w:col w:w="5100" w:space="720"/>
            <w:col w:w="4259"/>
          </w:cols>
          <w:pgMar w:left="380" w:top="1440" w:right="1440"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140" w:lineRule="exact"/>
        <w:rPr>
          <w:sz w:val="24"/>
          <w:szCs w:val="24"/>
          <w:color w:val="auto"/>
        </w:rPr>
      </w:pPr>
    </w:p>
    <w:p>
      <w:pPr>
        <w:ind w:left="320"/>
        <w:spacing w:after="0"/>
        <w:rPr>
          <w:sz w:val="20"/>
          <w:szCs w:val="20"/>
          <w:color w:val="auto"/>
        </w:rPr>
      </w:pPr>
      <w:r>
        <w:rPr>
          <w:rFonts w:ascii="Arial" w:cs="Arial" w:eastAsia="Arial" w:hAnsi="Arial"/>
          <w:sz w:val="16"/>
          <w:szCs w:val="16"/>
          <w:color w:val="auto"/>
        </w:rPr>
        <w:t>The number of shares of the issuer’s Common Stock, $0.01 par value, outstanding as of November 10, 2014 was 19,320,100.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814070</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63500</wp:posOffset>
            </wp:positionV>
            <wp:extent cx="6071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89535</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gridSpan w:val="12"/>
          </w:tcPr>
          <w:p>
            <w:pPr>
              <w:jc w:val="center"/>
              <w:ind w:right="1640"/>
              <w:spacing w:after="0"/>
              <w:rPr>
                <w:sz w:val="20"/>
                <w:szCs w:val="20"/>
                <w:color w:val="auto"/>
              </w:rPr>
            </w:pPr>
            <w:r>
              <w:rPr>
                <w:rFonts w:ascii="Arial" w:cs="Arial" w:eastAsia="Arial" w:hAnsi="Arial"/>
                <w:sz w:val="18"/>
                <w:szCs w:val="18"/>
                <w:b w:val="1"/>
                <w:bCs w:val="1"/>
                <w:color w:val="auto"/>
                <w:w w:val="98"/>
              </w:rPr>
              <w:t>GSV CAPITAL CORP.</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20" w:type="dxa"/>
            <w:vAlign w:val="bottom"/>
            <w:gridSpan w:val="12"/>
          </w:tcPr>
          <w:p>
            <w:pPr>
              <w:jc w:val="center"/>
              <w:ind w:right="1640"/>
              <w:spacing w:after="0"/>
              <w:rPr>
                <w:sz w:val="20"/>
                <w:szCs w:val="20"/>
                <w:color w:val="auto"/>
              </w:rPr>
            </w:pPr>
            <w:r>
              <w:rPr>
                <w:rFonts w:ascii="Arial" w:cs="Arial" w:eastAsia="Arial" w:hAnsi="Arial"/>
                <w:sz w:val="18"/>
                <w:szCs w:val="18"/>
                <w:b w:val="1"/>
                <w:bCs w:val="1"/>
                <w:color w:val="auto"/>
                <w:w w:val="98"/>
              </w:rPr>
              <w:t>TABLE OF CONTENTS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82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6860" w:type="dxa"/>
            <w:vAlign w:val="bottom"/>
            <w:gridSpan w:val="25"/>
            <w:shd w:val="clear" w:color="auto" w:fill="CCEEFF"/>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860" w:type="dxa"/>
            <w:vAlign w:val="bottom"/>
            <w:gridSpan w:val="25"/>
          </w:tcPr>
          <w:p>
            <w:pPr>
              <w:ind w:lef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3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Assets and Liabilities as of September 30, 2014 (unaudited)</w:t>
              </w:r>
            </w:hyperlink>
          </w:p>
        </w:tc>
        <w:tc>
          <w:tcPr>
            <w:tcW w:w="420" w:type="dxa"/>
            <w:vAlign w:val="bottom"/>
            <w:tcBorders>
              <w:bottom w:val="single" w:sz="8" w:color="CCEEFF"/>
            </w:tcBorders>
            <w:gridSpan w:val="4"/>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60" w:type="dxa"/>
            <w:vAlign w:val="bottom"/>
            <w:gridSpan w:val="24"/>
            <w:shd w:val="clear" w:color="auto" w:fill="CCEEFF"/>
          </w:tcPr>
          <w:p>
            <w:pPr>
              <w:ind w:left="18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December 31, 2013</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20" w:type="dxa"/>
            <w:vAlign w:val="bottom"/>
            <w:tcBorders>
              <w:bottom w:val="single" w:sz="8" w:color="0000EE"/>
            </w:tcBorders>
            <w:gridSpan w:val="19"/>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(unaudited) for the three and nine months ended</w:t>
              </w:r>
            </w:hyperlink>
          </w:p>
        </w:tc>
        <w:tc>
          <w:tcPr>
            <w:tcW w:w="440" w:type="dxa"/>
            <w:vAlign w:val="bottom"/>
            <w:gridSpan w:val="5"/>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60" w:type="dxa"/>
            <w:vAlign w:val="bottom"/>
            <w:gridSpan w:val="24"/>
          </w:tcPr>
          <w:p>
            <w:pPr>
              <w:ind w:left="1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2014, and September 30, 2013</w:t>
              </w:r>
            </w:hyperlink>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760" w:type="dxa"/>
            <w:vAlign w:val="bottom"/>
            <w:gridSpan w:val="24"/>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Changes in Net Assets (unaudited) for the nine months ended</w:t>
              </w:r>
            </w:hyperlink>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40" w:type="dxa"/>
            <w:vAlign w:val="bottom"/>
            <w:tcBorders>
              <w:top w:val="single" w:sz="8" w:color="0000EE"/>
            </w:tcBorders>
            <w:gridSpan w:val="21"/>
            <w:shd w:val="clear" w:color="auto" w:fill="CCEEFF"/>
          </w:tcPr>
          <w:p>
            <w:pPr>
              <w:ind w:left="18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2014, and September 30, 2013</w:t>
              </w:r>
            </w:hyperlink>
          </w:p>
        </w:tc>
        <w:tc>
          <w:tcPr>
            <w:tcW w:w="320" w:type="dxa"/>
            <w:vAlign w:val="bottom"/>
            <w:tcBorders>
              <w:top w:val="single" w:sz="8" w:color="CCEEFF"/>
            </w:tcBorders>
            <w:gridSpan w:val="3"/>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10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80" w:type="dxa"/>
            <w:vAlign w:val="bottom"/>
            <w:tcBorders>
              <w:bottom w:val="single" w:sz="8" w:color="0000EE"/>
            </w:tcBorders>
            <w:gridSpan w:val="23"/>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(unaudited) for the nine months ended September</w:t>
              </w:r>
            </w:hyperlink>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60" w:type="dxa"/>
            <w:vAlign w:val="bottom"/>
            <w:gridSpan w:val="24"/>
          </w:tcPr>
          <w:p>
            <w:pPr>
              <w:ind w:left="18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30, 2014, and September 30, 2013</w:t>
              </w:r>
            </w:hyperlink>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5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Schedule of Investments as of September 30, 2014 (unaudited)</w:t>
              </w:r>
            </w:hyperlink>
          </w:p>
        </w:tc>
        <w:tc>
          <w:tcPr>
            <w:tcW w:w="1240" w:type="dxa"/>
            <w:vAlign w:val="bottom"/>
            <w:tcBorders>
              <w:bottom w:val="single" w:sz="8" w:color="CCEEFF"/>
            </w:tcBorders>
            <w:gridSpan w:val="7"/>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60" w:type="dxa"/>
            <w:vAlign w:val="bottom"/>
            <w:gridSpan w:val="24"/>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Consolidated Schedule of Investments as of December 31, 2013</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760" w:type="dxa"/>
            <w:vAlign w:val="bottom"/>
            <w:gridSpan w:val="24"/>
            <w:shd w:val="clear" w:color="auto" w:fill="CCEEFF"/>
          </w:tcPr>
          <w:p>
            <w:pPr>
              <w:spacing w:after="0" w:line="176"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Notes to the Consolidated Financial Statements as of September 30, 2014 (unaudited)</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2.</w:t>
              </w:r>
            </w:hyperlink>
          </w:p>
        </w:tc>
        <w:tc>
          <w:tcPr>
            <w:tcW w:w="6860" w:type="dxa"/>
            <w:vAlign w:val="bottom"/>
            <w:gridSpan w:val="25"/>
          </w:tcPr>
          <w:p>
            <w:pPr>
              <w:ind w:left="100"/>
              <w:spacing w:after="0" w:line="176" w:lineRule="exact"/>
              <w:rPr>
                <w:rFonts w:ascii="Arial" w:cs="Arial" w:eastAsia="Arial" w:hAnsi="Arial"/>
                <w:sz w:val="18"/>
                <w:szCs w:val="18"/>
                <w:color w:val="0000EE"/>
                <w:w w:val="95"/>
              </w:rPr>
            </w:pPr>
            <w:hyperlink w:anchor="page41">
              <w:r>
                <w:rPr>
                  <w:rFonts w:ascii="Arial" w:cs="Arial" w:eastAsia="Arial" w:hAnsi="Arial"/>
                  <w:sz w:val="18"/>
                  <w:szCs w:val="18"/>
                  <w:color w:val="0000EE"/>
                  <w:w w:val="95"/>
                </w:rPr>
                <w:t>Management’s Discussion and Analysis of Financial Condition and Results of Operations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3.</w:t>
              </w:r>
            </w:hyperlink>
          </w:p>
        </w:tc>
        <w:tc>
          <w:tcPr>
            <w:tcW w:w="686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4.</w:t>
              </w:r>
            </w:hyperlink>
          </w:p>
        </w:tc>
        <w:tc>
          <w:tcPr>
            <w:tcW w:w="6860" w:type="dxa"/>
            <w:vAlign w:val="bottom"/>
            <w:gridSpan w:val="25"/>
          </w:tcPr>
          <w:p>
            <w:pPr>
              <w:ind w:lef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2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6860" w:type="dxa"/>
            <w:vAlign w:val="bottom"/>
            <w:gridSpan w:val="25"/>
            <w:shd w:val="clear" w:color="auto" w:fill="CCEEFF"/>
          </w:tcPr>
          <w:p>
            <w:pPr>
              <w:ind w:left="100"/>
              <w:spacing w:after="0"/>
              <w:rPr>
                <w:sz w:val="20"/>
                <w:szCs w:val="20"/>
                <w:color w:val="auto"/>
              </w:rPr>
            </w:pPr>
            <w:r>
              <w:rPr>
                <w:rFonts w:ascii="Arial" w:cs="Arial" w:eastAsia="Arial" w:hAnsi="Arial"/>
                <w:sz w:val="18"/>
                <w:szCs w:val="18"/>
                <w:b w:val="1"/>
                <w:bCs w:val="1"/>
                <w:color w:val="auto"/>
              </w:rPr>
              <w:t>OTHER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1.</w:t>
              </w:r>
            </w:hyperlink>
          </w:p>
        </w:tc>
        <w:tc>
          <w:tcPr>
            <w:tcW w:w="6860" w:type="dxa"/>
            <w:vAlign w:val="bottom"/>
            <w:gridSpan w:val="25"/>
          </w:tcPr>
          <w:p>
            <w:pPr>
              <w:ind w:lef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1A.</w:t>
              </w:r>
            </w:hyperlink>
          </w:p>
        </w:tc>
        <w:tc>
          <w:tcPr>
            <w:tcW w:w="686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Risk Factors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2.</w:t>
              </w:r>
            </w:hyperlink>
          </w:p>
        </w:tc>
        <w:tc>
          <w:tcPr>
            <w:tcW w:w="6860" w:type="dxa"/>
            <w:vAlign w:val="bottom"/>
            <w:gridSpan w:val="25"/>
          </w:tcPr>
          <w:p>
            <w:pPr>
              <w:ind w:lef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3.</w:t>
              </w:r>
            </w:hyperlink>
          </w:p>
        </w:tc>
        <w:tc>
          <w:tcPr>
            <w:tcW w:w="686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Defaults Upon Senior Securities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4.</w:t>
              </w:r>
            </w:hyperlink>
          </w:p>
        </w:tc>
        <w:tc>
          <w:tcPr>
            <w:tcW w:w="6860" w:type="dxa"/>
            <w:vAlign w:val="bottom"/>
            <w:gridSpan w:val="25"/>
          </w:tcPr>
          <w:p>
            <w:pPr>
              <w:ind w:lef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Mine Safety Disclosure</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2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5.</w:t>
              </w:r>
            </w:hyperlink>
          </w:p>
        </w:tc>
        <w:tc>
          <w:tcPr>
            <w:tcW w:w="6860" w:type="dxa"/>
            <w:vAlign w:val="bottom"/>
            <w:gridSpan w:val="25"/>
            <w:shd w:val="clear" w:color="auto" w:fill="CCEEFF"/>
          </w:tcPr>
          <w:p>
            <w:pPr>
              <w:ind w:lef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20" w:type="dxa"/>
            <w:vAlign w:val="bottom"/>
            <w:gridSpan w:val="4"/>
          </w:tcPr>
          <w:p>
            <w:pPr>
              <w:ind w:left="2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6.</w:t>
              </w:r>
            </w:hyperlink>
          </w:p>
        </w:tc>
        <w:tc>
          <w:tcPr>
            <w:tcW w:w="6860" w:type="dxa"/>
            <w:vAlign w:val="bottom"/>
            <w:gridSpan w:val="25"/>
          </w:tcPr>
          <w:p>
            <w:pPr>
              <w:ind w:lef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760" w:type="dxa"/>
            <w:vAlign w:val="bottom"/>
            <w:gridSpan w:val="24"/>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-3644265</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r>
      <w:tr>
        <w:trPr>
          <w:trHeight w:val="196"/>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(Unaudited)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Investments at fair value:</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20" w:type="dxa"/>
            <w:vAlign w:val="bottom"/>
            <w:shd w:val="clear" w:color="auto" w:fill="CCEEFF"/>
          </w:tcPr>
          <w:p>
            <w:pPr>
              <w:spacing w:after="0"/>
              <w:rPr>
                <w:sz w:val="16"/>
                <w:szCs w:val="16"/>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Investments in controlled securities (cost of $13,153,112 and $0,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14,333,474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Investments in affiliated securities (cost of $73,333,331 and $64,912,527,</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5940" w:type="dxa"/>
            <w:vAlign w:val="bottom"/>
            <w:gridSpan w:val="2"/>
          </w:tcPr>
          <w:p>
            <w:pPr>
              <w:ind w:left="360"/>
              <w:spacing w:after="0"/>
              <w:rPr>
                <w:sz w:val="20"/>
                <w:szCs w:val="20"/>
                <w:color w:val="auto"/>
              </w:rPr>
            </w:pPr>
            <w:r>
              <w:rPr>
                <w:rFonts w:ascii="Arial" w:cs="Arial" w:eastAsia="Arial" w:hAnsi="Arial"/>
                <w:sz w:val="16"/>
                <w:szCs w:val="16"/>
                <w:color w:val="auto"/>
              </w:rPr>
              <w:t>respectively)</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61,962,467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62,740,162</w:t>
            </w:r>
          </w:p>
        </w:tc>
      </w:tr>
      <w:tr>
        <w:trPr>
          <w:trHeight w:val="196"/>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Investments in non-controlled/non-affiliated securities (cost of $194,419,794 and</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$214,796,591, respectively)</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289,950,095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292,643,491</w:t>
            </w: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w w:val="96"/>
              </w:rPr>
              <w:t>Investments owned and pledged (cost of $7,277,896 and $10,845,236, respectively)</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7,293,864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10,865,200</w:t>
            </w:r>
          </w:p>
        </w:tc>
      </w:tr>
      <w:tr>
        <w:trPr>
          <w:trHeight w:val="193"/>
        </w:trPr>
        <w:tc>
          <w:tcPr>
            <w:tcW w:w="20" w:type="dxa"/>
            <w:vAlign w:val="bottom"/>
            <w:shd w:val="clear" w:color="auto" w:fill="CCEEFF"/>
          </w:tcPr>
          <w:p>
            <w:pPr>
              <w:spacing w:after="0"/>
              <w:rPr>
                <w:sz w:val="16"/>
                <w:szCs w:val="16"/>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Investments in United States Treasury Bill (cost of $100,001,483 and $0,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99,999,944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940" w:type="dxa"/>
            <w:vAlign w:val="bottom"/>
            <w:gridSpan w:val="2"/>
          </w:tcPr>
          <w:p>
            <w:pPr>
              <w:ind w:left="360"/>
              <w:spacing w:after="0"/>
              <w:rPr>
                <w:sz w:val="20"/>
                <w:szCs w:val="20"/>
                <w:color w:val="auto"/>
              </w:rPr>
            </w:pPr>
            <w:r>
              <w:rPr>
                <w:rFonts w:ascii="Arial" w:cs="Arial" w:eastAsia="Arial" w:hAnsi="Arial"/>
                <w:sz w:val="16"/>
                <w:szCs w:val="16"/>
                <w:color w:val="auto"/>
              </w:rPr>
              <w:t>Total Investments (cost of $388,185,616 and $290,554,354, respectively)</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473,539,844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366,248,853</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6,517,389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7,219,203</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Restricted cash</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48,889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22,264</w:t>
            </w:r>
          </w:p>
        </w:tc>
      </w:tr>
      <w:tr>
        <w:trPr>
          <w:trHeight w:val="243"/>
        </w:trPr>
        <w:tc>
          <w:tcPr>
            <w:tcW w:w="59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Due from GSV Capital Service Company, LLC</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18,834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3,039</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Due from Portfolio companies</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107,874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153,178</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receivable</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7,304</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Prepaid expenses</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242,194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49,739</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Coupon interest receivable</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11,141</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Dividend receivable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13,233</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Deferred credit facility fees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141,586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288,249</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Deferred debt issuance costs</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2,841,316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3,378,121</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Deferred offering costs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184,710</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Other assets</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333,820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368,524</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Assets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483,805,226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377,947,558</w:t>
            </w:r>
          </w:p>
        </w:tc>
      </w:tr>
      <w:tr>
        <w:trPr>
          <w:trHeight w:val="196"/>
        </w:trPr>
        <w:tc>
          <w:tcPr>
            <w:tcW w:w="596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LIABILITIES</w:t>
            </w: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3"/>
        </w:trPr>
        <w:tc>
          <w:tcPr>
            <w:tcW w:w="59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Due to GSV Asset Management</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48,898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563,978</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Accounts payable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101,747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382,165</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Accrued incentive fees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16,022,137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10,523,552</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Accrued interest payable</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235,255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1,056,563</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Payable for securities purchased</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94,001,484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deferred tax liability</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11,809,330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8,320,561</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Line of Credit</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Convertible senior notes embedded derivative liability</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799,000</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Convertible senior notes payable 5.25% due September 15, 2018</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68,429,665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68,335,295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Liabilities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190,660,671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89,981,114</w:t>
            </w:r>
          </w:p>
        </w:tc>
      </w:tr>
      <w:tr>
        <w:trPr>
          <w:trHeight w:val="196"/>
        </w:trPr>
        <w:tc>
          <w:tcPr>
            <w:tcW w:w="596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Commitments and contingencies (Note 6)</w:t>
            </w: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293,144,555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287,966,444</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ASSETS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Common stock, par value $0.01 per share</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(100,000,000 authorized; 19,320,100 issued and outstanding)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193,201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193,201</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Paid-in capital in excess of par</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275,837,514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275,837,514</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Accumulated net investment loss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(30,287,651)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(19,192,401)</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Accumulated net realized loss on investments</w:t>
            </w: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(3,102,606)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(13,660,306)</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Accumulated net unrealized appreciation on investments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50,504,097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44,788,436</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tcPr>
          <w:p>
            <w:pPr>
              <w:ind w:left="540"/>
              <w:spacing w:after="0"/>
              <w:rPr>
                <w:sz w:val="20"/>
                <w:szCs w:val="20"/>
                <w:color w:val="auto"/>
              </w:rPr>
            </w:pPr>
            <w:r>
              <w:rPr>
                <w:rFonts w:ascii="Arial" w:cs="Arial" w:eastAsia="Arial" w:hAnsi="Arial"/>
                <w:sz w:val="16"/>
                <w:szCs w:val="16"/>
                <w:b w:val="1"/>
                <w:bCs w:val="1"/>
                <w:color w:val="auto"/>
              </w:rPr>
              <w:t>Net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293,144,555</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287,966,444</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94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14.91</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9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-5110480</wp:posOffset>
            </wp:positionV>
            <wp:extent cx="52139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-3266440</wp:posOffset>
            </wp:positionV>
            <wp:extent cx="52139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-1680210</wp:posOffset>
            </wp:positionV>
            <wp:extent cx="52139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-513715</wp:posOffset>
            </wp:positionV>
            <wp:extent cx="521398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This balance is a related party transaction. Refer to Note 2 for more detail.</w:t>
      </w:r>
    </w:p>
    <w:p>
      <w:pPr>
        <w:spacing w:after="0" w:line="200" w:lineRule="exact"/>
        <w:rPr>
          <w:sz w:val="20"/>
          <w:szCs w:val="20"/>
          <w:color w:val="auto"/>
        </w:rPr>
      </w:pPr>
    </w:p>
    <w:p>
      <w:pPr>
        <w:spacing w:after="0" w:line="349"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from controlled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Interest income from affiliated securities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112,747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Interest income from non-controlled/non-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affiliated securities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2,256</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36,369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Dividend income from affiliated securities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13,008</w:t>
            </w: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Dividend income from non-controlled/non-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affiliated securities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7,638</w:t>
            </w:r>
          </w:p>
        </w:tc>
        <w:tc>
          <w:tcPr>
            <w:tcW w:w="0" w:type="dxa"/>
            <w:vAlign w:val="bottom"/>
          </w:tcPr>
          <w:p>
            <w:pPr>
              <w:spacing w:after="0"/>
              <w:rPr>
                <w:sz w:val="1"/>
                <w:szCs w:val="1"/>
                <w:color w:val="auto"/>
              </w:rPr>
            </w:pPr>
          </w:p>
        </w:tc>
      </w:tr>
      <w:tr>
        <w:trPr>
          <w:trHeight w:val="20"/>
        </w:trPr>
        <w:tc>
          <w:tcPr>
            <w:tcW w:w="3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Pr>
          <w:p>
            <w:pPr>
              <w:ind w:left="20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21,971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159,819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22,902</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Investment management fees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1,949,705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1,298,858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5,639,564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3,828,835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incentive fees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3,684,300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5,498,585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w w:val="93"/>
              </w:rPr>
              <w:t>Costs incurred under administration agreement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718,896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678,283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2,557,129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2,276,152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195,250</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442,683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198,932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1,301,777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656,796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credit facility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1,442,063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4,155,759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191,188</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Insurance expense</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62,732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181,839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179,807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Investor relations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171,265</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18,306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45,680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58,898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71,034</w:t>
            </w: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Loss (Gain) on fair value adjustment for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embedded derivative</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(147,000)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421,000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(787,000)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421,000</w:t>
            </w:r>
          </w:p>
        </w:tc>
        <w:tc>
          <w:tcPr>
            <w:tcW w:w="0" w:type="dxa"/>
            <w:vAlign w:val="bottom"/>
          </w:tcPr>
          <w:p>
            <w:pPr>
              <w:spacing w:after="0"/>
              <w:rPr>
                <w:sz w:val="1"/>
                <w:szCs w:val="1"/>
                <w:color w:val="auto"/>
              </w:rPr>
            </w:pPr>
          </w:p>
        </w:tc>
      </w:tr>
      <w:tr>
        <w:trPr>
          <w:trHeight w:val="20"/>
        </w:trPr>
        <w:tc>
          <w:tcPr>
            <w:tcW w:w="3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8,271,569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3,016,433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18,995,663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7,991,327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for taxes on net investment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3,368,311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7,740,594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Pr>
          <w:p>
            <w:pPr>
              <w:ind w:left="200"/>
              <w:spacing w:after="0"/>
              <w:rPr>
                <w:sz w:val="20"/>
                <w:szCs w:val="20"/>
                <w:color w:val="auto"/>
              </w:rPr>
            </w:pPr>
            <w:r>
              <w:rPr>
                <w:rFonts w:ascii="Arial" w:cs="Arial" w:eastAsia="Arial" w:hAnsi="Arial"/>
                <w:sz w:val="18"/>
                <w:szCs w:val="18"/>
                <w:b w:val="1"/>
                <w:bCs w:val="1"/>
                <w:color w:val="auto"/>
              </w:rPr>
              <w:t>Net Investment Loss</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(4,881,287)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(3,013,789)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(11,095,250)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(7,968,425)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5"/>
              </w:rPr>
              <w:t>Net Realized Gain (Loss) on Investments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17,160,816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(162,569)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17,842,995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(9,837,093)</w:t>
            </w:r>
          </w:p>
        </w:tc>
        <w:tc>
          <w:tcPr>
            <w:tcW w:w="0" w:type="dxa"/>
            <w:vAlign w:val="bottom"/>
          </w:tcPr>
          <w:p>
            <w:pPr>
              <w:spacing w:after="0"/>
              <w:rPr>
                <w:sz w:val="1"/>
                <w:szCs w:val="1"/>
                <w:color w:val="auto"/>
              </w:rPr>
            </w:pPr>
          </w:p>
        </w:tc>
      </w:tr>
      <w:tr>
        <w:trPr>
          <w:trHeight w:val="198"/>
        </w:trPr>
        <w:tc>
          <w:tcPr>
            <w:tcW w:w="3560" w:type="dxa"/>
            <w:vAlign w:val="bottom"/>
          </w:tcPr>
          <w:p>
            <w:pPr>
              <w:ind w:left="200"/>
              <w:spacing w:after="0" w:line="198" w:lineRule="exact"/>
              <w:rPr>
                <w:sz w:val="20"/>
                <w:szCs w:val="20"/>
                <w:color w:val="auto"/>
              </w:rPr>
            </w:pPr>
            <w:r>
              <w:rPr>
                <w:rFonts w:ascii="Arial" w:cs="Arial" w:eastAsia="Arial" w:hAnsi="Arial"/>
                <w:sz w:val="18"/>
                <w:szCs w:val="18"/>
                <w:b w:val="1"/>
                <w:bCs w:val="1"/>
                <w:color w:val="auto"/>
              </w:rPr>
              <w:t>Provision for taxes on Net Realized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380"/>
              <w:spacing w:after="0"/>
              <w:rPr>
                <w:sz w:val="20"/>
                <w:szCs w:val="20"/>
                <w:color w:val="auto"/>
              </w:rPr>
            </w:pPr>
            <w:r>
              <w:rPr>
                <w:rFonts w:ascii="Arial" w:cs="Arial" w:eastAsia="Arial" w:hAnsi="Arial"/>
                <w:sz w:val="18"/>
                <w:szCs w:val="18"/>
                <w:b w:val="1"/>
                <w:bCs w:val="1"/>
                <w:color w:val="auto"/>
              </w:rPr>
              <w:t>Capital Gains</w:t>
            </w: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(7,006,762)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(7,285,295)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356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b w:val="1"/>
                <w:bCs w:val="1"/>
                <w:color w:val="auto"/>
              </w:rPr>
              <w:t>Net Change in Unrealized Appreciation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on Investments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1,260,683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8,892,104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9,659,729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19,545,712</w:t>
            </w:r>
          </w:p>
        </w:tc>
        <w:tc>
          <w:tcPr>
            <w:tcW w:w="0" w:type="dxa"/>
            <w:vAlign w:val="bottom"/>
          </w:tcPr>
          <w:p>
            <w:pPr>
              <w:spacing w:after="0"/>
              <w:rPr>
                <w:sz w:val="1"/>
                <w:szCs w:val="1"/>
                <w:color w:val="auto"/>
              </w:rPr>
            </w:pPr>
          </w:p>
        </w:tc>
      </w:tr>
      <w:tr>
        <w:trPr>
          <w:trHeight w:val="198"/>
        </w:trPr>
        <w:tc>
          <w:tcPr>
            <w:tcW w:w="3560" w:type="dxa"/>
            <w:vAlign w:val="bottom"/>
          </w:tcPr>
          <w:p>
            <w:pPr>
              <w:ind w:left="200"/>
              <w:spacing w:after="0" w:line="198" w:lineRule="exact"/>
              <w:rPr>
                <w:sz w:val="20"/>
                <w:szCs w:val="20"/>
                <w:color w:val="auto"/>
              </w:rPr>
            </w:pPr>
            <w:r>
              <w:rPr>
                <w:rFonts w:ascii="Arial" w:cs="Arial" w:eastAsia="Arial" w:hAnsi="Arial"/>
                <w:sz w:val="18"/>
                <w:szCs w:val="18"/>
                <w:b w:val="1"/>
                <w:bCs w:val="1"/>
                <w:color w:val="auto"/>
              </w:rPr>
              <w:t>Provision for taxes on Unrealized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380"/>
              <w:spacing w:after="0"/>
              <w:rPr>
                <w:sz w:val="20"/>
                <w:szCs w:val="20"/>
                <w:color w:val="auto"/>
              </w:rPr>
            </w:pPr>
            <w:r>
              <w:rPr>
                <w:rFonts w:ascii="Arial" w:cs="Arial" w:eastAsia="Arial" w:hAnsi="Arial"/>
                <w:sz w:val="18"/>
                <w:szCs w:val="18"/>
                <w:b w:val="1"/>
                <w:bCs w:val="1"/>
                <w:color w:val="auto"/>
              </w:rPr>
              <w:t>Appreciation of Investments</w:t>
            </w: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(514,737)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(3,944,068)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3560" w:type="dxa"/>
            <w:vAlign w:val="bottom"/>
            <w:shd w:val="clear" w:color="auto" w:fill="CCEEFF"/>
          </w:tcPr>
          <w:p>
            <w:pPr>
              <w:ind w:left="200"/>
              <w:spacing w:after="0" w:line="191" w:lineRule="exact"/>
              <w:rPr>
                <w:sz w:val="20"/>
                <w:szCs w:val="20"/>
                <w:color w:val="auto"/>
              </w:rPr>
            </w:pPr>
            <w:r>
              <w:rPr>
                <w:rFonts w:ascii="Arial" w:cs="Arial" w:eastAsia="Arial" w:hAnsi="Arial"/>
                <w:sz w:val="18"/>
                <w:szCs w:val="18"/>
                <w:b w:val="1"/>
                <w:bCs w:val="1"/>
                <w:color w:val="auto"/>
                <w:w w:val="93"/>
              </w:rPr>
              <w:t>Net Increase in Net Assets Resulting from</w:t>
            </w: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5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6,018,713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5,715,746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5,178,111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1,740,194</w:t>
            </w:r>
          </w:p>
        </w:tc>
        <w:tc>
          <w:tcPr>
            <w:tcW w:w="0" w:type="dxa"/>
            <w:vAlign w:val="bottom"/>
          </w:tcPr>
          <w:p>
            <w:pPr>
              <w:spacing w:after="0"/>
              <w:rPr>
                <w:sz w:val="1"/>
                <w:szCs w:val="1"/>
                <w:color w:val="auto"/>
              </w:rPr>
            </w:pPr>
          </w:p>
        </w:tc>
      </w:tr>
      <w:tr>
        <w:trPr>
          <w:trHeight w:val="191"/>
        </w:trPr>
        <w:tc>
          <w:tcPr>
            <w:tcW w:w="3560" w:type="dxa"/>
            <w:vAlign w:val="bottom"/>
            <w:tcBorders>
              <w:top w:val="single" w:sz="8" w:color="CCEEFF"/>
            </w:tcBorders>
          </w:tcPr>
          <w:p>
            <w:pPr>
              <w:ind w:left="200"/>
              <w:spacing w:after="0" w:line="191" w:lineRule="exact"/>
              <w:rPr>
                <w:sz w:val="20"/>
                <w:szCs w:val="20"/>
                <w:color w:val="auto"/>
              </w:rPr>
            </w:pPr>
            <w:r>
              <w:rPr>
                <w:rFonts w:ascii="Arial" w:cs="Arial" w:eastAsia="Arial" w:hAnsi="Arial"/>
                <w:sz w:val="18"/>
                <w:szCs w:val="18"/>
                <w:b w:val="1"/>
                <w:bCs w:val="1"/>
                <w:color w:val="auto"/>
                <w:w w:val="93"/>
              </w:rPr>
              <w:t>Net Increase in Net Assets Resulting from</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380"/>
              <w:spacing w:after="0"/>
              <w:rPr>
                <w:sz w:val="20"/>
                <w:szCs w:val="20"/>
                <w:color w:val="auto"/>
              </w:rPr>
            </w:pPr>
            <w:r>
              <w:rPr>
                <w:rFonts w:ascii="Arial" w:cs="Arial" w:eastAsia="Arial" w:hAnsi="Arial"/>
                <w:sz w:val="18"/>
                <w:szCs w:val="18"/>
                <w:b w:val="1"/>
                <w:bCs w:val="1"/>
                <w:color w:val="auto"/>
              </w:rPr>
              <w:t>Operations per Common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tcPr>
          <w:p>
            <w:pPr>
              <w:ind w:left="380"/>
              <w:spacing w:after="0"/>
              <w:rPr>
                <w:sz w:val="20"/>
                <w:szCs w:val="20"/>
                <w:color w:val="auto"/>
              </w:rPr>
            </w:pPr>
            <w:r>
              <w:rPr>
                <w:rFonts w:ascii="Arial" w:cs="Arial" w:eastAsia="Arial" w:hAnsi="Arial"/>
                <w:sz w:val="18"/>
                <w:szCs w:val="18"/>
                <w:b w:val="1"/>
                <w:bCs w:val="1"/>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560" w:type="dxa"/>
            <w:vAlign w:val="bottom"/>
            <w:shd w:val="clear" w:color="auto" w:fill="CCEEFF"/>
          </w:tcPr>
          <w:p>
            <w:pPr>
              <w:ind w:left="200"/>
              <w:spacing w:after="0" w:line="191" w:lineRule="exact"/>
              <w:rPr>
                <w:sz w:val="20"/>
                <w:szCs w:val="20"/>
                <w:color w:val="auto"/>
              </w:rPr>
            </w:pPr>
            <w:r>
              <w:rPr>
                <w:rFonts w:ascii="Arial" w:cs="Arial" w:eastAsia="Arial" w:hAnsi="Arial"/>
                <w:sz w:val="18"/>
                <w:szCs w:val="18"/>
                <w:b w:val="1"/>
                <w:bCs w:val="1"/>
                <w:color w:val="auto"/>
              </w:rPr>
              <w:t>Weighted Average Common Shares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Outstanding</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380"/>
              <w:spacing w:after="0"/>
              <w:rPr>
                <w:sz w:val="20"/>
                <w:szCs w:val="20"/>
                <w:color w:val="auto"/>
              </w:rPr>
            </w:pPr>
            <w:r>
              <w:rPr>
                <w:rFonts w:ascii="Arial" w:cs="Arial" w:eastAsia="Arial" w:hAnsi="Arial"/>
                <w:sz w:val="18"/>
                <w:szCs w:val="18"/>
                <w:b w:val="1"/>
                <w:bCs w:val="1"/>
                <w:color w:val="auto"/>
              </w:rPr>
              <w:t>Basic</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19,320,100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19,320,100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19,320,100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19,320,100</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23,564,228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19,320,100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19,320,100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19,320,100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-4741545</wp:posOffset>
            </wp:positionV>
            <wp:extent cx="521398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-2940685</wp:posOffset>
            </wp:positionV>
            <wp:extent cx="52139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-2658110</wp:posOffset>
            </wp:positionV>
            <wp:extent cx="52139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-1268730</wp:posOffset>
            </wp:positionV>
            <wp:extent cx="521398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-822960</wp:posOffset>
            </wp:positionV>
            <wp:extent cx="521398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968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Nine months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57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57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5720" w:type="dxa"/>
            <w:vAlign w:val="bottom"/>
          </w:tcPr>
          <w:p>
            <w:pPr>
              <w:spacing w:after="0"/>
              <w:rPr>
                <w:sz w:val="14"/>
                <w:szCs w:val="14"/>
                <w:color w:val="auto"/>
              </w:rPr>
            </w:pPr>
          </w:p>
        </w:tc>
        <w:tc>
          <w:tcPr>
            <w:tcW w:w="102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4"/>
                <w:szCs w:val="14"/>
                <w:color w:val="auto"/>
              </w:rPr>
            </w:pP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(11,095,250)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(7,968,425)</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(Loss) on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17,842,995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(9,837,093)</w:t>
            </w: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Provision for taxes on Net Realized Capital Gains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(7,285,295)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Unrealized Appreciation on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9,659,729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19,545,712</w:t>
            </w: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Provision for taxes on Unrealized Appreciation of Investments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(3,944,068)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1,740,194</w:t>
            </w:r>
          </w:p>
        </w:tc>
      </w:tr>
      <w:tr>
        <w:trPr>
          <w:trHeight w:val="20"/>
        </w:trPr>
        <w:tc>
          <w:tcPr>
            <w:tcW w:w="57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Total Increase in Net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5,178,111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1,740,194</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at Beginning of Period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287,966,444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252,582,801</w:t>
            </w:r>
          </w:p>
        </w:tc>
      </w:tr>
      <w:tr>
        <w:trPr>
          <w:trHeight w:val="20"/>
        </w:trPr>
        <w:tc>
          <w:tcPr>
            <w:tcW w:w="57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Net Assets at End of Period</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$ 293,144,555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254,322,995</w:t>
            </w:r>
          </w:p>
        </w:tc>
      </w:tr>
      <w:tr>
        <w:trPr>
          <w:trHeight w:val="21"/>
        </w:trPr>
        <w:tc>
          <w:tcPr>
            <w:tcW w:w="5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 at Beginning of Period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19,320,100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19,320,100</w:t>
            </w:r>
          </w:p>
        </w:tc>
      </w:tr>
      <w:tr>
        <w:trPr>
          <w:trHeight w:val="20"/>
        </w:trPr>
        <w:tc>
          <w:tcPr>
            <w:tcW w:w="57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Shares Outstanding at End of Period</w:t>
            </w:r>
          </w:p>
        </w:tc>
        <w:tc>
          <w:tcPr>
            <w:tcW w:w="1020" w:type="dxa"/>
            <w:vAlign w:val="bottom"/>
          </w:tcPr>
          <w:p>
            <w:pPr>
              <w:jc w:val="right"/>
              <w:spacing w:after="0"/>
              <w:rPr>
                <w:sz w:val="20"/>
                <w:szCs w:val="20"/>
                <w:color w:val="auto"/>
              </w:rPr>
            </w:pPr>
            <w:r>
              <w:rPr>
                <w:rFonts w:ascii="Arial" w:cs="Arial" w:eastAsia="Arial" w:hAnsi="Arial"/>
                <w:sz w:val="18"/>
                <w:szCs w:val="18"/>
                <w:color w:val="auto"/>
              </w:rPr>
              <w:t>19,320,100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19,320,100</w:t>
            </w:r>
          </w:p>
        </w:tc>
      </w:tr>
      <w:tr>
        <w:trPr>
          <w:trHeight w:val="21"/>
        </w:trPr>
        <w:tc>
          <w:tcPr>
            <w:tcW w:w="5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Nine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1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1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40" w:type="dxa"/>
            <w:vAlign w:val="bottom"/>
            <w:tcBorders>
              <w:bottom w:val="single" w:sz="8" w:color="auto"/>
            </w:tcBorders>
          </w:tcPr>
          <w:p>
            <w:pPr>
              <w:spacing w:after="0"/>
              <w:rPr>
                <w:sz w:val="14"/>
                <w:szCs w:val="14"/>
                <w:color w:val="auto"/>
              </w:rPr>
            </w:pPr>
          </w:p>
        </w:tc>
      </w:tr>
      <w:tr>
        <w:trPr>
          <w:trHeight w:val="142"/>
        </w:trPr>
        <w:tc>
          <w:tcPr>
            <w:tcW w:w="5760" w:type="dxa"/>
            <w:vAlign w:val="bottom"/>
            <w:tcBorders>
              <w:left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5,178,111</w:t>
            </w:r>
          </w:p>
        </w:tc>
        <w:tc>
          <w:tcPr>
            <w:tcW w:w="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1,740,194</w:t>
            </w:r>
          </w:p>
        </w:tc>
      </w:tr>
      <w:tr>
        <w:trPr>
          <w:trHeight w:val="130"/>
        </w:trPr>
        <w:tc>
          <w:tcPr>
            <w:tcW w:w="5760" w:type="dxa"/>
            <w:vAlign w:val="bottom"/>
            <w:tcBorders>
              <w:lef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Adjustments to reconcile net increase in net assets resulting from operations to net cash used in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7"/>
        </w:trPr>
        <w:tc>
          <w:tcPr>
            <w:tcW w:w="576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operating activities:</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49"/>
        </w:trPr>
        <w:tc>
          <w:tcPr>
            <w:tcW w:w="57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Net realized (gain) loss on investments</w:t>
            </w:r>
          </w:p>
        </w:tc>
        <w:tc>
          <w:tcPr>
            <w:tcW w:w="10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(17,842,995)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9,837,093</w:t>
            </w:r>
          </w:p>
        </w:tc>
      </w:tr>
      <w:tr>
        <w:trPr>
          <w:trHeight w:val="149"/>
        </w:trPr>
        <w:tc>
          <w:tcPr>
            <w:tcW w:w="5760" w:type="dxa"/>
            <w:vAlign w:val="bottom"/>
            <w:tcBorders>
              <w:left w:val="single" w:sz="8" w:color="CCEEFF"/>
            </w:tcBorders>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Net change in unrealized appreciation on investments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(9,659,729)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(19,545,712)</w:t>
            </w:r>
          </w:p>
        </w:tc>
      </w:tr>
      <w:tr>
        <w:trPr>
          <w:trHeight w:val="149"/>
        </w:trPr>
        <w:tc>
          <w:tcPr>
            <w:tcW w:w="57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(Gain) loss on fair value adjustment for embedded derivative</w:t>
            </w:r>
          </w:p>
        </w:tc>
        <w:tc>
          <w:tcPr>
            <w:tcW w:w="10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(787,000)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421,000</w:t>
            </w:r>
          </w:p>
        </w:tc>
      </w:tr>
      <w:tr>
        <w:trPr>
          <w:trHeight w:val="149"/>
        </w:trPr>
        <w:tc>
          <w:tcPr>
            <w:tcW w:w="5760" w:type="dxa"/>
            <w:vAlign w:val="bottom"/>
            <w:tcBorders>
              <w:left w:val="single" w:sz="8" w:color="CCEEFF"/>
            </w:tcBorders>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Net deferred tax liability</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3,488,769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57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Amortization of deferred credit facility fees</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146,663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5760" w:type="dxa"/>
            <w:vAlign w:val="bottom"/>
            <w:tcBorders>
              <w:left w:val="single" w:sz="8" w:color="CCEEFF"/>
            </w:tcBorders>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debt issuance costs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631,175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28,371</w:t>
            </w:r>
          </w:p>
        </w:tc>
      </w:tr>
      <w:tr>
        <w:trPr>
          <w:trHeight w:val="149"/>
        </w:trPr>
        <w:tc>
          <w:tcPr>
            <w:tcW w:w="57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Amortization of fixed income security premiums and discounts</w:t>
            </w:r>
          </w:p>
        </w:tc>
        <w:tc>
          <w:tcPr>
            <w:tcW w:w="10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(41,426)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5760" w:type="dxa"/>
            <w:vAlign w:val="bottom"/>
            <w:tcBorders>
              <w:left w:val="single" w:sz="8" w:color="CCEEFF"/>
            </w:tcBorders>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Write-off of deferred offering costs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277,977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57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Purchases of investments in: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760" w:type="dxa"/>
            <w:vAlign w:val="bottom"/>
            <w:tcBorders>
              <w:left w:val="single" w:sz="8" w:color="CCEEFF"/>
            </w:tcBorders>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Portfolio investments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(45,852,034)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(24,736,663)</w:t>
            </w:r>
          </w:p>
        </w:tc>
      </w:tr>
      <w:tr>
        <w:trPr>
          <w:trHeight w:val="149"/>
        </w:trPr>
        <w:tc>
          <w:tcPr>
            <w:tcW w:w="576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Money market funds</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(28,000,000)</w:t>
            </w:r>
          </w:p>
        </w:tc>
      </w:tr>
      <w:tr>
        <w:trPr>
          <w:trHeight w:val="149"/>
        </w:trPr>
        <w:tc>
          <w:tcPr>
            <w:tcW w:w="5760" w:type="dxa"/>
            <w:vAlign w:val="bottom"/>
            <w:tcBorders>
              <w:left w:val="single" w:sz="8" w:color="CCEEFF"/>
            </w:tcBorders>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United States treasury bill</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(260,002,734)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(10,845,236)</w:t>
            </w:r>
          </w:p>
        </w:tc>
      </w:tr>
      <w:tr>
        <w:trPr>
          <w:trHeight w:val="149"/>
        </w:trPr>
        <w:tc>
          <w:tcPr>
            <w:tcW w:w="57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Proceeds from sales or redemption of investments in: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760" w:type="dxa"/>
            <w:vAlign w:val="bottom"/>
            <w:tcBorders>
              <w:left w:val="single" w:sz="8" w:color="CCEEFF"/>
            </w:tcBorders>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Portfolio investments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62,502,968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6,858,921</w:t>
            </w:r>
          </w:p>
        </w:tc>
      </w:tr>
      <w:tr>
        <w:trPr>
          <w:trHeight w:val="149"/>
        </w:trPr>
        <w:tc>
          <w:tcPr>
            <w:tcW w:w="576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Money market funds</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16,000,000</w:t>
            </w:r>
          </w:p>
        </w:tc>
      </w:tr>
      <w:tr>
        <w:trPr>
          <w:trHeight w:val="149"/>
        </w:trPr>
        <w:tc>
          <w:tcPr>
            <w:tcW w:w="5760" w:type="dxa"/>
            <w:vAlign w:val="bottom"/>
            <w:tcBorders>
              <w:left w:val="single" w:sz="8" w:color="CCEEFF"/>
            </w:tcBorders>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United States treasury strips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3,603,708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576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United States treasury bill</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160,001,251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5760" w:type="dxa"/>
            <w:vAlign w:val="bottom"/>
            <w:tcBorders>
              <w:lef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Change in operating assets and liabilities: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89"/>
        </w:trPr>
        <w:tc>
          <w:tcPr>
            <w:tcW w:w="5760" w:type="dxa"/>
            <w:vAlign w:val="bottom"/>
            <w:gridSpan w:val="3"/>
          </w:tcPr>
          <w:p>
            <w:pPr>
              <w:ind w:left="200"/>
              <w:spacing w:after="0" w:line="189" w:lineRule="exact"/>
              <w:rPr>
                <w:sz w:val="20"/>
                <w:szCs w:val="20"/>
                <w:color w:val="auto"/>
              </w:rPr>
            </w:pPr>
            <w:r>
              <w:rPr>
                <w:rFonts w:ascii="Arial" w:cs="Arial" w:eastAsia="Arial" w:hAnsi="Arial"/>
                <w:sz w:val="13"/>
                <w:szCs w:val="13"/>
                <w:color w:val="auto"/>
              </w:rPr>
              <w:t>Due from GSV Capital Service Company, LLC</w:t>
            </w:r>
            <w:r>
              <w:rPr>
                <w:rFonts w:ascii="Arial" w:cs="Arial" w:eastAsia="Arial" w:hAnsi="Arial"/>
                <w:sz w:val="21"/>
                <w:szCs w:val="21"/>
                <w:color w:val="auto"/>
                <w:vertAlign w:val="superscript"/>
              </w:rPr>
              <w:t>(1)</w:t>
            </w:r>
          </w:p>
        </w:tc>
        <w:tc>
          <w:tcPr>
            <w:tcW w:w="10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(15,795)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(9,344)</w:t>
            </w:r>
          </w:p>
        </w:tc>
      </w:tr>
      <w:tr>
        <w:trPr>
          <w:trHeight w:val="149"/>
        </w:trPr>
        <w:tc>
          <w:tcPr>
            <w:tcW w:w="5760" w:type="dxa"/>
            <w:vAlign w:val="bottom"/>
            <w:tcBorders>
              <w:left w:val="single" w:sz="8" w:color="CCEEFF"/>
            </w:tcBorders>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Due from portfolio companies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45,304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106,818</w:t>
            </w:r>
          </w:p>
        </w:tc>
      </w:tr>
      <w:tr>
        <w:trPr>
          <w:trHeight w:val="149"/>
        </w:trPr>
        <w:tc>
          <w:tcPr>
            <w:tcW w:w="57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Interest receivable</w:t>
            </w:r>
          </w:p>
        </w:tc>
        <w:tc>
          <w:tcPr>
            <w:tcW w:w="10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(2,256)</w:t>
            </w:r>
          </w:p>
        </w:tc>
      </w:tr>
      <w:tr>
        <w:trPr>
          <w:trHeight w:val="149"/>
        </w:trPr>
        <w:tc>
          <w:tcPr>
            <w:tcW w:w="5760" w:type="dxa"/>
            <w:vAlign w:val="bottom"/>
            <w:tcBorders>
              <w:left w:val="single" w:sz="8" w:color="CCEEFF"/>
            </w:tcBorders>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(192,455)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(294,371)</w:t>
            </w:r>
          </w:p>
        </w:tc>
      </w:tr>
      <w:tr>
        <w:trPr>
          <w:trHeight w:val="149"/>
        </w:trPr>
        <w:tc>
          <w:tcPr>
            <w:tcW w:w="57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Coupon interest receivable</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5760" w:type="dxa"/>
            <w:vAlign w:val="bottom"/>
            <w:tcBorders>
              <w:left w:val="single" w:sz="8" w:color="CCEEFF"/>
            </w:tcBorders>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Dividend receivable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13,233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(11,464)</w:t>
            </w:r>
          </w:p>
        </w:tc>
      </w:tr>
      <w:tr>
        <w:trPr>
          <w:trHeight w:val="149"/>
        </w:trPr>
        <w:tc>
          <w:tcPr>
            <w:tcW w:w="57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34,704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23,538</w:t>
            </w:r>
          </w:p>
        </w:tc>
      </w:tr>
      <w:tr>
        <w:trPr>
          <w:trHeight w:val="189"/>
        </w:trPr>
        <w:tc>
          <w:tcPr>
            <w:tcW w:w="5760" w:type="dxa"/>
            <w:vAlign w:val="bottom"/>
            <w:tcBorders>
              <w:left w:val="single" w:sz="8" w:color="CCEEFF"/>
            </w:tcBorders>
            <w:gridSpan w:val="3"/>
            <w:shd w:val="clear" w:color="auto" w:fill="CCEEFF"/>
          </w:tcPr>
          <w:p>
            <w:pPr>
              <w:ind w:left="200"/>
              <w:spacing w:after="0" w:line="189" w:lineRule="exact"/>
              <w:rPr>
                <w:sz w:val="20"/>
                <w:szCs w:val="20"/>
                <w:color w:val="auto"/>
              </w:rPr>
            </w:pPr>
            <w:r>
              <w:rPr>
                <w:rFonts w:ascii="Arial" w:cs="Arial" w:eastAsia="Arial" w:hAnsi="Arial"/>
                <w:sz w:val="13"/>
                <w:szCs w:val="13"/>
                <w:color w:val="auto"/>
              </w:rPr>
              <w:t>Due to GSV Asset Management</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(515,080)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(17,391)</w:t>
            </w:r>
          </w:p>
        </w:tc>
      </w:tr>
      <w:tr>
        <w:trPr>
          <w:trHeight w:val="149"/>
        </w:trPr>
        <w:tc>
          <w:tcPr>
            <w:tcW w:w="57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Payable for securities purchased</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94,001,484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5760" w:type="dxa"/>
            <w:vAlign w:val="bottom"/>
            <w:tcBorders>
              <w:left w:val="single" w:sz="8" w:color="CCEEFF"/>
            </w:tcBorders>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(280,418)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64,508</w:t>
            </w:r>
          </w:p>
        </w:tc>
      </w:tr>
      <w:tr>
        <w:trPr>
          <w:trHeight w:val="149"/>
        </w:trPr>
        <w:tc>
          <w:tcPr>
            <w:tcW w:w="57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Accrued offering costs</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253,100</w:t>
            </w:r>
          </w:p>
        </w:tc>
      </w:tr>
      <w:tr>
        <w:trPr>
          <w:trHeight w:val="149"/>
        </w:trPr>
        <w:tc>
          <w:tcPr>
            <w:tcW w:w="5760" w:type="dxa"/>
            <w:vAlign w:val="bottom"/>
            <w:tcBorders>
              <w:left w:val="single" w:sz="8" w:color="CCEEFF"/>
            </w:tcBorders>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credit facility fees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3,078</w:t>
            </w:r>
          </w:p>
        </w:tc>
      </w:tr>
      <w:tr>
        <w:trPr>
          <w:trHeight w:val="149"/>
        </w:trPr>
        <w:tc>
          <w:tcPr>
            <w:tcW w:w="57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Accrued incentive fees</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5,498,585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5760" w:type="dxa"/>
            <w:vAlign w:val="bottom"/>
            <w:tcBorders>
              <w:left w:val="single" w:sz="8" w:color="CCEEFF"/>
            </w:tcBorders>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interest payable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(821,308)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191,188</w:t>
            </w:r>
          </w:p>
        </w:tc>
      </w:tr>
      <w:tr>
        <w:trPr>
          <w:trHeight w:val="149"/>
        </w:trPr>
        <w:tc>
          <w:tcPr>
            <w:tcW w:w="57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(255,725)</w:t>
            </w:r>
          </w:p>
        </w:tc>
      </w:tr>
      <w:tr>
        <w:trPr>
          <w:trHeight w:val="20"/>
        </w:trPr>
        <w:tc>
          <w:tcPr>
            <w:tcW w:w="1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5760" w:type="dxa"/>
            <w:vAlign w:val="bottom"/>
            <w:tcBorders>
              <w:left w:val="single" w:sz="8" w:color="CCEEFF"/>
            </w:tcBorders>
            <w:gridSpan w:val="3"/>
            <w:shd w:val="clear" w:color="auto" w:fill="CCEEFF"/>
          </w:tcPr>
          <w:p>
            <w:pPr>
              <w:ind w:left="380"/>
              <w:spacing w:after="0" w:line="142" w:lineRule="exact"/>
              <w:rPr>
                <w:sz w:val="20"/>
                <w:szCs w:val="20"/>
                <w:color w:val="auto"/>
              </w:rPr>
            </w:pPr>
            <w:r>
              <w:rPr>
                <w:rFonts w:ascii="Arial" w:cs="Arial" w:eastAsia="Arial" w:hAnsi="Arial"/>
                <w:sz w:val="14"/>
                <w:szCs w:val="14"/>
                <w:b w:val="1"/>
                <w:bCs w:val="1"/>
                <w:color w:val="auto"/>
              </w:rPr>
              <w:t>Net Cash Used in Operating Activities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(581,922)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(48,190,353)</w:t>
            </w:r>
          </w:p>
        </w:tc>
      </w:tr>
      <w:tr>
        <w:trPr>
          <w:trHeight w:val="142"/>
        </w:trPr>
        <w:tc>
          <w:tcPr>
            <w:tcW w:w="5760" w:type="dxa"/>
            <w:vAlign w:val="bottom"/>
            <w:tcBorders>
              <w:top w:val="single" w:sz="8" w:color="CCEEFF"/>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r>
      <w:tr>
        <w:trPr>
          <w:trHeight w:val="149"/>
        </w:trPr>
        <w:tc>
          <w:tcPr>
            <w:tcW w:w="5760" w:type="dxa"/>
            <w:vAlign w:val="bottom"/>
            <w:tcBorders>
              <w:lef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Borrowings under credit facility</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18,000,000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5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Repayments under credit facility</w:t>
            </w:r>
          </w:p>
        </w:tc>
        <w:tc>
          <w:tcPr>
            <w:tcW w:w="10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(18,000,000)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5760" w:type="dxa"/>
            <w:vAlign w:val="bottom"/>
            <w:tcBorders>
              <w:lef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credit facility fees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(58,998)</w:t>
            </w:r>
          </w:p>
        </w:tc>
      </w:tr>
      <w:tr>
        <w:trPr>
          <w:trHeight w:val="149"/>
        </w:trPr>
        <w:tc>
          <w:tcPr>
            <w:tcW w:w="5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Deferred debt issuance costs</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(3,237,833)</w:t>
            </w:r>
          </w:p>
        </w:tc>
      </w:tr>
      <w:tr>
        <w:trPr>
          <w:trHeight w:val="149"/>
        </w:trPr>
        <w:tc>
          <w:tcPr>
            <w:tcW w:w="5760" w:type="dxa"/>
            <w:vAlign w:val="bottom"/>
            <w:tcBorders>
              <w:lef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offering costs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(93,267)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(365,873)</w:t>
            </w:r>
          </w:p>
        </w:tc>
      </w:tr>
      <w:tr>
        <w:trPr>
          <w:trHeight w:val="149"/>
        </w:trPr>
        <w:tc>
          <w:tcPr>
            <w:tcW w:w="5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Change in restricted cash</w:t>
            </w:r>
          </w:p>
        </w:tc>
        <w:tc>
          <w:tcPr>
            <w:tcW w:w="10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(26,625)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(22,264)</w:t>
            </w:r>
          </w:p>
        </w:tc>
      </w:tr>
      <w:tr>
        <w:trPr>
          <w:trHeight w:val="149"/>
        </w:trPr>
        <w:tc>
          <w:tcPr>
            <w:tcW w:w="5760" w:type="dxa"/>
            <w:vAlign w:val="bottom"/>
            <w:tcBorders>
              <w:lef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Gross proceeds from convertible senior notes issued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69,000,000</w:t>
            </w:r>
          </w:p>
        </w:tc>
      </w:tr>
      <w:tr>
        <w:trPr>
          <w:trHeight w:val="20"/>
        </w:trPr>
        <w:tc>
          <w:tcPr>
            <w:tcW w:w="1560" w:type="dxa"/>
            <w:vAlign w:val="bottom"/>
            <w:tcBorders>
              <w:left w:val="single" w:sz="8" w:color="CCEEFF"/>
            </w:tcBorders>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2"/>
        </w:trPr>
        <w:tc>
          <w:tcPr>
            <w:tcW w:w="5760" w:type="dxa"/>
            <w:vAlign w:val="bottom"/>
            <w:gridSpan w:val="3"/>
          </w:tcPr>
          <w:p>
            <w:pPr>
              <w:ind w:left="380"/>
              <w:spacing w:after="0" w:line="142"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100" w:type="dxa"/>
            <w:vAlign w:val="bottom"/>
          </w:tcPr>
          <w:p>
            <w:pPr>
              <w:spacing w:after="0"/>
              <w:rPr>
                <w:sz w:val="12"/>
                <w:szCs w:val="12"/>
                <w:color w:val="auto"/>
              </w:rPr>
            </w:pPr>
          </w:p>
        </w:tc>
        <w:tc>
          <w:tcPr>
            <w:tcW w:w="102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(119,892)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65,315,032</w:t>
            </w:r>
          </w:p>
        </w:tc>
      </w:tr>
      <w:tr>
        <w:trPr>
          <w:trHeight w:val="20"/>
        </w:trPr>
        <w:tc>
          <w:tcPr>
            <w:tcW w:w="1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5760" w:type="dxa"/>
            <w:vAlign w:val="bottom"/>
            <w:tcBorders>
              <w:left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Increase (Decrease) in Cash Balance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(701,814)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17,124,679</w:t>
            </w:r>
          </w:p>
        </w:tc>
      </w:tr>
      <w:tr>
        <w:trPr>
          <w:trHeight w:val="149"/>
        </w:trPr>
        <w:tc>
          <w:tcPr>
            <w:tcW w:w="5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Cash Balance at Beginning of Period</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7,219,203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11,318,525</w:t>
            </w:r>
          </w:p>
        </w:tc>
      </w:tr>
      <w:tr>
        <w:trPr>
          <w:trHeight w:val="20"/>
        </w:trPr>
        <w:tc>
          <w:tcPr>
            <w:tcW w:w="1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5760" w:type="dxa"/>
            <w:vAlign w:val="bottom"/>
            <w:tcBorders>
              <w:left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Balance at End of Period</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6,517,389</w:t>
            </w:r>
          </w:p>
        </w:tc>
        <w:tc>
          <w:tcPr>
            <w:tcW w:w="2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28,443,204</w:t>
            </w:r>
          </w:p>
        </w:tc>
      </w:tr>
      <w:tr>
        <w:trPr>
          <w:trHeight w:val="142"/>
        </w:trPr>
        <w:tc>
          <w:tcPr>
            <w:tcW w:w="5760" w:type="dxa"/>
            <w:vAlign w:val="bottom"/>
            <w:tcBorders>
              <w:top w:val="single" w:sz="8" w:color="CCEEFF"/>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Non-Cash Operating Items</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r>
      <w:tr>
        <w:trPr>
          <w:trHeight w:val="135"/>
        </w:trPr>
        <w:tc>
          <w:tcPr>
            <w:tcW w:w="5760" w:type="dxa"/>
            <w:vAlign w:val="bottom"/>
            <w:tcBorders>
              <w:left w:val="single" w:sz="8" w:color="CCEEFF"/>
            </w:tcBorders>
            <w:gridSpan w:val="3"/>
            <w:shd w:val="clear" w:color="auto" w:fill="CCEEFF"/>
          </w:tcPr>
          <w:p>
            <w:pPr>
              <w:ind w:left="20"/>
              <w:spacing w:after="0" w:line="135" w:lineRule="exact"/>
              <w:rPr>
                <w:sz w:val="20"/>
                <w:szCs w:val="20"/>
                <w:color w:val="auto"/>
              </w:rPr>
            </w:pPr>
            <w:r>
              <w:rPr>
                <w:rFonts w:ascii="Arial" w:cs="Arial" w:eastAsia="Arial" w:hAnsi="Arial"/>
                <w:sz w:val="14"/>
                <w:szCs w:val="14"/>
                <w:color w:val="auto"/>
              </w:rPr>
              <w:t>Transactions in Investments in Portfolio Companies</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560" w:type="dxa"/>
            <w:vAlign w:val="bottom"/>
            <w:tcBorders>
              <w:left w:val="single" w:sz="8" w:color="CCEEFF"/>
            </w:tcBorders>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2"/>
        </w:trPr>
        <w:tc>
          <w:tcPr>
            <w:tcW w:w="57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Convertible notes converted to preferred shares</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3,064,135</w:t>
            </w:r>
          </w:p>
        </w:tc>
        <w:tc>
          <w:tcPr>
            <w:tcW w:w="2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r>
      <w:tr>
        <w:trPr>
          <w:trHeight w:val="149"/>
        </w:trPr>
        <w:tc>
          <w:tcPr>
            <w:tcW w:w="5760" w:type="dxa"/>
            <w:vAlign w:val="bottom"/>
            <w:tcBorders>
              <w:lef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Term loan converted to preferred shares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503,851</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5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Preferred shares converted to common shares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1,273,125</w:t>
            </w:r>
          </w:p>
        </w:tc>
        <w:tc>
          <w:tcPr>
            <w:tcW w:w="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1,999,997</w:t>
            </w:r>
          </w:p>
        </w:tc>
      </w:tr>
      <w:tr>
        <w:trPr>
          <w:trHeight w:val="149"/>
        </w:trPr>
        <w:tc>
          <w:tcPr>
            <w:tcW w:w="5760" w:type="dxa"/>
            <w:vAlign w:val="bottom"/>
            <w:tcBorders>
              <w:lef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converted to preferred shares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2,006,077</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12,481,883</w:t>
            </w:r>
          </w:p>
        </w:tc>
      </w:tr>
      <w:tr>
        <w:trPr>
          <w:trHeight w:val="149"/>
        </w:trPr>
        <w:tc>
          <w:tcPr>
            <w:tcW w:w="57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Common membership interest converted to preferred shares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500,000</w:t>
            </w:r>
          </w:p>
        </w:tc>
        <w:tc>
          <w:tcPr>
            <w:tcW w:w="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35"/>
        </w:trPr>
        <w:tc>
          <w:tcPr>
            <w:tcW w:w="5760" w:type="dxa"/>
            <w:vAlign w:val="bottom"/>
            <w:tcBorders>
              <w:left w:val="single" w:sz="8" w:color="CCEEFF"/>
            </w:tcBorders>
            <w:gridSpan w:val="3"/>
            <w:shd w:val="clear" w:color="auto" w:fill="CCEEFF"/>
          </w:tcPr>
          <w:p>
            <w:pPr>
              <w:ind w:left="20"/>
              <w:spacing w:after="0" w:line="135" w:lineRule="exact"/>
              <w:rPr>
                <w:sz w:val="20"/>
                <w:szCs w:val="20"/>
                <w:color w:val="auto"/>
              </w:rPr>
            </w:pPr>
            <w:r>
              <w:rPr>
                <w:rFonts w:ascii="Arial" w:cs="Arial" w:eastAsia="Arial" w:hAnsi="Arial"/>
                <w:sz w:val="14"/>
                <w:szCs w:val="14"/>
                <w:color w:val="auto"/>
              </w:rPr>
              <w:t>Non-Cash Financing Items</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0"/>
        </w:trPr>
        <w:tc>
          <w:tcPr>
            <w:tcW w:w="1560" w:type="dxa"/>
            <w:vAlign w:val="bottom"/>
            <w:tcBorders>
              <w:left w:val="single" w:sz="8" w:color="CCEEFF"/>
            </w:tcBorders>
            <w:shd w:val="clear" w:color="auto" w:fill="000000"/>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76"/>
        </w:trPr>
        <w:tc>
          <w:tcPr>
            <w:tcW w:w="5760" w:type="dxa"/>
            <w:vAlign w:val="bottom"/>
            <w:gridSpan w:val="3"/>
          </w:tcPr>
          <w:p>
            <w:pPr>
              <w:ind w:left="20"/>
              <w:spacing w:after="0"/>
              <w:rPr>
                <w:sz w:val="20"/>
                <w:szCs w:val="20"/>
                <w:color w:val="auto"/>
              </w:rPr>
            </w:pPr>
            <w:r>
              <w:rPr>
                <w:rFonts w:ascii="Arial" w:cs="Arial" w:eastAsia="Arial" w:hAnsi="Arial"/>
                <w:sz w:val="14"/>
                <w:szCs w:val="14"/>
                <w:color w:val="auto"/>
              </w:rPr>
              <w:t>Fair value of make-whole derivative resulting from issuance of convertible debt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700,000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-2070100</wp:posOffset>
            </wp:positionV>
            <wp:extent cx="5213985"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-1306830</wp:posOffset>
            </wp:positionV>
            <wp:extent cx="5213985" cy="111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-904240</wp:posOffset>
            </wp:positionV>
            <wp:extent cx="521398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149860</wp:posOffset>
            </wp:positionV>
            <wp:extent cx="617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This balance is a related party transaction. Refer to Note 2 Related Party Arrangements.</w:t>
      </w:r>
    </w:p>
    <w:p>
      <w:pPr>
        <w:spacing w:after="0" w:line="200" w:lineRule="exact"/>
        <w:rPr>
          <w:sz w:val="20"/>
          <w:szCs w:val="20"/>
          <w:color w:val="auto"/>
        </w:rPr>
      </w:pPr>
    </w:p>
    <w:p>
      <w:pPr>
        <w:spacing w:after="0" w:line="34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 w:name="page7"/>
    <w:bookmarkEnd w:id="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3"/>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13"/>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Twitter,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 Social</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Communication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1,600,600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$27,551,563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w w:val="98"/>
              </w:rPr>
              <w:t>$82,558,948</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28.16%</w:t>
            </w:r>
          </w:p>
        </w:tc>
        <w:tc>
          <w:tcPr>
            <w:tcW w:w="0" w:type="dxa"/>
            <w:vAlign w:val="bottom"/>
          </w:tcPr>
          <w:p>
            <w:pPr>
              <w:spacing w:after="0"/>
              <w:rPr>
                <w:sz w:val="1"/>
                <w:szCs w:val="1"/>
                <w:color w:val="auto"/>
              </w:rPr>
            </w:pPr>
          </w:p>
        </w:tc>
      </w:tr>
      <w:tr>
        <w:trPr>
          <w:trHeight w:val="165"/>
        </w:trPr>
        <w:tc>
          <w:tcPr>
            <w:tcW w:w="266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Palantir Technologies,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 Class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Palo Alto,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Cyber Security</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6,825,690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19,186,552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37,541,295</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G</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326,797</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1,008,968</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2,003,266</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20,195,520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39,544,561</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156"/>
        </w:trPr>
        <w:tc>
          <w:tcPr>
            <w:tcW w:w="2660" w:type="dxa"/>
            <w:vAlign w:val="bottom"/>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Dropbox,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Online Storage</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760,000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8,641,153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15,304,500</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552,486</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5,015,333</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11,125,687</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13,656,486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26,430,187</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196"/>
        </w:trPr>
        <w:tc>
          <w:tcPr>
            <w:tcW w:w="2660" w:type="dxa"/>
            <w:vAlign w:val="bottom"/>
            <w:gridSpan w:val="13"/>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2U, Inc. (f/k/a 2tor, Inc.)</w:t>
            </w:r>
            <w:r>
              <w:rPr>
                <w:rFonts w:ascii="Arial" w:cs="Arial" w:eastAsia="Arial" w:hAnsi="Arial"/>
                <w:sz w:val="22"/>
                <w:szCs w:val="22"/>
                <w:b w:val="1"/>
                <w:bCs w:val="1"/>
                <w:color w:val="auto"/>
                <w:vertAlign w:val="superscript"/>
              </w:rPr>
              <w:t>(9)</w:t>
            </w: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Landover, MD</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1,319,233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10,032,117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18,508,839</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165"/>
        </w:trPr>
        <w:tc>
          <w:tcPr>
            <w:tcW w:w="266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Coursera,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Mountain View,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2,961,399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14,519,443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14,513,002</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165"/>
        </w:trPr>
        <w:tc>
          <w:tcPr>
            <w:tcW w:w="266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Solexel,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8"/>
              </w:rPr>
              <w:t>Milpitas,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Solar Power</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5,300,158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11,598,649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11,580,845</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1,613,413</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2,419,151</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2,419,151</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14,017,800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13,999,996</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156"/>
        </w:trPr>
        <w:tc>
          <w:tcPr>
            <w:tcW w:w="2660" w:type="dxa"/>
            <w:vAlign w:val="bottom"/>
            <w:gridSpan w:val="13"/>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SugarCRM,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Cupertino,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Customer Relationship</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1,899,799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6,799,392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10,024,532</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Manager</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373,134</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1,500,522</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2,099,875</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2"/>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8,299,914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12,124,407</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196"/>
        </w:trPr>
        <w:tc>
          <w:tcPr>
            <w:tcW w:w="2660" w:type="dxa"/>
            <w:vAlign w:val="bottom"/>
            <w:gridSpan w:val="13"/>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Avenues Global Holdings, LLC</w:t>
            </w:r>
            <w:r>
              <w:rPr>
                <w:rFonts w:ascii="Arial" w:cs="Arial" w:eastAsia="Arial" w:hAnsi="Arial"/>
                <w:sz w:val="22"/>
                <w:szCs w:val="22"/>
                <w:b w:val="1"/>
                <w:bCs w:val="1"/>
                <w:color w:val="auto"/>
                <w:vertAlign w:val="superscript"/>
              </w:rPr>
              <w:t>(3)</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w w:val="91"/>
              </w:rPr>
              <w:t>Preferred shares, Junior Preferred Stock</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Globally-focused Private</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School</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10,014,270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10,151,854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11,239,445</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Declara,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6"/>
              </w:rPr>
              <w:t>Palo Alto,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Social Cognitive Learning</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5,358,195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9,999,999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10,138,355</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06"/>
        </w:trPr>
        <w:tc>
          <w:tcPr>
            <w:tcW w:w="2660" w:type="dxa"/>
            <w:vAlign w:val="bottom"/>
            <w:gridSpan w:val="13"/>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PayNearMe,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Sunnyvale, CA</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Cash Payment Network</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3,914,535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10,000,401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10,000,000</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186"/>
        </w:trPr>
        <w:tc>
          <w:tcPr>
            <w:tcW w:w="266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JAMF Holdings, Inc.</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Minneapolis, MN</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Mobile Device</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Management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73,440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9,999,928</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9,999,906</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03"/>
        </w:trPr>
        <w:tc>
          <w:tcPr>
            <w:tcW w:w="266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Curious.com Inc.</w:t>
            </w:r>
            <w:r>
              <w:rPr>
                <w:rFonts w:ascii="Arial" w:cs="Arial" w:eastAsia="Arial" w:hAnsi="Arial"/>
                <w:sz w:val="23"/>
                <w:szCs w:val="23"/>
                <w:b w:val="1"/>
                <w:bCs w:val="1"/>
                <w:color w:val="auto"/>
                <w:vertAlign w:val="superscript"/>
              </w:rPr>
              <w:t>(1)</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Menlo Park, CA</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2,839,861</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10,000,003</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9,997,234</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-5342255</wp:posOffset>
            </wp:positionV>
            <wp:extent cx="521398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-4681855</wp:posOffset>
            </wp:positionV>
            <wp:extent cx="52139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-3223895</wp:posOffset>
            </wp:positionV>
            <wp:extent cx="52139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-2563495</wp:posOffset>
            </wp:positionV>
            <wp:extent cx="52139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10"/>
            <w:vMerge w:val="continue"/>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2"/>
                <w:szCs w:val="22"/>
                <w:b w:val="1"/>
                <w:bCs w:val="1"/>
                <w:color w:val="auto"/>
                <w:vertAlign w:val="superscript"/>
              </w:rPr>
              <w:t>(2)(5)</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Interactive Learning</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3,279,629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$ 2,019,687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$ 4,102,129</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2,779,134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4,000,787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3,966,353</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366,666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269,001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93"/>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Unit Warrants $1.76 Strike</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Price, Expiration Date 1/6/15</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568,753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28,438</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6,130,474</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8,365,921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56"/>
        </w:trPr>
        <w:tc>
          <w:tcPr>
            <w:tcW w:w="2660" w:type="dxa"/>
            <w:vAlign w:val="bottom"/>
            <w:gridSpan w:val="10"/>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Chegg,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Santa Clara,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Textbook Rental</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1,182,792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14,022,863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7,380,622</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65"/>
        </w:trPr>
        <w:tc>
          <w:tcPr>
            <w:tcW w:w="2660" w:type="dxa"/>
            <w:vAlign w:val="bottom"/>
            <w:gridSpan w:val="10"/>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General Assembly Space,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133,213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2,999,983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3,118,666</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126,552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2,999,978</w:t>
            </w: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2,999,970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5,999,961</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6,118,636</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56"/>
        </w:trPr>
        <w:tc>
          <w:tcPr>
            <w:tcW w:w="2660" w:type="dxa"/>
            <w:vAlign w:val="bottom"/>
            <w:gridSpan w:val="10"/>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Spotify Technology S.A.**</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Stockholm, Sweden</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2"/>
              </w:rPr>
              <w:t>Music Streaming Service</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3,658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3,598,472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5,399,857</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65"/>
        </w:trPr>
        <w:tc>
          <w:tcPr>
            <w:tcW w:w="2660" w:type="dxa"/>
            <w:vAlign w:val="bottom"/>
            <w:gridSpan w:val="10"/>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Lyft,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Peer to Peer Ridesharing</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493,490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5,003,631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5,044,702</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65"/>
        </w:trPr>
        <w:tc>
          <w:tcPr>
            <w:tcW w:w="2660" w:type="dxa"/>
            <w:vAlign w:val="bottom"/>
            <w:gridSpan w:val="10"/>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Knewton,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375,985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4,999,999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5,000,450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65"/>
        </w:trPr>
        <w:tc>
          <w:tcPr>
            <w:tcW w:w="2660" w:type="dxa"/>
            <w:vAlign w:val="bottom"/>
            <w:gridSpan w:val="10"/>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Course Hero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4"/>
              </w:rPr>
              <w:t>Redwood City, CA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Online Education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2,145,509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5,000,001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5,000,001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5"/>
              </w:rPr>
              <w:t>Cambridge, MA</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w w:val="91"/>
              </w:rPr>
              <w:t>Business Education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1,728,724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3,193,444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1,625,001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0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1,655,167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2,956,022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3,111,714</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Expiration Date 3/22/2020</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186,170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67,021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33,394</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12/11/2018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82,418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9,799</w:t>
            </w:r>
          </w:p>
        </w:tc>
        <w:tc>
          <w:tcPr>
            <w:tcW w:w="1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Expiration Date 12/11/2018</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412,088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50,970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5/16/2019</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192,308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23,244</w:t>
            </w:r>
          </w:p>
        </w:tc>
        <w:tc>
          <w:tcPr>
            <w:tcW w:w="1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660" w:type="dxa"/>
            <w:vAlign w:val="bottom"/>
            <w:gridSpan w:val="10"/>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Expiration Date 3/22/2020</w:t>
            </w: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714,286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85,779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66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w w:val="96"/>
              </w:rPr>
              <w:t>Common warrants, $0.91 Strike Price,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9"/>
            <w:shd w:val="clear" w:color="auto" w:fill="CCEEFF"/>
          </w:tcPr>
          <w:p>
            <w:pPr>
              <w:ind w:left="180"/>
              <w:spacing w:after="0"/>
              <w:rPr>
                <w:sz w:val="20"/>
                <w:szCs w:val="20"/>
                <w:color w:val="auto"/>
              </w:rPr>
            </w:pPr>
            <w:r>
              <w:rPr>
                <w:rFonts w:ascii="Arial" w:cs="Arial" w:eastAsia="Arial" w:hAnsi="Arial"/>
                <w:sz w:val="16"/>
                <w:szCs w:val="16"/>
                <w:color w:val="auto"/>
              </w:rPr>
              <w:t>Expiration Date 10/09/2018</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82,418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1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9"/>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6,396,180</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4,770,109</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-4965065</wp:posOffset>
            </wp:positionV>
            <wp:extent cx="521398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-3918585</wp:posOffset>
            </wp:positionV>
            <wp:extent cx="521398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2"/>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2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Headquarters/Industry</w:t>
            </w: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60" w:type="dxa"/>
            <w:vAlign w:val="bottom"/>
            <w:gridSpan w:val="12"/>
            <w:vMerge w:val="continue"/>
          </w:tcPr>
          <w:p>
            <w:pPr>
              <w:spacing w:after="0"/>
              <w:rPr>
                <w:sz w:val="14"/>
                <w:szCs w:val="14"/>
                <w:color w:val="auto"/>
              </w:rPr>
            </w:pPr>
          </w:p>
        </w:tc>
        <w:tc>
          <w:tcPr>
            <w:tcW w:w="6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820" w:type="dxa"/>
            <w:vAlign w:val="bottom"/>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2"/>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2"/>
                <w:szCs w:val="22"/>
                <w:b w:val="1"/>
                <w:bCs w:val="1"/>
                <w:color w:val="auto"/>
                <w:vertAlign w:val="superscript"/>
              </w:rPr>
              <w:t>(1)(4)</w:t>
            </w:r>
          </w:p>
        </w:tc>
        <w:tc>
          <w:tcPr>
            <w:tcW w:w="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7"/>
              </w:rPr>
              <w:t>New York, NY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3"/>
              </w:rPr>
              <w:t>Globally-focused Private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3"/>
              </w:rPr>
              <w:t>School</w:t>
            </w:r>
          </w:p>
        </w:tc>
        <w:tc>
          <w:tcPr>
            <w:tcW w:w="820" w:type="dxa"/>
            <w:vAlign w:val="bottom"/>
          </w:tcPr>
          <w:p>
            <w:pPr>
              <w:jc w:val="right"/>
              <w:spacing w:after="0"/>
              <w:rPr>
                <w:sz w:val="20"/>
                <w:szCs w:val="20"/>
                <w:color w:val="auto"/>
              </w:rPr>
            </w:pPr>
            <w:r>
              <w:rPr>
                <w:rFonts w:ascii="Arial" w:cs="Arial" w:eastAsia="Arial" w:hAnsi="Arial"/>
                <w:sz w:val="16"/>
                <w:szCs w:val="16"/>
                <w:color w:val="auto"/>
              </w:rPr>
              <w:t>3,000,000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$ 3,000,000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$ 3,000,000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1.02%</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1,577,097</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0.51%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4,577,097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4,500,000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1.53%</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Global Education Learning</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9"/>
            <w:shd w:val="clear" w:color="auto" w:fill="CCEEFF"/>
          </w:tcPr>
          <w:p>
            <w:pPr>
              <w:ind w:left="180"/>
              <w:spacing w:after="0" w:line="223" w:lineRule="exact"/>
              <w:rPr>
                <w:sz w:val="20"/>
                <w:szCs w:val="20"/>
                <w:color w:val="auto"/>
              </w:rPr>
            </w:pPr>
            <w:r>
              <w:rPr>
                <w:rFonts w:ascii="Arial" w:cs="Arial" w:eastAsia="Arial" w:hAnsi="Arial"/>
                <w:sz w:val="15"/>
                <w:szCs w:val="15"/>
                <w:b w:val="1"/>
                <w:bCs w:val="1"/>
                <w:color w:val="auto"/>
              </w:rPr>
              <w:t>(Holdings) Ltd.</w:t>
            </w:r>
            <w:r>
              <w:rPr>
                <w:rFonts w:ascii="Arial" w:cs="Arial" w:eastAsia="Arial" w:hAnsi="Arial"/>
                <w:sz w:val="25"/>
                <w:szCs w:val="25"/>
                <w:b w:val="1"/>
                <w:bCs w:val="1"/>
                <w:color w:val="auto"/>
                <w:vertAlign w:val="superscript"/>
              </w:rPr>
              <w:t>(1)</w:t>
            </w:r>
            <w:r>
              <w:rPr>
                <w:rFonts w:ascii="Arial" w:cs="Arial" w:eastAsia="Arial" w:hAnsi="Arial"/>
                <w:sz w:val="15"/>
                <w:szCs w:val="15"/>
                <w:b w:val="1"/>
                <w:bCs w:val="1"/>
                <w:color w:val="auto"/>
              </w:rPr>
              <w:t>**</w:t>
            </w:r>
          </w:p>
        </w:tc>
        <w:tc>
          <w:tcPr>
            <w:tcW w:w="74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Hong Kong</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Education Technology</w:t>
            </w:r>
          </w:p>
        </w:tc>
        <w:tc>
          <w:tcPr>
            <w:tcW w:w="820" w:type="dxa"/>
            <w:vAlign w:val="bottom"/>
          </w:tcPr>
          <w:p>
            <w:pPr>
              <w:jc w:val="right"/>
              <w:spacing w:after="0"/>
              <w:rPr>
                <w:sz w:val="20"/>
                <w:szCs w:val="20"/>
                <w:color w:val="auto"/>
              </w:rPr>
            </w:pPr>
            <w:r>
              <w:rPr>
                <w:rFonts w:ascii="Arial" w:cs="Arial" w:eastAsia="Arial" w:hAnsi="Arial"/>
                <w:sz w:val="16"/>
                <w:szCs w:val="16"/>
                <w:color w:val="auto"/>
              </w:rPr>
              <w:t>2,126,475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4,335,671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4,333,331</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1.48%</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Gilt Groupe,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7"/>
              </w:rPr>
              <w:t>New York, NY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89"/>
              </w:rPr>
              <w:t>e-Commerce Flash Sales</w:t>
            </w:r>
          </w:p>
        </w:tc>
        <w:tc>
          <w:tcPr>
            <w:tcW w:w="820" w:type="dxa"/>
            <w:vAlign w:val="bottom"/>
          </w:tcPr>
          <w:p>
            <w:pPr>
              <w:jc w:val="right"/>
              <w:spacing w:after="0"/>
              <w:rPr>
                <w:sz w:val="20"/>
                <w:szCs w:val="20"/>
                <w:color w:val="auto"/>
              </w:rPr>
            </w:pPr>
            <w:r>
              <w:rPr>
                <w:rFonts w:ascii="Arial" w:cs="Arial" w:eastAsia="Arial" w:hAnsi="Arial"/>
                <w:sz w:val="16"/>
                <w:szCs w:val="16"/>
                <w:color w:val="auto"/>
              </w:rPr>
              <w:t>248,600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6,594,433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4,329,440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1.48%</w:t>
            </w:r>
          </w:p>
        </w:tc>
        <w:tc>
          <w:tcPr>
            <w:tcW w:w="0" w:type="dxa"/>
            <w:vAlign w:val="bottom"/>
          </w:tcPr>
          <w:p>
            <w:pPr>
              <w:spacing w:after="0"/>
              <w:rPr>
                <w:sz w:val="1"/>
                <w:szCs w:val="1"/>
                <w:color w:val="auto"/>
              </w:rPr>
            </w:pPr>
          </w:p>
        </w:tc>
      </w:tr>
      <w:tr>
        <w:trPr>
          <w:trHeight w:val="165"/>
        </w:trPr>
        <w:tc>
          <w:tcPr>
            <w:tcW w:w="2660" w:type="dxa"/>
            <w:vAlign w:val="bottom"/>
            <w:gridSpan w:val="12"/>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Dataminr, Inc.</w:t>
            </w:r>
          </w:p>
        </w:tc>
        <w:tc>
          <w:tcPr>
            <w:tcW w:w="6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7"/>
              </w:rPr>
              <w:t>New York, NY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Social Media Analytics</w:t>
            </w:r>
          </w:p>
        </w:tc>
        <w:tc>
          <w:tcPr>
            <w:tcW w:w="820" w:type="dxa"/>
            <w:vAlign w:val="bottom"/>
          </w:tcPr>
          <w:p>
            <w:pPr>
              <w:jc w:val="right"/>
              <w:spacing w:after="0"/>
              <w:rPr>
                <w:sz w:val="20"/>
                <w:szCs w:val="20"/>
                <w:color w:val="auto"/>
              </w:rPr>
            </w:pPr>
            <w:r>
              <w:rPr>
                <w:rFonts w:ascii="Arial" w:cs="Arial" w:eastAsia="Arial" w:hAnsi="Arial"/>
                <w:sz w:val="16"/>
                <w:szCs w:val="16"/>
                <w:color w:val="auto"/>
              </w:rPr>
              <w:t>904,977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2,063,356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3,055,202</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1.04%</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301,369</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1,100,912</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1,160,330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0.40%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3,164,268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4,215,532</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1.44%</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TrueCar, Inc.</w:t>
            </w:r>
            <w:r>
              <w:rPr>
                <w:rFonts w:ascii="Arial" w:cs="Arial" w:eastAsia="Arial" w:hAnsi="Arial"/>
                <w:sz w:val="22"/>
                <w:szCs w:val="22"/>
                <w:b w:val="1"/>
                <w:bCs w:val="1"/>
                <w:color w:val="auto"/>
                <w:vertAlign w:val="superscript"/>
              </w:rPr>
              <w:t>(10)</w:t>
            </w: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Santa Monica,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4"/>
              </w:rPr>
              <w:t>Online Marketplace</w:t>
            </w:r>
          </w:p>
        </w:tc>
        <w:tc>
          <w:tcPr>
            <w:tcW w:w="820" w:type="dxa"/>
            <w:vAlign w:val="bottom"/>
          </w:tcPr>
          <w:p>
            <w:pPr>
              <w:jc w:val="right"/>
              <w:spacing w:after="0"/>
              <w:rPr>
                <w:sz w:val="20"/>
                <w:szCs w:val="20"/>
                <w:color w:val="auto"/>
              </w:rPr>
            </w:pPr>
            <w:r>
              <w:rPr>
                <w:rFonts w:ascii="Arial" w:cs="Arial" w:eastAsia="Arial" w:hAnsi="Arial"/>
                <w:sz w:val="16"/>
                <w:szCs w:val="16"/>
                <w:color w:val="auto"/>
              </w:rPr>
              <w:t>251,572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2,015,023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4,064,146</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1.39%</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Learnist Inc. (f/k/a Grockit, Inc.)</w:t>
            </w:r>
            <w:r>
              <w:rPr>
                <w:rFonts w:ascii="Arial" w:cs="Arial" w:eastAsia="Arial" w:hAnsi="Arial"/>
                <w:sz w:val="23"/>
                <w:szCs w:val="23"/>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San Francisco,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Online Learning Platform</w:t>
            </w:r>
          </w:p>
        </w:tc>
        <w:tc>
          <w:tcPr>
            <w:tcW w:w="820" w:type="dxa"/>
            <w:vAlign w:val="bottom"/>
          </w:tcPr>
          <w:p>
            <w:pPr>
              <w:jc w:val="right"/>
              <w:spacing w:after="0"/>
              <w:rPr>
                <w:sz w:val="20"/>
                <w:szCs w:val="20"/>
                <w:color w:val="auto"/>
              </w:rPr>
            </w:pPr>
            <w:r>
              <w:rPr>
                <w:rFonts w:ascii="Arial" w:cs="Arial" w:eastAsia="Arial" w:hAnsi="Arial"/>
                <w:sz w:val="16"/>
                <w:szCs w:val="16"/>
                <w:color w:val="auto"/>
              </w:rPr>
              <w:t>2,728,252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2,005,945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2,319,014</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0.79%</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1,731,501</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1,503,670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1,696,871</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0.58%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3,509,615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4,015,885</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1.37%</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Parchment, Inc.</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D</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Scottsdale, AZ</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E-Transcript Exchange</w:t>
            </w:r>
          </w:p>
        </w:tc>
        <w:tc>
          <w:tcPr>
            <w:tcW w:w="820" w:type="dxa"/>
            <w:vAlign w:val="bottom"/>
          </w:tcPr>
          <w:p>
            <w:pPr>
              <w:jc w:val="right"/>
              <w:spacing w:after="0"/>
              <w:rPr>
                <w:sz w:val="20"/>
                <w:szCs w:val="20"/>
                <w:color w:val="auto"/>
              </w:rPr>
            </w:pPr>
            <w:r>
              <w:rPr>
                <w:rFonts w:ascii="Arial" w:cs="Arial" w:eastAsia="Arial" w:hAnsi="Arial"/>
                <w:sz w:val="16"/>
                <w:szCs w:val="16"/>
                <w:color w:val="auto"/>
              </w:rPr>
              <w:t>3,200,512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4,000,982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3,991,808</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1.36%</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NestGSV, Inc.</w:t>
            </w:r>
            <w:r>
              <w:rPr>
                <w:rFonts w:ascii="Arial" w:cs="Arial" w:eastAsia="Arial" w:hAnsi="Arial"/>
                <w:sz w:val="23"/>
                <w:szCs w:val="23"/>
                <w:b w:val="1"/>
                <w:bCs w:val="1"/>
                <w:color w:val="auto"/>
                <w:vertAlign w:val="superscript"/>
              </w:rPr>
              <w:t>(2)</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tcPr>
          <w:p>
            <w:pPr>
              <w:spacing w:after="0"/>
              <w:rPr>
                <w:sz w:val="16"/>
                <w:szCs w:val="16"/>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4"/>
              </w:rPr>
              <w:t>Redwood City,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Incubator</w:t>
            </w:r>
          </w:p>
        </w:tc>
        <w:tc>
          <w:tcPr>
            <w:tcW w:w="820" w:type="dxa"/>
            <w:vAlign w:val="bottom"/>
          </w:tcPr>
          <w:p>
            <w:pPr>
              <w:jc w:val="right"/>
              <w:spacing w:after="0"/>
              <w:rPr>
                <w:sz w:val="20"/>
                <w:szCs w:val="20"/>
                <w:color w:val="auto"/>
              </w:rPr>
            </w:pPr>
            <w:r>
              <w:rPr>
                <w:rFonts w:ascii="Arial" w:cs="Arial" w:eastAsia="Arial" w:hAnsi="Arial"/>
                <w:sz w:val="16"/>
                <w:szCs w:val="16"/>
                <w:color w:val="auto"/>
              </w:rPr>
              <w:t>1,561,625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2,005,730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2,070,867</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0.71%</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1,021,778</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806,000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0.27%</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605,500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443,700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0.15%</w:t>
            </w:r>
          </w:p>
        </w:tc>
        <w:tc>
          <w:tcPr>
            <w:tcW w:w="0" w:type="dxa"/>
            <w:vAlign w:val="bottom"/>
          </w:tcPr>
          <w:p>
            <w:pPr>
              <w:spacing w:after="0"/>
              <w:rPr>
                <w:sz w:val="1"/>
                <w:szCs w:val="1"/>
                <w:color w:val="auto"/>
              </w:rPr>
            </w:pPr>
          </w:p>
        </w:tc>
      </w:tr>
      <w:tr>
        <w:trPr>
          <w:trHeight w:val="193"/>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warrants, Series C – $1.33</w:t>
            </w:r>
          </w:p>
        </w:tc>
        <w:tc>
          <w:tcPr>
            <w:tcW w:w="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40" w:type="dxa"/>
            <w:vAlign w:val="bottom"/>
            <w:gridSpan w:val="11"/>
            <w:shd w:val="clear" w:color="auto" w:fill="CCEEFF"/>
          </w:tcPr>
          <w:p>
            <w:pPr>
              <w:ind w:left="180"/>
              <w:spacing w:after="0"/>
              <w:rPr>
                <w:sz w:val="20"/>
                <w:szCs w:val="20"/>
                <w:color w:val="auto"/>
              </w:rPr>
            </w:pPr>
            <w:r>
              <w:rPr>
                <w:rFonts w:ascii="Arial" w:cs="Arial" w:eastAsia="Arial" w:hAnsi="Arial"/>
                <w:sz w:val="16"/>
                <w:szCs w:val="16"/>
                <w:color w:val="auto"/>
              </w:rPr>
              <w:t>Strike Price, Expiration Date</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4/9/2019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187,500</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52,500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0.02%</w:t>
            </w:r>
          </w:p>
        </w:tc>
        <w:tc>
          <w:tcPr>
            <w:tcW w:w="0" w:type="dxa"/>
            <w:vAlign w:val="bottom"/>
          </w:tcPr>
          <w:p>
            <w:pPr>
              <w:spacing w:after="0"/>
              <w:rPr>
                <w:sz w:val="1"/>
                <w:szCs w:val="1"/>
                <w:color w:val="auto"/>
              </w:rPr>
            </w:pPr>
          </w:p>
        </w:tc>
      </w:tr>
      <w:tr>
        <w:trPr>
          <w:trHeight w:val="20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203"/>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Convertible Promissory Note</w:t>
            </w:r>
          </w:p>
        </w:tc>
        <w:tc>
          <w:tcPr>
            <w:tcW w:w="2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504,083</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0.17%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4,134,008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3,878,150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1.32%</w:t>
            </w:r>
          </w:p>
        </w:tc>
        <w:tc>
          <w:tcPr>
            <w:tcW w:w="0" w:type="dxa"/>
            <w:vAlign w:val="bottom"/>
          </w:tcPr>
          <w:p>
            <w:pPr>
              <w:spacing w:after="0"/>
              <w:rPr>
                <w:sz w:val="1"/>
                <w:szCs w:val="1"/>
                <w:color w:val="auto"/>
              </w:rPr>
            </w:pPr>
          </w:p>
        </w:tc>
      </w:tr>
      <w:tr>
        <w:trPr>
          <w:trHeight w:val="196"/>
        </w:trPr>
        <w:tc>
          <w:tcPr>
            <w:tcW w:w="2660" w:type="dxa"/>
            <w:vAlign w:val="bottom"/>
            <w:gridSpan w:val="12"/>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Ozy Media, Inc.</w:t>
            </w:r>
            <w:r>
              <w:rPr>
                <w:rFonts w:ascii="Arial" w:cs="Arial" w:eastAsia="Arial" w:hAnsi="Arial"/>
                <w:sz w:val="22"/>
                <w:szCs w:val="22"/>
                <w:b w:val="1"/>
                <w:bCs w:val="1"/>
                <w:color w:val="auto"/>
                <w:vertAlign w:val="superscript"/>
              </w:rPr>
              <w:t>(1)</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5"/>
              </w:rPr>
              <w:t>Mountain View,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Daily News and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4"/>
              </w:rPr>
              <w:t>Information Site</w:t>
            </w:r>
          </w:p>
        </w:tc>
        <w:tc>
          <w:tcPr>
            <w:tcW w:w="820" w:type="dxa"/>
            <w:vAlign w:val="bottom"/>
          </w:tcPr>
          <w:p>
            <w:pPr>
              <w:jc w:val="right"/>
              <w:spacing w:after="0"/>
              <w:rPr>
                <w:sz w:val="20"/>
                <w:szCs w:val="20"/>
                <w:color w:val="auto"/>
              </w:rPr>
            </w:pPr>
            <w:r>
              <w:rPr>
                <w:rFonts w:ascii="Arial" w:cs="Arial" w:eastAsia="Arial" w:hAnsi="Arial"/>
                <w:sz w:val="16"/>
                <w:szCs w:val="16"/>
                <w:color w:val="auto"/>
              </w:rPr>
              <w:t>1,090,909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3,000,200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1.02%</w:t>
            </w:r>
          </w:p>
        </w:tc>
        <w:tc>
          <w:tcPr>
            <w:tcW w:w="0" w:type="dxa"/>
            <w:vAlign w:val="bottom"/>
          </w:tcPr>
          <w:p>
            <w:pPr>
              <w:spacing w:after="0"/>
              <w:rPr>
                <w:sz w:val="1"/>
                <w:szCs w:val="1"/>
                <w:color w:val="auto"/>
              </w:rPr>
            </w:pPr>
          </w:p>
        </w:tc>
      </w:tr>
      <w:tr>
        <w:trPr>
          <w:trHeight w:val="206"/>
        </w:trPr>
        <w:tc>
          <w:tcPr>
            <w:tcW w:w="266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auto"/>
              </w:rPr>
              <w:t>Preferred shares, Series Seed</w:t>
            </w: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865,000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0.30%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3,500,200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3,865,000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1.32%</w:t>
            </w:r>
          </w:p>
        </w:tc>
        <w:tc>
          <w:tcPr>
            <w:tcW w:w="0" w:type="dxa"/>
            <w:vAlign w:val="bottom"/>
          </w:tcPr>
          <w:p>
            <w:pPr>
              <w:spacing w:after="0"/>
              <w:rPr>
                <w:sz w:val="1"/>
                <w:szCs w:val="1"/>
                <w:color w:val="auto"/>
              </w:rPr>
            </w:pPr>
          </w:p>
        </w:tc>
      </w:tr>
      <w:tr>
        <w:trPr>
          <w:trHeight w:val="156"/>
        </w:trPr>
        <w:tc>
          <w:tcPr>
            <w:tcW w:w="2660" w:type="dxa"/>
            <w:vAlign w:val="bottom"/>
            <w:gridSpan w:val="12"/>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Bloom Energy Corporation</w:t>
            </w:r>
          </w:p>
        </w:tc>
        <w:tc>
          <w:tcPr>
            <w:tcW w:w="6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2"/>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Sunnyvale, CA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Fuel Cell Energy</w:t>
            </w:r>
          </w:p>
        </w:tc>
        <w:tc>
          <w:tcPr>
            <w:tcW w:w="820" w:type="dxa"/>
            <w:vAlign w:val="bottom"/>
          </w:tcPr>
          <w:p>
            <w:pPr>
              <w:jc w:val="right"/>
              <w:spacing w:after="0"/>
              <w:rPr>
                <w:sz w:val="20"/>
                <w:szCs w:val="20"/>
                <w:color w:val="auto"/>
              </w:rPr>
            </w:pPr>
            <w:r>
              <w:rPr>
                <w:rFonts w:ascii="Arial" w:cs="Arial" w:eastAsia="Arial" w:hAnsi="Arial"/>
                <w:sz w:val="16"/>
                <w:szCs w:val="16"/>
                <w:color w:val="auto"/>
              </w:rPr>
              <w:t>201,589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3,855,601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3,097,422</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-5869940</wp:posOffset>
            </wp:positionV>
            <wp:extent cx="521398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-4283710</wp:posOffset>
            </wp:positionV>
            <wp:extent cx="521398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-3185795</wp:posOffset>
            </wp:positionV>
            <wp:extent cx="521398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-1341755</wp:posOffset>
            </wp:positionV>
            <wp:extent cx="521398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-527050</wp:posOffset>
            </wp:positionV>
            <wp:extent cx="521398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4"/>
                <w:szCs w:val="14"/>
                <w:color w:val="auto"/>
              </w:rPr>
            </w:pPr>
          </w:p>
        </w:tc>
        <w:tc>
          <w:tcPr>
            <w:tcW w:w="20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Headquarters/Industry</w:t>
            </w:r>
          </w:p>
        </w:tc>
        <w:tc>
          <w:tcPr>
            <w:tcW w:w="80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680" w:type="dxa"/>
            <w:vAlign w:val="bottom"/>
            <w:gridSpan w:val="11"/>
            <w:vMerge w:val="continue"/>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800" w:type="dxa"/>
            <w:vAlign w:val="bottom"/>
          </w:tcPr>
          <w:p>
            <w:pPr>
              <w:jc w:val="right"/>
              <w:ind w:right="10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80" w:type="dxa"/>
            <w:vAlign w:val="bottom"/>
            <w:tcBorders>
              <w:top w:val="single" w:sz="8" w:color="auto"/>
            </w:tcBorders>
            <w:gridSpan w:val="11"/>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gridSpan w:val="11"/>
          </w:tcPr>
          <w:p>
            <w:pPr>
              <w:ind w:left="20"/>
              <w:spacing w:after="0"/>
              <w:rPr>
                <w:sz w:val="20"/>
                <w:szCs w:val="20"/>
                <w:color w:val="auto"/>
              </w:rPr>
            </w:pPr>
            <w:r>
              <w:rPr>
                <w:rFonts w:ascii="Arial" w:cs="Arial" w:eastAsia="Arial" w:hAnsi="Arial"/>
                <w:sz w:val="16"/>
                <w:szCs w:val="16"/>
                <w:color w:val="auto"/>
                <w:w w:val="96"/>
              </w:rPr>
              <w:t>Convertible preferred shares, Series C</w:t>
            </w:r>
          </w:p>
        </w:tc>
        <w:tc>
          <w:tcPr>
            <w:tcW w:w="80" w:type="dxa"/>
            <w:vAlign w:val="bottom"/>
          </w:tcPr>
          <w:p>
            <w:pPr>
              <w:spacing w:after="0"/>
              <w:rPr>
                <w:sz w:val="16"/>
                <w:szCs w:val="16"/>
                <w:color w:val="auto"/>
              </w:rPr>
            </w:pPr>
          </w:p>
        </w:tc>
        <w:tc>
          <w:tcPr>
            <w:tcW w:w="2060" w:type="dxa"/>
            <w:vAlign w:val="bottom"/>
            <w:gridSpan w:val="3"/>
          </w:tcPr>
          <w:p>
            <w:pPr>
              <w:jc w:val="center"/>
              <w:ind w:right="160"/>
              <w:spacing w:after="0"/>
              <w:rPr>
                <w:sz w:val="20"/>
                <w:szCs w:val="20"/>
                <w:color w:val="auto"/>
              </w:rPr>
            </w:pPr>
            <w:r>
              <w:rPr>
                <w:rFonts w:ascii="Arial" w:cs="Arial" w:eastAsia="Arial" w:hAnsi="Arial"/>
                <w:sz w:val="16"/>
                <w:szCs w:val="16"/>
                <w:color w:val="auto"/>
                <w:w w:val="91"/>
              </w:rPr>
              <w:t>San Francisco, CA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3"/>
          </w:tcPr>
          <w:p>
            <w:pPr>
              <w:jc w:val="center"/>
              <w:ind w:right="160"/>
              <w:spacing w:after="0"/>
              <w:rPr>
                <w:sz w:val="20"/>
                <w:szCs w:val="20"/>
                <w:color w:val="auto"/>
              </w:rPr>
            </w:pPr>
            <w:r>
              <w:rPr>
                <w:rFonts w:ascii="Arial" w:cs="Arial" w:eastAsia="Arial" w:hAnsi="Arial"/>
                <w:sz w:val="16"/>
                <w:szCs w:val="16"/>
                <w:color w:val="auto"/>
                <w:w w:val="91"/>
              </w:rPr>
              <w:t>Corporate Education</w:t>
            </w:r>
          </w:p>
        </w:tc>
        <w:tc>
          <w:tcPr>
            <w:tcW w:w="800" w:type="dxa"/>
            <w:vAlign w:val="bottom"/>
          </w:tcPr>
          <w:p>
            <w:pPr>
              <w:jc w:val="right"/>
              <w:spacing w:after="0"/>
              <w:rPr>
                <w:sz w:val="20"/>
                <w:szCs w:val="20"/>
                <w:color w:val="auto"/>
              </w:rPr>
            </w:pPr>
            <w:r>
              <w:rPr>
                <w:rFonts w:ascii="Arial" w:cs="Arial" w:eastAsia="Arial" w:hAnsi="Arial"/>
                <w:sz w:val="16"/>
                <w:szCs w:val="16"/>
                <w:color w:val="auto"/>
              </w:rPr>
              <w:t>615,763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$ 2,006,077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$ 2,298,847</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6"/>
        </w:trPr>
        <w:tc>
          <w:tcPr>
            <w:tcW w:w="26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6"/>
              </w:rPr>
              <w:t>Convertible preferred shares, Series D</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778,607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718,022</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193"/>
        </w:trPr>
        <w:tc>
          <w:tcPr>
            <w:tcW w:w="2680" w:type="dxa"/>
            <w:vAlign w:val="bottom"/>
            <w:gridSpan w:val="11"/>
          </w:tcPr>
          <w:p>
            <w:pPr>
              <w:ind w:left="20"/>
              <w:spacing w:after="0"/>
              <w:rPr>
                <w:sz w:val="20"/>
                <w:szCs w:val="20"/>
                <w:color w:val="auto"/>
              </w:rPr>
            </w:pPr>
            <w:r>
              <w:rPr>
                <w:rFonts w:ascii="Arial" w:cs="Arial" w:eastAsia="Arial" w:hAnsi="Arial"/>
                <w:sz w:val="16"/>
                <w:szCs w:val="16"/>
                <w:color w:val="auto"/>
                <w:w w:val="97"/>
              </w:rPr>
              <w:t>Preferred warrants, $4.59 Strike Price,</w:t>
            </w: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10"/>
          </w:tcPr>
          <w:p>
            <w:pPr>
              <w:ind w:left="180"/>
              <w:spacing w:after="0"/>
              <w:rPr>
                <w:sz w:val="20"/>
                <w:szCs w:val="20"/>
                <w:color w:val="auto"/>
              </w:rPr>
            </w:pPr>
            <w:r>
              <w:rPr>
                <w:rFonts w:ascii="Arial" w:cs="Arial" w:eastAsia="Arial" w:hAnsi="Arial"/>
                <w:sz w:val="16"/>
                <w:szCs w:val="16"/>
                <w:color w:val="auto"/>
              </w:rPr>
              <w:t>Expiration Date 02/25/2018</w:t>
            </w: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16,903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11,832</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2,784,684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3,028,701</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56"/>
        </w:trPr>
        <w:tc>
          <w:tcPr>
            <w:tcW w:w="2680" w:type="dxa"/>
            <w:vAlign w:val="bottom"/>
            <w:tcBorders>
              <w:top w:val="single" w:sz="8" w:color="CCEEFF"/>
            </w:tcBorders>
            <w:gridSpan w:val="11"/>
          </w:tcPr>
          <w:p>
            <w:pPr>
              <w:ind w:left="20"/>
              <w:spacing w:after="0" w:line="155" w:lineRule="exact"/>
              <w:rPr>
                <w:sz w:val="20"/>
                <w:szCs w:val="20"/>
                <w:color w:val="auto"/>
              </w:rPr>
            </w:pPr>
            <w:r>
              <w:rPr>
                <w:rFonts w:ascii="Arial" w:cs="Arial" w:eastAsia="Arial" w:hAnsi="Arial"/>
                <w:sz w:val="16"/>
                <w:szCs w:val="16"/>
                <w:b w:val="1"/>
                <w:bCs w:val="1"/>
                <w:color w:val="auto"/>
              </w:rPr>
              <w:t>DreamBox Learning, Inc.</w:t>
            </w:r>
          </w:p>
        </w:tc>
        <w:tc>
          <w:tcPr>
            <w:tcW w:w="8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80" w:type="dxa"/>
            <w:vAlign w:val="bottom"/>
            <w:shd w:val="clear" w:color="auto" w:fill="CCEEFF"/>
          </w:tcPr>
          <w:p>
            <w:pPr>
              <w:spacing w:after="0"/>
              <w:rPr>
                <w:sz w:val="16"/>
                <w:szCs w:val="16"/>
                <w:color w:val="auto"/>
              </w:rPr>
            </w:pP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3"/>
              </w:rPr>
              <w:t>Bellevue, WA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2"/>
              </w:rPr>
              <w:t>Education Technology</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7,159,221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1,502,362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1,615,910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03"/>
        </w:trPr>
        <w:tc>
          <w:tcPr>
            <w:tcW w:w="268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3,579,610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758,017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807,955</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2,260,379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2,423,865</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196"/>
        </w:trPr>
        <w:tc>
          <w:tcPr>
            <w:tcW w:w="2680" w:type="dxa"/>
            <w:vAlign w:val="bottom"/>
            <w:tcBorders>
              <w:top w:val="single" w:sz="8" w:color="CCEEFF"/>
            </w:tcBorders>
            <w:gridSpan w:val="11"/>
          </w:tcPr>
          <w:p>
            <w:pPr>
              <w:ind w:left="20"/>
              <w:spacing w:after="0" w:line="197" w:lineRule="exact"/>
              <w:rPr>
                <w:sz w:val="20"/>
                <w:szCs w:val="20"/>
                <w:color w:val="auto"/>
              </w:rPr>
            </w:pPr>
            <w:r>
              <w:rPr>
                <w:rFonts w:ascii="Arial" w:cs="Arial" w:eastAsia="Arial" w:hAnsi="Arial"/>
                <w:sz w:val="14"/>
                <w:szCs w:val="14"/>
                <w:b w:val="1"/>
                <w:bCs w:val="1"/>
                <w:color w:val="auto"/>
              </w:rPr>
              <w:t>SharesPost, Inc.</w:t>
            </w:r>
            <w:r>
              <w:rPr>
                <w:rFonts w:ascii="Arial" w:cs="Arial" w:eastAsia="Arial" w:hAnsi="Arial"/>
                <w:sz w:val="22"/>
                <w:szCs w:val="22"/>
                <w:b w:val="1"/>
                <w:bCs w:val="1"/>
                <w:color w:val="auto"/>
                <w:vertAlign w:val="superscript"/>
              </w:rPr>
              <w:t>(6)(11)</w:t>
            </w:r>
          </w:p>
        </w:tc>
        <w:tc>
          <w:tcPr>
            <w:tcW w:w="8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6"/>
                <w:szCs w:val="16"/>
                <w:color w:val="auto"/>
              </w:rPr>
            </w:pP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1"/>
              </w:rPr>
              <w:t>San Bruno, CA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4"/>
              </w:rPr>
              <w:t>Online Marketplace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87"/>
              </w:rPr>
              <w:t>Finance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1,771,653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2,259,717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2,243,268</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193"/>
        </w:trPr>
        <w:tc>
          <w:tcPr>
            <w:tcW w:w="2680" w:type="dxa"/>
            <w:vAlign w:val="bottom"/>
            <w:gridSpan w:val="11"/>
          </w:tcPr>
          <w:p>
            <w:pPr>
              <w:ind w:left="20"/>
              <w:spacing w:after="0"/>
              <w:rPr>
                <w:sz w:val="20"/>
                <w:szCs w:val="20"/>
                <w:color w:val="auto"/>
              </w:rPr>
            </w:pPr>
            <w:r>
              <w:rPr>
                <w:rFonts w:ascii="Arial" w:cs="Arial" w:eastAsia="Arial" w:hAnsi="Arial"/>
                <w:sz w:val="16"/>
                <w:szCs w:val="16"/>
                <w:color w:val="auto"/>
                <w:w w:val="97"/>
              </w:rPr>
              <w:t>Common warrants, $0.13 Strike Price,</w:t>
            </w: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10"/>
          </w:tcPr>
          <w:p>
            <w:pPr>
              <w:ind w:left="180"/>
              <w:spacing w:after="0"/>
              <w:rPr>
                <w:sz w:val="20"/>
                <w:szCs w:val="20"/>
                <w:color w:val="auto"/>
              </w:rPr>
            </w:pPr>
            <w:r>
              <w:rPr>
                <w:rFonts w:ascii="Arial" w:cs="Arial" w:eastAsia="Arial" w:hAnsi="Arial"/>
                <w:sz w:val="16"/>
                <w:szCs w:val="16"/>
                <w:color w:val="auto"/>
              </w:rPr>
              <w:t>Expiration Date 6/15/2018</w:t>
            </w: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770,934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23,128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161,896</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2,282,845</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2,405,164</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196"/>
        </w:trPr>
        <w:tc>
          <w:tcPr>
            <w:tcW w:w="2680" w:type="dxa"/>
            <w:vAlign w:val="bottom"/>
            <w:tcBorders>
              <w:top w:val="single" w:sz="8" w:color="CCEEFF"/>
            </w:tcBorders>
            <w:gridSpan w:val="11"/>
          </w:tcPr>
          <w:p>
            <w:pPr>
              <w:ind w:left="20"/>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(1)</w:t>
            </w:r>
          </w:p>
        </w:tc>
        <w:tc>
          <w:tcPr>
            <w:tcW w:w="8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EEFF"/>
          </w:tcPr>
          <w:p>
            <w:pPr>
              <w:spacing w:after="0"/>
              <w:rPr>
                <w:sz w:val="16"/>
                <w:szCs w:val="16"/>
                <w:color w:val="auto"/>
              </w:rPr>
            </w:pP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1"/>
              </w:rPr>
              <w:t>San Francisco, CA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4"/>
              </w:rPr>
              <w:t>Knowledge Networks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2,000,447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1,999,998</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03"/>
        </w:trPr>
        <w:tc>
          <w:tcPr>
            <w:tcW w:w="268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49,505</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217,206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248,119</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2,217,653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2,248,117</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156"/>
        </w:trPr>
        <w:tc>
          <w:tcPr>
            <w:tcW w:w="2680" w:type="dxa"/>
            <w:vAlign w:val="bottom"/>
            <w:tcBorders>
              <w:top w:val="single" w:sz="8" w:color="CCEEFF"/>
            </w:tcBorders>
            <w:gridSpan w:val="11"/>
          </w:tcPr>
          <w:p>
            <w:pPr>
              <w:ind w:left="20"/>
              <w:spacing w:after="0" w:line="155" w:lineRule="exact"/>
              <w:rPr>
                <w:sz w:val="20"/>
                <w:szCs w:val="20"/>
                <w:color w:val="auto"/>
              </w:rPr>
            </w:pPr>
            <w:r>
              <w:rPr>
                <w:rFonts w:ascii="Arial" w:cs="Arial" w:eastAsia="Arial" w:hAnsi="Arial"/>
                <w:sz w:val="16"/>
                <w:szCs w:val="16"/>
                <w:b w:val="1"/>
                <w:bCs w:val="1"/>
                <w:color w:val="auto"/>
                <w:w w:val="99"/>
              </w:rPr>
              <w:t>Circle Media (f.k.a. S3 Digital Corp.</w:t>
            </w:r>
          </w:p>
        </w:tc>
        <w:tc>
          <w:tcPr>
            <w:tcW w:w="8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top w:val="single" w:sz="8" w:color="auto"/>
            </w:tcBorders>
            <w:gridSpan w:val="9"/>
          </w:tcPr>
          <w:p>
            <w:pPr>
              <w:ind w:left="180"/>
              <w:spacing w:after="0" w:line="223" w:lineRule="exact"/>
              <w:rPr>
                <w:sz w:val="20"/>
                <w:szCs w:val="20"/>
                <w:color w:val="auto"/>
              </w:rPr>
            </w:pPr>
            <w:r>
              <w:rPr>
                <w:rFonts w:ascii="Arial" w:cs="Arial" w:eastAsia="Arial" w:hAnsi="Arial"/>
                <w:sz w:val="15"/>
                <w:szCs w:val="15"/>
                <w:b w:val="1"/>
                <w:bCs w:val="1"/>
                <w:color w:val="auto"/>
              </w:rPr>
              <w:t>(d/b/a S3i)</w:t>
            </w:r>
            <w:r>
              <w:rPr>
                <w:rFonts w:ascii="Arial" w:cs="Arial" w:eastAsia="Arial" w:hAnsi="Arial"/>
                <w:sz w:val="25"/>
                <w:szCs w:val="25"/>
                <w:b w:val="1"/>
                <w:bCs w:val="1"/>
                <w:color w:val="auto"/>
                <w:vertAlign w:val="superscript"/>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EEFF"/>
          </w:tcPr>
          <w:p>
            <w:pPr>
              <w:spacing w:after="0"/>
              <w:rPr>
                <w:sz w:val="16"/>
                <w:szCs w:val="16"/>
                <w:color w:val="auto"/>
              </w:rPr>
            </w:pP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7"/>
              </w:rPr>
              <w:t>New York, NY</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4"/>
              </w:rPr>
              <w:t>Sports Analytics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1,462,269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1,495,899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1,705,006</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03"/>
        </w:trPr>
        <w:tc>
          <w:tcPr>
            <w:tcW w:w="2680" w:type="dxa"/>
            <w:vAlign w:val="bottom"/>
            <w:gridSpan w:val="11"/>
          </w:tcPr>
          <w:p>
            <w:pPr>
              <w:ind w:left="20"/>
              <w:spacing w:after="0"/>
              <w:rPr>
                <w:sz w:val="20"/>
                <w:szCs w:val="20"/>
                <w:color w:val="auto"/>
              </w:rPr>
            </w:pPr>
            <w:r>
              <w:rPr>
                <w:rFonts w:ascii="Arial" w:cs="Arial" w:eastAsia="Arial" w:hAnsi="Arial"/>
                <w:sz w:val="16"/>
                <w:szCs w:val="16"/>
                <w:color w:val="auto"/>
              </w:rPr>
              <w:t>Term Loan, 12%, 09/30/15***</w:t>
            </w:r>
          </w:p>
        </w:tc>
        <w:tc>
          <w:tcPr>
            <w:tcW w:w="214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272,500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283,901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280,000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193"/>
        </w:trPr>
        <w:tc>
          <w:tcPr>
            <w:tcW w:w="26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7"/>
              </w:rPr>
              <w:t>Preferred warrants, $1.17 Strike Price,</w:t>
            </w:r>
          </w:p>
        </w:tc>
        <w:tc>
          <w:tcPr>
            <w:tcW w:w="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Expiration Date 08/29/2021</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175,815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193"/>
        </w:trPr>
        <w:tc>
          <w:tcPr>
            <w:tcW w:w="2680" w:type="dxa"/>
            <w:vAlign w:val="bottom"/>
            <w:gridSpan w:val="11"/>
          </w:tcPr>
          <w:p>
            <w:pPr>
              <w:ind w:left="20"/>
              <w:spacing w:after="0"/>
              <w:rPr>
                <w:sz w:val="20"/>
                <w:szCs w:val="20"/>
                <w:color w:val="auto"/>
              </w:rPr>
            </w:pPr>
            <w:r>
              <w:rPr>
                <w:rFonts w:ascii="Arial" w:cs="Arial" w:eastAsia="Arial" w:hAnsi="Arial"/>
                <w:sz w:val="16"/>
                <w:szCs w:val="16"/>
                <w:color w:val="auto"/>
                <w:w w:val="97"/>
              </w:rPr>
              <w:t>Preferred warrants, $1.17 Strike Price,</w:t>
            </w: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10"/>
          </w:tcPr>
          <w:p>
            <w:pPr>
              <w:ind w:left="180"/>
              <w:spacing w:after="0"/>
              <w:rPr>
                <w:sz w:val="20"/>
                <w:szCs w:val="20"/>
                <w:color w:val="auto"/>
              </w:rPr>
            </w:pPr>
            <w:r>
              <w:rPr>
                <w:rFonts w:ascii="Arial" w:cs="Arial" w:eastAsia="Arial" w:hAnsi="Arial"/>
                <w:sz w:val="16"/>
                <w:szCs w:val="16"/>
                <w:color w:val="auto"/>
              </w:rPr>
              <w:t>Expiration Date 09/30/2020</w:t>
            </w: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160,806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67,539</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96"/>
        </w:trPr>
        <w:tc>
          <w:tcPr>
            <w:tcW w:w="26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7"/>
              </w:rPr>
              <w:t>Preferred warrants, $1.16 Strike Price,</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Expiration Date 6/26/2021</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38,594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13,508</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3"/>
        </w:trPr>
        <w:tc>
          <w:tcPr>
            <w:tcW w:w="2680" w:type="dxa"/>
            <w:vAlign w:val="bottom"/>
            <w:gridSpan w:val="11"/>
          </w:tcPr>
          <w:p>
            <w:pPr>
              <w:ind w:left="20"/>
              <w:spacing w:after="0"/>
              <w:rPr>
                <w:sz w:val="20"/>
                <w:szCs w:val="20"/>
                <w:color w:val="auto"/>
              </w:rPr>
            </w:pPr>
            <w:r>
              <w:rPr>
                <w:rFonts w:ascii="Arial" w:cs="Arial" w:eastAsia="Arial" w:hAnsi="Arial"/>
                <w:sz w:val="16"/>
                <w:szCs w:val="16"/>
                <w:color w:val="auto"/>
                <w:w w:val="97"/>
              </w:rPr>
              <w:t>Preferred warrants, $1.00 Strike Price,</w:t>
            </w: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10"/>
          </w:tcPr>
          <w:p>
            <w:pPr>
              <w:ind w:left="180"/>
              <w:spacing w:after="0"/>
              <w:rPr>
                <w:sz w:val="20"/>
                <w:szCs w:val="20"/>
                <w:color w:val="auto"/>
              </w:rPr>
            </w:pPr>
            <w:r>
              <w:rPr>
                <w:rFonts w:ascii="Arial" w:cs="Arial" w:eastAsia="Arial" w:hAnsi="Arial"/>
                <w:sz w:val="16"/>
                <w:szCs w:val="16"/>
                <w:color w:val="auto"/>
              </w:rPr>
              <w:t>Expiration Date 11/21/2017</w:t>
            </w: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31,354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1,811,154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2,241,053</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156"/>
        </w:trPr>
        <w:tc>
          <w:tcPr>
            <w:tcW w:w="2680" w:type="dxa"/>
            <w:vAlign w:val="bottom"/>
            <w:tcBorders>
              <w:top w:val="single" w:sz="8" w:color="CCEEFF"/>
            </w:tcBorders>
            <w:gridSpan w:val="11"/>
          </w:tcPr>
          <w:p>
            <w:pPr>
              <w:ind w:left="20"/>
              <w:spacing w:after="0" w:line="155" w:lineRule="exact"/>
              <w:rPr>
                <w:sz w:val="20"/>
                <w:szCs w:val="20"/>
                <w:color w:val="auto"/>
              </w:rPr>
            </w:pPr>
            <w:r>
              <w:rPr>
                <w:rFonts w:ascii="Arial" w:cs="Arial" w:eastAsia="Arial" w:hAnsi="Arial"/>
                <w:sz w:val="16"/>
                <w:szCs w:val="16"/>
                <w:b w:val="1"/>
                <w:bCs w:val="1"/>
                <w:color w:val="auto"/>
              </w:rPr>
              <w:t>AliphCom, Inc. (d/b/a Jawbone)</w:t>
            </w:r>
          </w:p>
        </w:tc>
        <w:tc>
          <w:tcPr>
            <w:tcW w:w="80" w:type="dxa"/>
            <w:vAlign w:val="bottom"/>
            <w:tcBorders>
              <w:top w:val="single" w:sz="8" w:color="CCEEFF"/>
            </w:tcBorders>
          </w:tcPr>
          <w:p>
            <w:pPr>
              <w:spacing w:after="0"/>
              <w:rPr>
                <w:sz w:val="13"/>
                <w:szCs w:val="13"/>
                <w:color w:val="auto"/>
              </w:rPr>
            </w:pPr>
          </w:p>
        </w:tc>
        <w:tc>
          <w:tcPr>
            <w:tcW w:w="1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EEFF"/>
          </w:tcPr>
          <w:p>
            <w:pPr>
              <w:spacing w:after="0"/>
              <w:rPr>
                <w:sz w:val="16"/>
                <w:szCs w:val="16"/>
                <w:color w:val="auto"/>
              </w:rPr>
            </w:pP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1"/>
              </w:rPr>
              <w:t>San Francisco, CA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center"/>
              <w:ind w:right="180"/>
              <w:spacing w:after="0"/>
              <w:rPr>
                <w:sz w:val="20"/>
                <w:szCs w:val="20"/>
                <w:color w:val="auto"/>
              </w:rPr>
            </w:pPr>
            <w:r>
              <w:rPr>
                <w:rFonts w:ascii="Arial" w:cs="Arial" w:eastAsia="Arial" w:hAnsi="Arial"/>
                <w:sz w:val="16"/>
                <w:szCs w:val="16"/>
                <w:color w:val="auto"/>
                <w:w w:val="92"/>
              </w:rPr>
              <w:t>Smart Device Company</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793,152</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1,387,500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03"/>
        </w:trPr>
        <w:tc>
          <w:tcPr>
            <w:tcW w:w="2680" w:type="dxa"/>
            <w:vAlign w:val="bottom"/>
            <w:gridSpan w:val="11"/>
          </w:tcPr>
          <w:p>
            <w:pPr>
              <w:ind w:left="20"/>
              <w:spacing w:after="0" w:line="202"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3"/>
                <w:szCs w:val="23"/>
                <w:b w:val="1"/>
                <w:bCs w:val="1"/>
                <w:color w:val="auto"/>
                <w:vertAlign w:val="superscript"/>
              </w:rPr>
              <w:t>(2)</w:t>
            </w: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A-1</w:t>
            </w:r>
          </w:p>
        </w:tc>
        <w:tc>
          <w:tcPr>
            <w:tcW w:w="80" w:type="dxa"/>
            <w:vAlign w:val="bottom"/>
            <w:shd w:val="clear" w:color="auto" w:fill="CCEEFF"/>
          </w:tcPr>
          <w:p>
            <w:pPr>
              <w:spacing w:after="0"/>
              <w:rPr>
                <w:sz w:val="16"/>
                <w:szCs w:val="16"/>
                <w:color w:val="auto"/>
              </w:rPr>
            </w:pP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1"/>
              </w:rPr>
              <w:t>Woodside, CA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6"/>
                <w:szCs w:val="16"/>
                <w:color w:val="auto"/>
                <w:w w:val="93"/>
              </w:rPr>
              <w:t>Social Media</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4,465,925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876,023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870,279</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3"/>
        </w:trPr>
        <w:tc>
          <w:tcPr>
            <w:tcW w:w="268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1,066,626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1,027,391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207,854</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193"/>
        </w:trPr>
        <w:tc>
          <w:tcPr>
            <w:tcW w:w="26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warrants Series A-1, $0.19</w:t>
            </w:r>
          </w:p>
        </w:tc>
        <w:tc>
          <w:tcPr>
            <w:tcW w:w="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strike price, expire 12/31/2014</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1,313,508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26,270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93"/>
        </w:trPr>
        <w:tc>
          <w:tcPr>
            <w:tcW w:w="2680" w:type="dxa"/>
            <w:vAlign w:val="bottom"/>
            <w:gridSpan w:val="11"/>
          </w:tcPr>
          <w:p>
            <w:pPr>
              <w:ind w:left="20"/>
              <w:spacing w:after="0"/>
              <w:rPr>
                <w:sz w:val="20"/>
                <w:szCs w:val="20"/>
                <w:color w:val="auto"/>
              </w:rPr>
            </w:pPr>
            <w:r>
              <w:rPr>
                <w:rFonts w:ascii="Arial" w:cs="Arial" w:eastAsia="Arial" w:hAnsi="Arial"/>
                <w:sz w:val="16"/>
                <w:szCs w:val="16"/>
                <w:color w:val="auto"/>
                <w:w w:val="91"/>
              </w:rPr>
              <w:t>Preferred warrants Series A, $1.00 strike</w:t>
            </w: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10"/>
          </w:tcPr>
          <w:p>
            <w:pPr>
              <w:ind w:left="180"/>
              <w:spacing w:after="0"/>
              <w:rPr>
                <w:sz w:val="20"/>
                <w:szCs w:val="20"/>
                <w:color w:val="auto"/>
              </w:rPr>
            </w:pPr>
            <w:r>
              <w:rPr>
                <w:rFonts w:ascii="Arial" w:cs="Arial" w:eastAsia="Arial" w:hAnsi="Arial"/>
                <w:sz w:val="16"/>
                <w:szCs w:val="16"/>
                <w:color w:val="auto"/>
              </w:rPr>
              <w:t>price, expire 1/9/2017</w:t>
            </w: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109,375</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1,903,414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1,104,403</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-5727700</wp:posOffset>
            </wp:positionV>
            <wp:extent cx="521398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-5067935</wp:posOffset>
            </wp:positionV>
            <wp:extent cx="5213985"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-4124325</wp:posOffset>
            </wp:positionV>
            <wp:extent cx="5213985"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-3438525</wp:posOffset>
            </wp:positionV>
            <wp:extent cx="5213985"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-1594485</wp:posOffset>
            </wp:positionV>
            <wp:extent cx="521398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 w:name="page11"/>
    <w:bookmarkEnd w:id="1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16"/>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4"/>
                <w:szCs w:val="14"/>
                <w:color w:val="auto"/>
              </w:rPr>
            </w:pPr>
          </w:p>
        </w:tc>
        <w:tc>
          <w:tcPr>
            <w:tcW w:w="20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Headquarters/Industry</w:t>
            </w: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gridSpan w:val="16"/>
            <w:vMerge w:val="continue"/>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840" w:type="dxa"/>
            <w:vAlign w:val="bottom"/>
          </w:tcPr>
          <w:p>
            <w:pPr>
              <w:jc w:val="right"/>
              <w:ind w:right="140"/>
              <w:spacing w:after="0"/>
              <w:rPr>
                <w:sz w:val="20"/>
                <w:szCs w:val="20"/>
                <w:color w:val="auto"/>
              </w:rPr>
            </w:pPr>
            <w:r>
              <w:rPr>
                <w:rFonts w:ascii="Arial" w:cs="Arial" w:eastAsia="Arial" w:hAnsi="Arial"/>
                <w:sz w:val="14"/>
                <w:szCs w:val="14"/>
                <w:b w:val="1"/>
                <w:bCs w:val="1"/>
                <w:color w:val="auto"/>
              </w:rPr>
              <w:t>Principal</w:t>
            </w: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16"/>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2"/>
                <w:szCs w:val="22"/>
                <w:b w:val="1"/>
                <w:bCs w:val="1"/>
                <w:color w:val="auto"/>
                <w:vertAlign w:val="superscript"/>
              </w:rPr>
              <w:t>(1)(7)</w:t>
            </w:r>
          </w:p>
        </w:tc>
        <w:tc>
          <w:tcPr>
            <w:tcW w:w="4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6"/>
                <w:szCs w:val="16"/>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Sunnyvale, CA</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Software Development</w:t>
            </w:r>
          </w:p>
        </w:tc>
        <w:tc>
          <w:tcPr>
            <w:tcW w:w="840" w:type="dxa"/>
            <w:vAlign w:val="bottom"/>
          </w:tcPr>
          <w:p>
            <w:pPr>
              <w:jc w:val="right"/>
              <w:spacing w:after="0"/>
              <w:rPr>
                <w:sz w:val="20"/>
                <w:szCs w:val="20"/>
                <w:color w:val="auto"/>
              </w:rPr>
            </w:pPr>
            <w:r>
              <w:rPr>
                <w:rFonts w:ascii="Arial" w:cs="Arial" w:eastAsia="Arial" w:hAnsi="Arial"/>
                <w:sz w:val="16"/>
                <w:szCs w:val="16"/>
                <w:color w:val="auto"/>
              </w:rPr>
              <w:t>800,000</w:t>
            </w:r>
          </w:p>
        </w:tc>
        <w:tc>
          <w:tcPr>
            <w:tcW w:w="900" w:type="dxa"/>
            <w:vAlign w:val="bottom"/>
          </w:tcPr>
          <w:p>
            <w:pPr>
              <w:jc w:val="right"/>
              <w:spacing w:after="0"/>
              <w:rPr>
                <w:sz w:val="20"/>
                <w:szCs w:val="20"/>
                <w:color w:val="auto"/>
              </w:rPr>
            </w:pPr>
            <w:r>
              <w:rPr>
                <w:rFonts w:ascii="Arial" w:cs="Arial" w:eastAsia="Arial" w:hAnsi="Arial"/>
                <w:sz w:val="16"/>
                <w:szCs w:val="16"/>
                <w:color w:val="auto"/>
                <w:w w:val="98"/>
              </w:rPr>
              <w:t>$  1,001,650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1,000,000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GSV Sustainability Partners</w:t>
            </w:r>
            <w:r>
              <w:rPr>
                <w:rFonts w:ascii="Arial" w:cs="Arial" w:eastAsia="Arial" w:hAnsi="Arial"/>
                <w:sz w:val="23"/>
                <w:szCs w:val="23"/>
                <w:b w:val="1"/>
                <w:bCs w:val="1"/>
                <w:color w:val="auto"/>
                <w:vertAlign w:val="superscript"/>
              </w:rPr>
              <w:t>(2)</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Class A</w:t>
            </w:r>
          </w:p>
        </w:tc>
        <w:tc>
          <w:tcPr>
            <w:tcW w:w="40" w:type="dxa"/>
            <w:vAlign w:val="bottom"/>
          </w:tcPr>
          <w:p>
            <w:pPr>
              <w:spacing w:after="0"/>
              <w:rPr>
                <w:sz w:val="16"/>
                <w:szCs w:val="16"/>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Woodside, CA</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Clean Technology</w:t>
            </w:r>
          </w:p>
        </w:tc>
        <w:tc>
          <w:tcPr>
            <w:tcW w:w="840" w:type="dxa"/>
            <w:vAlign w:val="bottom"/>
          </w:tcPr>
          <w:p>
            <w:pPr>
              <w:jc w:val="right"/>
              <w:spacing w:after="0"/>
              <w:rPr>
                <w:sz w:val="20"/>
                <w:szCs w:val="20"/>
                <w:color w:val="auto"/>
              </w:rPr>
            </w:pPr>
            <w:r>
              <w:rPr>
                <w:rFonts w:ascii="Arial" w:cs="Arial" w:eastAsia="Arial" w:hAnsi="Arial"/>
                <w:sz w:val="16"/>
                <w:szCs w:val="16"/>
                <w:color w:val="auto"/>
              </w:rPr>
              <w:t>1,950,000</w:t>
            </w:r>
          </w:p>
        </w:tc>
        <w:tc>
          <w:tcPr>
            <w:tcW w:w="900" w:type="dxa"/>
            <w:vAlign w:val="bottom"/>
          </w:tcPr>
          <w:p>
            <w:pPr>
              <w:jc w:val="right"/>
              <w:spacing w:after="0"/>
              <w:rPr>
                <w:sz w:val="20"/>
                <w:szCs w:val="20"/>
                <w:color w:val="auto"/>
              </w:rPr>
            </w:pPr>
            <w:r>
              <w:rPr>
                <w:rFonts w:ascii="Arial" w:cs="Arial" w:eastAsia="Arial" w:hAnsi="Arial"/>
                <w:sz w:val="16"/>
                <w:szCs w:val="16"/>
                <w:color w:val="auto"/>
              </w:rPr>
              <w:t>975,216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975,000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985,216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985,000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196"/>
        </w:trPr>
        <w:tc>
          <w:tcPr>
            <w:tcW w:w="2660" w:type="dxa"/>
            <w:vAlign w:val="bottom"/>
            <w:gridSpan w:val="16"/>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The rSmart Group, Inc.</w:t>
            </w:r>
            <w:r>
              <w:rPr>
                <w:rFonts w:ascii="Arial" w:cs="Arial" w:eastAsia="Arial" w:hAnsi="Arial"/>
                <w:sz w:val="22"/>
                <w:szCs w:val="22"/>
                <w:b w:val="1"/>
                <w:bCs w:val="1"/>
                <w:color w:val="auto"/>
                <w:vertAlign w:val="superscript"/>
              </w:rPr>
              <w:t>(1)</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tcPr>
          <w:p>
            <w:pPr>
              <w:spacing w:after="0"/>
              <w:rPr>
                <w:sz w:val="16"/>
                <w:szCs w:val="16"/>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Scottsdale, AZ</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Higher Education</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Learning</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Platform</w:t>
            </w:r>
          </w:p>
        </w:tc>
        <w:tc>
          <w:tcPr>
            <w:tcW w:w="840" w:type="dxa"/>
            <w:vAlign w:val="bottom"/>
          </w:tcPr>
          <w:p>
            <w:pPr>
              <w:jc w:val="right"/>
              <w:spacing w:after="0"/>
              <w:rPr>
                <w:sz w:val="20"/>
                <w:szCs w:val="20"/>
                <w:color w:val="auto"/>
              </w:rPr>
            </w:pPr>
            <w:r>
              <w:rPr>
                <w:rFonts w:ascii="Arial" w:cs="Arial" w:eastAsia="Arial" w:hAnsi="Arial"/>
                <w:sz w:val="16"/>
                <w:szCs w:val="16"/>
                <w:color w:val="auto"/>
              </w:rPr>
              <w:t>1,201,923</w:t>
            </w:r>
          </w:p>
        </w:tc>
        <w:tc>
          <w:tcPr>
            <w:tcW w:w="900" w:type="dxa"/>
            <w:vAlign w:val="bottom"/>
          </w:tcPr>
          <w:p>
            <w:pPr>
              <w:jc w:val="right"/>
              <w:spacing w:after="0"/>
              <w:rPr>
                <w:sz w:val="20"/>
                <w:szCs w:val="20"/>
                <w:color w:val="auto"/>
              </w:rPr>
            </w:pPr>
            <w:r>
              <w:rPr>
                <w:rFonts w:ascii="Arial" w:cs="Arial" w:eastAsia="Arial" w:hAnsi="Arial"/>
                <w:sz w:val="16"/>
                <w:szCs w:val="16"/>
                <w:color w:val="auto"/>
              </w:rPr>
              <w:t>1,267,240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516,526</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EdSurge, Inc.</w:t>
            </w:r>
            <w:r>
              <w:rPr>
                <w:rFonts w:ascii="Arial" w:cs="Arial" w:eastAsia="Arial" w:hAnsi="Arial"/>
                <w:sz w:val="23"/>
                <w:szCs w:val="23"/>
                <w:b w:val="1"/>
                <w:bCs w:val="1"/>
                <w:color w:val="auto"/>
                <w:vertAlign w:val="superscript"/>
              </w:rPr>
              <w:t>(1)</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Burlingame, CA</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Education Media Platform</w:t>
            </w:r>
          </w:p>
        </w:tc>
        <w:tc>
          <w:tcPr>
            <w:tcW w:w="840" w:type="dxa"/>
            <w:vAlign w:val="bottom"/>
          </w:tcPr>
          <w:p>
            <w:pPr>
              <w:jc w:val="right"/>
              <w:spacing w:after="0"/>
              <w:rPr>
                <w:sz w:val="20"/>
                <w:szCs w:val="20"/>
                <w:color w:val="auto"/>
              </w:rPr>
            </w:pPr>
            <w:r>
              <w:rPr>
                <w:rFonts w:ascii="Arial" w:cs="Arial" w:eastAsia="Arial" w:hAnsi="Arial"/>
                <w:sz w:val="16"/>
                <w:szCs w:val="16"/>
                <w:color w:val="auto"/>
              </w:rPr>
              <w:t>494,365</w:t>
            </w:r>
          </w:p>
        </w:tc>
        <w:tc>
          <w:tcPr>
            <w:tcW w:w="900" w:type="dxa"/>
            <w:vAlign w:val="bottom"/>
          </w:tcPr>
          <w:p>
            <w:pPr>
              <w:jc w:val="right"/>
              <w:spacing w:after="0"/>
              <w:rPr>
                <w:sz w:val="20"/>
                <w:szCs w:val="20"/>
                <w:color w:val="auto"/>
              </w:rPr>
            </w:pPr>
            <w:r>
              <w:rPr>
                <w:rFonts w:ascii="Arial" w:cs="Arial" w:eastAsia="Arial" w:hAnsi="Arial"/>
                <w:sz w:val="16"/>
                <w:szCs w:val="16"/>
                <w:color w:val="auto"/>
              </w:rPr>
              <w:t>500,801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505,020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Cricket Media (fka ePals Inc.)**</w:t>
            </w:r>
            <w:r>
              <w:rPr>
                <w:rFonts w:ascii="Arial" w:cs="Arial" w:eastAsia="Arial" w:hAnsi="Arial"/>
                <w:sz w:val="23"/>
                <w:szCs w:val="23"/>
                <w:b w:val="1"/>
                <w:bCs w:val="1"/>
                <w:color w:val="auto"/>
                <w:vertAlign w:val="superscript"/>
              </w:rPr>
              <w:t>(1)(8)</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6"/>
                <w:szCs w:val="16"/>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Herndon, VA</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Online Education</w:t>
            </w:r>
          </w:p>
        </w:tc>
        <w:tc>
          <w:tcPr>
            <w:tcW w:w="840" w:type="dxa"/>
            <w:vAlign w:val="bottom"/>
          </w:tcPr>
          <w:p>
            <w:pPr>
              <w:jc w:val="right"/>
              <w:spacing w:after="0"/>
              <w:rPr>
                <w:sz w:val="20"/>
                <w:szCs w:val="20"/>
                <w:color w:val="auto"/>
              </w:rPr>
            </w:pPr>
            <w:r>
              <w:rPr>
                <w:rFonts w:ascii="Arial" w:cs="Arial" w:eastAsia="Arial" w:hAnsi="Arial"/>
                <w:sz w:val="16"/>
                <w:szCs w:val="16"/>
                <w:color w:val="auto"/>
              </w:rPr>
              <w:t>1,333,333</w:t>
            </w:r>
          </w:p>
        </w:tc>
        <w:tc>
          <w:tcPr>
            <w:tcW w:w="900" w:type="dxa"/>
            <w:vAlign w:val="bottom"/>
          </w:tcPr>
          <w:p>
            <w:pPr>
              <w:jc w:val="right"/>
              <w:spacing w:after="0"/>
              <w:rPr>
                <w:sz w:val="20"/>
                <w:szCs w:val="20"/>
                <w:color w:val="auto"/>
              </w:rPr>
            </w:pPr>
            <w:r>
              <w:rPr>
                <w:rFonts w:ascii="Arial" w:cs="Arial" w:eastAsia="Arial" w:hAnsi="Arial"/>
                <w:sz w:val="16"/>
                <w:szCs w:val="16"/>
                <w:color w:val="auto"/>
              </w:rPr>
              <w:t>2,448,276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433,847</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3"/>
                <w:szCs w:val="23"/>
                <w:b w:val="1"/>
                <w:bCs w:val="1"/>
                <w:color w:val="auto"/>
                <w:vertAlign w:val="superscript"/>
              </w:rPr>
              <w:t>(1)</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40" w:type="dxa"/>
            <w:vAlign w:val="bottom"/>
          </w:tcPr>
          <w:p>
            <w:pPr>
              <w:spacing w:after="0"/>
              <w:rPr>
                <w:sz w:val="16"/>
                <w:szCs w:val="16"/>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6"/>
                <w:szCs w:val="16"/>
                <w:color w:val="auto"/>
                <w:w w:val="97"/>
              </w:rPr>
              <w:t>Carrollton, TX</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6"/>
                <w:szCs w:val="16"/>
                <w:color w:val="auto"/>
              </w:rPr>
              <w:t>LED Lighting</w:t>
            </w: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11,111,110</w:t>
            </w:r>
          </w:p>
        </w:tc>
        <w:tc>
          <w:tcPr>
            <w:tcW w:w="900" w:type="dxa"/>
            <w:vAlign w:val="bottom"/>
          </w:tcPr>
          <w:p>
            <w:pPr>
              <w:jc w:val="right"/>
              <w:spacing w:after="0"/>
              <w:rPr>
                <w:sz w:val="20"/>
                <w:szCs w:val="20"/>
                <w:color w:val="auto"/>
              </w:rPr>
            </w:pPr>
            <w:r>
              <w:rPr>
                <w:rFonts w:ascii="Arial" w:cs="Arial" w:eastAsia="Arial" w:hAnsi="Arial"/>
                <w:sz w:val="16"/>
                <w:szCs w:val="16"/>
                <w:color w:val="auto"/>
              </w:rPr>
              <w:t>1,000,000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292,070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196"/>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Convertible Promissory Note 6%,</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15"/>
            <w:shd w:val="clear" w:color="auto" w:fill="CCEEFF"/>
          </w:tcPr>
          <w:p>
            <w:pPr>
              <w:ind w:left="180"/>
              <w:spacing w:after="0"/>
              <w:rPr>
                <w:sz w:val="20"/>
                <w:szCs w:val="20"/>
                <w:color w:val="auto"/>
              </w:rPr>
            </w:pPr>
            <w:r>
              <w:rPr>
                <w:rFonts w:ascii="Arial" w:cs="Arial" w:eastAsia="Arial" w:hAnsi="Arial"/>
                <w:sz w:val="16"/>
                <w:szCs w:val="16"/>
                <w:color w:val="auto"/>
              </w:rPr>
              <w:t>Expiration Date, 4/01/2016</w:t>
            </w:r>
          </w:p>
        </w:tc>
        <w:tc>
          <w:tcPr>
            <w:tcW w:w="20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76,110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76,110</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77,219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8,692,652</w:t>
            </w:r>
          </w:p>
        </w:tc>
        <w:tc>
          <w:tcPr>
            <w:tcW w:w="900" w:type="dxa"/>
            <w:vAlign w:val="bottom"/>
          </w:tcPr>
          <w:p>
            <w:pPr>
              <w:jc w:val="right"/>
              <w:spacing w:after="0"/>
              <w:rPr>
                <w:sz w:val="20"/>
                <w:szCs w:val="20"/>
                <w:color w:val="auto"/>
              </w:rPr>
            </w:pPr>
            <w:r>
              <w:rPr>
                <w:rFonts w:ascii="Arial" w:cs="Arial" w:eastAsia="Arial" w:hAnsi="Arial"/>
                <w:sz w:val="16"/>
                <w:szCs w:val="16"/>
                <w:color w:val="auto"/>
              </w:rPr>
              <w:t>2,183,822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11,307,348</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2,840,591</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6,100,523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369,289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156"/>
        </w:trPr>
        <w:tc>
          <w:tcPr>
            <w:tcW w:w="2660" w:type="dxa"/>
            <w:vAlign w:val="bottom"/>
            <w:gridSpan w:val="16"/>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New Zoom, Inc</w:t>
            </w:r>
          </w:p>
        </w:tc>
        <w:tc>
          <w:tcPr>
            <w:tcW w:w="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Retail Machines</w:t>
            </w:r>
          </w:p>
        </w:tc>
        <w:tc>
          <w:tcPr>
            <w:tcW w:w="840" w:type="dxa"/>
            <w:vAlign w:val="bottom"/>
          </w:tcPr>
          <w:p>
            <w:pPr>
              <w:jc w:val="right"/>
              <w:spacing w:after="0"/>
              <w:rPr>
                <w:sz w:val="20"/>
                <w:szCs w:val="20"/>
                <w:color w:val="auto"/>
              </w:rPr>
            </w:pPr>
            <w:r>
              <w:rPr>
                <w:rFonts w:ascii="Arial" w:cs="Arial" w:eastAsia="Arial" w:hAnsi="Arial"/>
                <w:sz w:val="16"/>
                <w:szCs w:val="16"/>
                <w:color w:val="auto"/>
              </w:rPr>
              <w:t>1,250,000</w:t>
            </w:r>
          </w:p>
        </w:tc>
        <w:tc>
          <w:tcPr>
            <w:tcW w:w="900" w:type="dxa"/>
            <w:vAlign w:val="bottom"/>
          </w:tcPr>
          <w:p>
            <w:pPr>
              <w:jc w:val="right"/>
              <w:spacing w:after="0"/>
              <w:rPr>
                <w:sz w:val="20"/>
                <w:szCs w:val="20"/>
                <w:color w:val="auto"/>
              </w:rPr>
            </w:pPr>
            <w:r>
              <w:rPr>
                <w:rFonts w:ascii="Arial" w:cs="Arial" w:eastAsia="Arial" w:hAnsi="Arial"/>
                <w:sz w:val="16"/>
                <w:szCs w:val="16"/>
                <w:color w:val="auto"/>
              </w:rPr>
              <w:t>260,476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293,491</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Neuron Fuel, Inc.</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AAI</w:t>
            </w:r>
          </w:p>
        </w:tc>
        <w:tc>
          <w:tcPr>
            <w:tcW w:w="40" w:type="dxa"/>
            <w:vAlign w:val="bottom"/>
          </w:tcPr>
          <w:p>
            <w:pPr>
              <w:spacing w:after="0"/>
              <w:rPr>
                <w:sz w:val="16"/>
                <w:szCs w:val="16"/>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87"/>
              </w:rPr>
              <w:t>San Jose, CA</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Computer Software</w:t>
            </w:r>
          </w:p>
        </w:tc>
        <w:tc>
          <w:tcPr>
            <w:tcW w:w="840" w:type="dxa"/>
            <w:vAlign w:val="bottom"/>
          </w:tcPr>
          <w:p>
            <w:pPr>
              <w:jc w:val="right"/>
              <w:spacing w:after="0"/>
              <w:rPr>
                <w:sz w:val="20"/>
                <w:szCs w:val="20"/>
                <w:color w:val="auto"/>
              </w:rPr>
            </w:pPr>
            <w:r>
              <w:rPr>
                <w:rFonts w:ascii="Arial" w:cs="Arial" w:eastAsia="Arial" w:hAnsi="Arial"/>
                <w:sz w:val="16"/>
                <w:szCs w:val="16"/>
                <w:color w:val="auto"/>
              </w:rPr>
              <w:t>250,000</w:t>
            </w:r>
          </w:p>
        </w:tc>
        <w:tc>
          <w:tcPr>
            <w:tcW w:w="900" w:type="dxa"/>
            <w:vAlign w:val="bottom"/>
          </w:tcPr>
          <w:p>
            <w:pPr>
              <w:jc w:val="right"/>
              <w:spacing w:after="0"/>
              <w:rPr>
                <w:sz w:val="20"/>
                <w:szCs w:val="20"/>
                <w:color w:val="auto"/>
              </w:rPr>
            </w:pPr>
            <w:r>
              <w:rPr>
                <w:rFonts w:ascii="Arial" w:cs="Arial" w:eastAsia="Arial" w:hAnsi="Arial"/>
                <w:sz w:val="16"/>
                <w:szCs w:val="16"/>
                <w:color w:val="auto"/>
              </w:rPr>
              <w:t>262,530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250,981</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Earlyshares.com</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9"/>
              </w:rPr>
              <w:t>Miami, FL</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Equity Crowd Funding</w:t>
            </w:r>
          </w:p>
        </w:tc>
        <w:tc>
          <w:tcPr>
            <w:tcW w:w="840" w:type="dxa"/>
            <w:vAlign w:val="bottom"/>
          </w:tcPr>
          <w:p>
            <w:pPr>
              <w:jc w:val="right"/>
              <w:spacing w:after="0"/>
              <w:rPr>
                <w:sz w:val="20"/>
                <w:szCs w:val="20"/>
                <w:color w:val="auto"/>
              </w:rPr>
            </w:pPr>
            <w:r>
              <w:rPr>
                <w:rFonts w:ascii="Arial" w:cs="Arial" w:eastAsia="Arial" w:hAnsi="Arial"/>
                <w:sz w:val="16"/>
                <w:szCs w:val="16"/>
                <w:color w:val="auto"/>
              </w:rPr>
              <w:t>165,715</w:t>
            </w:r>
          </w:p>
        </w:tc>
        <w:tc>
          <w:tcPr>
            <w:tcW w:w="900" w:type="dxa"/>
            <w:vAlign w:val="bottom"/>
          </w:tcPr>
          <w:p>
            <w:pPr>
              <w:jc w:val="right"/>
              <w:spacing w:after="0"/>
              <w:rPr>
                <w:sz w:val="20"/>
                <w:szCs w:val="20"/>
                <w:color w:val="auto"/>
              </w:rPr>
            </w:pPr>
            <w:r>
              <w:rPr>
                <w:rFonts w:ascii="Arial" w:cs="Arial" w:eastAsia="Arial" w:hAnsi="Arial"/>
                <w:sz w:val="16"/>
                <w:szCs w:val="16"/>
                <w:color w:val="auto"/>
              </w:rPr>
              <w:t>260,878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249,998</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w w:val="95"/>
              </w:rPr>
              <w:t>4C Insights (f.k.a The Echo Systems</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80" w:type="dxa"/>
            <w:vAlign w:val="bottom"/>
            <w:tcBorders>
              <w:top w:val="single" w:sz="8" w:color="auto"/>
            </w:tcBorders>
            <w:gridSpan w:val="14"/>
            <w:shd w:val="clear" w:color="auto" w:fill="CCEEFF"/>
          </w:tcPr>
          <w:p>
            <w:pPr>
              <w:ind w:left="180"/>
              <w:spacing w:after="0" w:line="183" w:lineRule="exact"/>
              <w:rPr>
                <w:sz w:val="20"/>
                <w:szCs w:val="20"/>
                <w:color w:val="auto"/>
              </w:rPr>
            </w:pPr>
            <w:r>
              <w:rPr>
                <w:rFonts w:ascii="Arial" w:cs="Arial" w:eastAsia="Arial" w:hAnsi="Arial"/>
                <w:sz w:val="16"/>
                <w:szCs w:val="16"/>
                <w:b w:val="1"/>
                <w:bCs w:val="1"/>
                <w:color w:val="auto"/>
              </w:rPr>
              <w:t>Corp.)</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right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6"/>
              </w:rPr>
              <w:t>Chicago, IL</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Social Data Platform</w:t>
            </w:r>
          </w:p>
        </w:tc>
        <w:tc>
          <w:tcPr>
            <w:tcW w:w="840" w:type="dxa"/>
            <w:vAlign w:val="bottom"/>
          </w:tcPr>
          <w:p>
            <w:pPr>
              <w:jc w:val="right"/>
              <w:spacing w:after="0"/>
              <w:rPr>
                <w:sz w:val="20"/>
                <w:szCs w:val="20"/>
                <w:color w:val="auto"/>
              </w:rPr>
            </w:pPr>
            <w:r>
              <w:rPr>
                <w:rFonts w:ascii="Arial" w:cs="Arial" w:eastAsia="Arial" w:hAnsi="Arial"/>
                <w:sz w:val="16"/>
                <w:szCs w:val="16"/>
                <w:color w:val="auto"/>
              </w:rPr>
              <w:t>512,365</w:t>
            </w:r>
          </w:p>
        </w:tc>
        <w:tc>
          <w:tcPr>
            <w:tcW w:w="900" w:type="dxa"/>
            <w:vAlign w:val="bottom"/>
          </w:tcPr>
          <w:p>
            <w:pPr>
              <w:jc w:val="right"/>
              <w:spacing w:after="0"/>
              <w:rPr>
                <w:sz w:val="20"/>
                <w:szCs w:val="20"/>
                <w:color w:val="auto"/>
              </w:rPr>
            </w:pPr>
            <w:r>
              <w:rPr>
                <w:rFonts w:ascii="Arial" w:cs="Arial" w:eastAsia="Arial" w:hAnsi="Arial"/>
                <w:sz w:val="16"/>
                <w:szCs w:val="16"/>
                <w:color w:val="auto"/>
              </w:rPr>
              <w:t>1,436,404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217,865</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165"/>
        </w:trPr>
        <w:tc>
          <w:tcPr>
            <w:tcW w:w="266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Odesk Corporation</w:t>
            </w:r>
          </w:p>
        </w:tc>
        <w:tc>
          <w:tcPr>
            <w:tcW w:w="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6"/>
                <w:szCs w:val="16"/>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6"/>
                <w:szCs w:val="16"/>
                <w:color w:val="auto"/>
                <w:w w:val="94"/>
              </w:rPr>
              <w:t>Redwood City, CA</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Online Workplace</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Platform</w:t>
            </w:r>
          </w:p>
        </w:tc>
        <w:tc>
          <w:tcPr>
            <w:tcW w:w="840" w:type="dxa"/>
            <w:vAlign w:val="bottom"/>
          </w:tcPr>
          <w:p>
            <w:pPr>
              <w:jc w:val="right"/>
              <w:spacing w:after="0"/>
              <w:rPr>
                <w:sz w:val="20"/>
                <w:szCs w:val="20"/>
                <w:color w:val="auto"/>
              </w:rPr>
            </w:pPr>
            <w:r>
              <w:rPr>
                <w:rFonts w:ascii="Arial" w:cs="Arial" w:eastAsia="Arial" w:hAnsi="Arial"/>
                <w:sz w:val="16"/>
                <w:szCs w:val="16"/>
                <w:color w:val="auto"/>
              </w:rPr>
              <w:t>30,000</w:t>
            </w:r>
          </w:p>
        </w:tc>
        <w:tc>
          <w:tcPr>
            <w:tcW w:w="900" w:type="dxa"/>
            <w:vAlign w:val="bottom"/>
          </w:tcPr>
          <w:p>
            <w:pPr>
              <w:jc w:val="right"/>
              <w:spacing w:after="0"/>
              <w:rPr>
                <w:sz w:val="20"/>
                <w:szCs w:val="20"/>
                <w:color w:val="auto"/>
              </w:rPr>
            </w:pPr>
            <w:r>
              <w:rPr>
                <w:rFonts w:ascii="Arial" w:cs="Arial" w:eastAsia="Arial" w:hAnsi="Arial"/>
                <w:sz w:val="16"/>
                <w:szCs w:val="16"/>
                <w:color w:val="auto"/>
              </w:rPr>
              <w:t>183,269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159,324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3"/>
                <w:szCs w:val="23"/>
                <w:b w:val="1"/>
                <w:bCs w:val="1"/>
                <w:color w:val="auto"/>
                <w:vertAlign w:val="superscript"/>
              </w:rPr>
              <w:t>(1)</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A-1</w:t>
            </w:r>
          </w:p>
        </w:tc>
        <w:tc>
          <w:tcPr>
            <w:tcW w:w="40" w:type="dxa"/>
            <w:vAlign w:val="bottom"/>
          </w:tcPr>
          <w:p>
            <w:pPr>
              <w:spacing w:after="0"/>
              <w:rPr>
                <w:sz w:val="16"/>
                <w:szCs w:val="16"/>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6"/>
                <w:szCs w:val="16"/>
                <w:color w:val="auto"/>
                <w:w w:val="96"/>
              </w:rPr>
              <w:t>Boston, MA</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Social Advertising</w:t>
            </w:r>
          </w:p>
        </w:tc>
        <w:tc>
          <w:tcPr>
            <w:tcW w:w="840" w:type="dxa"/>
            <w:vAlign w:val="bottom"/>
          </w:tcPr>
          <w:p>
            <w:pPr>
              <w:jc w:val="right"/>
              <w:spacing w:after="0"/>
              <w:rPr>
                <w:sz w:val="20"/>
                <w:szCs w:val="20"/>
                <w:color w:val="auto"/>
              </w:rPr>
            </w:pPr>
            <w:r>
              <w:rPr>
                <w:rFonts w:ascii="Arial" w:cs="Arial" w:eastAsia="Arial" w:hAnsi="Arial"/>
                <w:sz w:val="16"/>
                <w:szCs w:val="16"/>
                <w:color w:val="auto"/>
              </w:rPr>
              <w:t>1,878,129</w:t>
            </w:r>
          </w:p>
        </w:tc>
        <w:tc>
          <w:tcPr>
            <w:tcW w:w="900" w:type="dxa"/>
            <w:vAlign w:val="bottom"/>
          </w:tcPr>
          <w:p>
            <w:pPr>
              <w:jc w:val="right"/>
              <w:spacing w:after="0"/>
              <w:rPr>
                <w:sz w:val="20"/>
                <w:szCs w:val="20"/>
                <w:color w:val="auto"/>
              </w:rPr>
            </w:pPr>
            <w:r>
              <w:rPr>
                <w:rFonts w:ascii="Arial" w:cs="Arial" w:eastAsia="Arial" w:hAnsi="Arial"/>
                <w:sz w:val="16"/>
                <w:szCs w:val="16"/>
                <w:color w:val="auto"/>
              </w:rPr>
              <w:t>2,430,950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Preferred shares, Series A-2</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347,666</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451,236</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2,882,186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16"/>
            <w:shd w:val="clear" w:color="auto" w:fill="CCEEFF"/>
          </w:tcPr>
          <w:p>
            <w:pPr>
              <w:ind w:left="20"/>
              <w:spacing w:after="0"/>
              <w:rPr>
                <w:sz w:val="20"/>
                <w:szCs w:val="20"/>
                <w:color w:val="auto"/>
              </w:rPr>
            </w:pPr>
            <w:r>
              <w:rPr>
                <w:rFonts w:ascii="Arial" w:cs="Arial" w:eastAsia="Arial" w:hAnsi="Arial"/>
                <w:sz w:val="16"/>
                <w:szCs w:val="16"/>
                <w:b w:val="1"/>
                <w:bCs w:val="1"/>
                <w:color w:val="auto"/>
              </w:rPr>
              <w:t>Total Portfolio Investments</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280,906,237</w:t>
            </w: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366,246,036</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124.94%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-5719445</wp:posOffset>
            </wp:positionV>
            <wp:extent cx="521398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-3155315</wp:posOffset>
            </wp:positionV>
            <wp:extent cx="521398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-282575</wp:posOffset>
            </wp:positionV>
            <wp:extent cx="521398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4"/>
                <w:szCs w:val="14"/>
                <w:color w:val="auto"/>
              </w:rPr>
            </w:pPr>
          </w:p>
        </w:tc>
        <w:tc>
          <w:tcPr>
            <w:tcW w:w="19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Headquarters/Industry</w:t>
            </w:r>
          </w:p>
        </w:tc>
        <w:tc>
          <w:tcPr>
            <w:tcW w:w="900" w:type="dxa"/>
            <w:vAlign w:val="bottom"/>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66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900" w:type="dxa"/>
            <w:vAlign w:val="bottom"/>
          </w:tcPr>
          <w:p>
            <w:pPr>
              <w:jc w:val="right"/>
              <w:ind w:right="142"/>
              <w:spacing w:after="0"/>
              <w:rPr>
                <w:sz w:val="20"/>
                <w:szCs w:val="20"/>
                <w:color w:val="auto"/>
              </w:rPr>
            </w:pPr>
            <w:r>
              <w:rPr>
                <w:rFonts w:ascii="Arial" w:cs="Arial" w:eastAsia="Arial" w:hAnsi="Arial"/>
                <w:sz w:val="14"/>
                <w:szCs w:val="14"/>
                <w:b w:val="1"/>
                <w:bCs w:val="1"/>
                <w:color w:val="auto"/>
              </w:rPr>
              <w:t>Principal</w:t>
            </w: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660" w:type="dxa"/>
            <w:vAlign w:val="bottom"/>
            <w:tcBorders>
              <w:top w:val="single" w:sz="8" w:color="auto"/>
            </w:tcBorders>
            <w:gridSpan w:val="5"/>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U.S. Treasury</w:t>
            </w:r>
          </w:p>
        </w:tc>
        <w:tc>
          <w:tcPr>
            <w:tcW w:w="40" w:type="dxa"/>
            <w:vAlign w:val="bottom"/>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5"/>
          </w:tcPr>
          <w:p>
            <w:pPr>
              <w:ind w:left="20"/>
              <w:spacing w:after="0"/>
              <w:rPr>
                <w:sz w:val="20"/>
                <w:szCs w:val="20"/>
                <w:color w:val="auto"/>
              </w:rPr>
            </w:pPr>
            <w:r>
              <w:rPr>
                <w:rFonts w:ascii="Arial" w:cs="Arial" w:eastAsia="Arial" w:hAnsi="Arial"/>
                <w:sz w:val="16"/>
                <w:szCs w:val="16"/>
                <w:color w:val="auto"/>
              </w:rPr>
              <w:t>U.S. Treasury Bill, 0%, due 7/3/2014</w:t>
            </w:r>
          </w:p>
        </w:tc>
        <w:tc>
          <w:tcPr>
            <w:tcW w:w="20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w w:val="89"/>
              </w:rPr>
              <w:t>100,000,000</w:t>
            </w:r>
          </w:p>
        </w:tc>
        <w:tc>
          <w:tcPr>
            <w:tcW w:w="900" w:type="dxa"/>
            <w:vAlign w:val="bottom"/>
          </w:tcPr>
          <w:p>
            <w:pPr>
              <w:jc w:val="right"/>
              <w:spacing w:after="0"/>
              <w:rPr>
                <w:sz w:val="20"/>
                <w:szCs w:val="20"/>
                <w:color w:val="auto"/>
              </w:rPr>
            </w:pPr>
            <w:r>
              <w:rPr>
                <w:rFonts w:ascii="Arial" w:cs="Arial" w:eastAsia="Arial" w:hAnsi="Arial"/>
                <w:sz w:val="16"/>
                <w:szCs w:val="16"/>
                <w:color w:val="auto"/>
                <w:w w:val="89"/>
              </w:rPr>
              <w:t>$100,001,483</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99,999,944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34.12%</w:t>
            </w:r>
          </w:p>
        </w:tc>
        <w:tc>
          <w:tcPr>
            <w:tcW w:w="0" w:type="dxa"/>
            <w:vAlign w:val="bottom"/>
          </w:tcPr>
          <w:p>
            <w:pPr>
              <w:spacing w:after="0"/>
              <w:rPr>
                <w:sz w:val="1"/>
                <w:szCs w:val="1"/>
                <w:color w:val="auto"/>
              </w:rPr>
            </w:pPr>
          </w:p>
        </w:tc>
      </w:tr>
      <w:tr>
        <w:trPr>
          <w:trHeight w:val="203"/>
        </w:trPr>
        <w:tc>
          <w:tcPr>
            <w:tcW w:w="266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U.S. Treasury Strips</w:t>
            </w:r>
            <w:r>
              <w:rPr>
                <w:rFonts w:ascii="Arial" w:cs="Arial" w:eastAsia="Arial" w:hAnsi="Arial"/>
                <w:sz w:val="23"/>
                <w:szCs w:val="23"/>
                <w:b w:val="1"/>
                <w:bCs w:val="1"/>
                <w:color w:val="auto"/>
                <w:vertAlign w:val="superscript"/>
              </w:rPr>
              <w:t>(11)</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gridSpan w:val="5"/>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4"/>
          </w:tcPr>
          <w:p>
            <w:pPr>
              <w:ind w:left="180"/>
              <w:spacing w:after="0"/>
              <w:rPr>
                <w:sz w:val="20"/>
                <w:szCs w:val="20"/>
                <w:color w:val="auto"/>
              </w:rPr>
            </w:pPr>
            <w:r>
              <w:rPr>
                <w:rFonts w:ascii="Arial" w:cs="Arial" w:eastAsia="Arial" w:hAnsi="Arial"/>
                <w:sz w:val="16"/>
                <w:szCs w:val="16"/>
                <w:color w:val="auto"/>
              </w:rPr>
              <w:t>0.00% due 08/15/2016</w:t>
            </w:r>
          </w:p>
        </w:tc>
        <w:tc>
          <w:tcPr>
            <w:tcW w:w="20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1,851,000</w:t>
            </w:r>
          </w:p>
        </w:tc>
        <w:tc>
          <w:tcPr>
            <w:tcW w:w="900" w:type="dxa"/>
            <w:vAlign w:val="bottom"/>
          </w:tcPr>
          <w:p>
            <w:pPr>
              <w:jc w:val="right"/>
              <w:spacing w:after="0"/>
              <w:rPr>
                <w:sz w:val="20"/>
                <w:szCs w:val="20"/>
                <w:color w:val="auto"/>
              </w:rPr>
            </w:pPr>
            <w:r>
              <w:rPr>
                <w:rFonts w:ascii="Arial" w:cs="Arial" w:eastAsia="Arial" w:hAnsi="Arial"/>
                <w:sz w:val="16"/>
                <w:szCs w:val="16"/>
                <w:color w:val="auto"/>
              </w:rPr>
              <w:t>1,825,247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1,830,972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196"/>
        </w:trPr>
        <w:tc>
          <w:tcPr>
            <w:tcW w:w="26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0.00% due 02/15/2016</w:t>
            </w: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1,834,000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1,820,471</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1,826,187</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193"/>
        </w:trPr>
        <w:tc>
          <w:tcPr>
            <w:tcW w:w="2660" w:type="dxa"/>
            <w:vAlign w:val="bottom"/>
            <w:gridSpan w:val="5"/>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4"/>
          </w:tcPr>
          <w:p>
            <w:pPr>
              <w:ind w:left="180"/>
              <w:spacing w:after="0"/>
              <w:rPr>
                <w:sz w:val="20"/>
                <w:szCs w:val="20"/>
                <w:color w:val="auto"/>
              </w:rPr>
            </w:pPr>
            <w:r>
              <w:rPr>
                <w:rFonts w:ascii="Arial" w:cs="Arial" w:eastAsia="Arial" w:hAnsi="Arial"/>
                <w:sz w:val="16"/>
                <w:szCs w:val="16"/>
                <w:color w:val="auto"/>
              </w:rPr>
              <w:t>0.00% due 08/15/2015</w:t>
            </w:r>
          </w:p>
        </w:tc>
        <w:tc>
          <w:tcPr>
            <w:tcW w:w="20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1,823,000</w:t>
            </w:r>
          </w:p>
        </w:tc>
        <w:tc>
          <w:tcPr>
            <w:tcW w:w="900" w:type="dxa"/>
            <w:vAlign w:val="bottom"/>
          </w:tcPr>
          <w:p>
            <w:pPr>
              <w:jc w:val="right"/>
              <w:spacing w:after="0"/>
              <w:rPr>
                <w:sz w:val="20"/>
                <w:szCs w:val="20"/>
                <w:color w:val="auto"/>
              </w:rPr>
            </w:pPr>
            <w:r>
              <w:rPr>
                <w:rFonts w:ascii="Arial" w:cs="Arial" w:eastAsia="Arial" w:hAnsi="Arial"/>
                <w:sz w:val="16"/>
                <w:szCs w:val="16"/>
                <w:color w:val="auto"/>
              </w:rPr>
              <w:t>1,817,608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1,821,032</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196"/>
        </w:trPr>
        <w:tc>
          <w:tcPr>
            <w:tcW w:w="26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w w:val="98"/>
              </w:rPr>
              <w:t>United States Treasury Strip Coupon,</w:t>
            </w:r>
          </w:p>
        </w:tc>
        <w:tc>
          <w:tcPr>
            <w:tcW w:w="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0.00% due 02/15/2015</w:t>
            </w: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1,816,000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1,814,570</w:t>
            </w: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1,815,673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4"/>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7,277,896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7,293,864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6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Investments</w:t>
            </w:r>
          </w:p>
        </w:tc>
        <w:tc>
          <w:tcPr>
            <w:tcW w:w="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388,185,616</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473,539,844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161.54%</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40" w:type="dxa"/>
            <w:vAlign w:val="bottom"/>
            <w:tcBorders>
              <w:top w:val="single" w:sz="8" w:color="CCEEFF"/>
              <w:bottom w:val="single" w:sz="8" w:color="auto"/>
            </w:tcBorders>
          </w:tcPr>
          <w:p>
            <w:pPr>
              <w:spacing w:after="0"/>
              <w:rPr>
                <w:sz w:val="22"/>
                <w:szCs w:val="22"/>
                <w:color w:val="auto"/>
              </w:rPr>
            </w:pPr>
          </w:p>
        </w:tc>
        <w:tc>
          <w:tcPr>
            <w:tcW w:w="40" w:type="dxa"/>
            <w:vAlign w:val="bottom"/>
            <w:tcBorders>
              <w:top w:val="single" w:sz="8" w:color="CCEEFF"/>
              <w:bottom w:val="single" w:sz="8" w:color="auto"/>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12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8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-488315</wp:posOffset>
            </wp:positionV>
            <wp:extent cx="521398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519" w:hanging="272"/>
        <w:spacing w:after="0" w:line="27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19" w:hanging="272"/>
        <w:spacing w:after="0" w:line="264"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jc w:val="both"/>
        <w:ind w:left="300" w:right="519" w:hanging="272"/>
        <w:spacing w:after="0" w:line="286" w:lineRule="auto"/>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Denotes a Control Investment. “Control Investments” are investments in those companies that are “Controlled Companies” of GSV Capital Corp., as defined in the Investment Company Act of 1940. A company is deemed to be a “Controlled Company” of GSV Capital Corp. if GSV Capital Corp. owns 25% or more of the voting securities of such company.</w:t>
      </w:r>
    </w:p>
    <w:p>
      <w:pPr>
        <w:spacing w:after="0" w:line="57" w:lineRule="exact"/>
        <w:rPr>
          <w:rFonts w:ascii="Arial" w:cs="Arial" w:eastAsia="Arial" w:hAnsi="Arial"/>
          <w:sz w:val="17"/>
          <w:szCs w:val="17"/>
          <w:color w:val="auto"/>
        </w:rPr>
      </w:pPr>
    </w:p>
    <w:p>
      <w:pPr>
        <w:ind w:left="300" w:right="539" w:hanging="272"/>
        <w:spacing w:after="0" w:line="277"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62" w:lineRule="exact"/>
        <w:rPr>
          <w:rFonts w:ascii="Arial" w:cs="Arial" w:eastAsia="Arial" w:hAnsi="Arial"/>
          <w:sz w:val="18"/>
          <w:szCs w:val="18"/>
          <w:color w:val="auto"/>
        </w:rPr>
      </w:pPr>
    </w:p>
    <w:p>
      <w:pPr>
        <w:ind w:left="300" w:right="519" w:hanging="272"/>
        <w:spacing w:after="0" w:line="308" w:lineRule="auto"/>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GSV Capital Corp.’s investment in Whittle Schools, LLC is held through its wholly-owned subsidiary GSVC WS Holdings, Inc. Whittle Schools, LLC is an investment whose economics are derived from the value of Avenues Global Holdings LLC.</w:t>
      </w:r>
    </w:p>
    <w:p>
      <w:pPr>
        <w:spacing w:after="0" w:line="38" w:lineRule="exact"/>
        <w:rPr>
          <w:rFonts w:ascii="Arial" w:cs="Arial" w:eastAsia="Arial" w:hAnsi="Arial"/>
          <w:sz w:val="17"/>
          <w:szCs w:val="17"/>
          <w:color w:val="auto"/>
        </w:rPr>
      </w:pPr>
    </w:p>
    <w:p>
      <w:pPr>
        <w:ind w:left="300" w:hanging="27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wholly-owned subsidiary SPNPM Holdings, LLC.</w:t>
      </w:r>
    </w:p>
    <w:p>
      <w:pPr>
        <w:spacing w:after="0" w:line="128" w:lineRule="exact"/>
        <w:rPr>
          <w:rFonts w:ascii="Arial" w:cs="Arial" w:eastAsia="Arial" w:hAnsi="Arial"/>
          <w:sz w:val="17"/>
          <w:szCs w:val="17"/>
          <w:color w:val="auto"/>
        </w:rPr>
      </w:pPr>
    </w:p>
    <w:p>
      <w:pPr>
        <w:ind w:left="300" w:right="539" w:hanging="272"/>
        <w:spacing w:after="0" w:line="277"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jc w:val="both"/>
        <w:ind w:left="300" w:right="519" w:hanging="272"/>
        <w:spacing w:after="0" w:line="293" w:lineRule="auto"/>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October 22, 2013, Cricket Media (fka ePals Inc.), priced its initial public offering, selling 40,267,333 shares at a price of CAD $0.075 per share. GSV Capital Corp.’s shares in Cricket Media (fka ePals Inc.), are subject to a lock-up agreement which expired on February 23, 2014. At September 30, 2014, GSV Capital Corp. valued Cricket Media (fka ePals Inc.), based on its September 30, 2014 closing price less 17.5%. GSV Capital Corp.’s Chief Executive Officer, Michael Moe is a Board member of Cricket Media (fka ePals Inc.), which subjects GSV Capital Corp. to insider trading restrictions under Canadian securities law. As such, the Company has applied a 17.5% discount to reflect the aforementioned trading restrictions.</w:t>
      </w:r>
    </w:p>
    <w:p>
      <w:pPr>
        <w:spacing w:after="0" w:line="200" w:lineRule="exact"/>
        <w:rPr>
          <w:sz w:val="20"/>
          <w:szCs w:val="20"/>
          <w:color w:val="auto"/>
        </w:rPr>
      </w:pPr>
    </w:p>
    <w:p>
      <w:pPr>
        <w:spacing w:after="0" w:line="289"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jc w:val="both"/>
        <w:ind w:left="280" w:right="519" w:hanging="272"/>
        <w:spacing w:after="0" w:line="255"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March 28, 2014, 2U, Inc. (f/k/a 2tor, Inc.) priced its initial public offering, selling 9,175,000 shares at a price of $13 per share. GSV Capital Corp.’s shares in 2U, Inc. (f/k/a 2tor, Inc.) are subject to a lock-up agreement which expired on September 24, 2014. At September 30, 2014, GSV Capital Corp. valued 2U, Inc. (f/k/a 2tor, Inc.), based on its September 30, 2014 closing price less 10.0%. Michael Moe is a Board member of 2U, Inc. (f/k/a 2tor, Inc.), which subjects GSV Capital Corp. to insider trading restrictions under U.S. securities law. As such, the Company has applied a 10.0% discount to reflect the aforementioned trading restrictions.</w:t>
      </w:r>
    </w:p>
    <w:p>
      <w:pPr>
        <w:spacing w:after="0" w:line="85" w:lineRule="exact"/>
        <w:rPr>
          <w:sz w:val="20"/>
          <w:szCs w:val="20"/>
          <w:color w:val="auto"/>
        </w:rPr>
      </w:pPr>
    </w:p>
    <w:p>
      <w:pPr>
        <w:jc w:val="both"/>
        <w:ind w:left="320" w:right="539" w:hanging="310"/>
        <w:spacing w:after="0" w:line="259" w:lineRule="auto"/>
        <w:rPr>
          <w:sz w:val="20"/>
          <w:szCs w:val="20"/>
          <w:color w:val="auto"/>
        </w:rPr>
      </w:pPr>
      <w:r>
        <w:rPr>
          <w:rFonts w:ascii="Arial" w:cs="Arial" w:eastAsia="Arial" w:hAnsi="Arial"/>
          <w:sz w:val="18"/>
          <w:szCs w:val="18"/>
          <w:color w:val="auto"/>
        </w:rPr>
        <w:t>(10)On May 15, 2014, TrueCar, Inc. priced its initial public offering, selling 7,775,000 shares at a price of $14 per share. GSV Capital Corp.’s shares in TrueCar, Inc. are subject to a lock-up agreement which expires on November 11, 2014. At September 30, 2014, GSV Capital Corp. valued TrueCar, Inc., based on its September 30, 2014 closing price, adjusted for a discount due to lack of marketability of 10.0%.</w:t>
      </w:r>
    </w:p>
    <w:p>
      <w:pPr>
        <w:spacing w:after="0" w:line="79" w:lineRule="exact"/>
        <w:rPr>
          <w:sz w:val="20"/>
          <w:szCs w:val="20"/>
          <w:color w:val="auto"/>
        </w:rPr>
      </w:pPr>
    </w:p>
    <w:p>
      <w:pPr>
        <w:jc w:val="both"/>
        <w:ind w:left="300" w:right="519" w:hanging="296"/>
        <w:spacing w:after="0" w:line="255" w:lineRule="auto"/>
        <w:rPr>
          <w:sz w:val="20"/>
          <w:szCs w:val="20"/>
          <w:color w:val="auto"/>
        </w:rPr>
      </w:pPr>
      <w:r>
        <w:rPr>
          <w:rFonts w:ascii="Arial" w:cs="Arial" w:eastAsia="Arial" w:hAnsi="Arial"/>
          <w:sz w:val="18"/>
          <w:szCs w:val="18"/>
          <w:color w:val="auto"/>
        </w:rPr>
        <w:t>(11)Refer to Note 9 — Long Term Liabilities. In accordance with the terms of the Company’s Convertible Senior Notes payable, the Company deposited $10,867,500 in an escrow account with the Trustee. These funds were used to purchase U.S. Treasury Strips (“Government Securities”) with an original cost of $10,845,236. As of September 30, 2014, 2 of the government securities purchased had matured and the proceeds were used by the trustee in accordance with the terms of the escrow agreement. At September 30, 2014, the remaining government securities are shown on the Consolidated Schedule of Investments and have an amortized cost of $7,277,896.</w:t>
      </w:r>
    </w:p>
    <w:p>
      <w:pPr>
        <w:spacing w:after="0" w:line="200" w:lineRule="exact"/>
        <w:rPr>
          <w:sz w:val="20"/>
          <w:szCs w:val="20"/>
          <w:color w:val="auto"/>
        </w:rPr>
      </w:pPr>
    </w:p>
    <w:p>
      <w:pPr>
        <w:spacing w:after="0" w:line="317"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057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13"/>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Headquarters/Industry</w:t>
            </w:r>
          </w:p>
        </w:tc>
        <w:tc>
          <w:tcPr>
            <w:tcW w:w="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8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auto"/>
            </w:tcBorders>
            <w:gridSpan w:val="13"/>
            <w:vMerge w:val="continue"/>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880" w:type="dxa"/>
            <w:vAlign w:val="bottom"/>
            <w:gridSpan w:val="13"/>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Twitter, Inc.</w:t>
            </w:r>
            <w:r>
              <w:rPr>
                <w:rFonts w:ascii="Arial" w:cs="Arial" w:eastAsia="Arial" w:hAnsi="Arial"/>
                <w:sz w:val="22"/>
                <w:szCs w:val="22"/>
                <w:b w:val="1"/>
                <w:bCs w:val="1"/>
                <w:color w:val="auto"/>
                <w:vertAlign w:val="superscript"/>
              </w:rPr>
              <w:t>(11)</w:t>
            </w: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Social Communication</w:t>
            </w: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1,900,600</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$32,991,111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$102,822,460</w:t>
            </w: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35.71%</w:t>
            </w:r>
          </w:p>
        </w:tc>
        <w:tc>
          <w:tcPr>
            <w:tcW w:w="0" w:type="dxa"/>
            <w:vAlign w:val="bottom"/>
          </w:tcPr>
          <w:p>
            <w:pPr>
              <w:spacing w:after="0"/>
              <w:rPr>
                <w:sz w:val="1"/>
                <w:szCs w:val="1"/>
                <w:color w:val="auto"/>
              </w:rPr>
            </w:pPr>
          </w:p>
        </w:tc>
      </w:tr>
      <w:tr>
        <w:trPr>
          <w:trHeight w:val="186"/>
        </w:trPr>
        <w:tc>
          <w:tcPr>
            <w:tcW w:w="2880" w:type="dxa"/>
            <w:vAlign w:val="bottom"/>
            <w:gridSpan w:val="13"/>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Palantir Technologies, Inc.</w:t>
            </w:r>
          </w:p>
        </w:tc>
        <w:tc>
          <w:tcPr>
            <w:tcW w:w="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 Class A</w:t>
            </w:r>
          </w:p>
        </w:tc>
        <w:tc>
          <w:tcPr>
            <w:tcW w:w="6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Palo Alto, CA</w:t>
            </w:r>
          </w:p>
        </w:tc>
        <w:tc>
          <w:tcPr>
            <w:tcW w:w="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Cyber Security</w:t>
            </w: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7,145,690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20,051,479</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32,119,877</w:t>
            </w:r>
          </w:p>
        </w:tc>
        <w:tc>
          <w:tcPr>
            <w:tcW w:w="7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11.15%</w:t>
            </w:r>
          </w:p>
        </w:tc>
        <w:tc>
          <w:tcPr>
            <w:tcW w:w="0" w:type="dxa"/>
            <w:vAlign w:val="bottom"/>
          </w:tcPr>
          <w:p>
            <w:pPr>
              <w:spacing w:after="0"/>
              <w:rPr>
                <w:sz w:val="1"/>
                <w:szCs w:val="1"/>
                <w:color w:val="auto"/>
              </w:rPr>
            </w:pPr>
          </w:p>
        </w:tc>
      </w:tr>
      <w:tr>
        <w:trPr>
          <w:trHeight w:val="20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G</w:t>
            </w: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326,797</w:t>
            </w:r>
          </w:p>
        </w:tc>
        <w:tc>
          <w:tcPr>
            <w:tcW w:w="820" w:type="dxa"/>
            <w:vAlign w:val="bottom"/>
          </w:tcPr>
          <w:p>
            <w:pPr>
              <w:jc w:val="right"/>
              <w:spacing w:after="0"/>
              <w:rPr>
                <w:sz w:val="20"/>
                <w:szCs w:val="20"/>
                <w:color w:val="auto"/>
              </w:rPr>
            </w:pPr>
            <w:r>
              <w:rPr>
                <w:rFonts w:ascii="Arial" w:cs="Arial" w:eastAsia="Arial" w:hAnsi="Arial"/>
                <w:sz w:val="16"/>
                <w:szCs w:val="16"/>
                <w:color w:val="auto"/>
              </w:rPr>
              <w:t>1,008,968</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1,718,953</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6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21,060,447</w:t>
            </w: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33,838,830</w:t>
            </w:r>
          </w:p>
        </w:tc>
        <w:tc>
          <w:tcPr>
            <w:tcW w:w="100" w:type="dxa"/>
            <w:vAlign w:val="bottom"/>
            <w:tcBorders>
              <w:lef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156"/>
        </w:trPr>
        <w:tc>
          <w:tcPr>
            <w:tcW w:w="288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Dropbox, Inc.</w:t>
            </w:r>
          </w:p>
        </w:tc>
        <w:tc>
          <w:tcPr>
            <w:tcW w:w="6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6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San Francisco, CA</w:t>
            </w:r>
          </w:p>
        </w:tc>
        <w:tc>
          <w:tcPr>
            <w:tcW w:w="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Online Storage</w:t>
            </w: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760,000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8,641,153</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9,181,012</w:t>
            </w:r>
          </w:p>
        </w:tc>
        <w:tc>
          <w:tcPr>
            <w:tcW w:w="7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A-1</w:t>
            </w: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552,486</w:t>
            </w:r>
          </w:p>
        </w:tc>
        <w:tc>
          <w:tcPr>
            <w:tcW w:w="820" w:type="dxa"/>
            <w:vAlign w:val="bottom"/>
          </w:tcPr>
          <w:p>
            <w:pPr>
              <w:jc w:val="right"/>
              <w:spacing w:after="0"/>
              <w:rPr>
                <w:sz w:val="20"/>
                <w:szCs w:val="20"/>
                <w:color w:val="auto"/>
              </w:rPr>
            </w:pPr>
            <w:r>
              <w:rPr>
                <w:rFonts w:ascii="Arial" w:cs="Arial" w:eastAsia="Arial" w:hAnsi="Arial"/>
                <w:sz w:val="16"/>
                <w:szCs w:val="16"/>
                <w:color w:val="auto"/>
              </w:rPr>
              <w:t>5,015,333</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6,674,185</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6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13,656,486</w:t>
            </w: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15,855,197</w:t>
            </w:r>
          </w:p>
        </w:tc>
        <w:tc>
          <w:tcPr>
            <w:tcW w:w="100" w:type="dxa"/>
            <w:vAlign w:val="bottom"/>
            <w:tcBorders>
              <w:lef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156"/>
        </w:trPr>
        <w:tc>
          <w:tcPr>
            <w:tcW w:w="288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Coursera, Inc.</w:t>
            </w:r>
          </w:p>
        </w:tc>
        <w:tc>
          <w:tcPr>
            <w:tcW w:w="6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Mountain View, CA</w:t>
            </w:r>
          </w:p>
        </w:tc>
        <w:tc>
          <w:tcPr>
            <w:tcW w:w="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2,961,399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14,519,443</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14,519,443</w:t>
            </w:r>
          </w:p>
        </w:tc>
        <w:tc>
          <w:tcPr>
            <w:tcW w:w="7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03"/>
        </w:trPr>
        <w:tc>
          <w:tcPr>
            <w:tcW w:w="288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Control4 Corporation</w:t>
            </w:r>
            <w:r>
              <w:rPr>
                <w:rFonts w:ascii="Arial" w:cs="Arial" w:eastAsia="Arial" w:hAnsi="Arial"/>
                <w:sz w:val="23"/>
                <w:szCs w:val="23"/>
                <w:b w:val="1"/>
                <w:bCs w:val="1"/>
                <w:color w:val="auto"/>
                <w:vertAlign w:val="superscript"/>
              </w:rPr>
              <w:t>(8)</w:t>
            </w: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Salt Lake City, UT</w:t>
            </w:r>
          </w:p>
        </w:tc>
        <w:tc>
          <w:tcPr>
            <w:tcW w:w="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Home Automation</w:t>
            </w: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782,789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7,010,762</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13,300,129</w:t>
            </w:r>
          </w:p>
        </w:tc>
        <w:tc>
          <w:tcPr>
            <w:tcW w:w="7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162"/>
        </w:trPr>
        <w:tc>
          <w:tcPr>
            <w:tcW w:w="288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2U, Inc. (f/k/a 2tor, Inc.)</w:t>
            </w:r>
          </w:p>
        </w:tc>
        <w:tc>
          <w:tcPr>
            <w:tcW w:w="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Landover, MD</w:t>
            </w:r>
          </w:p>
        </w:tc>
        <w:tc>
          <w:tcPr>
            <w:tcW w:w="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1,151,802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8,758,193</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9,875,206</w:t>
            </w:r>
          </w:p>
        </w:tc>
        <w:tc>
          <w:tcPr>
            <w:tcW w:w="7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0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167,431</w:t>
            </w:r>
          </w:p>
        </w:tc>
        <w:tc>
          <w:tcPr>
            <w:tcW w:w="820" w:type="dxa"/>
            <w:vAlign w:val="bottom"/>
          </w:tcPr>
          <w:p>
            <w:pPr>
              <w:jc w:val="right"/>
              <w:spacing w:after="0"/>
              <w:rPr>
                <w:sz w:val="20"/>
                <w:szCs w:val="20"/>
                <w:color w:val="auto"/>
              </w:rPr>
            </w:pPr>
            <w:r>
              <w:rPr>
                <w:rFonts w:ascii="Arial" w:cs="Arial" w:eastAsia="Arial" w:hAnsi="Arial"/>
                <w:sz w:val="16"/>
                <w:szCs w:val="16"/>
                <w:color w:val="auto"/>
              </w:rPr>
              <w:t>1,273,125</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1,435,503</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6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10,031,318</w:t>
            </w: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11,310,709</w:t>
            </w:r>
          </w:p>
        </w:tc>
        <w:tc>
          <w:tcPr>
            <w:tcW w:w="100" w:type="dxa"/>
            <w:vAlign w:val="bottom"/>
            <w:tcBorders>
              <w:lef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156"/>
        </w:trPr>
        <w:tc>
          <w:tcPr>
            <w:tcW w:w="2880" w:type="dxa"/>
            <w:vAlign w:val="bottom"/>
            <w:tcBorders>
              <w:top w:val="single" w:sz="8" w:color="CCEEFF"/>
            </w:tcBorders>
            <w:gridSpan w:val="13"/>
          </w:tcPr>
          <w:p>
            <w:pPr>
              <w:ind w:left="20"/>
              <w:spacing w:after="0" w:line="155" w:lineRule="exact"/>
              <w:rPr>
                <w:sz w:val="20"/>
                <w:szCs w:val="20"/>
                <w:color w:val="auto"/>
              </w:rPr>
            </w:pPr>
            <w:r>
              <w:rPr>
                <w:rFonts w:ascii="Arial" w:cs="Arial" w:eastAsia="Arial" w:hAnsi="Arial"/>
                <w:sz w:val="16"/>
                <w:szCs w:val="16"/>
                <w:b w:val="1"/>
                <w:bCs w:val="1"/>
                <w:color w:val="auto"/>
              </w:rPr>
              <w:t>Solexel, Inc.</w:t>
            </w:r>
          </w:p>
        </w:tc>
        <w:tc>
          <w:tcPr>
            <w:tcW w:w="60" w:type="dxa"/>
            <w:vAlign w:val="bottom"/>
            <w:tcBorders>
              <w:top w:val="single" w:sz="8" w:color="CCEEFF"/>
            </w:tcBorders>
          </w:tcPr>
          <w:p>
            <w:pPr>
              <w:spacing w:after="0"/>
              <w:rPr>
                <w:sz w:val="13"/>
                <w:szCs w:val="13"/>
                <w:color w:val="auto"/>
              </w:rPr>
            </w:pPr>
          </w:p>
        </w:tc>
        <w:tc>
          <w:tcPr>
            <w:tcW w:w="17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6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Milpitas, CA</w:t>
            </w:r>
          </w:p>
        </w:tc>
        <w:tc>
          <w:tcPr>
            <w:tcW w:w="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Solar Power</w:t>
            </w: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5,034,324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11,017,561</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11,286,628</w:t>
            </w:r>
          </w:p>
        </w:tc>
        <w:tc>
          <w:tcPr>
            <w:tcW w:w="7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03"/>
        </w:trPr>
        <w:tc>
          <w:tcPr>
            <w:tcW w:w="288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Avenues Global Holdings, LLC</w:t>
            </w:r>
            <w:r>
              <w:rPr>
                <w:rFonts w:ascii="Arial" w:cs="Arial" w:eastAsia="Arial" w:hAnsi="Arial"/>
                <w:sz w:val="23"/>
                <w:szCs w:val="23"/>
                <w:b w:val="1"/>
                <w:bCs w:val="1"/>
                <w:color w:val="auto"/>
                <w:vertAlign w:val="superscript"/>
              </w:rPr>
              <w:t>(2)</w:t>
            </w: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w w:val="98"/>
              </w:rPr>
              <w:t>Preferred shares, Junior Preferred Stock</w:t>
            </w:r>
          </w:p>
        </w:tc>
        <w:tc>
          <w:tcPr>
            <w:tcW w:w="6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New York, NY</w:t>
            </w:r>
          </w:p>
        </w:tc>
        <w:tc>
          <w:tcPr>
            <w:tcW w:w="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Globally Focused</w:t>
            </w: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Private</w:t>
            </w: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School</w:t>
            </w: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10,014,270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10,150,484</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10,014,270</w:t>
            </w:r>
          </w:p>
        </w:tc>
        <w:tc>
          <w:tcPr>
            <w:tcW w:w="7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3"/>
        </w:trPr>
        <w:tc>
          <w:tcPr>
            <w:tcW w:w="288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Curious.com Inc.</w:t>
            </w:r>
            <w:r>
              <w:rPr>
                <w:rFonts w:ascii="Arial" w:cs="Arial" w:eastAsia="Arial" w:hAnsi="Arial"/>
                <w:sz w:val="23"/>
                <w:szCs w:val="23"/>
                <w:b w:val="1"/>
                <w:bCs w:val="1"/>
                <w:color w:val="auto"/>
                <w:vertAlign w:val="superscript"/>
              </w:rPr>
              <w:t>(1)</w:t>
            </w: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6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Menlo Park, CA</w:t>
            </w:r>
          </w:p>
        </w:tc>
        <w:tc>
          <w:tcPr>
            <w:tcW w:w="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Online Education</w:t>
            </w: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2,839,861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10,000,003</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10,000,003</w:t>
            </w:r>
          </w:p>
        </w:tc>
        <w:tc>
          <w:tcPr>
            <w:tcW w:w="7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3"/>
        </w:trPr>
        <w:tc>
          <w:tcPr>
            <w:tcW w:w="2880" w:type="dxa"/>
            <w:vAlign w:val="bottom"/>
            <w:gridSpan w:val="13"/>
          </w:tcPr>
          <w:p>
            <w:pPr>
              <w:ind w:left="20"/>
              <w:spacing w:after="0" w:line="202" w:lineRule="exact"/>
              <w:rPr>
                <w:sz w:val="20"/>
                <w:szCs w:val="20"/>
                <w:color w:val="auto"/>
              </w:rPr>
            </w:pPr>
            <w:r>
              <w:rPr>
                <w:rFonts w:ascii="Arial" w:cs="Arial" w:eastAsia="Arial" w:hAnsi="Arial"/>
                <w:sz w:val="14"/>
                <w:szCs w:val="14"/>
                <w:b w:val="1"/>
                <w:bCs w:val="1"/>
                <w:color w:val="auto"/>
              </w:rPr>
              <w:t>PayNearMe, Inc.</w:t>
            </w:r>
            <w:r>
              <w:rPr>
                <w:rFonts w:ascii="Arial" w:cs="Arial" w:eastAsia="Arial" w:hAnsi="Arial"/>
                <w:sz w:val="23"/>
                <w:szCs w:val="23"/>
                <w:b w:val="1"/>
                <w:bCs w:val="1"/>
                <w:color w:val="auto"/>
                <w:vertAlign w:val="superscript"/>
              </w:rPr>
              <w:t>(1)</w:t>
            </w: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Sunnyvale, CA</w:t>
            </w:r>
          </w:p>
        </w:tc>
        <w:tc>
          <w:tcPr>
            <w:tcW w:w="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Cash Payment Network</w:t>
            </w: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3,914,535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10,000,001</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10,000,000</w:t>
            </w:r>
          </w:p>
        </w:tc>
        <w:tc>
          <w:tcPr>
            <w:tcW w:w="7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162"/>
        </w:trPr>
        <w:tc>
          <w:tcPr>
            <w:tcW w:w="288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Facebook, Inc.**</w:t>
            </w:r>
          </w:p>
        </w:tc>
        <w:tc>
          <w:tcPr>
            <w:tcW w:w="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 Class A</w:t>
            </w:r>
          </w:p>
        </w:tc>
        <w:tc>
          <w:tcPr>
            <w:tcW w:w="6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Menlo Park, CA</w:t>
            </w:r>
          </w:p>
        </w:tc>
        <w:tc>
          <w:tcPr>
            <w:tcW w:w="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Social Networking</w:t>
            </w: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175,000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5,236,147</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9,563,750</w:t>
            </w:r>
          </w:p>
        </w:tc>
        <w:tc>
          <w:tcPr>
            <w:tcW w:w="7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162"/>
        </w:trPr>
        <w:tc>
          <w:tcPr>
            <w:tcW w:w="2880" w:type="dxa"/>
            <w:vAlign w:val="bottom"/>
            <w:gridSpan w:val="13"/>
          </w:tcPr>
          <w:p>
            <w:pPr>
              <w:ind w:left="20"/>
              <w:spacing w:after="0" w:line="162" w:lineRule="exact"/>
              <w:rPr>
                <w:sz w:val="20"/>
                <w:szCs w:val="20"/>
                <w:color w:val="auto"/>
              </w:rPr>
            </w:pPr>
            <w:r>
              <w:rPr>
                <w:rFonts w:ascii="Arial" w:cs="Arial" w:eastAsia="Arial" w:hAnsi="Arial"/>
                <w:sz w:val="16"/>
                <w:szCs w:val="16"/>
                <w:b w:val="1"/>
                <w:bCs w:val="1"/>
                <w:color w:val="auto"/>
              </w:rPr>
              <w:t>SugarCRM, Inc.</w:t>
            </w:r>
          </w:p>
        </w:tc>
        <w:tc>
          <w:tcPr>
            <w:tcW w:w="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3"/>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Cupertino, CA</w:t>
            </w:r>
          </w:p>
        </w:tc>
        <w:tc>
          <w:tcPr>
            <w:tcW w:w="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Customer Relationship</w:t>
            </w: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Manager</w:t>
            </w:r>
          </w:p>
        </w:tc>
        <w:tc>
          <w:tcPr>
            <w:tcW w:w="98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1,899,799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6,799,272</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7,219,236</w:t>
            </w:r>
          </w:p>
        </w:tc>
        <w:tc>
          <w:tcPr>
            <w:tcW w:w="7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3"/>
        </w:trPr>
        <w:tc>
          <w:tcPr>
            <w:tcW w:w="2880" w:type="dxa"/>
            <w:vAlign w:val="bottom"/>
            <w:gridSpan w:val="13"/>
          </w:tcPr>
          <w:p>
            <w:pPr>
              <w:ind w:left="20"/>
              <w:spacing w:after="0"/>
              <w:rPr>
                <w:sz w:val="20"/>
                <w:szCs w:val="20"/>
                <w:color w:val="auto"/>
              </w:rPr>
            </w:pPr>
            <w:r>
              <w:rPr>
                <w:rFonts w:ascii="Arial" w:cs="Arial" w:eastAsia="Arial" w:hAnsi="Arial"/>
                <w:sz w:val="16"/>
                <w:szCs w:val="16"/>
                <w:color w:val="auto"/>
              </w:rPr>
              <w:t>Preferred shares, Series E</w:t>
            </w: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6"/>
                <w:szCs w:val="16"/>
                <w:color w:val="auto"/>
              </w:rPr>
              <w:t>373,134</w:t>
            </w:r>
          </w:p>
        </w:tc>
        <w:tc>
          <w:tcPr>
            <w:tcW w:w="820" w:type="dxa"/>
            <w:vAlign w:val="bottom"/>
          </w:tcPr>
          <w:p>
            <w:pPr>
              <w:jc w:val="right"/>
              <w:spacing w:after="0"/>
              <w:rPr>
                <w:sz w:val="20"/>
                <w:szCs w:val="20"/>
                <w:color w:val="auto"/>
              </w:rPr>
            </w:pPr>
            <w:r>
              <w:rPr>
                <w:rFonts w:ascii="Arial" w:cs="Arial" w:eastAsia="Arial" w:hAnsi="Arial"/>
                <w:sz w:val="16"/>
                <w:szCs w:val="16"/>
                <w:color w:val="auto"/>
              </w:rPr>
              <w:t>1,500,522</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2,160,437</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60" w:type="dxa"/>
            <w:vAlign w:val="bottom"/>
            <w:gridSpan w:val="1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8,299,794</w:t>
            </w: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9,379,673</w:t>
            </w:r>
          </w:p>
        </w:tc>
        <w:tc>
          <w:tcPr>
            <w:tcW w:w="100" w:type="dxa"/>
            <w:vAlign w:val="bottom"/>
            <w:tcBorders>
              <w:lef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-5179060</wp:posOffset>
            </wp:positionV>
            <wp:extent cx="521398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-4518660</wp:posOffset>
            </wp:positionV>
            <wp:extent cx="521398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-3060700</wp:posOffset>
            </wp:positionV>
            <wp:extent cx="521398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16"/>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4"/>
                <w:szCs w:val="14"/>
                <w:color w:val="auto"/>
              </w:rPr>
            </w:pPr>
          </w:p>
        </w:tc>
        <w:tc>
          <w:tcPr>
            <w:tcW w:w="1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Headquarters/Industry</w:t>
            </w:r>
          </w:p>
        </w:tc>
        <w:tc>
          <w:tcPr>
            <w:tcW w:w="1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auto"/>
            </w:tcBorders>
            <w:gridSpan w:val="16"/>
            <w:vMerge w:val="continue"/>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96"/>
        </w:trPr>
        <w:tc>
          <w:tcPr>
            <w:tcW w:w="2880" w:type="dxa"/>
            <w:vAlign w:val="bottom"/>
            <w:gridSpan w:val="16"/>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Chegg, Inc.</w:t>
            </w:r>
            <w:r>
              <w:rPr>
                <w:rFonts w:ascii="Arial" w:cs="Arial" w:eastAsia="Arial" w:hAnsi="Arial"/>
                <w:sz w:val="22"/>
                <w:szCs w:val="22"/>
                <w:b w:val="1"/>
                <w:bCs w:val="1"/>
                <w:color w:val="auto"/>
                <w:vertAlign w:val="superscript"/>
              </w:rPr>
              <w:t>(12)</w:t>
            </w: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Santa Clara, CA</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Textbook Rental</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1,182,792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w w:val="98"/>
              </w:rPr>
              <w:t>$14,022,863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8,551,589</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2.97%</w:t>
            </w:r>
          </w:p>
        </w:tc>
        <w:tc>
          <w:tcPr>
            <w:tcW w:w="0" w:type="dxa"/>
            <w:vAlign w:val="bottom"/>
          </w:tcPr>
          <w:p>
            <w:pPr>
              <w:spacing w:after="0"/>
              <w:rPr>
                <w:sz w:val="1"/>
                <w:szCs w:val="1"/>
                <w:color w:val="auto"/>
              </w:rPr>
            </w:pPr>
          </w:p>
        </w:tc>
      </w:tr>
      <w:tr>
        <w:trPr>
          <w:trHeight w:val="165"/>
        </w:trPr>
        <w:tc>
          <w:tcPr>
            <w:tcW w:w="288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ZocDoc Inc.</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Online Medical</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0"/>
              </w:rPr>
              <w:t>Scheduling</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3,563,178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3,926,702</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1.36%</w:t>
            </w:r>
          </w:p>
        </w:tc>
        <w:tc>
          <w:tcPr>
            <w:tcW w:w="0" w:type="dxa"/>
            <w:vAlign w:val="bottom"/>
          </w:tcPr>
          <w:p>
            <w:pPr>
              <w:spacing w:after="0"/>
              <w:rPr>
                <w:sz w:val="1"/>
                <w:szCs w:val="1"/>
                <w:color w:val="auto"/>
              </w:rPr>
            </w:pPr>
          </w:p>
        </w:tc>
      </w:tr>
      <w:tr>
        <w:trPr>
          <w:trHeight w:val="206"/>
        </w:trPr>
        <w:tc>
          <w:tcPr>
            <w:tcW w:w="288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111,866</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1,734,878</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2,196,322</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0.76%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5,298,056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6,123,024</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2.12%</w:t>
            </w:r>
          </w:p>
        </w:tc>
        <w:tc>
          <w:tcPr>
            <w:tcW w:w="0" w:type="dxa"/>
            <w:vAlign w:val="bottom"/>
          </w:tcPr>
          <w:p>
            <w:pPr>
              <w:spacing w:after="0"/>
              <w:rPr>
                <w:sz w:val="1"/>
                <w:szCs w:val="1"/>
                <w:color w:val="auto"/>
              </w:rPr>
            </w:pPr>
          </w:p>
        </w:tc>
      </w:tr>
      <w:tr>
        <w:trPr>
          <w:trHeight w:val="156"/>
        </w:trPr>
        <w:tc>
          <w:tcPr>
            <w:tcW w:w="2880" w:type="dxa"/>
            <w:vAlign w:val="bottom"/>
            <w:gridSpan w:val="16"/>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Knewton, Inc.</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Company</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375,985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4,999,999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4,999,999</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1.74%</w:t>
            </w:r>
          </w:p>
        </w:tc>
        <w:tc>
          <w:tcPr>
            <w:tcW w:w="0" w:type="dxa"/>
            <w:vAlign w:val="bottom"/>
          </w:tcPr>
          <w:p>
            <w:pPr>
              <w:spacing w:after="0"/>
              <w:rPr>
                <w:sz w:val="1"/>
                <w:szCs w:val="1"/>
                <w:color w:val="auto"/>
              </w:rPr>
            </w:pPr>
          </w:p>
        </w:tc>
      </w:tr>
      <w:tr>
        <w:trPr>
          <w:trHeight w:val="165"/>
        </w:trPr>
        <w:tc>
          <w:tcPr>
            <w:tcW w:w="288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JAMF Holdings, Inc.</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Minneapolis, MN</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5"/>
              </w:rPr>
              <w:t>Mobile Device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Management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36,720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4,999,964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4,999,964</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1.74%</w:t>
            </w:r>
          </w:p>
        </w:tc>
        <w:tc>
          <w:tcPr>
            <w:tcW w:w="0" w:type="dxa"/>
            <w:vAlign w:val="bottom"/>
          </w:tcPr>
          <w:p>
            <w:pPr>
              <w:spacing w:after="0"/>
              <w:rPr>
                <w:sz w:val="1"/>
                <w:szCs w:val="1"/>
                <w:color w:val="auto"/>
              </w:rPr>
            </w:pPr>
          </w:p>
        </w:tc>
      </w:tr>
      <w:tr>
        <w:trPr>
          <w:trHeight w:val="206"/>
        </w:trPr>
        <w:tc>
          <w:tcPr>
            <w:tcW w:w="288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(1)(3)</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Globally-focused Private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School</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1.04%</w:t>
            </w:r>
          </w:p>
        </w:tc>
        <w:tc>
          <w:tcPr>
            <w:tcW w:w="0" w:type="dxa"/>
            <w:vAlign w:val="bottom"/>
          </w:tcPr>
          <w:p>
            <w:pPr>
              <w:spacing w:after="0"/>
              <w:rPr>
                <w:sz w:val="1"/>
                <w:szCs w:val="1"/>
                <w:color w:val="auto"/>
              </w:rPr>
            </w:pPr>
          </w:p>
        </w:tc>
      </w:tr>
      <w:tr>
        <w:trPr>
          <w:trHeight w:val="206"/>
        </w:trPr>
        <w:tc>
          <w:tcPr>
            <w:tcW w:w="288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1,531,734</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0.52%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4,531,734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4,500,000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1.56%</w:t>
            </w:r>
          </w:p>
        </w:tc>
        <w:tc>
          <w:tcPr>
            <w:tcW w:w="0" w:type="dxa"/>
            <w:vAlign w:val="bottom"/>
          </w:tcPr>
          <w:p>
            <w:pPr>
              <w:spacing w:after="0"/>
              <w:rPr>
                <w:sz w:val="1"/>
                <w:szCs w:val="1"/>
                <w:color w:val="auto"/>
              </w:rPr>
            </w:pPr>
          </w:p>
        </w:tc>
      </w:tr>
      <w:tr>
        <w:trPr>
          <w:trHeight w:val="156"/>
        </w:trPr>
        <w:tc>
          <w:tcPr>
            <w:tcW w:w="2880" w:type="dxa"/>
            <w:vAlign w:val="bottom"/>
            <w:gridSpan w:val="16"/>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Spotify Technology S.A.**</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Stockholm, Sweden</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Music Streaming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Service</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3,658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3,598,472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4,443,409</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1.54%</w:t>
            </w:r>
          </w:p>
        </w:tc>
        <w:tc>
          <w:tcPr>
            <w:tcW w:w="0" w:type="dxa"/>
            <w:vAlign w:val="bottom"/>
          </w:tcPr>
          <w:p>
            <w:pPr>
              <w:spacing w:after="0"/>
              <w:rPr>
                <w:sz w:val="1"/>
                <w:szCs w:val="1"/>
                <w:color w:val="auto"/>
              </w:rPr>
            </w:pPr>
          </w:p>
        </w:tc>
      </w:tr>
      <w:tr>
        <w:trPr>
          <w:trHeight w:val="165"/>
        </w:trPr>
        <w:tc>
          <w:tcPr>
            <w:tcW w:w="288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w w:val="98"/>
              </w:rPr>
              <w:t>Global Education Learning (Holdings)</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gridSpan w:val="14"/>
            <w:shd w:val="clear" w:color="auto" w:fill="CCEEFF"/>
          </w:tcPr>
          <w:p>
            <w:pPr>
              <w:ind w:left="180"/>
              <w:spacing w:after="0" w:line="223" w:lineRule="exact"/>
              <w:rPr>
                <w:sz w:val="20"/>
                <w:szCs w:val="20"/>
                <w:color w:val="auto"/>
              </w:rPr>
            </w:pPr>
            <w:r>
              <w:rPr>
                <w:rFonts w:ascii="Arial" w:cs="Arial" w:eastAsia="Arial" w:hAnsi="Arial"/>
                <w:sz w:val="15"/>
                <w:szCs w:val="15"/>
                <w:b w:val="1"/>
                <w:bCs w:val="1"/>
                <w:color w:val="auto"/>
              </w:rPr>
              <w:t>Ltd.</w:t>
            </w:r>
            <w:r>
              <w:rPr>
                <w:rFonts w:ascii="Arial" w:cs="Arial" w:eastAsia="Arial" w:hAnsi="Arial"/>
                <w:sz w:val="25"/>
                <w:szCs w:val="25"/>
                <w:b w:val="1"/>
                <w:bCs w:val="1"/>
                <w:color w:val="auto"/>
                <w:vertAlign w:val="superscript"/>
              </w:rPr>
              <w:t>(1)</w:t>
            </w:r>
            <w:r>
              <w:rPr>
                <w:rFonts w:ascii="Arial" w:cs="Arial" w:eastAsia="Arial" w:hAnsi="Arial"/>
                <w:sz w:val="15"/>
                <w:szCs w:val="15"/>
                <w:b w:val="1"/>
                <w:bCs w:val="1"/>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Hong Kong</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Education Technology</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2,126,475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4,335,671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4,338,009</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1.51%</w:t>
            </w:r>
          </w:p>
        </w:tc>
        <w:tc>
          <w:tcPr>
            <w:tcW w:w="0" w:type="dxa"/>
            <w:vAlign w:val="bottom"/>
          </w:tcPr>
          <w:p>
            <w:pPr>
              <w:spacing w:after="0"/>
              <w:rPr>
                <w:sz w:val="1"/>
                <w:szCs w:val="1"/>
                <w:color w:val="auto"/>
              </w:rPr>
            </w:pPr>
          </w:p>
        </w:tc>
      </w:tr>
      <w:tr>
        <w:trPr>
          <w:trHeight w:val="206"/>
        </w:trPr>
        <w:tc>
          <w:tcPr>
            <w:tcW w:w="288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(1)(5)</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Interactive Learning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3,279,629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2,019,687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4,205,142</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1.46%</w:t>
            </w:r>
          </w:p>
        </w:tc>
        <w:tc>
          <w:tcPr>
            <w:tcW w:w="0" w:type="dxa"/>
            <w:vAlign w:val="bottom"/>
          </w:tcPr>
          <w:p>
            <w:pPr>
              <w:spacing w:after="0"/>
              <w:rPr>
                <w:sz w:val="1"/>
                <w:szCs w:val="1"/>
                <w:color w:val="auto"/>
              </w:rPr>
            </w:pPr>
          </w:p>
        </w:tc>
      </w:tr>
      <w:tr>
        <w:trPr>
          <w:trHeight w:val="206"/>
        </w:trPr>
        <w:tc>
          <w:tcPr>
            <w:tcW w:w="2880" w:type="dxa"/>
            <w:vAlign w:val="bottom"/>
            <w:gridSpan w:val="16"/>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Violin Memory, Inc.</w:t>
            </w:r>
            <w:r>
              <w:rPr>
                <w:rFonts w:ascii="Arial" w:cs="Arial" w:eastAsia="Arial" w:hAnsi="Arial"/>
                <w:sz w:val="23"/>
                <w:szCs w:val="23"/>
                <w:b w:val="1"/>
                <w:bCs w:val="1"/>
                <w:color w:val="auto"/>
                <w:vertAlign w:val="superscript"/>
              </w:rPr>
              <w:t>(9)</w:t>
            </w: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6"/>
              </w:rPr>
              <w:t>Mountain View, CA</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Memory Flash</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1,247,498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14,819,618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4,204,068</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1.46%</w:t>
            </w:r>
          </w:p>
        </w:tc>
        <w:tc>
          <w:tcPr>
            <w:tcW w:w="0" w:type="dxa"/>
            <w:vAlign w:val="bottom"/>
          </w:tcPr>
          <w:p>
            <w:pPr>
              <w:spacing w:after="0"/>
              <w:rPr>
                <w:sz w:val="1"/>
                <w:szCs w:val="1"/>
                <w:color w:val="auto"/>
              </w:rPr>
            </w:pPr>
          </w:p>
        </w:tc>
      </w:tr>
      <w:tr>
        <w:trPr>
          <w:trHeight w:val="165"/>
        </w:trPr>
        <w:tc>
          <w:tcPr>
            <w:tcW w:w="288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Dataminr, Inc.</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4"/>
              </w:rPr>
              <w:t>Social Media Analytics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904,977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2,063,356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2,934,840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1.02%</w:t>
            </w:r>
          </w:p>
        </w:tc>
        <w:tc>
          <w:tcPr>
            <w:tcW w:w="0" w:type="dxa"/>
            <w:vAlign w:val="bottom"/>
          </w:tcPr>
          <w:p>
            <w:pPr>
              <w:spacing w:after="0"/>
              <w:rPr>
                <w:sz w:val="1"/>
                <w:szCs w:val="1"/>
                <w:color w:val="auto"/>
              </w:rPr>
            </w:pPr>
          </w:p>
        </w:tc>
      </w:tr>
      <w:tr>
        <w:trPr>
          <w:trHeight w:val="206"/>
        </w:trPr>
        <w:tc>
          <w:tcPr>
            <w:tcW w:w="288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301,369</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1,100,909</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1,099,997</w:t>
            </w:r>
          </w:p>
        </w:tc>
        <w:tc>
          <w:tcPr>
            <w:tcW w:w="68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2"/>
              </w:rPr>
              <w:t>0.38%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3,164,265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4,034,837</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1.40%</w:t>
            </w:r>
          </w:p>
        </w:tc>
        <w:tc>
          <w:tcPr>
            <w:tcW w:w="0" w:type="dxa"/>
            <w:vAlign w:val="bottom"/>
          </w:tcPr>
          <w:p>
            <w:pPr>
              <w:spacing w:after="0"/>
              <w:rPr>
                <w:sz w:val="1"/>
                <w:szCs w:val="1"/>
                <w:color w:val="auto"/>
              </w:rPr>
            </w:pPr>
          </w:p>
        </w:tc>
      </w:tr>
      <w:tr>
        <w:trPr>
          <w:trHeight w:val="156"/>
        </w:trPr>
        <w:tc>
          <w:tcPr>
            <w:tcW w:w="2880" w:type="dxa"/>
            <w:vAlign w:val="bottom"/>
            <w:gridSpan w:val="16"/>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Gilt Groupe, Inc.</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8"/>
              </w:rPr>
              <w:t>e-Commerce Flash Sales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248,600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6,594,433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4,024,389</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1.40%</w:t>
            </w:r>
          </w:p>
        </w:tc>
        <w:tc>
          <w:tcPr>
            <w:tcW w:w="0" w:type="dxa"/>
            <w:vAlign w:val="bottom"/>
          </w:tcPr>
          <w:p>
            <w:pPr>
              <w:spacing w:after="0"/>
              <w:rPr>
                <w:sz w:val="1"/>
                <w:szCs w:val="1"/>
                <w:color w:val="auto"/>
              </w:rPr>
            </w:pPr>
          </w:p>
        </w:tc>
      </w:tr>
      <w:tr>
        <w:trPr>
          <w:trHeight w:val="165"/>
        </w:trPr>
        <w:tc>
          <w:tcPr>
            <w:tcW w:w="2880" w:type="dxa"/>
            <w:vAlign w:val="bottom"/>
            <w:gridSpan w:val="16"/>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Parchment, Inc.</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6"/>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Scottsdale, AZ</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E-Transcript Exchange</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3,200,512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4,000,862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4,000,640</w:t>
            </w:r>
          </w:p>
        </w:tc>
        <w:tc>
          <w:tcPr>
            <w:tcW w:w="680" w:type="dxa"/>
            <w:vAlign w:val="bottom"/>
            <w:gridSpan w:val="3"/>
          </w:tcPr>
          <w:p>
            <w:pPr>
              <w:jc w:val="center"/>
              <w:ind w:left="19"/>
              <w:spacing w:after="0"/>
              <w:rPr>
                <w:sz w:val="20"/>
                <w:szCs w:val="20"/>
                <w:color w:val="auto"/>
              </w:rPr>
            </w:pPr>
            <w:r>
              <w:rPr>
                <w:rFonts w:ascii="Arial" w:cs="Arial" w:eastAsia="Arial" w:hAnsi="Arial"/>
                <w:sz w:val="16"/>
                <w:szCs w:val="16"/>
                <w:color w:val="auto"/>
                <w:w w:val="92"/>
              </w:rPr>
              <w:t>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-5424170</wp:posOffset>
            </wp:positionV>
            <wp:extent cx="521398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-3580130</wp:posOffset>
            </wp:positionV>
            <wp:extent cx="521398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-913130</wp:posOffset>
            </wp:positionV>
            <wp:extent cx="521398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4"/>
                <w:szCs w:val="14"/>
                <w:color w:val="auto"/>
              </w:rPr>
            </w:pPr>
          </w:p>
        </w:tc>
        <w:tc>
          <w:tcPr>
            <w:tcW w:w="19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Headquarters/Industry</w:t>
            </w: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880" w:type="dxa"/>
            <w:vAlign w:val="bottom"/>
            <w:gridSpan w:val="9"/>
            <w:vMerge w:val="continue"/>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760" w:type="dxa"/>
            <w:vAlign w:val="bottom"/>
          </w:tcPr>
          <w:p>
            <w:pPr>
              <w:jc w:val="right"/>
              <w:ind w:right="6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880" w:type="dxa"/>
            <w:vAlign w:val="bottom"/>
            <w:tcBorders>
              <w:top w:val="single" w:sz="8" w:color="auto"/>
            </w:tcBorders>
            <w:gridSpan w:val="9"/>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Ozy Media, Inc.</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Mountain View,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Daily News and</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Information Site</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1,090,909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$ 3,000,000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3,000,000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6"/>
        </w:trPr>
        <w:tc>
          <w:tcPr>
            <w:tcW w:w="288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Preferred shares, Series Seed</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865,000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8"/>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3,865,000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96"/>
        </w:trPr>
        <w:tc>
          <w:tcPr>
            <w:tcW w:w="2880" w:type="dxa"/>
            <w:vAlign w:val="bottom"/>
            <w:gridSpan w:val="9"/>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9"/>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9"/>
              </w:rPr>
              <w:t>Carrollton, TX</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8"/>
              </w:rPr>
              <w:t>LED Lighting</w:t>
            </w:r>
          </w:p>
        </w:tc>
        <w:tc>
          <w:tcPr>
            <w:tcW w:w="760" w:type="dxa"/>
            <w:vAlign w:val="bottom"/>
          </w:tcPr>
          <w:p>
            <w:pPr>
              <w:jc w:val="right"/>
              <w:spacing w:after="0"/>
              <w:rPr>
                <w:sz w:val="20"/>
                <w:szCs w:val="20"/>
                <w:color w:val="auto"/>
              </w:rPr>
            </w:pPr>
            <w:r>
              <w:rPr>
                <w:rFonts w:ascii="Arial" w:cs="Arial" w:eastAsia="Arial" w:hAnsi="Arial"/>
                <w:sz w:val="16"/>
                <w:szCs w:val="16"/>
                <w:color w:val="auto"/>
                <w:w w:val="87"/>
              </w:rPr>
              <w:t>11,307,348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2,840,391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576,675</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06"/>
        </w:trPr>
        <w:tc>
          <w:tcPr>
            <w:tcW w:w="288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8,692,652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2,183,582</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2,173,163</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3"/>
        </w:trPr>
        <w:tc>
          <w:tcPr>
            <w:tcW w:w="288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87"/>
              </w:rPr>
              <w:t>11.111,110</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1,001,001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6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6,023,973</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3,750,839</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gridSpan w:val="9"/>
          </w:tcPr>
          <w:p>
            <w:pPr>
              <w:ind w:left="20"/>
              <w:spacing w:after="0" w:line="197"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2"/>
                <w:szCs w:val="22"/>
                <w:b w:val="1"/>
                <w:bCs w:val="1"/>
                <w:color w:val="auto"/>
                <w:vertAlign w:val="superscript"/>
              </w:rPr>
              <w:t>(1)</w:t>
            </w:r>
          </w:p>
        </w:tc>
        <w:tc>
          <w:tcPr>
            <w:tcW w:w="8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EEFF"/>
          </w:tcPr>
          <w:p>
            <w:pPr>
              <w:spacing w:after="0"/>
              <w:rPr>
                <w:sz w:val="16"/>
                <w:szCs w:val="16"/>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5"/>
              </w:rPr>
              <w:t>Cambridge, MA</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89"/>
              </w:rPr>
              <w:t>Business Education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1,728,724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3,193,444</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3,114,120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2880" w:type="dxa"/>
            <w:vAlign w:val="bottom"/>
            <w:gridSpan w:val="9"/>
          </w:tcPr>
          <w:p>
            <w:pPr>
              <w:ind w:left="20"/>
              <w:spacing w:after="0"/>
              <w:rPr>
                <w:sz w:val="20"/>
                <w:szCs w:val="20"/>
                <w:color w:val="auto"/>
              </w:rPr>
            </w:pPr>
            <w:r>
              <w:rPr>
                <w:rFonts w:ascii="Arial" w:cs="Arial" w:eastAsia="Arial" w:hAnsi="Arial"/>
                <w:sz w:val="16"/>
                <w:szCs w:val="16"/>
                <w:color w:val="auto"/>
              </w:rPr>
              <w:t>Term Loan, 10%, 3/31/14***</w:t>
            </w:r>
          </w:p>
        </w:tc>
        <w:tc>
          <w:tcPr>
            <w:tcW w:w="20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250,000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262,612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3"/>
        </w:trPr>
        <w:tc>
          <w:tcPr>
            <w:tcW w:w="288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Term Loan, 10%, 3/31/14***</w:t>
            </w:r>
          </w:p>
        </w:tc>
        <w:tc>
          <w:tcPr>
            <w:tcW w:w="20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241,239</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93"/>
        </w:trPr>
        <w:tc>
          <w:tcPr>
            <w:tcW w:w="2880" w:type="dxa"/>
            <w:vAlign w:val="bottom"/>
            <w:gridSpan w:val="9"/>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8"/>
          </w:tcPr>
          <w:p>
            <w:pPr>
              <w:ind w:left="180"/>
              <w:spacing w:after="0"/>
              <w:rPr>
                <w:sz w:val="20"/>
                <w:szCs w:val="20"/>
                <w:color w:val="auto"/>
              </w:rPr>
            </w:pPr>
            <w:r>
              <w:rPr>
                <w:rFonts w:ascii="Arial" w:cs="Arial" w:eastAsia="Arial" w:hAnsi="Arial"/>
                <w:sz w:val="16"/>
                <w:szCs w:val="16"/>
                <w:color w:val="auto"/>
              </w:rPr>
              <w:t>expire 3/22/2020</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186,170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67,021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126,362</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96"/>
        </w:trPr>
        <w:tc>
          <w:tcPr>
            <w:tcW w:w="288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6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expire 10/09/2018</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14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880" w:type="dxa"/>
            <w:vAlign w:val="bottom"/>
            <w:gridSpan w:val="9"/>
          </w:tcPr>
          <w:p>
            <w:pPr>
              <w:ind w:left="20"/>
              <w:spacing w:after="0"/>
              <w:rPr>
                <w:sz w:val="20"/>
                <w:szCs w:val="20"/>
                <w:color w:val="auto"/>
              </w:rPr>
            </w:pPr>
            <w:r>
              <w:rPr>
                <w:rFonts w:ascii="Arial" w:cs="Arial" w:eastAsia="Arial" w:hAnsi="Arial"/>
                <w:sz w:val="16"/>
                <w:szCs w:val="16"/>
                <w:color w:val="auto"/>
              </w:rPr>
              <w:t>Common warrants, $0.91 strike price,</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gridSpan w:val="8"/>
          </w:tcPr>
          <w:p>
            <w:pPr>
              <w:ind w:left="180"/>
              <w:spacing w:after="0"/>
              <w:rPr>
                <w:sz w:val="20"/>
                <w:szCs w:val="20"/>
                <w:color w:val="auto"/>
              </w:rPr>
            </w:pPr>
            <w:r>
              <w:rPr>
                <w:rFonts w:ascii="Arial" w:cs="Arial" w:eastAsia="Arial" w:hAnsi="Arial"/>
                <w:sz w:val="16"/>
                <w:szCs w:val="16"/>
                <w:color w:val="auto"/>
              </w:rPr>
              <w:t>expire 12/10/2018</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82,418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9,799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86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3,784,016</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3,740,482</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56"/>
        </w:trPr>
        <w:tc>
          <w:tcPr>
            <w:tcW w:w="2880" w:type="dxa"/>
            <w:vAlign w:val="bottom"/>
            <w:tcBorders>
              <w:top w:val="single" w:sz="8" w:color="CCEEFF"/>
            </w:tcBorders>
            <w:gridSpan w:val="9"/>
          </w:tcPr>
          <w:p>
            <w:pPr>
              <w:ind w:left="20"/>
              <w:spacing w:after="0" w:line="155" w:lineRule="exact"/>
              <w:rPr>
                <w:sz w:val="20"/>
                <w:szCs w:val="20"/>
                <w:color w:val="auto"/>
              </w:rPr>
            </w:pPr>
            <w:r>
              <w:rPr>
                <w:rFonts w:ascii="Arial" w:cs="Arial" w:eastAsia="Arial" w:hAnsi="Arial"/>
                <w:sz w:val="16"/>
                <w:szCs w:val="16"/>
                <w:b w:val="1"/>
                <w:bCs w:val="1"/>
                <w:color w:val="auto"/>
              </w:rPr>
              <w:t>Bloom Energy Corporation</w:t>
            </w:r>
          </w:p>
        </w:tc>
        <w:tc>
          <w:tcPr>
            <w:tcW w:w="80" w:type="dxa"/>
            <w:vAlign w:val="bottom"/>
            <w:tcBorders>
              <w:top w:val="single" w:sz="8" w:color="CCEEFF"/>
            </w:tcBorders>
          </w:tcPr>
          <w:p>
            <w:pPr>
              <w:spacing w:after="0"/>
              <w:rPr>
                <w:sz w:val="13"/>
                <w:szCs w:val="13"/>
                <w:color w:val="auto"/>
              </w:rPr>
            </w:pPr>
          </w:p>
        </w:tc>
        <w:tc>
          <w:tcPr>
            <w:tcW w:w="17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EEFF"/>
          </w:tcPr>
          <w:p>
            <w:pPr>
              <w:spacing w:after="0"/>
              <w:rPr>
                <w:sz w:val="16"/>
                <w:szCs w:val="16"/>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2"/>
              </w:rPr>
              <w:t>Sunnyvale, CA</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2"/>
              </w:rPr>
              <w:t>Fuel Cell Energy</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201,589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3,855,601</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3,731,264</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3"/>
        </w:trPr>
        <w:tc>
          <w:tcPr>
            <w:tcW w:w="2880" w:type="dxa"/>
            <w:vAlign w:val="bottom"/>
            <w:gridSpan w:val="9"/>
          </w:tcPr>
          <w:p>
            <w:pPr>
              <w:ind w:left="20"/>
              <w:spacing w:after="0" w:line="202" w:lineRule="exact"/>
              <w:rPr>
                <w:sz w:val="20"/>
                <w:szCs w:val="20"/>
                <w:color w:val="auto"/>
              </w:rPr>
            </w:pPr>
            <w:r>
              <w:rPr>
                <w:rFonts w:ascii="Arial" w:cs="Arial" w:eastAsia="Arial" w:hAnsi="Arial"/>
                <w:sz w:val="14"/>
                <w:szCs w:val="14"/>
                <w:b w:val="1"/>
                <w:bCs w:val="1"/>
                <w:color w:val="auto"/>
              </w:rPr>
              <w:t>Learnist Inc. (f/k/a Grockit, Inc.)</w:t>
            </w:r>
            <w:r>
              <w:rPr>
                <w:rFonts w:ascii="Arial" w:cs="Arial" w:eastAsia="Arial" w:hAnsi="Arial"/>
                <w:sz w:val="23"/>
                <w:szCs w:val="23"/>
                <w:b w:val="1"/>
                <w:bCs w:val="1"/>
                <w:color w:val="auto"/>
                <w:vertAlign w:val="superscript"/>
              </w:rPr>
              <w:t>(1)(11)</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Preferred shares, Series D</w:t>
            </w:r>
          </w:p>
        </w:tc>
        <w:tc>
          <w:tcPr>
            <w:tcW w:w="80" w:type="dxa"/>
            <w:vAlign w:val="bottom"/>
            <w:shd w:val="clear" w:color="auto" w:fill="CCEEFF"/>
          </w:tcPr>
          <w:p>
            <w:pPr>
              <w:spacing w:after="0"/>
              <w:rPr>
                <w:sz w:val="16"/>
                <w:szCs w:val="16"/>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3"/>
              </w:rPr>
              <w:t>Online Learning</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7"/>
              </w:rPr>
              <w:t>Platform</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2,728,252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2,005,945</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2,073,472</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03"/>
        </w:trPr>
        <w:tc>
          <w:tcPr>
            <w:tcW w:w="288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E</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1,731,501</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1,503,670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1,499,999</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6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3,509,615</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3,573,471</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gridSpan w:val="9"/>
          </w:tcPr>
          <w:p>
            <w:pPr>
              <w:ind w:left="20"/>
              <w:spacing w:after="0" w:line="197"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2"/>
                <w:szCs w:val="22"/>
                <w:b w:val="1"/>
                <w:bCs w:val="1"/>
                <w:color w:val="auto"/>
                <w:vertAlign w:val="superscript"/>
              </w:rPr>
              <w:t>(1)</w:t>
            </w:r>
          </w:p>
        </w:tc>
        <w:tc>
          <w:tcPr>
            <w:tcW w:w="8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80" w:type="dxa"/>
            <w:vAlign w:val="bottom"/>
            <w:shd w:val="clear" w:color="auto" w:fill="CCEEFF"/>
          </w:tcPr>
          <w:p>
            <w:pPr>
              <w:spacing w:after="0"/>
              <w:rPr>
                <w:sz w:val="16"/>
                <w:szCs w:val="16"/>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140"/>
              <w:spacing w:after="0"/>
              <w:rPr>
                <w:sz w:val="20"/>
                <w:szCs w:val="20"/>
                <w:color w:val="auto"/>
              </w:rPr>
            </w:pPr>
            <w:r>
              <w:rPr>
                <w:rFonts w:ascii="Arial" w:cs="Arial" w:eastAsia="Arial" w:hAnsi="Arial"/>
                <w:sz w:val="16"/>
                <w:szCs w:val="16"/>
                <w:color w:val="auto"/>
                <w:w w:val="91"/>
              </w:rPr>
              <w:t>Corporate Education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2,006,077</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2,229,678</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03"/>
        </w:trPr>
        <w:tc>
          <w:tcPr>
            <w:tcW w:w="2880" w:type="dxa"/>
            <w:vAlign w:val="bottom"/>
            <w:gridSpan w:val="9"/>
          </w:tcPr>
          <w:p>
            <w:pPr>
              <w:ind w:left="20"/>
              <w:spacing w:after="0"/>
              <w:rPr>
                <w:sz w:val="20"/>
                <w:szCs w:val="20"/>
                <w:color w:val="auto"/>
              </w:rPr>
            </w:pPr>
            <w:r>
              <w:rPr>
                <w:rFonts w:ascii="Arial" w:cs="Arial" w:eastAsia="Arial" w:hAnsi="Arial"/>
                <w:sz w:val="16"/>
                <w:szCs w:val="16"/>
                <w:color w:val="auto"/>
              </w:rPr>
              <w:t>Convertible preferred shares, Series D</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169,033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778,607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697,041</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193"/>
        </w:trPr>
        <w:tc>
          <w:tcPr>
            <w:tcW w:w="288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Preferred warrants, $4.59 strike price,</w:t>
            </w: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expire 02/25/2018</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gridSpan w:val="8"/>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2,784,684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2,926,719</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96"/>
        </w:trPr>
        <w:tc>
          <w:tcPr>
            <w:tcW w:w="2880" w:type="dxa"/>
            <w:vAlign w:val="bottom"/>
            <w:gridSpan w:val="9"/>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SharesPost, Inc.</w:t>
            </w:r>
            <w:r>
              <w:rPr>
                <w:rFonts w:ascii="Arial" w:cs="Arial" w:eastAsia="Arial" w:hAnsi="Arial"/>
                <w:sz w:val="22"/>
                <w:szCs w:val="22"/>
                <w:b w:val="1"/>
                <w:bCs w:val="1"/>
                <w:color w:val="auto"/>
                <w:vertAlign w:val="superscript"/>
              </w:rPr>
              <w:t>(6)</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9"/>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San Bruno,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Online Marketplace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87"/>
              </w:rPr>
              <w:t>Finance</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1,771,653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2,259,716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2,232,283</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196"/>
        </w:trPr>
        <w:tc>
          <w:tcPr>
            <w:tcW w:w="288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Common warrants, $0.13 strike price,</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8"/>
            <w:shd w:val="clear" w:color="auto" w:fill="CCEEFF"/>
          </w:tcPr>
          <w:p>
            <w:pPr>
              <w:ind w:left="180"/>
              <w:spacing w:after="0"/>
              <w:rPr>
                <w:sz w:val="20"/>
                <w:szCs w:val="20"/>
                <w:color w:val="auto"/>
              </w:rPr>
            </w:pPr>
            <w:r>
              <w:rPr>
                <w:rFonts w:ascii="Arial" w:cs="Arial" w:eastAsia="Arial" w:hAnsi="Arial"/>
                <w:sz w:val="16"/>
                <w:szCs w:val="16"/>
                <w:color w:val="auto"/>
              </w:rPr>
              <w:t>expire 6/15/2018</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770,934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23,128</w:t>
            </w:r>
          </w:p>
        </w:tc>
        <w:tc>
          <w:tcPr>
            <w:tcW w:w="9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115,640</w:t>
            </w:r>
          </w:p>
        </w:tc>
        <w:tc>
          <w:tcPr>
            <w:tcW w:w="74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gridSpan w:val="8"/>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2,282,844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2,347,923</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156"/>
        </w:trPr>
        <w:tc>
          <w:tcPr>
            <w:tcW w:w="2880" w:type="dxa"/>
            <w:vAlign w:val="bottom"/>
            <w:gridSpan w:val="9"/>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TrueCar, Inc.</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9"/>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Santa Monica,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Online Marketplace</w:t>
            </w:r>
          </w:p>
        </w:tc>
        <w:tc>
          <w:tcPr>
            <w:tcW w:w="760" w:type="dxa"/>
            <w:vAlign w:val="bottom"/>
          </w:tcPr>
          <w:p>
            <w:pPr>
              <w:jc w:val="right"/>
              <w:spacing w:after="0"/>
              <w:rPr>
                <w:sz w:val="20"/>
                <w:szCs w:val="20"/>
                <w:color w:val="auto"/>
              </w:rPr>
            </w:pPr>
            <w:r>
              <w:rPr>
                <w:rFonts w:ascii="Arial" w:cs="Arial" w:eastAsia="Arial" w:hAnsi="Arial"/>
                <w:sz w:val="16"/>
                <w:szCs w:val="16"/>
                <w:color w:val="auto"/>
              </w:rPr>
              <w:t>377,358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2,014,863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2,299,997</w:t>
            </w:r>
          </w:p>
        </w:tc>
        <w:tc>
          <w:tcPr>
            <w:tcW w:w="740" w:type="dxa"/>
            <w:vAlign w:val="bottom"/>
            <w:gridSpan w:val="3"/>
          </w:tcPr>
          <w:p>
            <w:pPr>
              <w:jc w:val="right"/>
              <w:ind w:right="80"/>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-6015990</wp:posOffset>
            </wp:positionV>
            <wp:extent cx="521398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-5064125</wp:posOffset>
            </wp:positionV>
            <wp:extent cx="521398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-3477260</wp:posOffset>
            </wp:positionV>
            <wp:extent cx="521398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-2276475</wp:posOffset>
            </wp:positionV>
            <wp:extent cx="521398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-1470660</wp:posOffset>
            </wp:positionV>
            <wp:extent cx="521398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-527050</wp:posOffset>
            </wp:positionV>
            <wp:extent cx="521398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 w:name="page17"/>
    <w:bookmarkEnd w:id="1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14"/>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4"/>
                <w:szCs w:val="14"/>
                <w:color w:val="auto"/>
              </w:rPr>
            </w:pPr>
          </w:p>
        </w:tc>
        <w:tc>
          <w:tcPr>
            <w:tcW w:w="19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Headquarters/Industry</w:t>
            </w: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880" w:type="dxa"/>
            <w:vAlign w:val="bottom"/>
            <w:gridSpan w:val="14"/>
            <w:vMerge w:val="continue"/>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760" w:type="dxa"/>
            <w:vAlign w:val="bottom"/>
          </w:tcPr>
          <w:p>
            <w:pPr>
              <w:jc w:val="right"/>
              <w:ind w:right="6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56"/>
        </w:trPr>
        <w:tc>
          <w:tcPr>
            <w:tcW w:w="2880" w:type="dxa"/>
            <w:vAlign w:val="bottom"/>
            <w:tcBorders>
              <w:top w:val="single" w:sz="8" w:color="auto"/>
            </w:tcBorders>
            <w:gridSpan w:val="14"/>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DreamBox Learning, Inc.</w:t>
            </w:r>
          </w:p>
        </w:tc>
        <w:tc>
          <w:tcPr>
            <w:tcW w:w="80" w:type="dxa"/>
            <w:vAlign w:val="bottom"/>
            <w:shd w:val="clear" w:color="auto" w:fill="CCEEFF"/>
          </w:tcPr>
          <w:p>
            <w:pPr>
              <w:spacing w:after="0"/>
              <w:rPr>
                <w:sz w:val="13"/>
                <w:szCs w:val="13"/>
                <w:color w:val="auto"/>
              </w:rPr>
            </w:pPr>
          </w:p>
        </w:tc>
        <w:tc>
          <w:tcPr>
            <w:tcW w:w="17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A-1</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Bellevue, WA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Education Technology</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7,159,221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$ 1,502,362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1,503,436</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0.52%</w:t>
            </w:r>
          </w:p>
        </w:tc>
        <w:tc>
          <w:tcPr>
            <w:tcW w:w="0" w:type="dxa"/>
            <w:vAlign w:val="bottom"/>
          </w:tcPr>
          <w:p>
            <w:pPr>
              <w:spacing w:after="0"/>
              <w:rPr>
                <w:sz w:val="1"/>
                <w:szCs w:val="1"/>
                <w:color w:val="auto"/>
              </w:rPr>
            </w:pPr>
          </w:p>
        </w:tc>
      </w:tr>
      <w:tr>
        <w:trPr>
          <w:trHeight w:val="206"/>
        </w:trPr>
        <w:tc>
          <w:tcPr>
            <w:tcW w:w="288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3,579,610</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758,017</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751,718</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0.26%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2,260,379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2,255,154</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0.78%</w:t>
            </w:r>
          </w:p>
        </w:tc>
        <w:tc>
          <w:tcPr>
            <w:tcW w:w="0" w:type="dxa"/>
            <w:vAlign w:val="bottom"/>
          </w:tcPr>
          <w:p>
            <w:pPr>
              <w:spacing w:after="0"/>
              <w:rPr>
                <w:sz w:val="1"/>
                <w:szCs w:val="1"/>
                <w:color w:val="auto"/>
              </w:rPr>
            </w:pPr>
          </w:p>
        </w:tc>
      </w:tr>
      <w:tr>
        <w:trPr>
          <w:trHeight w:val="196"/>
        </w:trPr>
        <w:tc>
          <w:tcPr>
            <w:tcW w:w="2880" w:type="dxa"/>
            <w:vAlign w:val="bottom"/>
            <w:gridSpan w:val="14"/>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San Francisco,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Knowledge Networks</w:t>
            </w:r>
          </w:p>
        </w:tc>
        <w:tc>
          <w:tcPr>
            <w:tcW w:w="760" w:type="dxa"/>
            <w:vAlign w:val="bottom"/>
          </w:tcPr>
          <w:p>
            <w:pPr>
              <w:jc w:val="right"/>
              <w:spacing w:after="0"/>
              <w:rPr>
                <w:sz w:val="20"/>
                <w:szCs w:val="20"/>
                <w:color w:val="auto"/>
              </w:rPr>
            </w:pPr>
            <w:r>
              <w:rPr>
                <w:rFonts w:ascii="Arial" w:cs="Arial" w:eastAsia="Arial" w:hAnsi="Arial"/>
                <w:sz w:val="16"/>
                <w:szCs w:val="16"/>
                <w:color w:val="auto"/>
              </w:rPr>
              <w:t>318,979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2,000,447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1,999,998</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0.69%</w:t>
            </w:r>
          </w:p>
        </w:tc>
        <w:tc>
          <w:tcPr>
            <w:tcW w:w="0" w:type="dxa"/>
            <w:vAlign w:val="bottom"/>
          </w:tcPr>
          <w:p>
            <w:pPr>
              <w:spacing w:after="0"/>
              <w:rPr>
                <w:sz w:val="1"/>
                <w:szCs w:val="1"/>
                <w:color w:val="auto"/>
              </w:rPr>
            </w:pPr>
          </w:p>
        </w:tc>
      </w:tr>
      <w:tr>
        <w:trPr>
          <w:trHeight w:val="206"/>
        </w:trPr>
        <w:tc>
          <w:tcPr>
            <w:tcW w:w="288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49,505</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217,206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249,505</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2,217,653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2,249,503</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0.78%</w:t>
            </w:r>
          </w:p>
        </w:tc>
        <w:tc>
          <w:tcPr>
            <w:tcW w:w="0" w:type="dxa"/>
            <w:vAlign w:val="bottom"/>
          </w:tcPr>
          <w:p>
            <w:pPr>
              <w:spacing w:after="0"/>
              <w:rPr>
                <w:sz w:val="1"/>
                <w:szCs w:val="1"/>
                <w:color w:val="auto"/>
              </w:rPr>
            </w:pPr>
          </w:p>
        </w:tc>
      </w:tr>
      <w:tr>
        <w:trPr>
          <w:trHeight w:val="156"/>
        </w:trPr>
        <w:tc>
          <w:tcPr>
            <w:tcW w:w="2880" w:type="dxa"/>
            <w:vAlign w:val="bottom"/>
            <w:gridSpan w:val="14"/>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Silver Spring Networks, Inc.**</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Redwood City,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Smart Grid</w:t>
            </w:r>
          </w:p>
        </w:tc>
        <w:tc>
          <w:tcPr>
            <w:tcW w:w="760" w:type="dxa"/>
            <w:vAlign w:val="bottom"/>
          </w:tcPr>
          <w:p>
            <w:pPr>
              <w:jc w:val="right"/>
              <w:spacing w:after="0"/>
              <w:rPr>
                <w:sz w:val="20"/>
                <w:szCs w:val="20"/>
                <w:color w:val="auto"/>
              </w:rPr>
            </w:pPr>
            <w:r>
              <w:rPr>
                <w:rFonts w:ascii="Arial" w:cs="Arial" w:eastAsia="Arial" w:hAnsi="Arial"/>
                <w:sz w:val="16"/>
                <w:szCs w:val="16"/>
                <w:color w:val="auto"/>
              </w:rPr>
              <w:t>102,028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5,145,271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2,142,588</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0.74%</w:t>
            </w:r>
          </w:p>
        </w:tc>
        <w:tc>
          <w:tcPr>
            <w:tcW w:w="0" w:type="dxa"/>
            <w:vAlign w:val="bottom"/>
          </w:tcPr>
          <w:p>
            <w:pPr>
              <w:spacing w:after="0"/>
              <w:rPr>
                <w:sz w:val="1"/>
                <w:szCs w:val="1"/>
                <w:color w:val="auto"/>
              </w:rPr>
            </w:pPr>
          </w:p>
        </w:tc>
      </w:tr>
      <w:tr>
        <w:trPr>
          <w:trHeight w:val="206"/>
        </w:trPr>
        <w:tc>
          <w:tcPr>
            <w:tcW w:w="2880" w:type="dxa"/>
            <w:vAlign w:val="bottom"/>
            <w:gridSpan w:val="14"/>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NestGSV, Inc.</w:t>
            </w:r>
            <w:r>
              <w:rPr>
                <w:rFonts w:ascii="Arial" w:cs="Arial" w:eastAsia="Arial" w:hAnsi="Arial"/>
                <w:sz w:val="23"/>
                <w:szCs w:val="23"/>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Redwood City,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Incubator</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1,000,000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1,021,778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1,188,137</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0.41%</w:t>
            </w:r>
          </w:p>
        </w:tc>
        <w:tc>
          <w:tcPr>
            <w:tcW w:w="0" w:type="dxa"/>
            <w:vAlign w:val="bottom"/>
          </w:tcPr>
          <w:p>
            <w:pPr>
              <w:spacing w:after="0"/>
              <w:rPr>
                <w:sz w:val="1"/>
                <w:szCs w:val="1"/>
                <w:color w:val="auto"/>
              </w:rPr>
            </w:pPr>
          </w:p>
        </w:tc>
      </w:tr>
      <w:tr>
        <w:trPr>
          <w:trHeight w:val="206"/>
        </w:trPr>
        <w:tc>
          <w:tcPr>
            <w:tcW w:w="288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605,500</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594,068</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0.21%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1,627,278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1,782,205</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0.62%</w:t>
            </w:r>
          </w:p>
        </w:tc>
        <w:tc>
          <w:tcPr>
            <w:tcW w:w="0" w:type="dxa"/>
            <w:vAlign w:val="bottom"/>
          </w:tcPr>
          <w:p>
            <w:pPr>
              <w:spacing w:after="0"/>
              <w:rPr>
                <w:sz w:val="1"/>
                <w:szCs w:val="1"/>
                <w:color w:val="auto"/>
              </w:rPr>
            </w:pPr>
          </w:p>
        </w:tc>
      </w:tr>
      <w:tr>
        <w:trPr>
          <w:trHeight w:val="196"/>
        </w:trPr>
        <w:tc>
          <w:tcPr>
            <w:tcW w:w="2880" w:type="dxa"/>
            <w:vAlign w:val="bottom"/>
            <w:gridSpan w:val="14"/>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ePals Inc.**</w:t>
            </w:r>
            <w:r>
              <w:rPr>
                <w:rFonts w:ascii="Arial" w:cs="Arial" w:eastAsia="Arial" w:hAnsi="Arial"/>
                <w:sz w:val="22"/>
                <w:szCs w:val="22"/>
                <w:b w:val="1"/>
                <w:bCs w:val="1"/>
                <w:color w:val="auto"/>
                <w:vertAlign w:val="superscript"/>
              </w:rPr>
              <w:t>(1)(10)</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Herndon, VA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Online Education</w:t>
            </w:r>
          </w:p>
        </w:tc>
        <w:tc>
          <w:tcPr>
            <w:tcW w:w="760" w:type="dxa"/>
            <w:vAlign w:val="bottom"/>
          </w:tcPr>
          <w:p>
            <w:pPr>
              <w:jc w:val="right"/>
              <w:spacing w:after="0"/>
              <w:rPr>
                <w:sz w:val="20"/>
                <w:szCs w:val="20"/>
                <w:color w:val="auto"/>
              </w:rPr>
            </w:pPr>
            <w:r>
              <w:rPr>
                <w:rFonts w:ascii="Arial" w:cs="Arial" w:eastAsia="Arial" w:hAnsi="Arial"/>
                <w:sz w:val="16"/>
                <w:szCs w:val="16"/>
                <w:color w:val="auto"/>
                <w:w w:val="87"/>
              </w:rPr>
              <w:t>33,333,333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2,444,759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1,666,667</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0.58%</w:t>
            </w:r>
          </w:p>
        </w:tc>
        <w:tc>
          <w:tcPr>
            <w:tcW w:w="0" w:type="dxa"/>
            <w:vAlign w:val="bottom"/>
          </w:tcPr>
          <w:p>
            <w:pPr>
              <w:spacing w:after="0"/>
              <w:rPr>
                <w:sz w:val="1"/>
                <w:szCs w:val="1"/>
                <w:color w:val="auto"/>
              </w:rPr>
            </w:pPr>
          </w:p>
        </w:tc>
      </w:tr>
      <w:tr>
        <w:trPr>
          <w:trHeight w:val="196"/>
        </w:trPr>
        <w:tc>
          <w:tcPr>
            <w:tcW w:w="288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w w:val="93"/>
              </w:rPr>
              <w:t>Common warrants, 0.075 CAD strike price,</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13"/>
            <w:shd w:val="clear" w:color="auto" w:fill="CCEEFF"/>
          </w:tcPr>
          <w:p>
            <w:pPr>
              <w:ind w:left="180"/>
              <w:spacing w:after="0"/>
              <w:rPr>
                <w:sz w:val="20"/>
                <w:szCs w:val="20"/>
                <w:color w:val="auto"/>
              </w:rPr>
            </w:pPr>
            <w:r>
              <w:rPr>
                <w:rFonts w:ascii="Arial" w:cs="Arial" w:eastAsia="Arial" w:hAnsi="Arial"/>
                <w:sz w:val="16"/>
                <w:szCs w:val="16"/>
                <w:color w:val="auto"/>
              </w:rPr>
              <w:t>expire 4/30/2014</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11,111,111</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33,333</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2,444,759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1,700,000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0.59%</w:t>
            </w:r>
          </w:p>
        </w:tc>
        <w:tc>
          <w:tcPr>
            <w:tcW w:w="0" w:type="dxa"/>
            <w:vAlign w:val="bottom"/>
          </w:tcPr>
          <w:p>
            <w:pPr>
              <w:spacing w:after="0"/>
              <w:rPr>
                <w:sz w:val="1"/>
                <w:szCs w:val="1"/>
                <w:color w:val="auto"/>
              </w:rPr>
            </w:pPr>
          </w:p>
        </w:tc>
      </w:tr>
      <w:tr>
        <w:trPr>
          <w:trHeight w:val="156"/>
        </w:trPr>
        <w:tc>
          <w:tcPr>
            <w:tcW w:w="2880" w:type="dxa"/>
            <w:vAlign w:val="bottom"/>
            <w:gridSpan w:val="14"/>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Circle Media (f.k.a. S3 Digital Corp.</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gridSpan w:val="12"/>
            <w:shd w:val="clear" w:color="auto" w:fill="CCEEFF"/>
          </w:tcPr>
          <w:p>
            <w:pPr>
              <w:ind w:left="180"/>
              <w:spacing w:after="0" w:line="223" w:lineRule="exact"/>
              <w:rPr>
                <w:sz w:val="20"/>
                <w:szCs w:val="20"/>
                <w:color w:val="auto"/>
              </w:rPr>
            </w:pPr>
            <w:r>
              <w:rPr>
                <w:rFonts w:ascii="Arial" w:cs="Arial" w:eastAsia="Arial" w:hAnsi="Arial"/>
                <w:sz w:val="15"/>
                <w:szCs w:val="15"/>
                <w:b w:val="1"/>
                <w:bCs w:val="1"/>
                <w:color w:val="auto"/>
              </w:rPr>
              <w:t>(d/b/a S3i)</w:t>
            </w:r>
            <w:r>
              <w:rPr>
                <w:rFonts w:ascii="Arial" w:cs="Arial" w:eastAsia="Arial" w:hAnsi="Arial"/>
                <w:sz w:val="25"/>
                <w:szCs w:val="25"/>
                <w:b w:val="1"/>
                <w:bCs w:val="1"/>
                <w:color w:val="auto"/>
                <w:vertAlign w:val="superscript"/>
              </w:rPr>
              <w:t>(1)</w:t>
            </w:r>
          </w:p>
        </w:tc>
        <w:tc>
          <w:tcPr>
            <w:tcW w:w="3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CCEEFF"/>
              <w:left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left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4"/>
          </w:tcPr>
          <w:p>
            <w:pPr>
              <w:ind w:left="20"/>
              <w:spacing w:after="0"/>
              <w:rPr>
                <w:sz w:val="20"/>
                <w:szCs w:val="20"/>
                <w:color w:val="auto"/>
              </w:rPr>
            </w:pPr>
            <w:r>
              <w:rPr>
                <w:rFonts w:ascii="Arial" w:cs="Arial" w:eastAsia="Arial" w:hAnsi="Arial"/>
                <w:sz w:val="16"/>
                <w:szCs w:val="16"/>
                <w:color w:val="auto"/>
              </w:rPr>
              <w:t>Preferred shares, Class A1</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7"/>
              </w:rPr>
              <w:t>New York, NY</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Sports Analytics</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1,033,452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989,058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1,168,847</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0.41%</w:t>
            </w:r>
          </w:p>
        </w:tc>
        <w:tc>
          <w:tcPr>
            <w:tcW w:w="0" w:type="dxa"/>
            <w:vAlign w:val="bottom"/>
          </w:tcPr>
          <w:p>
            <w:pPr>
              <w:spacing w:after="0"/>
              <w:rPr>
                <w:sz w:val="1"/>
                <w:szCs w:val="1"/>
                <w:color w:val="auto"/>
              </w:rPr>
            </w:pPr>
          </w:p>
        </w:tc>
      </w:tr>
      <w:tr>
        <w:trPr>
          <w:trHeight w:val="196"/>
        </w:trPr>
        <w:tc>
          <w:tcPr>
            <w:tcW w:w="288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warrants, $1.00 strike price,</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60" w:type="dxa"/>
            <w:vAlign w:val="bottom"/>
            <w:gridSpan w:val="13"/>
            <w:shd w:val="clear" w:color="auto" w:fill="CCEEFF"/>
          </w:tcPr>
          <w:p>
            <w:pPr>
              <w:ind w:left="180"/>
              <w:spacing w:after="0"/>
              <w:rPr>
                <w:sz w:val="20"/>
                <w:szCs w:val="20"/>
                <w:color w:val="auto"/>
              </w:rPr>
            </w:pPr>
            <w:r>
              <w:rPr>
                <w:rFonts w:ascii="Arial" w:cs="Arial" w:eastAsia="Arial" w:hAnsi="Arial"/>
                <w:sz w:val="16"/>
                <w:szCs w:val="16"/>
                <w:color w:val="auto"/>
              </w:rPr>
              <w:t>expire 11/21/2017</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31,354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0.05%</w:t>
            </w:r>
          </w:p>
        </w:tc>
        <w:tc>
          <w:tcPr>
            <w:tcW w:w="0" w:type="dxa"/>
            <w:vAlign w:val="bottom"/>
          </w:tcPr>
          <w:p>
            <w:pPr>
              <w:spacing w:after="0"/>
              <w:rPr>
                <w:sz w:val="1"/>
                <w:szCs w:val="1"/>
                <w:color w:val="auto"/>
              </w:rPr>
            </w:pPr>
          </w:p>
        </w:tc>
      </w:tr>
      <w:tr>
        <w:trPr>
          <w:trHeight w:val="203"/>
        </w:trPr>
        <w:tc>
          <w:tcPr>
            <w:tcW w:w="2880" w:type="dxa"/>
            <w:vAlign w:val="bottom"/>
            <w:gridSpan w:val="14"/>
          </w:tcPr>
          <w:p>
            <w:pPr>
              <w:ind w:left="20"/>
              <w:spacing w:after="0"/>
              <w:rPr>
                <w:sz w:val="20"/>
                <w:szCs w:val="20"/>
                <w:color w:val="auto"/>
              </w:rPr>
            </w:pPr>
            <w:r>
              <w:rPr>
                <w:rFonts w:ascii="Arial" w:cs="Arial" w:eastAsia="Arial" w:hAnsi="Arial"/>
                <w:sz w:val="16"/>
                <w:szCs w:val="16"/>
                <w:color w:val="auto"/>
              </w:rPr>
              <w:t>Term Loan, 12%, 09/30/15***</w:t>
            </w:r>
          </w:p>
        </w:tc>
        <w:tc>
          <w:tcPr>
            <w:tcW w:w="20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250,000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261,030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0.09%</w:t>
            </w:r>
          </w:p>
        </w:tc>
        <w:tc>
          <w:tcPr>
            <w:tcW w:w="0" w:type="dxa"/>
            <w:vAlign w:val="bottom"/>
          </w:tcPr>
          <w:p>
            <w:pPr>
              <w:spacing w:after="0"/>
              <w:rPr>
                <w:sz w:val="1"/>
                <w:szCs w:val="1"/>
                <w:color w:val="auto"/>
              </w:rPr>
            </w:pPr>
          </w:p>
        </w:tc>
      </w:tr>
      <w:tr>
        <w:trPr>
          <w:trHeight w:val="193"/>
        </w:trPr>
        <w:tc>
          <w:tcPr>
            <w:tcW w:w="288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warrants, $1.166 strike price,</w:t>
            </w: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13"/>
            <w:shd w:val="clear" w:color="auto" w:fill="CCEEFF"/>
          </w:tcPr>
          <w:p>
            <w:pPr>
              <w:ind w:left="180"/>
              <w:spacing w:after="0"/>
              <w:rPr>
                <w:sz w:val="20"/>
                <w:szCs w:val="20"/>
                <w:color w:val="auto"/>
              </w:rPr>
            </w:pPr>
            <w:r>
              <w:rPr>
                <w:rFonts w:ascii="Arial" w:cs="Arial" w:eastAsia="Arial" w:hAnsi="Arial"/>
                <w:sz w:val="16"/>
                <w:szCs w:val="16"/>
                <w:color w:val="auto"/>
              </w:rPr>
              <w:t>expire 09/30/2020</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160,806</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64,322</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1,281,442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1,633,169</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0.57%</w:t>
            </w:r>
          </w:p>
        </w:tc>
        <w:tc>
          <w:tcPr>
            <w:tcW w:w="0" w:type="dxa"/>
            <w:vAlign w:val="bottom"/>
          </w:tcPr>
          <w:p>
            <w:pPr>
              <w:spacing w:after="0"/>
              <w:rPr>
                <w:sz w:val="1"/>
                <w:szCs w:val="1"/>
                <w:color w:val="auto"/>
              </w:rPr>
            </w:pPr>
          </w:p>
        </w:tc>
      </w:tr>
      <w:tr>
        <w:trPr>
          <w:trHeight w:val="196"/>
        </w:trPr>
        <w:tc>
          <w:tcPr>
            <w:tcW w:w="2880" w:type="dxa"/>
            <w:vAlign w:val="bottom"/>
            <w:gridSpan w:val="14"/>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A-1</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9"/>
              </w:rPr>
              <w:t>Boston, MA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Social Advertising</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1,878,129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2,430,950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1,211,393</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0.42%</w:t>
            </w:r>
          </w:p>
        </w:tc>
        <w:tc>
          <w:tcPr>
            <w:tcW w:w="0" w:type="dxa"/>
            <w:vAlign w:val="bottom"/>
          </w:tcPr>
          <w:p>
            <w:pPr>
              <w:spacing w:after="0"/>
              <w:rPr>
                <w:sz w:val="1"/>
                <w:szCs w:val="1"/>
                <w:color w:val="auto"/>
              </w:rPr>
            </w:pPr>
          </w:p>
        </w:tc>
      </w:tr>
      <w:tr>
        <w:trPr>
          <w:trHeight w:val="206"/>
        </w:trPr>
        <w:tc>
          <w:tcPr>
            <w:tcW w:w="2880" w:type="dxa"/>
            <w:vAlign w:val="bottom"/>
            <w:gridSpan w:val="14"/>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Strategic Data Command, LLC</w:t>
            </w:r>
            <w:r>
              <w:rPr>
                <w:rFonts w:ascii="Arial" w:cs="Arial" w:eastAsia="Arial" w:hAnsi="Arial"/>
                <w:sz w:val="23"/>
                <w:szCs w:val="23"/>
                <w:b w:val="1"/>
                <w:bCs w:val="1"/>
                <w:color w:val="auto"/>
                <w:vertAlign w:val="superscript"/>
              </w:rPr>
              <w:t>(1)(7)</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4"/>
          </w:tcPr>
          <w:p>
            <w:pPr>
              <w:ind w:left="20"/>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Sunnyvale, CA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Software Development</w:t>
            </w:r>
          </w:p>
        </w:tc>
        <w:tc>
          <w:tcPr>
            <w:tcW w:w="760" w:type="dxa"/>
            <w:vAlign w:val="bottom"/>
          </w:tcPr>
          <w:p>
            <w:pPr>
              <w:jc w:val="right"/>
              <w:spacing w:after="0"/>
              <w:rPr>
                <w:sz w:val="20"/>
                <w:szCs w:val="20"/>
                <w:color w:val="auto"/>
              </w:rPr>
            </w:pPr>
            <w:r>
              <w:rPr>
                <w:rFonts w:ascii="Arial" w:cs="Arial" w:eastAsia="Arial" w:hAnsi="Arial"/>
                <w:sz w:val="16"/>
                <w:szCs w:val="16"/>
                <w:color w:val="auto"/>
              </w:rPr>
              <w:t>800,000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1,001,650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1,046,830</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0.36%</w:t>
            </w:r>
          </w:p>
        </w:tc>
        <w:tc>
          <w:tcPr>
            <w:tcW w:w="0" w:type="dxa"/>
            <w:vAlign w:val="bottom"/>
          </w:tcPr>
          <w:p>
            <w:pPr>
              <w:spacing w:after="0"/>
              <w:rPr>
                <w:sz w:val="1"/>
                <w:szCs w:val="1"/>
                <w:color w:val="auto"/>
              </w:rPr>
            </w:pPr>
          </w:p>
        </w:tc>
      </w:tr>
      <w:tr>
        <w:trPr>
          <w:trHeight w:val="206"/>
        </w:trPr>
        <w:tc>
          <w:tcPr>
            <w:tcW w:w="2880" w:type="dxa"/>
            <w:vAlign w:val="bottom"/>
            <w:gridSpan w:val="14"/>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The rSmart Group, Inc.</w:t>
            </w:r>
            <w:r>
              <w:rPr>
                <w:rFonts w:ascii="Arial" w:cs="Arial" w:eastAsia="Arial" w:hAnsi="Arial"/>
                <w:sz w:val="23"/>
                <w:szCs w:val="23"/>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4"/>
          </w:tcPr>
          <w:p>
            <w:pPr>
              <w:ind w:left="20"/>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Scottsdale, AZ</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Higher Education</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Learning Platform</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1,201,923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1,267,240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857,302</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0.30%</w:t>
            </w:r>
          </w:p>
        </w:tc>
        <w:tc>
          <w:tcPr>
            <w:tcW w:w="0" w:type="dxa"/>
            <w:vAlign w:val="bottom"/>
          </w:tcPr>
          <w:p>
            <w:pPr>
              <w:spacing w:after="0"/>
              <w:rPr>
                <w:sz w:val="1"/>
                <w:szCs w:val="1"/>
                <w:color w:val="auto"/>
              </w:rPr>
            </w:pPr>
          </w:p>
        </w:tc>
      </w:tr>
      <w:tr>
        <w:trPr>
          <w:trHeight w:val="165"/>
        </w:trPr>
        <w:tc>
          <w:tcPr>
            <w:tcW w:w="2880" w:type="dxa"/>
            <w:vAlign w:val="bottom"/>
            <w:gridSpan w:val="14"/>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SinoLending Ltd.**</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4"/>
          </w:tcPr>
          <w:p>
            <w:pPr>
              <w:ind w:left="20"/>
              <w:spacing w:after="0"/>
              <w:rPr>
                <w:sz w:val="20"/>
                <w:szCs w:val="20"/>
                <w:color w:val="auto"/>
              </w:rPr>
            </w:pPr>
            <w:r>
              <w:rPr>
                <w:rFonts w:ascii="Arial" w:cs="Arial" w:eastAsia="Arial" w:hAnsi="Arial"/>
                <w:sz w:val="16"/>
                <w:szCs w:val="16"/>
                <w:color w:val="auto"/>
              </w:rPr>
              <w:t>Preferred shares, Class A</w:t>
            </w:r>
          </w:p>
        </w:tc>
        <w:tc>
          <w:tcPr>
            <w:tcW w:w="80" w:type="dxa"/>
            <w:vAlign w:val="bottom"/>
          </w:tcPr>
          <w:p>
            <w:pPr>
              <w:spacing w:after="0"/>
              <w:rPr>
                <w:sz w:val="16"/>
                <w:szCs w:val="16"/>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89"/>
              </w:rPr>
              <w:t>Shanghai, China</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Chinese P2P Lending</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6,414,368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503,235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577,293</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0.20%</w:t>
            </w:r>
          </w:p>
        </w:tc>
        <w:tc>
          <w:tcPr>
            <w:tcW w:w="0" w:type="dxa"/>
            <w:vAlign w:val="bottom"/>
          </w:tcPr>
          <w:p>
            <w:pPr>
              <w:spacing w:after="0"/>
              <w:rPr>
                <w:sz w:val="1"/>
                <w:szCs w:val="1"/>
                <w:color w:val="auto"/>
              </w:rPr>
            </w:pPr>
          </w:p>
        </w:tc>
      </w:tr>
      <w:tr>
        <w:trPr>
          <w:trHeight w:val="206"/>
        </w:trPr>
        <w:tc>
          <w:tcPr>
            <w:tcW w:w="2880" w:type="dxa"/>
            <w:vAlign w:val="bottom"/>
            <w:gridSpan w:val="14"/>
            <w:shd w:val="clear" w:color="auto" w:fill="CCEEFF"/>
          </w:tcPr>
          <w:p>
            <w:pPr>
              <w:ind w:left="20"/>
              <w:spacing w:after="0"/>
              <w:rPr>
                <w:sz w:val="20"/>
                <w:szCs w:val="20"/>
                <w:color w:val="auto"/>
              </w:rPr>
            </w:pPr>
            <w:r>
              <w:rPr>
                <w:rFonts w:ascii="Arial" w:cs="Arial" w:eastAsia="Arial" w:hAnsi="Arial"/>
                <w:sz w:val="16"/>
                <w:szCs w:val="16"/>
                <w:color w:val="auto"/>
              </w:rPr>
              <w:t>Preferred shares, Class B</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2,333,108</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250,491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247,163</w:t>
            </w:r>
          </w:p>
        </w:tc>
        <w:tc>
          <w:tcPr>
            <w:tcW w:w="740" w:type="dxa"/>
            <w:vAlign w:val="bottom"/>
            <w:tcBorders>
              <w:left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w w:val="92"/>
              </w:rPr>
              <w:t>0.09%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3"/>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753,726</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824,456</w:t>
            </w:r>
          </w:p>
        </w:tc>
        <w:tc>
          <w:tcPr>
            <w:tcW w:w="74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-6071235</wp:posOffset>
            </wp:positionV>
            <wp:extent cx="521398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-5384800</wp:posOffset>
            </wp:positionV>
            <wp:extent cx="521398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-4312920</wp:posOffset>
            </wp:positionV>
            <wp:extent cx="521398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-3498215</wp:posOffset>
            </wp:positionV>
            <wp:extent cx="521398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-2169160</wp:posOffset>
            </wp:positionV>
            <wp:extent cx="521398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 w:name="page18"/>
    <w:bookmarkEnd w:id="1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4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Headquarters/Industry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auto"/>
            </w:tcBorders>
            <w:gridSpan w:val="11"/>
            <w:vMerge w:val="continue"/>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7"/>
              </w:rPr>
              <w:t>Principal</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6"/>
        </w:trPr>
        <w:tc>
          <w:tcPr>
            <w:tcW w:w="2880" w:type="dxa"/>
            <w:vAlign w:val="bottom"/>
            <w:gridSpan w:val="11"/>
            <w:shd w:val="clear" w:color="auto" w:fill="CCEEFF"/>
          </w:tcPr>
          <w:p>
            <w:pPr>
              <w:ind w:left="20"/>
              <w:spacing w:after="0" w:line="197"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2"/>
                <w:szCs w:val="22"/>
                <w:b w:val="1"/>
                <w:bCs w:val="1"/>
                <w:color w:val="auto"/>
                <w:vertAlign w:val="superscript"/>
              </w:rPr>
              <w:t>(1)</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A-1</w:t>
            </w:r>
          </w:p>
        </w:tc>
        <w:tc>
          <w:tcPr>
            <w:tcW w:w="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Woodside, CA</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3,152,417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624,783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600,000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06"/>
        </w:trPr>
        <w:tc>
          <w:tcPr>
            <w:tcW w:w="28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1,066,626</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1,027,391</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203,011</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1,652,174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803,011</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156"/>
        </w:trPr>
        <w:tc>
          <w:tcPr>
            <w:tcW w:w="2880" w:type="dxa"/>
            <w:vAlign w:val="bottom"/>
            <w:gridSpan w:val="11"/>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AliphCom, Inc. (d/b/a Jawbone)</w:t>
            </w:r>
          </w:p>
        </w:tc>
        <w:tc>
          <w:tcPr>
            <w:tcW w:w="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1"/>
          </w:tcPr>
          <w:p>
            <w:pPr>
              <w:ind w:left="20"/>
              <w:spacing w:after="0"/>
              <w:rPr>
                <w:sz w:val="20"/>
                <w:szCs w:val="20"/>
                <w:color w:val="auto"/>
              </w:rPr>
            </w:pPr>
            <w:r>
              <w:rPr>
                <w:rFonts w:ascii="Arial" w:cs="Arial" w:eastAsia="Arial" w:hAnsi="Arial"/>
                <w:sz w:val="16"/>
                <w:szCs w:val="16"/>
                <w:color w:val="auto"/>
              </w:rPr>
              <w:t>Common Stock</w:t>
            </w:r>
          </w:p>
        </w:tc>
        <w:tc>
          <w:tcPr>
            <w:tcW w:w="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Smart Device Company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150,000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793,152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782,189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06"/>
        </w:trPr>
        <w:tc>
          <w:tcPr>
            <w:tcW w:w="2880" w:type="dxa"/>
            <w:vAlign w:val="bottom"/>
            <w:gridSpan w:val="11"/>
            <w:shd w:val="clear" w:color="auto" w:fill="CCEEFF"/>
          </w:tcPr>
          <w:p>
            <w:pPr>
              <w:ind w:left="20"/>
              <w:spacing w:after="0" w:line="205" w:lineRule="exact"/>
              <w:rPr>
                <w:sz w:val="20"/>
                <w:szCs w:val="20"/>
                <w:color w:val="auto"/>
              </w:rPr>
            </w:pPr>
            <w:r>
              <w:rPr>
                <w:rFonts w:ascii="Arial" w:cs="Arial" w:eastAsia="Arial" w:hAnsi="Arial"/>
                <w:sz w:val="14"/>
                <w:szCs w:val="14"/>
                <w:b w:val="1"/>
                <w:bCs w:val="1"/>
                <w:color w:val="auto"/>
              </w:rPr>
              <w:t>NestGSV Silicon Valley, LLC</w:t>
            </w:r>
            <w:r>
              <w:rPr>
                <w:rFonts w:ascii="Arial" w:cs="Arial" w:eastAsia="Arial" w:hAnsi="Arial"/>
                <w:sz w:val="23"/>
                <w:szCs w:val="23"/>
                <w:b w:val="1"/>
                <w:bCs w:val="1"/>
                <w:color w:val="auto"/>
                <w:vertAlign w:val="superscript"/>
              </w:rPr>
              <w:t>(1)(4)</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1"/>
          </w:tcPr>
          <w:p>
            <w:pPr>
              <w:ind w:left="20"/>
              <w:spacing w:after="0"/>
              <w:rPr>
                <w:sz w:val="20"/>
                <w:szCs w:val="20"/>
                <w:color w:val="auto"/>
              </w:rPr>
            </w:pPr>
            <w:r>
              <w:rPr>
                <w:rFonts w:ascii="Arial" w:cs="Arial" w:eastAsia="Arial" w:hAnsi="Arial"/>
                <w:sz w:val="16"/>
                <w:szCs w:val="16"/>
                <w:color w:val="auto"/>
              </w:rPr>
              <w:t>Common membership interest</w:t>
            </w:r>
          </w:p>
        </w:tc>
        <w:tc>
          <w:tcPr>
            <w:tcW w:w="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Redwood City, CA</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557,084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165"/>
        </w:trPr>
        <w:tc>
          <w:tcPr>
            <w:tcW w:w="288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New Zoom, Inc</w:t>
            </w:r>
          </w:p>
        </w:tc>
        <w:tc>
          <w:tcPr>
            <w:tcW w:w="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San Francisco, CA</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Retail Machines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1,250,000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260,476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308,660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165"/>
        </w:trPr>
        <w:tc>
          <w:tcPr>
            <w:tcW w:w="288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Neuron Fuel, Inc.</w:t>
            </w:r>
          </w:p>
        </w:tc>
        <w:tc>
          <w:tcPr>
            <w:tcW w:w="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AAI</w:t>
            </w:r>
          </w:p>
        </w:tc>
        <w:tc>
          <w:tcPr>
            <w:tcW w:w="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7"/>
              </w:rPr>
              <w:t>San Jose, CA</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Computer Software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250,000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262,530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264,941</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65"/>
        </w:trPr>
        <w:tc>
          <w:tcPr>
            <w:tcW w:w="2880" w:type="dxa"/>
            <w:vAlign w:val="bottom"/>
            <w:gridSpan w:val="11"/>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4C Insights (f.k.a The Echo Systems</w:t>
            </w:r>
          </w:p>
        </w:tc>
        <w:tc>
          <w:tcPr>
            <w:tcW w:w="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80" w:type="dxa"/>
            <w:vAlign w:val="bottom"/>
            <w:tcBorders>
              <w:top w:val="single" w:sz="8" w:color="auto"/>
            </w:tcBorders>
            <w:gridSpan w:val="9"/>
            <w:shd w:val="clear" w:color="auto" w:fill="CCEEFF"/>
          </w:tcPr>
          <w:p>
            <w:pPr>
              <w:ind w:left="180"/>
              <w:spacing w:after="0" w:line="183" w:lineRule="exact"/>
              <w:rPr>
                <w:sz w:val="20"/>
                <w:szCs w:val="20"/>
                <w:color w:val="auto"/>
              </w:rPr>
            </w:pPr>
            <w:r>
              <w:rPr>
                <w:rFonts w:ascii="Arial" w:cs="Arial" w:eastAsia="Arial" w:hAnsi="Arial"/>
                <w:sz w:val="16"/>
                <w:szCs w:val="16"/>
                <w:b w:val="1"/>
                <w:bCs w:val="1"/>
                <w:color w:val="auto"/>
              </w:rPr>
              <w:t>Corp.)</w:t>
            </w:r>
          </w:p>
        </w:tc>
        <w:tc>
          <w:tcPr>
            <w:tcW w:w="3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gridSpan w:val="11"/>
          </w:tcPr>
          <w:p>
            <w:pPr>
              <w:ind w:left="20"/>
              <w:spacing w:after="0"/>
              <w:rPr>
                <w:sz w:val="20"/>
                <w:szCs w:val="20"/>
                <w:color w:val="auto"/>
              </w:rPr>
            </w:pPr>
            <w:r>
              <w:rPr>
                <w:rFonts w:ascii="Arial" w:cs="Arial" w:eastAsia="Arial" w:hAnsi="Arial"/>
                <w:sz w:val="16"/>
                <w:szCs w:val="16"/>
                <w:color w:val="auto"/>
              </w:rPr>
              <w:t>Preferred shares, Series A</w:t>
            </w:r>
          </w:p>
        </w:tc>
        <w:tc>
          <w:tcPr>
            <w:tcW w:w="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6"/>
              </w:rPr>
              <w:t>Chicago, IL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Social Data Platform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512,365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1,436,404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229,234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196"/>
        </w:trPr>
        <w:tc>
          <w:tcPr>
            <w:tcW w:w="28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rPr>
              <w:t>Preferred warrants, $0.20 strike price,</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10"/>
            <w:shd w:val="clear" w:color="auto" w:fill="CCEEFF"/>
          </w:tcPr>
          <w:p>
            <w:pPr>
              <w:ind w:left="180"/>
              <w:spacing w:after="0"/>
              <w:rPr>
                <w:sz w:val="20"/>
                <w:szCs w:val="20"/>
                <w:color w:val="auto"/>
              </w:rPr>
            </w:pPr>
            <w:r>
              <w:rPr>
                <w:rFonts w:ascii="Arial" w:cs="Arial" w:eastAsia="Arial" w:hAnsi="Arial"/>
                <w:sz w:val="16"/>
                <w:szCs w:val="16"/>
                <w:color w:val="auto"/>
              </w:rPr>
              <w:t>expire 11/14/2016</w:t>
            </w: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68,359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75,988</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1,512,392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229,234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176"/>
        </w:trPr>
        <w:tc>
          <w:tcPr>
            <w:tcW w:w="2880" w:type="dxa"/>
            <w:vAlign w:val="bottom"/>
            <w:gridSpan w:val="11"/>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Odesk Corporation</w:t>
            </w:r>
          </w:p>
        </w:tc>
        <w:tc>
          <w:tcPr>
            <w:tcW w:w="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93"/>
              </w:rPr>
              <w:t>Redwood City, CA</w:t>
            </w: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Online Workplace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80" w:type="dxa"/>
            <w:vAlign w:val="bottom"/>
            <w:gridSpan w:val="11"/>
          </w:tcPr>
          <w:p>
            <w:pPr>
              <w:ind w:left="20"/>
              <w:spacing w:after="0"/>
              <w:rPr>
                <w:sz w:val="20"/>
                <w:szCs w:val="20"/>
                <w:color w:val="auto"/>
              </w:rPr>
            </w:pPr>
            <w:r>
              <w:rPr>
                <w:rFonts w:ascii="Arial" w:cs="Arial" w:eastAsia="Arial" w:hAnsi="Arial"/>
                <w:sz w:val="16"/>
                <w:szCs w:val="16"/>
                <w:color w:val="auto"/>
              </w:rPr>
              <w:t>Common Shares</w:t>
            </w:r>
          </w:p>
        </w:tc>
        <w:tc>
          <w:tcPr>
            <w:tcW w:w="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7"/>
              </w:rPr>
              <w:t>Platform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30,000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183,269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184,077</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880" w:type="dxa"/>
            <w:vAlign w:val="bottom"/>
            <w:gridSpan w:val="11"/>
            <w:shd w:val="clear" w:color="auto" w:fill="CCEEFF"/>
          </w:tcPr>
          <w:p>
            <w:pPr>
              <w:ind w:left="20"/>
              <w:spacing w:after="0"/>
              <w:rPr>
                <w:sz w:val="20"/>
                <w:szCs w:val="20"/>
                <w:color w:val="auto"/>
              </w:rPr>
            </w:pPr>
            <w:r>
              <w:rPr>
                <w:rFonts w:ascii="Arial" w:cs="Arial" w:eastAsia="Arial" w:hAnsi="Arial"/>
                <w:sz w:val="16"/>
                <w:szCs w:val="16"/>
                <w:b w:val="1"/>
                <w:bCs w:val="1"/>
                <w:color w:val="auto"/>
              </w:rPr>
              <w:t>Total Portfolio Investments</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279,709,118</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355,383,653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123.41%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gridSpan w:val="11"/>
          </w:tcPr>
          <w:p>
            <w:pPr>
              <w:ind w:left="20"/>
              <w:spacing w:after="0"/>
              <w:rPr>
                <w:sz w:val="20"/>
                <w:szCs w:val="20"/>
                <w:color w:val="auto"/>
              </w:rPr>
            </w:pPr>
            <w:r>
              <w:rPr>
                <w:rFonts w:ascii="Arial" w:cs="Arial" w:eastAsia="Arial" w:hAnsi="Arial"/>
                <w:sz w:val="16"/>
                <w:szCs w:val="16"/>
                <w:color w:val="auto"/>
                <w:w w:val="99"/>
              </w:rPr>
              <w:t>United States Treasury Strip 02/15/2014</w:t>
            </w: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1,791,000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1,790,785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1,790,839</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3"/>
        </w:trPr>
        <w:tc>
          <w:tcPr>
            <w:tcW w:w="28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9"/>
              </w:rPr>
              <w:t>United States Treasury Strip 02/15/2015</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1,816,000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1,810,625</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1,811,987</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3"/>
        </w:trPr>
        <w:tc>
          <w:tcPr>
            <w:tcW w:w="2880" w:type="dxa"/>
            <w:vAlign w:val="bottom"/>
            <w:gridSpan w:val="11"/>
          </w:tcPr>
          <w:p>
            <w:pPr>
              <w:ind w:left="20"/>
              <w:spacing w:after="0"/>
              <w:rPr>
                <w:sz w:val="20"/>
                <w:szCs w:val="20"/>
                <w:color w:val="auto"/>
              </w:rPr>
            </w:pPr>
            <w:r>
              <w:rPr>
                <w:rFonts w:ascii="Arial" w:cs="Arial" w:eastAsia="Arial" w:hAnsi="Arial"/>
                <w:sz w:val="16"/>
                <w:szCs w:val="16"/>
                <w:color w:val="auto"/>
                <w:w w:val="99"/>
              </w:rPr>
              <w:t>United States Treasury Strip 02/15/2016</w:t>
            </w: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1,834,000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1,810,323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1,816,540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3"/>
        </w:trPr>
        <w:tc>
          <w:tcPr>
            <w:tcW w:w="28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9"/>
              </w:rPr>
              <w:t>United States Treasury Strip 08/15/2014</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1,813,000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1,811,187</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1,812,094</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3"/>
        </w:trPr>
        <w:tc>
          <w:tcPr>
            <w:tcW w:w="2880" w:type="dxa"/>
            <w:vAlign w:val="bottom"/>
            <w:gridSpan w:val="11"/>
          </w:tcPr>
          <w:p>
            <w:pPr>
              <w:ind w:left="20"/>
              <w:spacing w:after="0"/>
              <w:rPr>
                <w:sz w:val="20"/>
                <w:szCs w:val="20"/>
                <w:color w:val="auto"/>
              </w:rPr>
            </w:pPr>
            <w:r>
              <w:rPr>
                <w:rFonts w:ascii="Arial" w:cs="Arial" w:eastAsia="Arial" w:hAnsi="Arial"/>
                <w:sz w:val="16"/>
                <w:szCs w:val="16"/>
                <w:color w:val="auto"/>
                <w:w w:val="99"/>
              </w:rPr>
              <w:t>United States Treasury Strip 08/15/2015</w:t>
            </w: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1,823,000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1,811,205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1,813,411</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3"/>
        </w:trPr>
        <w:tc>
          <w:tcPr>
            <w:tcW w:w="2880" w:type="dxa"/>
            <w:vAlign w:val="bottom"/>
            <w:gridSpan w:val="11"/>
            <w:shd w:val="clear" w:color="auto" w:fill="CCEEFF"/>
          </w:tcPr>
          <w:p>
            <w:pPr>
              <w:ind w:left="20"/>
              <w:spacing w:after="0"/>
              <w:rPr>
                <w:sz w:val="20"/>
                <w:szCs w:val="20"/>
                <w:color w:val="auto"/>
              </w:rPr>
            </w:pPr>
            <w:r>
              <w:rPr>
                <w:rFonts w:ascii="Arial" w:cs="Arial" w:eastAsia="Arial" w:hAnsi="Arial"/>
                <w:sz w:val="16"/>
                <w:szCs w:val="16"/>
                <w:color w:val="auto"/>
                <w:w w:val="99"/>
              </w:rPr>
              <w:t>United States Treasury Strip 08/15/2016</w:t>
            </w: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1,851,000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1,811,111</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1,820,329</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10"/>
          </w:tcPr>
          <w:p>
            <w:pPr>
              <w:ind w:left="180"/>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10,845,236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10,865,200</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gridSpan w:val="11"/>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Investments</w:t>
            </w:r>
          </w:p>
        </w:tc>
        <w:tc>
          <w:tcPr>
            <w:tcW w:w="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290,554,354</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366,248,853</w:t>
            </w:r>
          </w:p>
        </w:tc>
        <w:tc>
          <w:tcPr>
            <w:tcW w:w="7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127.18%</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bottom w:val="single" w:sz="8" w:color="auto"/>
            </w:tcBorders>
          </w:tcPr>
          <w:p>
            <w:pPr>
              <w:spacing w:after="0"/>
              <w:rPr>
                <w:sz w:val="22"/>
                <w:szCs w:val="22"/>
                <w:color w:val="auto"/>
              </w:rPr>
            </w:pPr>
          </w:p>
        </w:tc>
        <w:tc>
          <w:tcPr>
            <w:tcW w:w="440" w:type="dxa"/>
            <w:vAlign w:val="bottom"/>
            <w:tcBorders>
              <w:top w:val="single" w:sz="8" w:color="CCEEFF"/>
              <w:bottom w:val="single" w:sz="8" w:color="auto"/>
            </w:tcBorders>
          </w:tcPr>
          <w:p>
            <w:pPr>
              <w:spacing w:after="0"/>
              <w:rPr>
                <w:sz w:val="22"/>
                <w:szCs w:val="22"/>
                <w:color w:val="auto"/>
              </w:rPr>
            </w:pPr>
          </w:p>
        </w:tc>
        <w:tc>
          <w:tcPr>
            <w:tcW w:w="360" w:type="dxa"/>
            <w:vAlign w:val="bottom"/>
            <w:tcBorders>
              <w:top w:val="single" w:sz="8" w:color="CCEEFF"/>
              <w:bottom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6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7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-4544695</wp:posOffset>
            </wp:positionV>
            <wp:extent cx="521398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-2057400</wp:posOffset>
            </wp:positionV>
            <wp:extent cx="521398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-1259840</wp:posOffset>
            </wp:positionV>
            <wp:extent cx="521398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519" w:hanging="272"/>
        <w:spacing w:after="0" w:line="277"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19" w:hanging="272"/>
        <w:spacing w:after="0" w:line="264"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2013</w:t>
      </w:r>
    </w:p>
    <w:p>
      <w:pPr>
        <w:spacing w:after="0" w:line="103" w:lineRule="exact"/>
        <w:rPr>
          <w:sz w:val="20"/>
          <w:szCs w:val="20"/>
          <w:color w:val="auto"/>
        </w:rPr>
      </w:pPr>
    </w:p>
    <w:p>
      <w:pPr>
        <w:ind w:left="280" w:right="519" w:hanging="272"/>
        <w:spacing w:after="0" w:line="308" w:lineRule="auto"/>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GSV Capital Corp.’s investment in Whittle Schools, LLC is held through its wholly-owned subsidiary GSVC WS Holdings, Inc. Whittle Schools, LLC is a derivative investment with economics linked to Avenues Global Holdings LLC.</w:t>
      </w:r>
    </w:p>
    <w:p>
      <w:pPr>
        <w:spacing w:after="0" w:line="38" w:lineRule="exact"/>
        <w:rPr>
          <w:rFonts w:ascii="Arial" w:cs="Arial" w:eastAsia="Arial" w:hAnsi="Arial"/>
          <w:sz w:val="17"/>
          <w:szCs w:val="17"/>
          <w:color w:val="auto"/>
        </w:rPr>
      </w:pPr>
    </w:p>
    <w:p>
      <w:pPr>
        <w:ind w:left="280" w:right="539"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GSV Capital Corp.’s investment in NestGSV Silicon Valley, LLC is held through its wholly-owned subsidiary GSVC NG Holdings, Inc.</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280" w:hanging="272"/>
        <w:spacing w:after="0"/>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wholly-owned subsidiary SPNPM Holdings, LLC.</w:t>
      </w:r>
    </w:p>
    <w:p>
      <w:pPr>
        <w:spacing w:after="0" w:line="128" w:lineRule="exact"/>
        <w:rPr>
          <w:rFonts w:ascii="Arial" w:cs="Arial" w:eastAsia="Arial" w:hAnsi="Arial"/>
          <w:sz w:val="17"/>
          <w:szCs w:val="17"/>
          <w:color w:val="auto"/>
        </w:rPr>
      </w:pPr>
    </w:p>
    <w:p>
      <w:pPr>
        <w:ind w:left="280" w:right="539"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62" w:lineRule="exact"/>
        <w:rPr>
          <w:rFonts w:ascii="Arial" w:cs="Arial" w:eastAsia="Arial" w:hAnsi="Arial"/>
          <w:sz w:val="18"/>
          <w:szCs w:val="18"/>
          <w:color w:val="auto"/>
        </w:rPr>
      </w:pPr>
    </w:p>
    <w:p>
      <w:pPr>
        <w:jc w:val="both"/>
        <w:ind w:left="280" w:right="519" w:hanging="272"/>
        <w:spacing w:after="0" w:line="259"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August 2, 2013, Control4 Corporation priced its initial public offering, selling 4,000,000 shares at a price of $16 per share. GSV Capital Corp.’s shares in Control4 are subject to a lock-up agreement which expired on January 29, 2014. At December 31, 2013, GSV Capital Corp. valued Control4 Corporation based on its December 31, 2013 closing price, adjusted for a discount due to lack of marketability of 4%.</w:t>
      </w:r>
    </w:p>
    <w:p>
      <w:pPr>
        <w:spacing w:after="0" w:line="78" w:lineRule="exact"/>
        <w:rPr>
          <w:rFonts w:ascii="Arial" w:cs="Arial" w:eastAsia="Arial" w:hAnsi="Arial"/>
          <w:sz w:val="18"/>
          <w:szCs w:val="18"/>
          <w:color w:val="auto"/>
        </w:rPr>
      </w:pPr>
    </w:p>
    <w:p>
      <w:pPr>
        <w:jc w:val="both"/>
        <w:ind w:left="280" w:right="519" w:hanging="272"/>
        <w:spacing w:after="0" w:line="259"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September 27, 2013, Violin Memory Inc. priced its initial public offering, selling 18,000,000 shares at a price of $9 per share. GSV Capital Corp.’s shares in Violin Memory Inc. are subject to a lock-up agreement which expired on March 26, 2014. At December 31, 2013, GSV Capital Corp. valued Violin Memory Inc., based on its December 31, 2013 closing price, adjusted for a discount due to lack of marketability of 15%.</w:t>
      </w:r>
    </w:p>
    <w:p>
      <w:pPr>
        <w:spacing w:after="0" w:line="79" w:lineRule="exact"/>
        <w:rPr>
          <w:sz w:val="20"/>
          <w:szCs w:val="20"/>
          <w:color w:val="auto"/>
        </w:rPr>
      </w:pPr>
    </w:p>
    <w:p>
      <w:pPr>
        <w:jc w:val="both"/>
        <w:ind w:left="320" w:right="519" w:hanging="310"/>
        <w:spacing w:after="0" w:line="259" w:lineRule="auto"/>
        <w:rPr>
          <w:sz w:val="20"/>
          <w:szCs w:val="20"/>
          <w:color w:val="auto"/>
        </w:rPr>
      </w:pPr>
      <w:r>
        <w:rPr>
          <w:rFonts w:ascii="Arial" w:cs="Arial" w:eastAsia="Arial" w:hAnsi="Arial"/>
          <w:sz w:val="18"/>
          <w:szCs w:val="18"/>
          <w:color w:val="auto"/>
        </w:rPr>
        <w:t>(10)On October 22, 2013, ePals, Inc. priced its initial public offering, selling 40,267,333 shares at a price of CAD $0.075 per share. GSV Capital Corp.’s shares in ePals, Inc. are subject to a lock-up agreement which expired on February 23, 2014. At December 31, 2013, GSV Capital Corp. valued ePals, Inc., based on its December 31, 2013 closing price, adjusted for a discount due to lack of marketability of 8%.</w:t>
      </w:r>
    </w:p>
    <w:p>
      <w:pPr>
        <w:spacing w:after="0" w:line="79" w:lineRule="exact"/>
        <w:rPr>
          <w:sz w:val="20"/>
          <w:szCs w:val="20"/>
          <w:color w:val="auto"/>
        </w:rPr>
      </w:pPr>
    </w:p>
    <w:p>
      <w:pPr>
        <w:jc w:val="both"/>
        <w:ind w:left="300" w:right="519" w:hanging="296"/>
        <w:spacing w:after="0" w:line="259" w:lineRule="auto"/>
        <w:rPr>
          <w:sz w:val="20"/>
          <w:szCs w:val="20"/>
          <w:color w:val="auto"/>
        </w:rPr>
      </w:pPr>
      <w:r>
        <w:rPr>
          <w:rFonts w:ascii="Arial" w:cs="Arial" w:eastAsia="Arial" w:hAnsi="Arial"/>
          <w:sz w:val="18"/>
          <w:szCs w:val="18"/>
          <w:color w:val="auto"/>
        </w:rPr>
        <w:t>(11)On November 6, 2013, Twitter, Inc. priced its initial public offering, selling 70,000,000 shares at a price of $26 per share. GSV Capital Corp.’s shares in Twitter, Inc. are subject to a lock-up agreement which expired on May 5, 2014. At December 31, 2013, GSV Capital Corp. valued Twitter, Inc., based on its December 31, 2013 closing price, adjusted for a discount due to lack of marketability of 15%.</w:t>
      </w:r>
    </w:p>
    <w:p>
      <w:pPr>
        <w:spacing w:after="0" w:line="79" w:lineRule="exact"/>
        <w:rPr>
          <w:sz w:val="20"/>
          <w:szCs w:val="20"/>
          <w:color w:val="auto"/>
        </w:rPr>
      </w:pPr>
    </w:p>
    <w:p>
      <w:pPr>
        <w:jc w:val="both"/>
        <w:ind w:left="320" w:right="519" w:hanging="310"/>
        <w:spacing w:after="0" w:line="259" w:lineRule="auto"/>
        <w:rPr>
          <w:sz w:val="20"/>
          <w:szCs w:val="20"/>
          <w:color w:val="auto"/>
        </w:rPr>
      </w:pPr>
      <w:r>
        <w:rPr>
          <w:rFonts w:ascii="Arial" w:cs="Arial" w:eastAsia="Arial" w:hAnsi="Arial"/>
          <w:sz w:val="18"/>
          <w:szCs w:val="18"/>
          <w:color w:val="auto"/>
        </w:rPr>
        <w:t>(12)On November 12, 2013, Chegg, Inc. priced its initial public offering, selling 14,400,000 shares at a price of $12.50 per share. GSV Capital Corp.’s shares in Chegg, Inc. are subject to a lock-up agreement which expired on May 11, 2014. At December 31, 2013, GSV Capital Corp. valued Chegg, Inc., based on its December 31, 2013 closing price, adjusted for a discount due to lack of marketability of 15%.</w:t>
      </w:r>
    </w:p>
    <w:p>
      <w:pPr>
        <w:spacing w:after="0" w:line="79" w:lineRule="exact"/>
        <w:rPr>
          <w:sz w:val="20"/>
          <w:szCs w:val="20"/>
          <w:color w:val="auto"/>
        </w:rPr>
      </w:pPr>
    </w:p>
    <w:p>
      <w:pPr>
        <w:jc w:val="both"/>
        <w:ind w:left="320" w:right="519" w:hanging="312"/>
        <w:spacing w:after="0" w:line="286"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Refer to Note 9 — Long Term Liabilities. In accordance with the terms of its Convertible Senior Notes payable, the Company deposited $10,867,500 in an escrow account with the trustee. These funds were used to purchase $10,845,236 of government securities. The cost of the US Treasury Strips approximates their fair value at December 31, 2013.</w:t>
      </w:r>
    </w:p>
    <w:p>
      <w:pPr>
        <w:spacing w:after="0" w:line="200" w:lineRule="exact"/>
        <w:rPr>
          <w:sz w:val="20"/>
          <w:szCs w:val="20"/>
          <w:color w:val="auto"/>
        </w:rPr>
      </w:pPr>
    </w:p>
    <w:p>
      <w:pPr>
        <w:spacing w:after="0" w:line="290"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GSV Capital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(“GSV Asset Management”).</w:t>
      </w:r>
    </w:p>
    <w:p>
      <w:pPr>
        <w:spacing w:after="0" w:line="6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Company’s date of inception is January 6, 2011, which is the date it commenced its development stage activities. The Company’s shares are currently listed on the NASDAQ Capital Market under the symbol “GSVC”. The Company began its investment operations during the second quarter.</w:t>
      </w:r>
    </w:p>
    <w:p>
      <w:pPr>
        <w:spacing w:after="0" w:line="7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On April 13, 2012, the Company formed a wholly-owned subsidiary, GSV Capital Lending, LLC (“GCL”), a Delaware limited liability company, which was formed to originate portfolio loan investments within the state of California.</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 November 28, 2012, the Company formed the following wholly-owned subsidiaries: GSVC AE Holdings, Inc. (“GAE”), GSVC AV Holdings, Inc. (“GAV”), GSVC NG Holdings, Inc. (“GNG”), GSVC SW Holdings, Inc. (“GSW”) and GSVC WS Holdings, Inc. (“GWS”). On July 12, 2013, the Company formed a wholly-owned subsidiary, SPNPM Holdings LLC (“SPNPM”). On August 13, 2013, the Company formed a wholly-owned subsidiary, GSVC SVDS Holdings, Inc. (“SVDS”). Collectively, these entities are known as the “GSVC Holdings”, all Delaware corporations, formed to hold portfolio investments.</w:t>
      </w:r>
    </w:p>
    <w:p>
      <w:pPr>
        <w:spacing w:after="0" w:line="64"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interim consolidated financial statements of the Company are prepared in accordance with accounting principles generally accepted in the United States of America (“GAAP”) for interim financial information and pursuant to the requirements for reporting on Form 10-Q and Regulation S-X. In the opinion of management, all adjustments, all of which were of a normal recurring nature, considered necessary for the fair presentation of financial statements for the interim period have been included. The results of operations for the current period are not necessarily indicative of results that ultimately may be achieved for any other interim period or for the year ending December 31, 2014. The interim unaudited consolidated financial statements and notes hereto should be read in conjunction with the audited financial statements and notes thereto contained in the Company’s Annual Report on Form 10-K for the year ended December 31, 2013.</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Under Article 6 of Regulation S-X and the American Institute of Certified Public Accountants’ Audit and Accounting Guide for Investment Companies, we are precluded from consolidating any entity other than another investment company, a controlled operating company which provides substantially all of its services and benefits to us and certain entities established for tax purposes where we hold a 100% interest. Accordingly, our financial statements include our accounts and the accounts of the GSVC Holdings and GCL, our wholly-owned subsidiaries. All intercompany balances and transactions have been eliminated in consolidation. We began consolidating the GSVC Holdings during the quarter ended September 30, 2012.</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right="185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 (continued)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preparation of consolidated financial statements requires the Company to make a number of significant estimates. These include estimates of fair value of certain assets and liabilities and other estimates that affect the reported amounts of certain assets and liabilities as of the date of the consolidated financial statements and the reported amounts of certain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are subject to restrictions upon sale (such as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81"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39" w:lineRule="exact"/>
        <w:rPr>
          <w:sz w:val="20"/>
          <w:szCs w:val="20"/>
          <w:color w:val="auto"/>
        </w:rPr>
      </w:pPr>
    </w:p>
    <w:p>
      <w:pPr>
        <w:ind w:left="540" w:right="539" w:hanging="26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jc w:val="both"/>
        <w:ind w:left="540" w:right="539" w:hanging="262"/>
        <w:spacing w:after="0" w:line="26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spacing w:after="0" w:line="73"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Valuation Committee discusses valuations and recommends the fair value of each investment in the portfolio in good faith based on the input of GSV Asset Management and the independent third-party valuation firm; and,</w:t>
      </w:r>
    </w:p>
    <w:p>
      <w:pPr>
        <w:spacing w:after="0" w:line="62"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73"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In making our good faith determination of the fair value of investments, we consider valuation methodologies consistent with industry practice. Valuation methods, among other measures and as applicable, may include comparisons to prices from secondary market transactions and recent venture capital financings,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factor to determine the fair value of each investment.</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8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the Company has the ability to access (examples include active exchange-traded equity securities, exchange-traded derivatives, and most U.S. Government and agency securities).</w:t>
      </w:r>
    </w:p>
    <w:p>
      <w:pPr>
        <w:spacing w:after="0" w:line="6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540" w:hanging="26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(examples include corporate and municipal bonds, which trade infrequently);</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(examples include most over-the-counter derivatives, including foreign exchange forward contracts); and,</w:t>
      </w:r>
    </w:p>
    <w:p>
      <w:pPr>
        <w:spacing w:after="0" w:line="62"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58"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76"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5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An asset’s categorization within the valuation hierarchy is based upon the lowest level of input that is significant to the fair value measurement.</w:t>
      </w:r>
    </w:p>
    <w:p>
      <w:pPr>
        <w:spacing w:after="0" w:line="62"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Other Financial Instruments</w:t>
      </w:r>
    </w:p>
    <w:p>
      <w:pPr>
        <w:spacing w:after="0" w:line="117"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The carrying amounts of our other, non-investment, financial instruments, consisting of cash, receivables, accounts payable, and accrued expenses, approximate fair value due to their short-term nature. The embedded derivative liability is carried at fair value.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 Refer to the Consolidated Schedules of Investments as of September 30, 2014 and December 31, 2013, respectively, for details regarding the nature and composition of the Company’s portfolio.</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 places its cash with U.S. Bank, N.A. First Republic Bank, N.A., and Silicon Valley Bank, and at times, cash held in these accounts may exceed the Federal Deposit Insurance Corporation insured limit. The Company may invest a portion of its cash in money market funds, within limitations of the 1940 Act.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Restricted Cash consists of excess funds remaining in escrow from the purchase of the government securities that will be used to make the scheduled interest payments on the Convertible Senior Notes. See Note 9 for further detail. Restricted cash also includes a $25,000 deposit for the Company’s fidelity bond. As of September 30, 2014, and December 31, 2013, respectively, the Company had Restricted Cash of $48,889 and $22,264 which is included on the Consolidated Statements of Assets and Liabilities.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Interest income, adjusted for amortization of premium and accretion of discount, is recorded on an accrual basis.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These transactions are reflected on the Statement of Assets and Liabilities as Escrow deposits. At September 30, 2014, and December 31, 2013, the Company had no Escrow deposits.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Unrealized Appreciation or Depreciation on Investments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was taxed as a regular corporation (a “C corporation”) under subchapter C of the Internal Revenue Code of 1986, as amended, for its 2012 taxable year. The Company uses the asset and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81"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In September 2014 we filed our 2013 tax return as a regulated investment company “RIC” and are seeking to be granted RIC status for our 2013 taxable year, however, we will not be eligible to elect to be treated as a RIC for the 2013 taxable year unless we are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Although we filed an application with the SEC for an SEC Certification for the 2013 taxable year, there can be no assurance that we will receive an SEC Certification. In the event that we do not receive such SEC Certification or we are otherwise unable to meet all of the qualifications to be treated as a RIC for 2013, we will be taxed as a C Corporation for the 2013 taxable year. Should we not qualify as a RIC for 2013, we intend to elect to be treated as a RIC for our 2014 taxable year, if management determines that it is in our best interests to do so. If we opt not to do so or are unable to qualify, we will continue to be taxed as a C corporation under the Code for our 2014 taxable year. Refer to note 8 for further details.</w:t>
      </w:r>
    </w:p>
    <w:p>
      <w:pPr>
        <w:spacing w:after="0" w:line="75"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In order to qualify as a RIC, among other things, the Company is required to distribute to its stockholders on a timely basis at least 90% of investment company taxable income, as defined by the Code, for each year, and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519"/>
        <w:spacing w:after="0" w:line="270" w:lineRule="auto"/>
        <w:rPr>
          <w:sz w:val="20"/>
          <w:szCs w:val="20"/>
          <w:color w:val="auto"/>
        </w:rPr>
      </w:pPr>
      <w:r>
        <w:rPr>
          <w:rFonts w:ascii="Arial" w:cs="Arial" w:eastAsia="Arial" w:hAnsi="Arial"/>
          <w:sz w:val="17"/>
          <w:szCs w:val="17"/>
          <w:color w:val="auto"/>
        </w:rPr>
        <w:t>obligations of the Company’s investors and will not be reflected in the consolidated financial statements of the Company. Included in the Company’s consolidated financial statements, the GSVC Holdings are taxable subsidiaries of the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 At the present time, the Company cannot assure you that it will be eligible to elect to be taxed as a RIC for its 2013 taxable year. If it is not treated as a RIC for 2013, the Company will be taxed as a C corporation under the Code for the 2013 taxable year. Until such time as it qualifies and elects to be taxed as a RIC, GSV will provide for income taxes, if any, as a C Corp. The Company intends to elect to be taxed as a RIC for its 2014 taxable year, if management determines that it is in the Company’s best interests to do so.</w:t>
      </w:r>
    </w:p>
    <w:p>
      <w:pPr>
        <w:spacing w:after="0" w:line="74"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December 31, 2013, the Company entered into a Loan and Security Agreement (the “Loan Agreement”) with Silicon Valley Bank, pursuant to which Silicon Valley Bank agreed to provide the Company with a new $18 million credit facility (the “Credit Facility”). The Company incurred $288,249 of legal costs and other fees in connection with opening the Credit Facility. As of September 30, 2014, of the total costs of $288,249 incurred, $141,586 remains to be amortized and is included within deferred credit facility fees on the Consolidated Statements of Assets and Liabilities.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Basic earnings (loss) per common share, is computed using the weighted average number of shares outstanding for the period presented. Diluted earnings per share is computed by dividing net income (loss) for the period by the weighted average number of common shares outstanding plus any potentially dilutive shares outstanding during the period. The Company used the if-converted method to determine the number of potentially dilutive shares outstanding. Refer to footnote 5 for further detail.</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Capital Accounts</w:t>
      </w:r>
    </w:p>
    <w:p>
      <w:pPr>
        <w:spacing w:after="0" w:line="117"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Certain capital accounts including undistributed net investment income or loss, accumulated net realized gain or loss,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differences are to be reclassified between financial statement reporting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 PARTY ARRANGEMENTS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$1,949,705 and $5,639,564 in base management fees and $0 in incentive fees for the three and nine months ended September 30, 2014, respectively. GSV Asset Management earned $1,298,858 and $3,828,835 in base management fees and $0 in incentive fees for the three and nine months ended September 30, 2013, respectively. For the three and nine months ended September 30, 2014, respectively, we accrued incentive fees of $3,684,300, and $5,498,585, in accordance with the AICPA’s TPA (TIS 6910.2) which considers the hypothetical liquidation value of our investment portfolio as of the measurement date.</w:t>
      </w:r>
    </w:p>
    <w:p>
      <w:pPr>
        <w:spacing w:after="0" w:line="6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As of September 30, 2014, we were owed $18,834 from GSV Capital Service Company, LLC, for the prepayment of overhead expenses as well as California Franchise Board fees. In addition as of September 30, 2014, we owed GSV Asset Management $48,898, which relates to the reimbursement of expenses paid for by GSV Asset Management that were the responsibility of the Company.</w:t>
      </w:r>
    </w:p>
    <w:p>
      <w:pPr>
        <w:spacing w:after="0" w:line="79"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As of December 31, 2013, we were owed $3,039 from GSV Capital Service Company, LLC for reimbursement of expenses paid for by us that were the responsibility of GSV Asset Management. In addition as of December 31, 2013, we owed GSV Asset Management $563,978, which relates to the reimbursement of expenses paid for by GSV Asset Management that were the responsibility of the Company.</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were $718,896 and $2,557,129 in such costs incurred under the Administration Agreement for the three and nine months ended September 30, 2014, respectively. There were $678,283 and $2,276,152 in such costs incurred under the Administration Agreement for the three and nine months ended September 30, 2013, respectively.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PORTFOLIO INVESTMENTS AND FAIR VALUE</w:t>
      </w:r>
    </w:p>
    <w:p>
      <w:pPr>
        <w:spacing w:after="0" w:line="121" w:lineRule="exact"/>
        <w:rPr>
          <w:sz w:val="20"/>
          <w:szCs w:val="20"/>
          <w:color w:val="auto"/>
        </w:rPr>
      </w:pPr>
    </w:p>
    <w:p>
      <w:pPr>
        <w:jc w:val="both"/>
        <w:ind w:left="180" w:right="519" w:firstLine="270"/>
        <w:spacing w:after="0" w:line="276" w:lineRule="auto"/>
        <w:rPr>
          <w:sz w:val="20"/>
          <w:szCs w:val="20"/>
          <w:color w:val="auto"/>
        </w:rPr>
      </w:pPr>
      <w:r>
        <w:rPr>
          <w:rFonts w:ascii="Arial" w:cs="Arial" w:eastAsia="Arial" w:hAnsi="Arial"/>
          <w:sz w:val="17"/>
          <w:szCs w:val="17"/>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from time to time, invest in U.S. Treasury Securities. Non-portfolio investments represent investments in U.S. Treasury Securities. The following table summarizes the composition of the Company’s investment portfolio by security type at cost and fair value as of September 30, 2014 and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6985</wp:posOffset>
            </wp:positionV>
            <wp:extent cx="52139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4"/>
                <w:szCs w:val="14"/>
                <w:b w:val="1"/>
                <w:bCs w:val="1"/>
                <w:color w:val="auto"/>
                <w:w w:val="96"/>
              </w:rPr>
              <w:t>September 30, 2014 (Unaudited)</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58,082,345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82,754,840</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70,404,617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81,410,161</w:t>
            </w:r>
          </w:p>
        </w:tc>
        <w:tc>
          <w:tcPr>
            <w:tcW w:w="0" w:type="dxa"/>
            <w:vAlign w:val="bottom"/>
          </w:tcPr>
          <w:p>
            <w:pPr>
              <w:spacing w:after="0"/>
              <w:rPr>
                <w:sz w:val="1"/>
                <w:szCs w:val="1"/>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165,592,843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169,113,115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126,151,898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129,925,500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Membership Interest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557,084</w:t>
            </w:r>
          </w:p>
        </w:tc>
        <w:tc>
          <w:tcPr>
            <w:tcW w:w="0" w:type="dxa"/>
            <w:vAlign w:val="bottom"/>
          </w:tcPr>
          <w:p>
            <w:pPr>
              <w:spacing w:after="0"/>
              <w:rPr>
                <w:sz w:val="1"/>
                <w:szCs w:val="1"/>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Term Loans</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860,011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861,302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764,881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301,196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570,377</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217,191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489,657</w:t>
            </w:r>
          </w:p>
        </w:tc>
        <w:tc>
          <w:tcPr>
            <w:tcW w:w="0" w:type="dxa"/>
            <w:vAlign w:val="bottom"/>
          </w:tcPr>
          <w:p>
            <w:pPr>
              <w:spacing w:after="0"/>
              <w:rPr>
                <w:sz w:val="1"/>
                <w:szCs w:val="1"/>
                <w:color w:val="auto"/>
              </w:rPr>
            </w:pPr>
          </w:p>
        </w:tc>
      </w:tr>
      <w:tr>
        <w:trPr>
          <w:trHeight w:val="191"/>
        </w:trPr>
        <w:tc>
          <w:tcPr>
            <w:tcW w:w="322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Subtotal – Private Portfolio</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224,836,395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253,299,634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198,038,587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213,132,402</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Publicly Traded Portfolio Companies: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56,069,842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112,946,402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81,670,531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142,251,251</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280,906,237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366,246,036</w:t>
            </w:r>
          </w:p>
        </w:tc>
        <w:tc>
          <w:tcPr>
            <w:tcW w:w="2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279,709,118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355,383,653</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8"/>
                <w:szCs w:val="18"/>
                <w:color w:val="auto"/>
              </w:rPr>
              <w:t>Non-Portfolio Investments</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107,279,379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107,293,808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10,845,236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10,865,200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388,185,616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473,539,844</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290,554,354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366,248,853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-1174115</wp:posOffset>
            </wp:positionV>
            <wp:extent cx="5213985"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-325120</wp:posOffset>
            </wp:positionV>
            <wp:extent cx="521398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180" w:right="519" w:firstLine="270"/>
        <w:spacing w:after="0" w:line="277" w:lineRule="auto"/>
        <w:rPr>
          <w:sz w:val="20"/>
          <w:szCs w:val="20"/>
          <w:color w:val="auto"/>
        </w:rPr>
      </w:pPr>
      <w:r>
        <w:rPr>
          <w:rFonts w:ascii="Arial" w:cs="Arial" w:eastAsia="Arial" w:hAnsi="Arial"/>
          <w:sz w:val="18"/>
          <w:szCs w:val="18"/>
          <w:color w:val="auto"/>
        </w:rPr>
        <w:t>The fair values of our investments disaggregated into the three levels of the fair value hierarchy based upon the lowest level of significant input used in the valuation as of September 30, 2014 and December 31,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4"/>
              </w:rPr>
              <w:t>As of September 30, 2014 (Unaudited)</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2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Quoted Prices in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60" w:type="dxa"/>
            <w:vAlign w:val="bottom"/>
          </w:tcPr>
          <w:p>
            <w:pPr>
              <w:spacing w:after="0"/>
              <w:rPr>
                <w:sz w:val="12"/>
                <w:szCs w:val="12"/>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2"/>
                <w:szCs w:val="1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1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Inputs (Level 2)</w:t>
            </w:r>
          </w:p>
        </w:tc>
        <w:tc>
          <w:tcPr>
            <w:tcW w:w="160" w:type="dxa"/>
            <w:vAlign w:val="bottom"/>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Inputs (Level 3)</w:t>
            </w:r>
          </w:p>
        </w:tc>
        <w:tc>
          <w:tcPr>
            <w:tcW w:w="16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   82,754,840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82,754,840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169,113,115</w:t>
            </w:r>
          </w:p>
        </w:tc>
        <w:tc>
          <w:tcPr>
            <w:tcW w:w="1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169,113,115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Term Loans</w:t>
            </w:r>
          </w:p>
        </w:tc>
        <w:tc>
          <w:tcPr>
            <w:tcW w:w="12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861,302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861,302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570,377</w:t>
            </w:r>
          </w:p>
        </w:tc>
        <w:tc>
          <w:tcPr>
            <w:tcW w:w="1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570,377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0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Subtotal – Private Portfolio</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06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2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253,299,634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253,299,634</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0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-925830</wp:posOffset>
            </wp:positionV>
            <wp:extent cx="5213985" cy="291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27" w:name="page28"/>
    <w:bookmarkEnd w:id="27"/>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-24765</wp:posOffset>
            </wp:positionV>
            <wp:extent cx="52139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4"/>
              </w:rPr>
              <w:t>As of September 30, 2014 (Unaudited)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2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Quoted Prices in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60" w:type="dxa"/>
            <w:vAlign w:val="bottom"/>
          </w:tcPr>
          <w:p>
            <w:pPr>
              <w:spacing w:after="0"/>
              <w:rPr>
                <w:sz w:val="12"/>
                <w:szCs w:val="12"/>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Publicly Traded Portfolio</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Inputs (Level 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Inputs (Level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06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89,939,570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23,006,832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112,946,402</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0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060" w:type="dxa"/>
            <w:vAlign w:val="bottom"/>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89,939,570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23,006,832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253,299,634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366,246,036</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99,999,944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99,999,944</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U.S. Treasury Strips</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7,293,864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7,293,864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197,233,378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23,006,832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253,299,634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473,539,844</w:t>
            </w:r>
          </w:p>
        </w:tc>
        <w:tc>
          <w:tcPr>
            <w:tcW w:w="132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Embedded Derivative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As of December 31, 2013</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2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Quoted Prices in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60" w:type="dxa"/>
            <w:vAlign w:val="bottom"/>
          </w:tcPr>
          <w:p>
            <w:pPr>
              <w:spacing w:after="0"/>
              <w:rPr>
                <w:sz w:val="12"/>
                <w:szCs w:val="12"/>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Inputs (Level 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Inputs (Level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81,410,161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81,410,161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129,925,500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129,925,500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Common Membership Interest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557,084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557,084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Loans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489,657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489,657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0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Subtotal – Private Portfolio</w:t>
            </w: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213,132,402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213,132,402</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0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Publicly Traded Portfolio</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06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11,706,338</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130,544,913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142,251,251</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0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060" w:type="dxa"/>
            <w:vAlign w:val="bottom"/>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11,706,338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130,544,913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213,132,402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355,383,653</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Strip</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10,865,200</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10,865,200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22,571,538</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130,544,913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213,132,402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366,248,853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Embedded Derivative</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799,000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799,000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799,000</w:t>
            </w:r>
          </w:p>
        </w:tc>
        <w:tc>
          <w:tcPr>
            <w:tcW w:w="132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0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-5281930</wp:posOffset>
            </wp:positionV>
            <wp:extent cx="5213985" cy="291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-4570095</wp:posOffset>
            </wp:positionV>
            <wp:extent cx="521398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-4261485</wp:posOffset>
            </wp:positionV>
            <wp:extent cx="5213985"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-2117725</wp:posOffset>
            </wp:positionV>
            <wp:extent cx="5213985" cy="2832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-1697355</wp:posOffset>
            </wp:positionV>
            <wp:extent cx="5213985" cy="291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-1268730</wp:posOffset>
            </wp:positionV>
            <wp:extent cx="5213985" cy="180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-4055745</wp:posOffset>
            </wp:positionV>
            <wp:extent cx="52139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28" w:name="page29"/>
    <w:bookmarkEnd w:id="2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Unobservable Inputs for Level 3 Portfolio Company Securities</w:t>
      </w:r>
    </w:p>
    <w:p>
      <w:pPr>
        <w:spacing w:after="0" w:line="121" w:lineRule="exact"/>
        <w:rPr>
          <w:sz w:val="20"/>
          <w:szCs w:val="20"/>
          <w:color w:val="auto"/>
        </w:rPr>
      </w:pPr>
    </w:p>
    <w:p>
      <w:pPr>
        <w:jc w:val="both"/>
        <w:ind w:left="60" w:right="519" w:firstLine="270"/>
        <w:spacing w:after="0" w:line="290" w:lineRule="auto"/>
        <w:rPr>
          <w:sz w:val="20"/>
          <w:szCs w:val="20"/>
          <w:color w:val="auto"/>
        </w:rPr>
      </w:pPr>
      <w:r>
        <w:rPr>
          <w:rFonts w:ascii="Arial" w:cs="Arial" w:eastAsia="Arial" w:hAnsi="Arial"/>
          <w:sz w:val="16"/>
          <w:szCs w:val="16"/>
          <w:color w:val="auto"/>
        </w:rPr>
        <w:t>In accordance with ASC 820, the table set forth below provides quantitative information about the Company’s fair value measurements of its Level 3 assets and liabilities as of September 30, 2014. In addition to the techniques and inputs noted in the table below, according to the Company’s valuation policy, the Company may also use other valuation techniques and methodologies when determining the Company’s fair value measurements. The below table is not intended to be all-inclusive, but rather provides information on the significant Level 3 inputs as they relate to the Company’s fair value measurements. To the extent an unobservable input is not reflected in the table below, such input is deemed insignificant or is not applicable with respect to the Company’s Level 3 fair value measurements as of September 30, 2014. Significant changes in the inputs in isolation would result in a significant change in the fair value measurement, depending on the input and the materiality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(Liability)</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1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6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Range (Average)</w:t>
            </w:r>
          </w:p>
        </w:tc>
        <w:tc>
          <w:tcPr>
            <w:tcW w:w="0" w:type="dxa"/>
            <w:vAlign w:val="bottom"/>
          </w:tcPr>
          <w:p>
            <w:pPr>
              <w:spacing w:after="0"/>
              <w:rPr>
                <w:sz w:val="1"/>
                <w:szCs w:val="1"/>
                <w:color w:val="auto"/>
              </w:rPr>
            </w:pPr>
          </w:p>
        </w:tc>
      </w:tr>
      <w:tr>
        <w:trPr>
          <w:trHeight w:val="186"/>
        </w:trPr>
        <w:tc>
          <w:tcPr>
            <w:tcW w:w="1840" w:type="dxa"/>
            <w:vAlign w:val="bottom"/>
          </w:tcPr>
          <w:p>
            <w:pPr>
              <w:jc w:val="center"/>
              <w:spacing w:after="0"/>
              <w:rPr>
                <w:sz w:val="20"/>
                <w:szCs w:val="20"/>
                <w:color w:val="auto"/>
              </w:rPr>
            </w:pPr>
            <w:r>
              <w:rPr>
                <w:rFonts w:ascii="Arial" w:cs="Arial" w:eastAsia="Arial" w:hAnsi="Arial"/>
                <w:sz w:val="16"/>
                <w:szCs w:val="16"/>
                <w:color w:val="auto"/>
                <w:w w:val="93"/>
              </w:rPr>
              <w:t>Common stock in private</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1140" w:type="dxa"/>
            <w:vAlign w:val="bottom"/>
            <w:gridSpan w:val="2"/>
          </w:tcPr>
          <w:p>
            <w:pPr>
              <w:jc w:val="right"/>
              <w:ind w:right="8"/>
              <w:spacing w:after="0"/>
              <w:rPr>
                <w:sz w:val="20"/>
                <w:szCs w:val="20"/>
                <w:color w:val="auto"/>
              </w:rPr>
            </w:pPr>
            <w:r>
              <w:rPr>
                <w:rFonts w:ascii="Arial" w:cs="Arial" w:eastAsia="Arial" w:hAnsi="Arial"/>
                <w:sz w:val="16"/>
                <w:szCs w:val="16"/>
                <w:color w:val="auto"/>
              </w:rPr>
              <w:t>$ 82,754,840</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0"/>
              </w:rPr>
              <w:t>transactions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Revenue multiples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1.4x – 5.0x(2.9x)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11.40x – 18.00x(8.9x)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Discount rate</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30% – 40%(35%)</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2"/>
              </w:rPr>
              <w:t>Preferred stock in private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0"/>
              </w:rPr>
              <w:t>companies</w:t>
            </w:r>
          </w:p>
        </w:tc>
        <w:tc>
          <w:tcPr>
            <w:tcW w:w="1140" w:type="dxa"/>
            <w:vAlign w:val="bottom"/>
            <w:gridSpan w:val="2"/>
          </w:tcPr>
          <w:p>
            <w:pPr>
              <w:jc w:val="right"/>
              <w:ind w:right="8"/>
              <w:spacing w:after="0"/>
              <w:rPr>
                <w:sz w:val="20"/>
                <w:szCs w:val="20"/>
                <w:color w:val="auto"/>
              </w:rPr>
            </w:pPr>
            <w:r>
              <w:rPr>
                <w:rFonts w:ascii="Arial" w:cs="Arial" w:eastAsia="Arial" w:hAnsi="Arial"/>
                <w:sz w:val="16"/>
                <w:szCs w:val="16"/>
                <w:color w:val="auto"/>
              </w:rPr>
              <w:t>169,113,115</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0"/>
              </w:rPr>
              <w:t>transactions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Income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Revenue multiples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1.0x – 6.0x(3.8x)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6"/>
              </w:rPr>
              <w:t>EBIT multiples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9.5x – 35.0x(23.7x)</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Discount rate</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35% – 45%(39%)</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1"/>
              </w:rPr>
              <w:t>Term Loans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7"/>
              </w:rPr>
              <w:t>Precedent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140" w:type="dxa"/>
            <w:vAlign w:val="bottom"/>
            <w:gridSpan w:val="2"/>
          </w:tcPr>
          <w:p>
            <w:pPr>
              <w:jc w:val="right"/>
              <w:ind w:right="8"/>
              <w:spacing w:after="0"/>
              <w:rPr>
                <w:sz w:val="20"/>
                <w:szCs w:val="20"/>
                <w:color w:val="auto"/>
              </w:rPr>
            </w:pPr>
            <w:r>
              <w:rPr>
                <w:rFonts w:ascii="Arial" w:cs="Arial" w:eastAsia="Arial" w:hAnsi="Arial"/>
                <w:sz w:val="16"/>
                <w:szCs w:val="16"/>
                <w:color w:val="auto"/>
              </w:rPr>
              <w:t>861,302</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Market approach</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0"/>
              </w:rPr>
              <w:t>transactions</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89"/>
              </w:rPr>
              <w:t>Warrants</w:t>
            </w:r>
          </w:p>
        </w:tc>
        <w:tc>
          <w:tcPr>
            <w:tcW w:w="1140" w:type="dxa"/>
            <w:vAlign w:val="bottom"/>
            <w:gridSpan w:val="2"/>
          </w:tcPr>
          <w:p>
            <w:pPr>
              <w:jc w:val="right"/>
              <w:ind w:right="8"/>
              <w:spacing w:after="0"/>
              <w:rPr>
                <w:sz w:val="20"/>
                <w:szCs w:val="20"/>
                <w:color w:val="auto"/>
              </w:rPr>
            </w:pPr>
            <w:r>
              <w:rPr>
                <w:rFonts w:ascii="Arial" w:cs="Arial" w:eastAsia="Arial" w:hAnsi="Arial"/>
                <w:sz w:val="16"/>
                <w:szCs w:val="16"/>
                <w:color w:val="auto"/>
              </w:rPr>
              <w:t>570,377</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5"/>
              </w:rPr>
              <w:t>Option pricing model</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3"/>
              </w:rPr>
              <w:t>Term to expiration</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0.25 – 3.00(2.11)</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3"/>
              </w:rPr>
              <w:t>Stock price</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0.13 – 4.59(1.36)</w:t>
            </w:r>
          </w:p>
        </w:tc>
        <w:tc>
          <w:tcPr>
            <w:tcW w:w="0" w:type="dxa"/>
            <w:vAlign w:val="bottom"/>
          </w:tcPr>
          <w:p>
            <w:pPr>
              <w:spacing w:after="0"/>
              <w:rPr>
                <w:sz w:val="1"/>
                <w:szCs w:val="1"/>
                <w:color w:val="auto"/>
              </w:rPr>
            </w:pPr>
          </w:p>
        </w:tc>
      </w:tr>
      <w:tr>
        <w:trPr>
          <w:trHeight w:val="206"/>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2"/>
              </w:rPr>
              <w:t>Embedded Derivative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w w:val="97"/>
              </w:rPr>
              <w:t>Binomial Lattice</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Volatility</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3"/>
              </w:rPr>
              <w:t>30% – 50%(41%)</w:t>
            </w:r>
          </w:p>
        </w:tc>
        <w:tc>
          <w:tcPr>
            <w:tcW w:w="0" w:type="dxa"/>
            <w:vAlign w:val="bottom"/>
          </w:tcPr>
          <w:p>
            <w:pPr>
              <w:spacing w:after="0"/>
              <w:rPr>
                <w:sz w:val="1"/>
                <w:szCs w:val="1"/>
                <w:color w:val="auto"/>
              </w:rPr>
            </w:pPr>
          </w:p>
        </w:tc>
      </w:tr>
      <w:tr>
        <w:trPr>
          <w:trHeight w:val="199"/>
        </w:trPr>
        <w:tc>
          <w:tcPr>
            <w:tcW w:w="1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(12,000)</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6"/>
              </w:rPr>
              <w:t>Model</w:t>
            </w: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Strike Price</w:t>
            </w:r>
          </w:p>
        </w:tc>
        <w:tc>
          <w:tcPr>
            <w:tcW w:w="1800" w:type="dxa"/>
            <w:vAlign w:val="bottom"/>
            <w:gridSpan w:val="2"/>
          </w:tcPr>
          <w:p>
            <w:pPr>
              <w:jc w:val="center"/>
              <w:ind w:left="119"/>
              <w:spacing w:after="0"/>
              <w:rPr>
                <w:sz w:val="20"/>
                <w:szCs w:val="20"/>
                <w:color w:val="auto"/>
              </w:rPr>
            </w:pPr>
            <w:r>
              <w:rPr>
                <w:rFonts w:ascii="Arial" w:cs="Arial" w:eastAsia="Arial" w:hAnsi="Arial"/>
                <w:sz w:val="16"/>
                <w:szCs w:val="16"/>
                <w:color w:val="auto"/>
                <w:w w:val="89"/>
              </w:rPr>
              <w:t>16.26</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Volatility</w:t>
            </w:r>
          </w:p>
        </w:tc>
        <w:tc>
          <w:tcPr>
            <w:tcW w:w="180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50%</w:t>
            </w:r>
          </w:p>
        </w:tc>
        <w:tc>
          <w:tcPr>
            <w:tcW w:w="0" w:type="dxa"/>
            <w:vAlign w:val="bottom"/>
          </w:tcPr>
          <w:p>
            <w:pPr>
              <w:spacing w:after="0"/>
              <w:rPr>
                <w:sz w:val="1"/>
                <w:szCs w:val="1"/>
                <w:color w:val="auto"/>
              </w:rPr>
            </w:pPr>
          </w:p>
        </w:tc>
      </w:tr>
      <w:tr>
        <w:trPr>
          <w:trHeight w:val="206"/>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3"/>
              </w:rPr>
              <w:t>Annual risk rate</w:t>
            </w:r>
          </w:p>
        </w:tc>
        <w:tc>
          <w:tcPr>
            <w:tcW w:w="180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12.5%</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The significant unobservable inputs used in determining the fair value of the assets and liabilities are shown above. Increases (decreases) in revenue multiples, EBIT multiples, time to expiration, and stock price/strike price would result in higher (lower) fair values all else equal. Decreases (increases) in discount rates, volatility, and annual risk rates, would result in higher fair values all else equal.</w:t>
      </w:r>
    </w:p>
    <w:p>
      <w:pPr>
        <w:spacing w:after="0" w:line="79"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The Company applied the binomial lattice model to value the embedded derivative using a “with-and-without method,” where the value of the convertible senior notes including the embedded derivative, is defined as the “with”, and the value of the convertible senior notes excluding the embedded derivative, is defined as the “without”. This method estimates the value of the embedded derivative by looking at the difference in the values between the convertible senior notes with the embedded derivative and the value of the convertible senior notes without the embedded derivative. The lattice model requires the following inputs: (i) strike price; (ii) estimated stock volatility; and (iii) annual risk rate.</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9" w:name="page30"/>
    <w:bookmarkEnd w:id="29"/>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aggregate values of Level 3 portfolio investments and embedded derivative changed during the nine months ended</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September 30, 2014 and the year ended December 31, 2013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14605</wp:posOffset>
            </wp:positionV>
            <wp:extent cx="51885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18"/>
          </w:tcPr>
          <w:p>
            <w:pPr>
              <w:jc w:val="right"/>
              <w:ind w:right="580"/>
              <w:spacing w:after="0"/>
              <w:rPr>
                <w:sz w:val="20"/>
                <w:szCs w:val="20"/>
                <w:color w:val="auto"/>
              </w:rPr>
            </w:pPr>
            <w:r>
              <w:rPr>
                <w:rFonts w:ascii="Arial" w:cs="Arial" w:eastAsia="Arial" w:hAnsi="Arial"/>
                <w:sz w:val="14"/>
                <w:szCs w:val="14"/>
                <w:b w:val="1"/>
                <w:bCs w:val="1"/>
                <w:color w:val="auto"/>
              </w:rPr>
              <w:t>Nine months ended September 30, 2014 (Unaudited)</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Preferred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Common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Term</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Embedded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Membership</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8"/>
              </w:rPr>
              <w:t>Warrants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Loan</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5"/>
              </w:rPr>
              <w:t>Derivative</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Fair value as of December 31,</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2013</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81,410,161</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129,925,500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557,084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489,657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2"/>
              </w:rPr>
              <w:t>213,132,402</w:t>
            </w:r>
          </w:p>
        </w:tc>
        <w:tc>
          <w:tcPr>
            <w:tcW w:w="0" w:type="dxa"/>
            <w:vAlign w:val="bottom"/>
          </w:tcPr>
          <w:p>
            <w:pPr>
              <w:spacing w:after="0"/>
              <w:rPr>
                <w:sz w:val="1"/>
                <w:szCs w:val="1"/>
                <w:color w:val="auto"/>
              </w:rPr>
            </w:pPr>
          </w:p>
        </w:tc>
      </w:tr>
      <w:tr>
        <w:trPr>
          <w:trHeight w:val="149"/>
        </w:trPr>
        <w:tc>
          <w:tcPr>
            <w:tcW w:w="1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1,788,941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40,317,993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3,664,225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159,993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45,931,152</w:t>
            </w:r>
          </w:p>
        </w:tc>
        <w:tc>
          <w:tcPr>
            <w:tcW w:w="0" w:type="dxa"/>
            <w:vAlign w:val="bottom"/>
          </w:tcPr>
          <w:p>
            <w:pPr>
              <w:spacing w:after="0"/>
              <w:rPr>
                <w:sz w:val="1"/>
                <w:szCs w:val="1"/>
                <w:color w:val="auto"/>
              </w:rPr>
            </w:pPr>
          </w:p>
        </w:tc>
      </w:tr>
      <w:tr>
        <w:trPr>
          <w:trHeight w:val="149"/>
        </w:trPr>
        <w:tc>
          <w:tcPr>
            <w:tcW w:w="19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Sales of investments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(4,556,650)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(9,286,230)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(75,988)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(13,918,868)</w:t>
            </w:r>
          </w:p>
        </w:tc>
        <w:tc>
          <w:tcPr>
            <w:tcW w:w="0" w:type="dxa"/>
            <w:vAlign w:val="bottom"/>
          </w:tcPr>
          <w:p>
            <w:pPr>
              <w:spacing w:after="0"/>
              <w:rPr>
                <w:sz w:val="1"/>
                <w:szCs w:val="1"/>
                <w:color w:val="auto"/>
              </w:rPr>
            </w:pPr>
          </w:p>
        </w:tc>
      </w:tr>
      <w:tr>
        <w:trPr>
          <w:trHeight w:val="130"/>
        </w:trPr>
        <w:tc>
          <w:tcPr>
            <w:tcW w:w="19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Realized Gain (Loss) included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gridSpan w:val="2"/>
          </w:tcPr>
          <w:p>
            <w:pPr>
              <w:ind w:left="180"/>
              <w:spacing w:after="0"/>
              <w:rPr>
                <w:sz w:val="20"/>
                <w:szCs w:val="20"/>
                <w:color w:val="auto"/>
              </w:rPr>
            </w:pPr>
            <w:r>
              <w:rPr>
                <w:rFonts w:ascii="Arial" w:cs="Arial" w:eastAsia="Arial" w:hAnsi="Arial"/>
                <w:sz w:val="14"/>
                <w:szCs w:val="14"/>
                <w:color w:val="auto"/>
              </w:rPr>
              <w:t>in earnings</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1,951,444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4,969,326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6,920,770</w:t>
            </w:r>
          </w:p>
        </w:tc>
        <w:tc>
          <w:tcPr>
            <w:tcW w:w="0" w:type="dxa"/>
            <w:vAlign w:val="bottom"/>
          </w:tcPr>
          <w:p>
            <w:pPr>
              <w:spacing w:after="0"/>
              <w:rPr>
                <w:sz w:val="1"/>
                <w:szCs w:val="1"/>
                <w:color w:val="auto"/>
              </w:rPr>
            </w:pPr>
          </w:p>
        </w:tc>
      </w:tr>
      <w:tr>
        <w:trPr>
          <w:trHeight w:val="140"/>
        </w:trPr>
        <w:tc>
          <w:tcPr>
            <w:tcW w:w="192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ind w:left="180"/>
              <w:spacing w:after="0" w:line="198" w:lineRule="exact"/>
              <w:rPr>
                <w:sz w:val="20"/>
                <w:szCs w:val="20"/>
                <w:color w:val="auto"/>
              </w:rPr>
            </w:pPr>
            <w:r>
              <w:rPr>
                <w:rFonts w:ascii="Arial" w:cs="Arial" w:eastAsia="Arial" w:hAnsi="Arial"/>
                <w:sz w:val="14"/>
                <w:szCs w:val="14"/>
                <w:color w:val="auto"/>
              </w:rPr>
              <w:t>assignments – In</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1,273,125</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6,074,063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7,347,188</w:t>
            </w:r>
          </w:p>
        </w:tc>
        <w:tc>
          <w:tcPr>
            <w:tcW w:w="0" w:type="dxa"/>
            <w:vAlign w:val="bottom"/>
          </w:tcPr>
          <w:p>
            <w:pPr>
              <w:spacing w:after="0"/>
              <w:rPr>
                <w:sz w:val="1"/>
                <w:szCs w:val="1"/>
                <w:color w:val="auto"/>
              </w:rPr>
            </w:pPr>
          </w:p>
        </w:tc>
      </w:tr>
      <w:tr>
        <w:trPr>
          <w:trHeight w:val="140"/>
        </w:trPr>
        <w:tc>
          <w:tcPr>
            <w:tcW w:w="192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gridSpan w:val="2"/>
          </w:tcPr>
          <w:p>
            <w:pPr>
              <w:ind w:left="180"/>
              <w:spacing w:after="0" w:line="198" w:lineRule="exact"/>
              <w:rPr>
                <w:sz w:val="20"/>
                <w:szCs w:val="20"/>
                <w:color w:val="auto"/>
              </w:rPr>
            </w:pPr>
            <w:r>
              <w:rPr>
                <w:rFonts w:ascii="Arial" w:cs="Arial" w:eastAsia="Arial" w:hAnsi="Arial"/>
                <w:sz w:val="14"/>
                <w:szCs w:val="14"/>
                <w:color w:val="auto"/>
              </w:rPr>
              <w:t>assignments – Out</w:t>
            </w:r>
            <w:r>
              <w:rPr>
                <w:rFonts w:ascii="Arial" w:cs="Arial" w:eastAsia="Arial" w:hAnsi="Arial"/>
                <w:sz w:val="22"/>
                <w:szCs w:val="22"/>
                <w:color w:val="auto"/>
                <w:vertAlign w:val="superscript"/>
              </w:rPr>
              <w:t>(1)</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(2,006,077)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(1,273,125)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(500,000)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(3,567,986)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(7,347,188)</w:t>
            </w:r>
          </w:p>
        </w:tc>
        <w:tc>
          <w:tcPr>
            <w:tcW w:w="0" w:type="dxa"/>
            <w:vAlign w:val="bottom"/>
          </w:tcPr>
          <w:p>
            <w:pPr>
              <w:spacing w:after="0"/>
              <w:rPr>
                <w:sz w:val="1"/>
                <w:szCs w:val="1"/>
                <w:color w:val="auto"/>
              </w:rPr>
            </w:pPr>
          </w:p>
        </w:tc>
      </w:tr>
      <w:tr>
        <w:trPr>
          <w:trHeight w:val="130"/>
        </w:trPr>
        <w:tc>
          <w:tcPr>
            <w:tcW w:w="192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Change in unrealized</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appreciation (depreciation)</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included in earnings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20,817,652</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(1,614,412)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(57,084)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15,063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(3,285)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19,157,934</w:t>
            </w:r>
          </w:p>
        </w:tc>
        <w:tc>
          <w:tcPr>
            <w:tcW w:w="0" w:type="dxa"/>
            <w:vAlign w:val="bottom"/>
          </w:tcPr>
          <w:p>
            <w:pPr>
              <w:spacing w:after="0"/>
              <w:rPr>
                <w:sz w:val="1"/>
                <w:szCs w:val="1"/>
                <w:color w:val="auto"/>
              </w:rPr>
            </w:pPr>
          </w:p>
        </w:tc>
      </w:tr>
      <w:tr>
        <w:trPr>
          <w:trHeight w:val="149"/>
        </w:trPr>
        <w:tc>
          <w:tcPr>
            <w:tcW w:w="1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Transfers Out of Level 3</w:t>
            </w: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(17,923,756)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(17,923,756)</w:t>
            </w:r>
          </w:p>
        </w:tc>
        <w:tc>
          <w:tcPr>
            <w:tcW w:w="0" w:type="dxa"/>
            <w:vAlign w:val="bottom"/>
          </w:tcPr>
          <w:p>
            <w:pPr>
              <w:spacing w:after="0"/>
              <w:rPr>
                <w:sz w:val="1"/>
                <w:szCs w:val="1"/>
                <w:color w:val="auto"/>
              </w:rPr>
            </w:pPr>
          </w:p>
        </w:tc>
      </w:tr>
      <w:tr>
        <w:trPr>
          <w:trHeight w:val="123"/>
        </w:trPr>
        <w:tc>
          <w:tcPr>
            <w:tcW w:w="1920" w:type="dxa"/>
            <w:vAlign w:val="bottom"/>
            <w:gridSpan w:val="3"/>
            <w:shd w:val="clear" w:color="auto" w:fill="CCEEFF"/>
          </w:tcPr>
          <w:p>
            <w:pPr>
              <w:ind w:left="20"/>
              <w:spacing w:after="0" w:line="123" w:lineRule="exact"/>
              <w:rPr>
                <w:sz w:val="20"/>
                <w:szCs w:val="20"/>
                <w:color w:val="auto"/>
              </w:rPr>
            </w:pPr>
            <w:r>
              <w:rPr>
                <w:rFonts w:ascii="Arial" w:cs="Arial" w:eastAsia="Arial" w:hAnsi="Arial"/>
                <w:sz w:val="14"/>
                <w:szCs w:val="14"/>
                <w:color w:val="auto"/>
                <w:w w:val="97"/>
              </w:rPr>
              <w:t>Fair Value as of September 30,</w:t>
            </w: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2014</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82,754,840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169,113,115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861,302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570,377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2"/>
              </w:rPr>
              <w:t>253,299,634</w:t>
            </w:r>
          </w:p>
        </w:tc>
        <w:tc>
          <w:tcPr>
            <w:tcW w:w="0" w:type="dxa"/>
            <w:vAlign w:val="bottom"/>
          </w:tcPr>
          <w:p>
            <w:pPr>
              <w:spacing w:after="0"/>
              <w:rPr>
                <w:sz w:val="1"/>
                <w:szCs w:val="1"/>
                <w:color w:val="auto"/>
              </w:rPr>
            </w:pPr>
          </w:p>
        </w:tc>
      </w:tr>
      <w:tr>
        <w:trPr>
          <w:trHeight w:val="123"/>
        </w:trPr>
        <w:tc>
          <w:tcPr>
            <w:tcW w:w="1920" w:type="dxa"/>
            <w:vAlign w:val="bottom"/>
            <w:tcBorders>
              <w:top w:val="single" w:sz="8" w:color="CCEEFF"/>
            </w:tcBorders>
            <w:gridSpan w:val="3"/>
          </w:tcPr>
          <w:p>
            <w:pPr>
              <w:ind w:left="20"/>
              <w:spacing w:after="0" w:line="123" w:lineRule="exact"/>
              <w:rPr>
                <w:sz w:val="20"/>
                <w:szCs w:val="20"/>
                <w:color w:val="auto"/>
              </w:rPr>
            </w:pPr>
            <w:r>
              <w:rPr>
                <w:rFonts w:ascii="Arial" w:cs="Arial" w:eastAsia="Arial" w:hAnsi="Arial"/>
                <w:sz w:val="14"/>
                <w:szCs w:val="14"/>
                <w:color w:val="auto"/>
              </w:rPr>
              <w:t>Change in unrealized</w:t>
            </w: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appreciation (depreciation)</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on Level 3 investments still</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held as of September 30,</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gridSpan w:val="2"/>
          </w:tcPr>
          <w:p>
            <w:pPr>
              <w:ind w:left="200"/>
              <w:spacing w:after="0"/>
              <w:rPr>
                <w:sz w:val="20"/>
                <w:szCs w:val="20"/>
                <w:color w:val="auto"/>
              </w:rPr>
            </w:pPr>
            <w:r>
              <w:rPr>
                <w:rFonts w:ascii="Arial" w:cs="Arial" w:eastAsia="Arial" w:hAnsi="Arial"/>
                <w:sz w:val="14"/>
                <w:szCs w:val="14"/>
                <w:color w:val="auto"/>
              </w:rPr>
              <w:t>2014</w:t>
            </w:r>
          </w:p>
        </w:tc>
        <w:tc>
          <w:tcPr>
            <w:tcW w:w="9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15,754,143</w:t>
            </w:r>
          </w:p>
        </w:tc>
        <w:tc>
          <w:tcPr>
            <w:tcW w:w="10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343,302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11,212</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39,370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16,148,027</w:t>
            </w:r>
          </w:p>
        </w:tc>
        <w:tc>
          <w:tcPr>
            <w:tcW w:w="0" w:type="dxa"/>
            <w:vAlign w:val="bottom"/>
          </w:tcPr>
          <w:p>
            <w:pPr>
              <w:spacing w:after="0"/>
              <w:rPr>
                <w:sz w:val="1"/>
                <w:szCs w:val="1"/>
                <w:color w:val="auto"/>
              </w:rPr>
            </w:pPr>
          </w:p>
        </w:tc>
      </w:tr>
      <w:tr>
        <w:trPr>
          <w:trHeight w:val="149"/>
        </w:trPr>
        <w:tc>
          <w:tcPr>
            <w:tcW w:w="19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Fair Value of December 31,</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00" w:type="dxa"/>
            <w:vAlign w:val="bottom"/>
            <w:gridSpan w:val="2"/>
          </w:tcPr>
          <w:p>
            <w:pPr>
              <w:ind w:left="200"/>
              <w:spacing w:after="0"/>
              <w:rPr>
                <w:sz w:val="20"/>
                <w:szCs w:val="20"/>
                <w:color w:val="auto"/>
              </w:rPr>
            </w:pPr>
            <w:r>
              <w:rPr>
                <w:rFonts w:ascii="Arial" w:cs="Arial" w:eastAsia="Arial" w:hAnsi="Arial"/>
                <w:sz w:val="14"/>
                <w:szCs w:val="14"/>
                <w:color w:val="auto"/>
              </w:rPr>
              <w:t>2013</w:t>
            </w:r>
          </w:p>
        </w:tc>
        <w:tc>
          <w:tcPr>
            <w:tcW w:w="9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799,000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799,000</w:t>
            </w:r>
          </w:p>
        </w:tc>
        <w:tc>
          <w:tcPr>
            <w:tcW w:w="0" w:type="dxa"/>
            <w:vAlign w:val="bottom"/>
          </w:tcPr>
          <w:p>
            <w:pPr>
              <w:spacing w:after="0"/>
              <w:rPr>
                <w:sz w:val="1"/>
                <w:szCs w:val="1"/>
                <w:color w:val="auto"/>
              </w:rPr>
            </w:pPr>
          </w:p>
        </w:tc>
      </w:tr>
      <w:tr>
        <w:trPr>
          <w:trHeight w:val="130"/>
        </w:trPr>
        <w:tc>
          <w:tcPr>
            <w:tcW w:w="192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Gain on fair value adjustment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for embedded derivative</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(787,000)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(787,000)</w:t>
            </w:r>
          </w:p>
        </w:tc>
        <w:tc>
          <w:tcPr>
            <w:tcW w:w="0" w:type="dxa"/>
            <w:vAlign w:val="bottom"/>
          </w:tcPr>
          <w:p>
            <w:pPr>
              <w:spacing w:after="0"/>
              <w:rPr>
                <w:sz w:val="1"/>
                <w:szCs w:val="1"/>
                <w:color w:val="auto"/>
              </w:rPr>
            </w:pPr>
          </w:p>
        </w:tc>
      </w:tr>
      <w:tr>
        <w:trPr>
          <w:trHeight w:val="123"/>
        </w:trPr>
        <w:tc>
          <w:tcPr>
            <w:tcW w:w="1920" w:type="dxa"/>
            <w:vAlign w:val="bottom"/>
            <w:tcBorders>
              <w:top w:val="single" w:sz="8" w:color="CCEEFF"/>
            </w:tcBorders>
            <w:gridSpan w:val="3"/>
          </w:tcPr>
          <w:p>
            <w:pPr>
              <w:ind w:left="20"/>
              <w:spacing w:after="0" w:line="123" w:lineRule="exact"/>
              <w:rPr>
                <w:sz w:val="20"/>
                <w:szCs w:val="20"/>
                <w:color w:val="auto"/>
              </w:rPr>
            </w:pPr>
            <w:r>
              <w:rPr>
                <w:rFonts w:ascii="Arial" w:cs="Arial" w:eastAsia="Arial" w:hAnsi="Arial"/>
                <w:sz w:val="14"/>
                <w:szCs w:val="14"/>
                <w:color w:val="auto"/>
                <w:w w:val="97"/>
              </w:rPr>
              <w:t>Fair Value as of September 30,</w:t>
            </w: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00" w:type="dxa"/>
            <w:vAlign w:val="bottom"/>
            <w:gridSpan w:val="2"/>
          </w:tcPr>
          <w:p>
            <w:pPr>
              <w:ind w:left="200"/>
              <w:spacing w:after="0"/>
              <w:rPr>
                <w:sz w:val="20"/>
                <w:szCs w:val="20"/>
                <w:color w:val="auto"/>
              </w:rPr>
            </w:pPr>
            <w:r>
              <w:rPr>
                <w:rFonts w:ascii="Arial" w:cs="Arial" w:eastAsia="Arial" w:hAnsi="Arial"/>
                <w:sz w:val="14"/>
                <w:szCs w:val="14"/>
                <w:color w:val="auto"/>
              </w:rPr>
              <w:t>2014</w:t>
            </w:r>
          </w:p>
        </w:tc>
        <w:tc>
          <w:tcPr>
            <w:tcW w:w="9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12,000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-1397000</wp:posOffset>
            </wp:positionV>
            <wp:extent cx="1209040" cy="5060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9040" cy="50609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-1397000</wp:posOffset>
            </wp:positionV>
            <wp:extent cx="946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-1371600</wp:posOffset>
            </wp:positionV>
            <wp:extent cx="946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-1397000</wp:posOffset>
            </wp:positionV>
            <wp:extent cx="946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-1371600</wp:posOffset>
            </wp:positionV>
            <wp:extent cx="946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-1397000</wp:posOffset>
            </wp:positionV>
            <wp:extent cx="1200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-1371600</wp:posOffset>
            </wp:positionV>
            <wp:extent cx="1200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-1397000</wp:posOffset>
            </wp:positionV>
            <wp:extent cx="1028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-1371600</wp:posOffset>
            </wp:positionV>
            <wp:extent cx="102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-1397000</wp:posOffset>
            </wp:positionV>
            <wp:extent cx="1200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4044315</wp:posOffset>
            </wp:positionH>
            <wp:positionV relativeFrom="paragraph">
              <wp:posOffset>-1371600</wp:posOffset>
            </wp:positionV>
            <wp:extent cx="1200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-1397000</wp:posOffset>
            </wp:positionV>
            <wp:extent cx="1117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-1371600</wp:posOffset>
            </wp:positionV>
            <wp:extent cx="1117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-1397000</wp:posOffset>
            </wp:positionV>
            <wp:extent cx="603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-1371600</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-419735</wp:posOffset>
            </wp:positionV>
            <wp:extent cx="5213985" cy="2317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3985" cy="231775"/>
                    </a:xfrm>
                    <a:prstGeom prst="rect">
                      <a:avLst/>
                    </a:prstGeom>
                    <a:noFill/>
                  </pic:spPr>
                </pic:pic>
              </a:graphicData>
            </a:graphic>
          </wp:anchor>
        </w:drawing>
      </w:r>
    </w:p>
    <w:p>
      <w:pPr>
        <w:spacing w:after="0" w:line="236" w:lineRule="exact"/>
        <w:rPr>
          <w:sz w:val="20"/>
          <w:szCs w:val="20"/>
          <w:color w:val="auto"/>
        </w:rPr>
      </w:pPr>
    </w:p>
    <w:p>
      <w:pPr>
        <w:ind w:left="420" w:right="519" w:hanging="272"/>
        <w:spacing w:after="0" w:line="277"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nine months ended September 30, 2014,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885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c>
          <w:tcPr>
            <w:tcW w:w="1260" w:type="dxa"/>
            <w:vAlign w:val="bottom"/>
          </w:tcPr>
          <w:p>
            <w:pPr>
              <w:spacing w:after="0"/>
              <w:rPr>
                <w:sz w:val="14"/>
                <w:szCs w:val="14"/>
                <w:color w:val="auto"/>
              </w:rPr>
            </w:pPr>
          </w:p>
        </w:tc>
      </w:tr>
      <w:tr>
        <w:trPr>
          <w:trHeight w:val="195"/>
        </w:trPr>
        <w:tc>
          <w:tcPr>
            <w:tcW w:w="120" w:type="dxa"/>
            <w:vAlign w:val="bottom"/>
          </w:tcPr>
          <w:p>
            <w:pPr>
              <w:spacing w:after="0"/>
              <w:rPr>
                <w:sz w:val="16"/>
                <w:szCs w:val="16"/>
                <w:color w:val="auto"/>
              </w:rPr>
            </w:pPr>
          </w:p>
        </w:tc>
        <w:tc>
          <w:tcPr>
            <w:tcW w:w="2300" w:type="dxa"/>
            <w:vAlign w:val="bottom"/>
          </w:tcPr>
          <w:p>
            <w:pPr>
              <w:ind w:left="20"/>
              <w:spacing w:after="0" w:line="195" w:lineRule="exact"/>
              <w:rPr>
                <w:sz w:val="20"/>
                <w:szCs w:val="20"/>
                <w:color w:val="auto"/>
              </w:rPr>
            </w:pPr>
            <w:r>
              <w:rPr>
                <w:rFonts w:ascii="Arial" w:cs="Arial" w:eastAsia="Arial" w:hAnsi="Arial"/>
                <w:sz w:val="18"/>
                <w:szCs w:val="18"/>
                <w:color w:val="auto"/>
              </w:rPr>
              <w:t>2U, Inc. (f/k/a 2tor, Inc.)</w:t>
            </w:r>
          </w:p>
        </w:tc>
        <w:tc>
          <w:tcPr>
            <w:tcW w:w="160" w:type="dxa"/>
            <w:vAlign w:val="bottom"/>
          </w:tcPr>
          <w:p>
            <w:pPr>
              <w:spacing w:after="0"/>
              <w:rPr>
                <w:sz w:val="16"/>
                <w:szCs w:val="16"/>
                <w:color w:val="auto"/>
              </w:rPr>
            </w:pP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87"/>
              </w:rPr>
              <w:t>Preferred shares, Series A</w:t>
            </w:r>
          </w:p>
        </w:tc>
        <w:tc>
          <w:tcPr>
            <w:tcW w:w="160" w:type="dxa"/>
            <w:vAlign w:val="bottom"/>
          </w:tcPr>
          <w:p>
            <w:pPr>
              <w:spacing w:after="0"/>
              <w:rPr>
                <w:sz w:val="16"/>
                <w:szCs w:val="16"/>
                <w:color w:val="auto"/>
              </w:rPr>
            </w:pPr>
          </w:p>
        </w:tc>
        <w:tc>
          <w:tcPr>
            <w:tcW w:w="2520" w:type="dxa"/>
            <w:vAlign w:val="bottom"/>
          </w:tcPr>
          <w:p>
            <w:pPr>
              <w:jc w:val="center"/>
              <w:spacing w:after="0" w:line="195" w:lineRule="exact"/>
              <w:rPr>
                <w:sz w:val="20"/>
                <w:szCs w:val="20"/>
                <w:color w:val="auto"/>
              </w:rPr>
            </w:pPr>
            <w:r>
              <w:rPr>
                <w:rFonts w:ascii="Arial" w:cs="Arial" w:eastAsia="Arial" w:hAnsi="Arial"/>
                <w:sz w:val="18"/>
                <w:szCs w:val="18"/>
                <w:color w:val="auto"/>
                <w:w w:val="90"/>
              </w:rPr>
              <w:t>Common Stock</w:t>
            </w:r>
          </w:p>
        </w:tc>
        <w:tc>
          <w:tcPr>
            <w:tcW w:w="12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Term loan, 10%, 3/31/15</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Preferred shares, Series D</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CUX, Inc. (d/b/a CorpU)</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Convertible preferred shares,</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6"/>
              </w:rPr>
              <w:t>Series C</w:t>
            </w: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w w:val="98"/>
              </w:rPr>
              <w:t>NestGSV Silicon Valley, LLC</w:t>
            </w:r>
          </w:p>
        </w:tc>
        <w:tc>
          <w:tcPr>
            <w:tcW w:w="16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Common Membership Interest</w:t>
            </w:r>
          </w:p>
        </w:tc>
        <w:tc>
          <w:tcPr>
            <w:tcW w:w="16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7"/>
              </w:rPr>
              <w:t>Preferred shares, Series C</w:t>
            </w:r>
          </w:p>
        </w:tc>
        <w:tc>
          <w:tcPr>
            <w:tcW w:w="126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Convertible Promissory Note,</w:t>
            </w:r>
          </w:p>
        </w:tc>
        <w:tc>
          <w:tcPr>
            <w:tcW w:w="1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7"/>
              </w:rPr>
              <w:t>Preferred shares, Series C</w:t>
            </w:r>
          </w:p>
        </w:tc>
        <w:tc>
          <w:tcPr>
            <w:tcW w:w="12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12%, 6/30/14</w:t>
            </w:r>
          </w:p>
        </w:tc>
        <w:tc>
          <w:tcPr>
            <w:tcW w:w="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NestGSV,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Convertible Promissory Note,</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7"/>
              </w:rPr>
              <w:t>Preferred shares, Series C</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12%, 6/30/14</w:t>
            </w:r>
          </w:p>
        </w:tc>
        <w:tc>
          <w:tcPr>
            <w:tcW w:w="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Convertible Promissory Note,</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Preferred shares, Series D</w:t>
            </w: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10%, 2/16/15</w:t>
            </w:r>
          </w:p>
        </w:tc>
        <w:tc>
          <w:tcPr>
            <w:tcW w:w="1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770"/>
        </w:trPr>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40" w:type="dxa"/>
            <w:vAlign w:val="bottom"/>
            <w:gridSpan w:val="2"/>
          </w:tcPr>
          <w:p>
            <w:pPr>
              <w:jc w:val="right"/>
              <w:ind w:right="692"/>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5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0" w:name="page31"/>
    <w:bookmarkEnd w:id="3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1885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4"/>
                <w:szCs w:val="14"/>
                <w:b w:val="1"/>
                <w:bCs w:val="1"/>
                <w:color w:val="auto"/>
                <w:w w:val="96"/>
              </w:rPr>
              <w:t>Year ended December 31, 2013</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Preferred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Common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Term</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4"/>
              </w:rPr>
              <w:t>Embedded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Membership</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Warrants</w:t>
            </w:r>
          </w:p>
        </w:tc>
        <w:tc>
          <w:tcPr>
            <w:tcW w:w="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Loans</w:t>
            </w:r>
          </w:p>
        </w:tc>
        <w:tc>
          <w:tcPr>
            <w:tcW w:w="40" w:type="dxa"/>
            <w:vAlign w:val="bottom"/>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8"/>
              </w:rPr>
              <w:t>Derivative</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Fair value as of December 31,</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2012</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112,855,675</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100,853,882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500,000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223,062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214,432,619</w:t>
            </w:r>
          </w:p>
        </w:tc>
        <w:tc>
          <w:tcPr>
            <w:tcW w:w="0" w:type="dxa"/>
            <w:vAlign w:val="bottom"/>
          </w:tcPr>
          <w:p>
            <w:pPr>
              <w:spacing w:after="0"/>
              <w:rPr>
                <w:sz w:val="1"/>
                <w:szCs w:val="1"/>
                <w:color w:val="auto"/>
              </w:rPr>
            </w:pPr>
          </w:p>
        </w:tc>
      </w:tr>
      <w:tr>
        <w:trPr>
          <w:trHeight w:val="149"/>
        </w:trPr>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8,248,157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59,273,379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1,242,325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68,783,561</w:t>
            </w:r>
          </w:p>
        </w:tc>
        <w:tc>
          <w:tcPr>
            <w:tcW w:w="0" w:type="dxa"/>
            <w:vAlign w:val="bottom"/>
          </w:tcPr>
          <w:p>
            <w:pPr>
              <w:spacing w:after="0"/>
              <w:rPr>
                <w:sz w:val="1"/>
                <w:szCs w:val="1"/>
                <w:color w:val="auto"/>
              </w:rPr>
            </w:pPr>
          </w:p>
        </w:tc>
      </w:tr>
      <w:tr>
        <w:trPr>
          <w:trHeight w:val="140"/>
        </w:trPr>
        <w:tc>
          <w:tcPr>
            <w:tcW w:w="210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180"/>
              <w:spacing w:after="0" w:line="198" w:lineRule="exact"/>
              <w:rPr>
                <w:sz w:val="20"/>
                <w:szCs w:val="20"/>
                <w:color w:val="auto"/>
              </w:rPr>
            </w:pPr>
            <w:r>
              <w:rPr>
                <w:rFonts w:ascii="Arial" w:cs="Arial" w:eastAsia="Arial" w:hAnsi="Arial"/>
                <w:sz w:val="14"/>
                <w:szCs w:val="14"/>
                <w:color w:val="auto"/>
              </w:rPr>
              <w:t>assignments – In</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26,442,820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(26,509,841)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67,021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Sales and settlements</w:t>
            </w: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10,091,058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(459,799)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9,631,259</w:t>
            </w:r>
          </w:p>
        </w:tc>
        <w:tc>
          <w:tcPr>
            <w:tcW w:w="0" w:type="dxa"/>
            <w:vAlign w:val="bottom"/>
          </w:tcPr>
          <w:p>
            <w:pPr>
              <w:spacing w:after="0"/>
              <w:rPr>
                <w:sz w:val="1"/>
                <w:szCs w:val="1"/>
                <w:color w:val="auto"/>
              </w:rPr>
            </w:pPr>
          </w:p>
        </w:tc>
      </w:tr>
      <w:tr>
        <w:trPr>
          <w:trHeight w:val="149"/>
        </w:trPr>
        <w:tc>
          <w:tcPr>
            <w:tcW w:w="21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Realized loss included in earnings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(953,811)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(27,463,851)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(15,488)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(28,433,150)</w:t>
            </w:r>
          </w:p>
        </w:tc>
        <w:tc>
          <w:tcPr>
            <w:tcW w:w="0" w:type="dxa"/>
            <w:vAlign w:val="bottom"/>
          </w:tcPr>
          <w:p>
            <w:pPr>
              <w:spacing w:after="0"/>
              <w:rPr>
                <w:sz w:val="1"/>
                <w:szCs w:val="1"/>
                <w:color w:val="auto"/>
              </w:rPr>
            </w:pPr>
          </w:p>
        </w:tc>
      </w:tr>
      <w:tr>
        <w:trPr>
          <w:trHeight w:val="140"/>
        </w:trPr>
        <w:tc>
          <w:tcPr>
            <w:tcW w:w="210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Exercises, conversions and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gridSpan w:val="2"/>
          </w:tcPr>
          <w:p>
            <w:pPr>
              <w:ind w:left="180"/>
              <w:spacing w:after="0" w:line="198" w:lineRule="exact"/>
              <w:rPr>
                <w:sz w:val="20"/>
                <w:szCs w:val="20"/>
                <w:color w:val="auto"/>
              </w:rPr>
            </w:pPr>
            <w:r>
              <w:rPr>
                <w:rFonts w:ascii="Arial" w:cs="Arial" w:eastAsia="Arial" w:hAnsi="Arial"/>
                <w:sz w:val="14"/>
                <w:szCs w:val="14"/>
                <w:color w:val="auto"/>
              </w:rPr>
              <w:t>assignments – Out</w:t>
            </w:r>
            <w:r>
              <w:rPr>
                <w:rFonts w:ascii="Arial" w:cs="Arial" w:eastAsia="Arial" w:hAnsi="Arial"/>
                <w:sz w:val="22"/>
                <w:szCs w:val="22"/>
                <w:color w:val="auto"/>
                <w:vertAlign w:val="superscript"/>
              </w:rPr>
              <w:t>(1)</w:t>
            </w: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(2,000,000)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2,000,000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0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Change in unrealized appreciation</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(depreciation) included in</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earnings</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62,256,476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19,839,371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57,084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(17,038)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179,874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82,315,767</w:t>
            </w:r>
          </w:p>
        </w:tc>
        <w:tc>
          <w:tcPr>
            <w:tcW w:w="0" w:type="dxa"/>
            <w:vAlign w:val="bottom"/>
          </w:tcPr>
          <w:p>
            <w:pPr>
              <w:spacing w:after="0"/>
              <w:rPr>
                <w:sz w:val="1"/>
                <w:szCs w:val="1"/>
                <w:color w:val="auto"/>
              </w:rPr>
            </w:pPr>
          </w:p>
        </w:tc>
      </w:tr>
      <w:tr>
        <w:trPr>
          <w:trHeight w:val="149"/>
        </w:trPr>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Transfers Out of Level 3</w:t>
            </w: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(125,439,156)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(8,158,498)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(133,597,654)</w:t>
            </w:r>
          </w:p>
        </w:tc>
        <w:tc>
          <w:tcPr>
            <w:tcW w:w="0" w:type="dxa"/>
            <w:vAlign w:val="bottom"/>
          </w:tcPr>
          <w:p>
            <w:pPr>
              <w:spacing w:after="0"/>
              <w:rPr>
                <w:sz w:val="1"/>
                <w:szCs w:val="1"/>
                <w:color w:val="auto"/>
              </w:rPr>
            </w:pPr>
          </w:p>
        </w:tc>
      </w:tr>
      <w:tr>
        <w:trPr>
          <w:trHeight w:val="123"/>
        </w:trPr>
        <w:tc>
          <w:tcPr>
            <w:tcW w:w="2100" w:type="dxa"/>
            <w:vAlign w:val="bottom"/>
            <w:gridSpan w:val="3"/>
            <w:shd w:val="clear" w:color="auto" w:fill="CCEEFF"/>
          </w:tcPr>
          <w:p>
            <w:pPr>
              <w:ind w:left="20"/>
              <w:spacing w:after="0" w:line="123" w:lineRule="exact"/>
              <w:rPr>
                <w:sz w:val="20"/>
                <w:szCs w:val="20"/>
                <w:color w:val="auto"/>
              </w:rPr>
            </w:pPr>
            <w:r>
              <w:rPr>
                <w:rFonts w:ascii="Arial" w:cs="Arial" w:eastAsia="Arial" w:hAnsi="Arial"/>
                <w:sz w:val="14"/>
                <w:szCs w:val="14"/>
                <w:color w:val="auto"/>
              </w:rPr>
              <w:t>Fair Value as of December 31,</w:t>
            </w: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2013</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81,410,161</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129,925,500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557,084</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489,657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213,132,402</w:t>
            </w:r>
          </w:p>
        </w:tc>
        <w:tc>
          <w:tcPr>
            <w:tcW w:w="0" w:type="dxa"/>
            <w:vAlign w:val="bottom"/>
          </w:tcPr>
          <w:p>
            <w:pPr>
              <w:spacing w:after="0"/>
              <w:rPr>
                <w:sz w:val="1"/>
                <w:szCs w:val="1"/>
                <w:color w:val="auto"/>
              </w:rPr>
            </w:pPr>
          </w:p>
        </w:tc>
      </w:tr>
      <w:tr>
        <w:trPr>
          <w:trHeight w:val="123"/>
        </w:trPr>
        <w:tc>
          <w:tcPr>
            <w:tcW w:w="2100" w:type="dxa"/>
            <w:vAlign w:val="bottom"/>
            <w:tcBorders>
              <w:top w:val="single" w:sz="8" w:color="CCEEFF"/>
            </w:tcBorders>
            <w:gridSpan w:val="3"/>
          </w:tcPr>
          <w:p>
            <w:pPr>
              <w:ind w:left="20"/>
              <w:spacing w:after="0" w:line="123" w:lineRule="exact"/>
              <w:rPr>
                <w:sz w:val="20"/>
                <w:szCs w:val="20"/>
                <w:color w:val="auto"/>
              </w:rPr>
            </w:pPr>
            <w:r>
              <w:rPr>
                <w:rFonts w:ascii="Arial" w:cs="Arial" w:eastAsia="Arial" w:hAnsi="Arial"/>
                <w:sz w:val="14"/>
                <w:szCs w:val="14"/>
                <w:color w:val="auto"/>
                <w:w w:val="96"/>
              </w:rPr>
              <w:t>Change in unrealized appreciation</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(depreciation) on Level 3</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investments still held as of</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gridSpan w:val="2"/>
          </w:tcPr>
          <w:p>
            <w:pPr>
              <w:ind w:left="180"/>
              <w:spacing w:after="0"/>
              <w:rPr>
                <w:sz w:val="20"/>
                <w:szCs w:val="20"/>
                <w:color w:val="auto"/>
              </w:rPr>
            </w:pPr>
            <w:r>
              <w:rPr>
                <w:rFonts w:ascii="Arial" w:cs="Arial" w:eastAsia="Arial" w:hAnsi="Arial"/>
                <w:sz w:val="14"/>
                <w:szCs w:val="14"/>
                <w:color w:val="auto"/>
              </w:rPr>
              <w:t>December 31, 2013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(75,011,491)</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(2,524,084)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57,084</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(3,371)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(179,874)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(77,661,736)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Fair Value of December 31, 2012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0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Embedded derivative from</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issuance of convertible senior</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notes</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700,000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130"/>
        </w:trPr>
        <w:tc>
          <w:tcPr>
            <w:tcW w:w="210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Loss on fair value adjustment for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80" w:type="dxa"/>
            <w:vAlign w:val="bottom"/>
            <w:gridSpan w:val="2"/>
          </w:tcPr>
          <w:p>
            <w:pPr>
              <w:ind w:left="180"/>
              <w:spacing w:after="0"/>
              <w:rPr>
                <w:sz w:val="20"/>
                <w:szCs w:val="20"/>
                <w:color w:val="auto"/>
              </w:rPr>
            </w:pPr>
            <w:r>
              <w:rPr>
                <w:rFonts w:ascii="Arial" w:cs="Arial" w:eastAsia="Arial" w:hAnsi="Arial"/>
                <w:sz w:val="14"/>
                <w:szCs w:val="14"/>
                <w:color w:val="auto"/>
              </w:rPr>
              <w:t>embedded derivative</w:t>
            </w:r>
          </w:p>
        </w:tc>
        <w:tc>
          <w:tcPr>
            <w:tcW w:w="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99,000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99,000</w:t>
            </w:r>
          </w:p>
        </w:tc>
        <w:tc>
          <w:tcPr>
            <w:tcW w:w="0" w:type="dxa"/>
            <w:vAlign w:val="bottom"/>
          </w:tcPr>
          <w:p>
            <w:pPr>
              <w:spacing w:after="0"/>
              <w:rPr>
                <w:sz w:val="1"/>
                <w:szCs w:val="1"/>
                <w:color w:val="auto"/>
              </w:rPr>
            </w:pPr>
          </w:p>
        </w:tc>
      </w:tr>
      <w:tr>
        <w:trPr>
          <w:trHeight w:val="123"/>
        </w:trPr>
        <w:tc>
          <w:tcPr>
            <w:tcW w:w="2100" w:type="dxa"/>
            <w:vAlign w:val="bottom"/>
            <w:gridSpan w:val="3"/>
            <w:shd w:val="clear" w:color="auto" w:fill="CCEEFF"/>
          </w:tcPr>
          <w:p>
            <w:pPr>
              <w:ind w:left="20"/>
              <w:spacing w:after="0" w:line="123" w:lineRule="exact"/>
              <w:rPr>
                <w:sz w:val="20"/>
                <w:szCs w:val="20"/>
                <w:color w:val="auto"/>
              </w:rPr>
            </w:pPr>
            <w:r>
              <w:rPr>
                <w:rFonts w:ascii="Arial" w:cs="Arial" w:eastAsia="Arial" w:hAnsi="Arial"/>
                <w:sz w:val="14"/>
                <w:szCs w:val="14"/>
                <w:color w:val="auto"/>
              </w:rPr>
              <w:t>Fair Value as of December 31,</w:t>
            </w: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2013</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799,000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799,000</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-1525905</wp:posOffset>
            </wp:positionV>
            <wp:extent cx="5240020" cy="4457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40020" cy="4457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13290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290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-196850</wp:posOffset>
            </wp:positionV>
            <wp:extent cx="13290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29055" cy="889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-222250</wp:posOffset>
            </wp:positionV>
            <wp:extent cx="85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-196850</wp:posOffset>
            </wp:positionV>
            <wp:extent cx="857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-222250</wp:posOffset>
            </wp:positionV>
            <wp:extent cx="85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-196850</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3033395</wp:posOffset>
            </wp:positionH>
            <wp:positionV relativeFrom="paragraph">
              <wp:posOffset>-222250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3033395</wp:posOffset>
            </wp:positionH>
            <wp:positionV relativeFrom="paragraph">
              <wp:posOffset>-196850</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3582035</wp:posOffset>
            </wp:positionH>
            <wp:positionV relativeFrom="paragraph">
              <wp:posOffset>-222250</wp:posOffset>
            </wp:positionV>
            <wp:extent cx="1028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3582035</wp:posOffset>
            </wp:positionH>
            <wp:positionV relativeFrom="paragraph">
              <wp:posOffset>-196850</wp:posOffset>
            </wp:positionV>
            <wp:extent cx="1028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-222250</wp:posOffset>
            </wp:positionV>
            <wp:extent cx="946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-196850</wp:posOffset>
            </wp:positionV>
            <wp:extent cx="946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-222250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-196850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-222250</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-196850</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year ended December 31, 2013,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885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r>
      <w:tr>
        <w:trPr>
          <w:trHeight w:val="195"/>
        </w:trPr>
        <w:tc>
          <w:tcPr>
            <w:tcW w:w="2300" w:type="dxa"/>
            <w:vAlign w:val="bottom"/>
          </w:tcPr>
          <w:p>
            <w:pPr>
              <w:ind w:left="20"/>
              <w:spacing w:after="0" w:line="195" w:lineRule="exact"/>
              <w:rPr>
                <w:sz w:val="20"/>
                <w:szCs w:val="20"/>
                <w:color w:val="auto"/>
              </w:rPr>
            </w:pPr>
            <w:r>
              <w:rPr>
                <w:rFonts w:ascii="Arial" w:cs="Arial" w:eastAsia="Arial" w:hAnsi="Arial"/>
                <w:sz w:val="18"/>
                <w:szCs w:val="18"/>
                <w:color w:val="auto"/>
              </w:rPr>
              <w:t>CUX, Inc. (d/b/a CorpU)</w:t>
            </w:r>
          </w:p>
        </w:tc>
        <w:tc>
          <w:tcPr>
            <w:tcW w:w="160" w:type="dxa"/>
            <w:vAlign w:val="bottom"/>
          </w:tcPr>
          <w:p>
            <w:pPr>
              <w:spacing w:after="0"/>
              <w:rPr>
                <w:sz w:val="16"/>
                <w:szCs w:val="16"/>
                <w:color w:val="auto"/>
              </w:rPr>
            </w:pP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89"/>
              </w:rPr>
              <w:t>Convertible preferred shares, Series D</w:t>
            </w:r>
          </w:p>
        </w:tc>
        <w:tc>
          <w:tcPr>
            <w:tcW w:w="160" w:type="dxa"/>
            <w:vAlign w:val="bottom"/>
          </w:tcPr>
          <w:p>
            <w:pPr>
              <w:spacing w:after="0"/>
              <w:rPr>
                <w:sz w:val="16"/>
                <w:szCs w:val="16"/>
                <w:color w:val="auto"/>
              </w:rPr>
            </w:pPr>
          </w:p>
        </w:tc>
        <w:tc>
          <w:tcPr>
            <w:tcW w:w="2520" w:type="dxa"/>
            <w:vAlign w:val="bottom"/>
          </w:tcPr>
          <w:p>
            <w:pPr>
              <w:jc w:val="center"/>
              <w:spacing w:after="0" w:line="195" w:lineRule="exact"/>
              <w:rPr>
                <w:sz w:val="20"/>
                <w:szCs w:val="20"/>
                <w:color w:val="auto"/>
              </w:rPr>
            </w:pPr>
            <w:r>
              <w:rPr>
                <w:rFonts w:ascii="Arial" w:cs="Arial" w:eastAsia="Arial" w:hAnsi="Arial"/>
                <w:sz w:val="18"/>
                <w:szCs w:val="18"/>
                <w:color w:val="auto"/>
                <w:w w:val="88"/>
              </w:rPr>
              <w:t>Common Shares</w:t>
            </w: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Chegg,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Preferred shares, Series F</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Preferred shares, Series A</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Violin Memory,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Preferred shares, Series B</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Violin Memory,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Preferred shares, Series D</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Totus Solutions Inc.</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Preferred shares, Series A</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Totus Solutions Inc.</w:t>
            </w:r>
          </w:p>
        </w:tc>
        <w:tc>
          <w:tcPr>
            <w:tcW w:w="16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Preferred shares, Series B</w:t>
            </w:r>
          </w:p>
        </w:tc>
        <w:tc>
          <w:tcPr>
            <w:tcW w:w="16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r>
    </w:tbl>
    <w:p>
      <w:pPr>
        <w:spacing w:after="0" w:line="94"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The portfolio companies in which the Company invests periodically offer their shares in initial public offerings, (“IPO’s”). The Company’s shares in the portfolio companies are typically subject to lock-up agreements for 180 days following the IPO. Upon the IPO date, the Company transfers its investment from level 3 to level 2 due to the presence of an active market, limited by the lock-up agreement. The Company prices the investment at the closing price on a public exchange as of the measurement date subject to a discount for a lack of marketability, (“DLOM”). The DLOM for each portfolio company investment is based upon the market value of publicly traded put options with similar terms as the lock-up. Once the lock-up</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1" w:name="page32"/>
    <w:bookmarkEnd w:id="3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PORTFOLIO INVESTMENTS AND FAIR VALUE – (continued)</w:t>
      </w:r>
    </w:p>
    <w:p>
      <w:pPr>
        <w:spacing w:after="0" w:line="121" w:lineRule="exact"/>
        <w:rPr>
          <w:sz w:val="20"/>
          <w:szCs w:val="20"/>
          <w:color w:val="auto"/>
        </w:rPr>
      </w:pPr>
    </w:p>
    <w:p>
      <w:pPr>
        <w:jc w:val="both"/>
        <w:ind w:left="60" w:right="539"/>
        <w:spacing w:after="0" w:line="302" w:lineRule="auto"/>
        <w:rPr>
          <w:sz w:val="20"/>
          <w:szCs w:val="20"/>
          <w:color w:val="auto"/>
        </w:rPr>
      </w:pPr>
      <w:r>
        <w:rPr>
          <w:rFonts w:ascii="Arial" w:cs="Arial" w:eastAsia="Arial" w:hAnsi="Arial"/>
          <w:sz w:val="16"/>
          <w:szCs w:val="16"/>
          <w:color w:val="auto"/>
        </w:rPr>
        <w:t>expires, the Company typically transfers the investment from level 2 to level 1 and prices the investment based on the closing price on a public exchange as of the measurement date. In situations where the lock-up has expired, but other factors (such as trading restrictions) restrict the sale of the investment, the Company will continue to classify the investment as level 2 and apply a DLOM appropriate to reflect the restrictions upon sale. Refer to note 1 “Summary of Significant Accounting Policies” for further detail.</w:t>
      </w:r>
    </w:p>
    <w:p>
      <w:pPr>
        <w:spacing w:after="0" w:line="46"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During the nine months ended September 30, 2014, the following transfers between levels occurred as a result of the IPO’s of several portfolio companies, as well as the expiration of lock-up agreements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714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Corporate Action</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IPO/Lock-up</w:t>
            </w:r>
          </w:p>
        </w:tc>
        <w:tc>
          <w:tcPr>
            <w:tcW w:w="1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2014</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160" w:type="dxa"/>
            <w:vAlign w:val="bottom"/>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 Method</w:t>
            </w:r>
          </w:p>
        </w:tc>
        <w:tc>
          <w:tcPr>
            <w:tcW w:w="0" w:type="dxa"/>
            <w:vAlign w:val="bottom"/>
          </w:tcPr>
          <w:p>
            <w:pPr>
              <w:spacing w:after="0"/>
              <w:rPr>
                <w:sz w:val="1"/>
                <w:szCs w:val="1"/>
                <w:color w:val="auto"/>
              </w:rPr>
            </w:pPr>
          </w:p>
        </w:tc>
      </w:tr>
      <w:tr>
        <w:trPr>
          <w:trHeight w:val="195"/>
        </w:trPr>
        <w:tc>
          <w:tcPr>
            <w:tcW w:w="1960" w:type="dxa"/>
            <w:vAlign w:val="bottom"/>
          </w:tcPr>
          <w:p>
            <w:pPr>
              <w:ind w:left="20"/>
              <w:spacing w:after="0" w:line="195" w:lineRule="exact"/>
              <w:rPr>
                <w:sz w:val="20"/>
                <w:szCs w:val="20"/>
                <w:color w:val="auto"/>
              </w:rPr>
            </w:pPr>
            <w:r>
              <w:rPr>
                <w:rFonts w:ascii="Arial" w:cs="Arial" w:eastAsia="Arial" w:hAnsi="Arial"/>
                <w:sz w:val="18"/>
                <w:szCs w:val="18"/>
                <w:color w:val="auto"/>
              </w:rPr>
              <w:t>2U, Inc. (f/k/a 2tor, Inc.)</w:t>
            </w:r>
          </w:p>
        </w:tc>
        <w:tc>
          <w:tcPr>
            <w:tcW w:w="160" w:type="dxa"/>
            <w:vAlign w:val="bottom"/>
          </w:tcPr>
          <w:p>
            <w:pPr>
              <w:spacing w:after="0"/>
              <w:rPr>
                <w:sz w:val="16"/>
                <w:szCs w:val="16"/>
                <w:color w:val="auto"/>
              </w:rPr>
            </w:pPr>
          </w:p>
        </w:tc>
        <w:tc>
          <w:tcPr>
            <w:tcW w:w="1480" w:type="dxa"/>
            <w:vAlign w:val="bottom"/>
          </w:tcPr>
          <w:p>
            <w:pPr>
              <w:jc w:val="center"/>
              <w:spacing w:after="0" w:line="195" w:lineRule="exact"/>
              <w:rPr>
                <w:sz w:val="20"/>
                <w:szCs w:val="20"/>
                <w:color w:val="auto"/>
              </w:rPr>
            </w:pPr>
            <w:r>
              <w:rPr>
                <w:rFonts w:ascii="Arial" w:cs="Arial" w:eastAsia="Arial" w:hAnsi="Arial"/>
                <w:sz w:val="18"/>
                <w:szCs w:val="18"/>
                <w:color w:val="auto"/>
                <w:w w:val="95"/>
              </w:rPr>
              <w:t>Lock-up Expiration</w:t>
            </w:r>
          </w:p>
        </w:tc>
        <w:tc>
          <w:tcPr>
            <w:tcW w:w="160" w:type="dxa"/>
            <w:vAlign w:val="bottom"/>
          </w:tcPr>
          <w:p>
            <w:pPr>
              <w:spacing w:after="0"/>
              <w:rPr>
                <w:sz w:val="16"/>
                <w:szCs w:val="16"/>
                <w:color w:val="auto"/>
              </w:rPr>
            </w:pPr>
          </w:p>
        </w:tc>
        <w:tc>
          <w:tcPr>
            <w:tcW w:w="1040" w:type="dxa"/>
            <w:vAlign w:val="bottom"/>
          </w:tcPr>
          <w:p>
            <w:pPr>
              <w:jc w:val="center"/>
              <w:spacing w:after="0" w:line="195" w:lineRule="exact"/>
              <w:rPr>
                <w:sz w:val="20"/>
                <w:szCs w:val="20"/>
                <w:color w:val="auto"/>
              </w:rPr>
            </w:pPr>
            <w:r>
              <w:rPr>
                <w:rFonts w:ascii="Arial" w:cs="Arial" w:eastAsia="Arial" w:hAnsi="Arial"/>
                <w:sz w:val="18"/>
                <w:szCs w:val="18"/>
                <w:color w:val="auto"/>
                <w:w w:val="92"/>
              </w:rPr>
              <w:t>9/24/2014</w:t>
            </w:r>
          </w:p>
        </w:tc>
        <w:tc>
          <w:tcPr>
            <w:tcW w:w="160" w:type="dxa"/>
            <w:vAlign w:val="bottom"/>
          </w:tcPr>
          <w:p>
            <w:pPr>
              <w:spacing w:after="0"/>
              <w:rPr>
                <w:sz w:val="16"/>
                <w:szCs w:val="16"/>
                <w:color w:val="auto"/>
              </w:rPr>
            </w:pPr>
          </w:p>
        </w:tc>
        <w:tc>
          <w:tcPr>
            <w:tcW w:w="1500" w:type="dxa"/>
            <w:vAlign w:val="bottom"/>
          </w:tcPr>
          <w:p>
            <w:pPr>
              <w:jc w:val="center"/>
              <w:spacing w:after="0" w:line="195" w:lineRule="exact"/>
              <w:rPr>
                <w:sz w:val="20"/>
                <w:szCs w:val="20"/>
                <w:color w:val="auto"/>
              </w:rPr>
            </w:pPr>
            <w:r>
              <w:rPr>
                <w:rFonts w:ascii="Arial" w:cs="Arial" w:eastAsia="Arial" w:hAnsi="Arial"/>
                <w:sz w:val="18"/>
                <w:szCs w:val="18"/>
                <w:color w:val="auto"/>
                <w:w w:val="93"/>
              </w:rPr>
              <w:t>Level 2 to Level 1</w:t>
            </w:r>
          </w:p>
        </w:tc>
        <w:tc>
          <w:tcPr>
            <w:tcW w:w="160" w:type="dxa"/>
            <w:vAlign w:val="bottom"/>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Price, 10.0% DLOM</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5/5/2014</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8"/>
                <w:szCs w:val="18"/>
                <w:color w:val="auto"/>
              </w:rPr>
              <w:t>Chegg, Inc.</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5/11/2014</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8"/>
                <w:szCs w:val="18"/>
                <w:color w:val="auto"/>
              </w:rPr>
              <w:t>TrueCar, Inc.</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IPO</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5/15/2014</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Price, 10.0% DLOM</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1/29/2014</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8"/>
                <w:szCs w:val="18"/>
                <w:color w:val="auto"/>
              </w:rPr>
              <w:t>Violin Memory, Inc.</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Lock-up Expiration</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3/26/2014</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8"/>
                <w:szCs w:val="18"/>
                <w:color w:val="auto"/>
              </w:rPr>
              <w:t>2U, Inc. (f/k/a 2tor, Inc.)</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IPO</w:t>
            </w: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3/28/2014</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Price, 17.5% DLOM</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During the year ended December 31, 2013, the following transfers between levels occurred as a result of the IPO’s of several portfolio companies, as well as the expiration of lock-up agreements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885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8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Corporate Action</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IPO/Lock-up</w:t>
            </w:r>
          </w:p>
        </w:tc>
        <w:tc>
          <w:tcPr>
            <w:tcW w:w="16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Transfer from</w:t>
            </w:r>
          </w:p>
        </w:tc>
        <w:tc>
          <w:tcPr>
            <w:tcW w:w="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71"/>
        </w:trPr>
        <w:tc>
          <w:tcPr>
            <w:tcW w:w="20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16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Valuation Method</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line="195" w:lineRule="exact"/>
              <w:rPr>
                <w:sz w:val="20"/>
                <w:szCs w:val="20"/>
                <w:color w:val="auto"/>
              </w:rPr>
            </w:pPr>
            <w:r>
              <w:rPr>
                <w:rFonts w:ascii="Arial" w:cs="Arial" w:eastAsia="Arial" w:hAnsi="Arial"/>
                <w:sz w:val="18"/>
                <w:szCs w:val="18"/>
                <w:color w:val="auto"/>
                <w:w w:val="92"/>
              </w:rPr>
              <w:t>Silver Spring Networks, Inc.</w:t>
            </w:r>
          </w:p>
        </w:tc>
        <w:tc>
          <w:tcPr>
            <w:tcW w:w="180" w:type="dxa"/>
            <w:vAlign w:val="bottom"/>
          </w:tcPr>
          <w:p>
            <w:pPr>
              <w:spacing w:after="0"/>
              <w:rPr>
                <w:sz w:val="16"/>
                <w:szCs w:val="16"/>
                <w:color w:val="auto"/>
              </w:rPr>
            </w:pPr>
          </w:p>
        </w:tc>
        <w:tc>
          <w:tcPr>
            <w:tcW w:w="1440" w:type="dxa"/>
            <w:vAlign w:val="bottom"/>
          </w:tcPr>
          <w:p>
            <w:pPr>
              <w:jc w:val="center"/>
              <w:spacing w:after="0" w:line="195" w:lineRule="exact"/>
              <w:rPr>
                <w:sz w:val="20"/>
                <w:szCs w:val="20"/>
                <w:color w:val="auto"/>
              </w:rPr>
            </w:pPr>
            <w:r>
              <w:rPr>
                <w:rFonts w:ascii="Arial" w:cs="Arial" w:eastAsia="Arial" w:hAnsi="Arial"/>
                <w:sz w:val="18"/>
                <w:szCs w:val="18"/>
                <w:color w:val="auto"/>
                <w:w w:val="90"/>
              </w:rPr>
              <w:t>IPO</w:t>
            </w:r>
          </w:p>
        </w:tc>
        <w:tc>
          <w:tcPr>
            <w:tcW w:w="160" w:type="dxa"/>
            <w:vAlign w:val="bottom"/>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2"/>
              </w:rPr>
              <w:t>3/12/2013</w:t>
            </w:r>
          </w:p>
        </w:tc>
        <w:tc>
          <w:tcPr>
            <w:tcW w:w="160" w:type="dxa"/>
            <w:vAlign w:val="bottom"/>
          </w:tcPr>
          <w:p>
            <w:pPr>
              <w:spacing w:after="0"/>
              <w:rPr>
                <w:sz w:val="16"/>
                <w:szCs w:val="16"/>
                <w:color w:val="auto"/>
              </w:rPr>
            </w:pPr>
          </w:p>
        </w:tc>
        <w:tc>
          <w:tcPr>
            <w:tcW w:w="1440" w:type="dxa"/>
            <w:vAlign w:val="bottom"/>
          </w:tcPr>
          <w:p>
            <w:pPr>
              <w:jc w:val="center"/>
              <w:spacing w:after="0" w:line="195" w:lineRule="exact"/>
              <w:rPr>
                <w:sz w:val="20"/>
                <w:szCs w:val="20"/>
                <w:color w:val="auto"/>
              </w:rPr>
            </w:pPr>
            <w:r>
              <w:rPr>
                <w:rFonts w:ascii="Arial" w:cs="Arial" w:eastAsia="Arial" w:hAnsi="Arial"/>
                <w:sz w:val="18"/>
                <w:szCs w:val="18"/>
                <w:color w:val="auto"/>
                <w:w w:val="93"/>
              </w:rPr>
              <w:t>Level 3 to Level 2</w:t>
            </w:r>
          </w:p>
        </w:tc>
        <w:tc>
          <w:tcPr>
            <w:tcW w:w="160" w:type="dxa"/>
            <w:vAlign w:val="bottom"/>
          </w:tcPr>
          <w:p>
            <w:pPr>
              <w:spacing w:after="0"/>
              <w:rPr>
                <w:sz w:val="16"/>
                <w:szCs w:val="16"/>
                <w:color w:val="auto"/>
              </w:rPr>
            </w:pPr>
          </w:p>
        </w:tc>
        <w:tc>
          <w:tcPr>
            <w:tcW w:w="1580" w:type="dxa"/>
            <w:vAlign w:val="bottom"/>
          </w:tcPr>
          <w:p>
            <w:pPr>
              <w:jc w:val="center"/>
              <w:spacing w:after="0" w:line="195" w:lineRule="exact"/>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Price, 7% DLOM</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w w:val="92"/>
              </w:rPr>
              <w:t>Silver Spring Networks, Inc.</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Lock-up Expiration</w:t>
            </w:r>
          </w:p>
        </w:tc>
        <w:tc>
          <w:tcPr>
            <w:tcW w:w="11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9/8/2013</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Level 2 to Level 1</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Price, 0% DLOM</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Control4 Corporation</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1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8/2/2013</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Price, 4% DLOM</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Violin Memory, Inc.</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9/27/2013</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Price, 15% DLOM</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Twitter, Inc.</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11/6/2013</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Price, 15% DLOM</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Chegg, Inc.</w:t>
            </w: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IPO</w:t>
            </w:r>
          </w:p>
        </w:tc>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12/12/2013</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Level 3 to Level 2</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Exchange Traded</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Price, 15% DLOM</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During the year ended December 31, 2013, the Company wrote-off its investments in Top Hat 430, Inc., Serious Energy, Inc., AltEgo, LLC, and Starfish Holdings, Inc. and recorded realized losses.</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2" w:name="page33"/>
    <w:bookmarkEnd w:id="32"/>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ind w:left="180" w:right="519" w:firstLine="270"/>
        <w:spacing w:after="0" w:line="308" w:lineRule="auto"/>
        <w:rPr>
          <w:sz w:val="20"/>
          <w:szCs w:val="20"/>
          <w:color w:val="auto"/>
        </w:rPr>
      </w:pPr>
      <w:r>
        <w:rPr>
          <w:rFonts w:ascii="Arial" w:cs="Arial" w:eastAsia="Arial" w:hAnsi="Arial"/>
          <w:sz w:val="17"/>
          <w:szCs w:val="17"/>
          <w:color w:val="auto"/>
        </w:rPr>
        <w:t>The table below details the equity offerings and related expenses incurred by the Company since inception. The proceeds raised, the related underwriting fees, the offering expenses and the prices at which these shares were issued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-8890</wp:posOffset>
            </wp:positionV>
            <wp:extent cx="51968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Issuances of Common Stock</w:t>
            </w:r>
          </w:p>
        </w:tc>
        <w:tc>
          <w:tcPr>
            <w:tcW w:w="1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Gross Proceeds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Underwriting</w:t>
            </w:r>
          </w:p>
        </w:tc>
        <w:tc>
          <w:tcPr>
            <w:tcW w:w="920" w:type="dxa"/>
            <w:vAlign w:val="bottom"/>
          </w:tcPr>
          <w:p>
            <w:pPr>
              <w:jc w:val="right"/>
              <w:ind w:right="176"/>
              <w:spacing w:after="0"/>
              <w:rPr>
                <w:sz w:val="20"/>
                <w:szCs w:val="20"/>
                <w:color w:val="auto"/>
              </w:rPr>
            </w:pPr>
            <w:r>
              <w:rPr>
                <w:rFonts w:ascii="Arial" w:cs="Arial" w:eastAsia="Arial" w:hAnsi="Arial"/>
                <w:sz w:val="14"/>
                <w:szCs w:val="14"/>
                <w:b w:val="1"/>
                <w:bCs w:val="1"/>
                <w:color w:val="auto"/>
              </w:rPr>
              <w:t>Offering</w:t>
            </w:r>
          </w:p>
        </w:tc>
        <w:tc>
          <w:tcPr>
            <w:tcW w:w="1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71"/>
        </w:trPr>
        <w:tc>
          <w:tcPr>
            <w:tcW w:w="23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Raised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Fees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28, 2011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15.00</w:t>
            </w:r>
          </w:p>
        </w:tc>
        <w:tc>
          <w:tcPr>
            <w:tcW w:w="0" w:type="dxa"/>
            <w:vAlign w:val="bottom"/>
          </w:tcPr>
          <w:p>
            <w:pPr>
              <w:spacing w:after="0"/>
              <w:rPr>
                <w:sz w:val="1"/>
                <w:szCs w:val="1"/>
                <w:color w:val="auto"/>
              </w:rPr>
            </w:pPr>
          </w:p>
        </w:tc>
      </w:tr>
      <w:tr>
        <w:trPr>
          <w:trHeight w:val="257"/>
        </w:trPr>
        <w:tc>
          <w:tcPr>
            <w:tcW w:w="2380" w:type="dxa"/>
            <w:vAlign w:val="bottom"/>
            <w:gridSpan w:val="3"/>
          </w:tcPr>
          <w:p>
            <w:pPr>
              <w:ind w:left="20"/>
              <w:spacing w:after="0"/>
              <w:rPr>
                <w:sz w:val="20"/>
                <w:szCs w:val="20"/>
                <w:color w:val="auto"/>
              </w:rPr>
            </w:pPr>
            <w:r>
              <w:rPr>
                <w:rFonts w:ascii="Arial" w:cs="Arial" w:eastAsia="Arial" w:hAnsi="Arial"/>
                <w:sz w:val="18"/>
                <w:szCs w:val="18"/>
                <w:color w:val="auto"/>
              </w:rPr>
              <w:t>April 28, 2011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3,335,000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50,025,000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3,501,750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16"/>
              <w:spacing w:after="0" w:line="256" w:lineRule="exact"/>
              <w:rPr>
                <w:sz w:val="20"/>
                <w:szCs w:val="20"/>
                <w:color w:val="auto"/>
              </w:rPr>
            </w:pPr>
            <w:r>
              <w:rPr>
                <w:rFonts w:ascii="Arial" w:cs="Arial" w:eastAsia="Arial" w:hAnsi="Arial"/>
                <w:sz w:val="18"/>
                <w:szCs w:val="18"/>
                <w:color w:val="auto"/>
                <w:w w:val="90"/>
              </w:rPr>
              <w:t>527,166</w:t>
            </w:r>
            <w:r>
              <w:rPr>
                <w:rFonts w:ascii="Arial" w:cs="Arial" w:eastAsia="Arial" w:hAnsi="Arial"/>
                <w:sz w:val="29"/>
                <w:szCs w:val="29"/>
                <w:color w:val="auto"/>
                <w:w w:val="90"/>
                <w:vertAlign w:val="superscript"/>
              </w:rPr>
              <w:t>(1)</w:t>
            </w: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57"/>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September 27, 2011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2,185,000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30,917,750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1,267,300</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6"/>
              <w:spacing w:after="0" w:line="256" w:lineRule="exact"/>
              <w:rPr>
                <w:sz w:val="20"/>
                <w:szCs w:val="20"/>
                <w:color w:val="auto"/>
              </w:rPr>
            </w:pPr>
            <w:r>
              <w:rPr>
                <w:rFonts w:ascii="Arial" w:cs="Arial" w:eastAsia="Arial" w:hAnsi="Arial"/>
                <w:sz w:val="18"/>
                <w:szCs w:val="18"/>
                <w:color w:val="auto"/>
                <w:w w:val="90"/>
              </w:rPr>
              <w:t>531,122</w:t>
            </w:r>
            <w:r>
              <w:rPr>
                <w:rFonts w:ascii="Arial" w:cs="Arial" w:eastAsia="Arial" w:hAnsi="Arial"/>
                <w:sz w:val="29"/>
                <w:szCs w:val="29"/>
                <w:color w:val="auto"/>
                <w:w w:val="90"/>
                <w:vertAlign w:val="superscript"/>
              </w:rPr>
              <w:t>(2)</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380" w:type="dxa"/>
            <w:vAlign w:val="bottom"/>
            <w:gridSpan w:val="3"/>
          </w:tcPr>
          <w:p>
            <w:pPr>
              <w:ind w:left="20"/>
              <w:spacing w:after="0"/>
              <w:rPr>
                <w:sz w:val="20"/>
                <w:szCs w:val="20"/>
                <w:color w:val="auto"/>
              </w:rPr>
            </w:pPr>
            <w:r>
              <w:rPr>
                <w:rFonts w:ascii="Arial" w:cs="Arial" w:eastAsia="Arial" w:hAnsi="Arial"/>
                <w:sz w:val="18"/>
                <w:szCs w:val="18"/>
                <w:color w:val="auto"/>
              </w:rPr>
              <w:t>February 10, 2012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6,900,000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103,500,000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96"/>
              <w:spacing w:after="0"/>
              <w:rPr>
                <w:sz w:val="20"/>
                <w:szCs w:val="20"/>
                <w:color w:val="auto"/>
              </w:rPr>
            </w:pPr>
            <w:r>
              <w:rPr>
                <w:rFonts w:ascii="Arial" w:cs="Arial" w:eastAsia="Arial" w:hAnsi="Arial"/>
                <w:sz w:val="18"/>
                <w:szCs w:val="18"/>
                <w:color w:val="auto"/>
                <w:w w:val="95"/>
              </w:rPr>
              <w:t>326,077</w:t>
            </w: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57"/>
        </w:trPr>
        <w:tc>
          <w:tcPr>
            <w:tcW w:w="2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May 11, 2012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6,900,000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112,125,000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6,727,500</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6"/>
              <w:spacing w:after="0" w:line="256" w:lineRule="exact"/>
              <w:rPr>
                <w:sz w:val="20"/>
                <w:szCs w:val="20"/>
                <w:color w:val="auto"/>
              </w:rPr>
            </w:pPr>
            <w:r>
              <w:rPr>
                <w:rFonts w:ascii="Arial" w:cs="Arial" w:eastAsia="Arial" w:hAnsi="Arial"/>
                <w:sz w:val="18"/>
                <w:szCs w:val="18"/>
                <w:color w:val="auto"/>
                <w:w w:val="90"/>
              </w:rPr>
              <w:t>412,620</w:t>
            </w:r>
            <w:r>
              <w:rPr>
                <w:rFonts w:ascii="Arial" w:cs="Arial" w:eastAsia="Arial" w:hAnsi="Arial"/>
                <w:sz w:val="29"/>
                <w:szCs w:val="29"/>
                <w:color w:val="auto"/>
                <w:w w:val="90"/>
                <w:vertAlign w:val="superscript"/>
              </w:rPr>
              <w:t>(3)</w:t>
            </w:r>
          </w:p>
        </w:tc>
        <w:tc>
          <w:tcPr>
            <w:tcW w:w="9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20" w:hanging="27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$3,585 of offering expenses that were accrued as of September 30, 2011.</w:t>
      </w:r>
    </w:p>
    <w:p>
      <w:pPr>
        <w:spacing w:after="0" w:line="117" w:lineRule="exact"/>
        <w:rPr>
          <w:rFonts w:ascii="Arial" w:cs="Arial" w:eastAsia="Arial" w:hAnsi="Arial"/>
          <w:sz w:val="18"/>
          <w:szCs w:val="18"/>
          <w:color w:val="auto"/>
        </w:rPr>
      </w:pPr>
    </w:p>
    <w:p>
      <w:pPr>
        <w:ind w:left="420" w:hanging="27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was reduced by $18,878 after actual expenses for the offering were determined as of December 31, 2011.</w:t>
      </w:r>
    </w:p>
    <w:p>
      <w:pPr>
        <w:spacing w:after="0" w:line="117" w:lineRule="exact"/>
        <w:rPr>
          <w:rFonts w:ascii="Arial" w:cs="Arial" w:eastAsia="Arial" w:hAnsi="Arial"/>
          <w:sz w:val="18"/>
          <w:szCs w:val="18"/>
          <w:color w:val="auto"/>
        </w:rPr>
      </w:pPr>
    </w:p>
    <w:p>
      <w:pPr>
        <w:ind w:left="420" w:hanging="27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$960 of offering expenses that were accrued as of September 30, 2012.</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5 — NET INCREASE IN NET ASSETS PER COMMON SHARE — BASIC AND DILUTED</w:t>
      </w:r>
    </w:p>
    <w:p>
      <w:pPr>
        <w:spacing w:after="0" w:line="121" w:lineRule="exact"/>
        <w:rPr>
          <w:sz w:val="20"/>
          <w:szCs w:val="20"/>
          <w:color w:val="auto"/>
        </w:rPr>
      </w:pPr>
    </w:p>
    <w:p>
      <w:pPr>
        <w:ind w:left="180" w:right="519" w:firstLine="270"/>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 per common share for the three and nine months ended September 30, 2014 and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32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2"/>
              </w:rPr>
              <w:t>Nine months ended September 30,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Earnings per common share – basic:</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6,018,713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5,715,746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5,178,111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1,740,194</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30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common shares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outstanding – basic</w:t>
            </w: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19,320,100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19,320,100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19,320,100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19,320,100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Earnings per common share –</w:t>
            </w: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w w:val="99"/>
              </w:rPr>
              <w:t>Earnings per common share – diluted: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before adjustments</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6,018,713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5,715,746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5,178,111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1,740,194</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300" w:type="dxa"/>
            <w:vAlign w:val="bottom"/>
          </w:tcPr>
          <w:p>
            <w:pPr>
              <w:ind w:left="20"/>
              <w:spacing w:after="0" w:line="201" w:lineRule="exact"/>
              <w:rPr>
                <w:sz w:val="20"/>
                <w:szCs w:val="20"/>
                <w:color w:val="auto"/>
              </w:rPr>
            </w:pPr>
            <w:r>
              <w:rPr>
                <w:rFonts w:ascii="Arial" w:cs="Arial" w:eastAsia="Arial" w:hAnsi="Arial"/>
                <w:sz w:val="18"/>
                <w:szCs w:val="18"/>
                <w:color w:val="auto"/>
              </w:rPr>
              <w:t>Adjustments for interest on convertible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w w:val="95"/>
              </w:rPr>
              <w:t>senior notes and deferred debt issuance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1,138,887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as adjusted</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7,157,600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5,715,746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5,178,111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1,740,194</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30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common shares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outstanding – basic</w:t>
            </w: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19,320,100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19,320,100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19,320,100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19,320,100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Adjustments for dilutive effect of</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notes</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4,244,128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30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common shares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outstanding – diluted</w:t>
            </w: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23,564,228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19,320,100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19,320,100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19,320,100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330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Earnings per common share –</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jc w:val="right"/>
              <w:ind w:right="712"/>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In the normal course of business, the Company may enter into investment agreements under which it commits to make an investment in a portfolio company at some future date or over a specified period of time. At September 30, 2014, the Company had not entered into any investment agreements which required it to make a future investment in a portfolio company.</w:t>
      </w:r>
    </w:p>
    <w:p>
      <w:pPr>
        <w:spacing w:after="0" w:line="5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Company is currently not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ectPr>
          <w:pgSz w:w="11900" w:h="16838" w:orient="portrait"/>
          <w:cols w:equalWidth="0" w:num="1">
            <w:col w:w="10079"/>
          </w:cols>
          <w:pgMar w:left="380" w:top="792" w:right="1440" w:bottom="1440" w:gutter="0" w:footer="0" w:header="0"/>
        </w:sectPr>
      </w:pP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31730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521398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7" w:lineRule="exact"/>
        <w:rPr>
          <w:sz w:val="20"/>
          <w:szCs w:val="20"/>
          <w:color w:val="auto"/>
        </w:rPr>
      </w:pPr>
    </w:p>
    <w:p>
      <w:pPr>
        <w:ind w:right="2220"/>
        <w:spacing w:after="0" w:line="261" w:lineRule="auto"/>
        <w:rPr>
          <w:sz w:val="20"/>
          <w:szCs w:val="20"/>
          <w:color w:val="auto"/>
        </w:rPr>
      </w:pPr>
      <w:r>
        <w:rPr>
          <w:rFonts w:ascii="Arial" w:cs="Arial" w:eastAsia="Arial" w:hAnsi="Arial"/>
          <w:sz w:val="18"/>
          <w:szCs w:val="18"/>
          <w:color w:val="auto"/>
        </w:rPr>
        <w:t>Net asset value at beginning of period Net investment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-147955</wp:posOffset>
            </wp:positionV>
            <wp:extent cx="5213985"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realized gain (loss)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Provision for taxes on Net Realized Capital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5213985"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Net change in Unrealized Appreciation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5213985" cy="3429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342900"/>
                    </a:xfrm>
                    <a:prstGeom prst="rect">
                      <a:avLst/>
                    </a:prstGeom>
                    <a:noFill/>
                  </pic:spPr>
                </pic:pic>
              </a:graphicData>
            </a:graphic>
          </wp:anchor>
        </w:drawing>
      </w:r>
    </w:p>
    <w:p>
      <w:pPr>
        <w:spacing w:after="0" w:line="70" w:lineRule="exact"/>
        <w:rPr>
          <w:sz w:val="20"/>
          <w:szCs w:val="20"/>
          <w:color w:val="auto"/>
        </w:rPr>
      </w:pPr>
    </w:p>
    <w:p>
      <w:pPr>
        <w:ind w:right="440"/>
        <w:spacing w:after="0" w:line="289" w:lineRule="auto"/>
        <w:rPr>
          <w:sz w:val="20"/>
          <w:szCs w:val="20"/>
          <w:color w:val="auto"/>
        </w:rPr>
      </w:pPr>
      <w:r>
        <w:rPr>
          <w:rFonts w:ascii="Arial" w:cs="Arial" w:eastAsia="Arial" w:hAnsi="Arial"/>
          <w:sz w:val="18"/>
          <w:szCs w:val="18"/>
          <w:color w:val="auto"/>
        </w:rPr>
        <w:t>Provision for taxes on Unrealized Appreciation of Investments Net asset value at end of period</w:t>
      </w:r>
    </w:p>
    <w:p>
      <w:pPr>
        <w:spacing w:after="0" w:line="1" w:lineRule="exact"/>
        <w:rPr>
          <w:sz w:val="20"/>
          <w:szCs w:val="20"/>
          <w:color w:val="auto"/>
        </w:rPr>
      </w:pPr>
    </w:p>
    <w:p>
      <w:pPr>
        <w:ind w:right="2120"/>
        <w:spacing w:after="0" w:line="308" w:lineRule="auto"/>
        <w:rPr>
          <w:sz w:val="20"/>
          <w:szCs w:val="20"/>
          <w:color w:val="auto"/>
        </w:rPr>
      </w:pPr>
      <w:r>
        <w:rPr>
          <w:rFonts w:ascii="Arial" w:cs="Arial" w:eastAsia="Arial" w:hAnsi="Arial"/>
          <w:sz w:val="16"/>
          <w:szCs w:val="16"/>
          <w:color w:val="auto"/>
        </w:rPr>
        <w:t>Per share market value at end of period Total return based on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-290195</wp:posOffset>
            </wp:positionV>
            <wp:extent cx="5213985"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return based on 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5213985"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at end of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Ratio/Supplemental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assets at end of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Average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6"/>
          <w:szCs w:val="16"/>
          <w:color w:val="auto"/>
        </w:rPr>
        <w:t>Annualized ratio of gross operating expenses to average net assets</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Annualized ratio of net operating expenses to average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-135255</wp:posOffset>
            </wp:positionV>
            <wp:extent cx="5213985" cy="3003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3985" cy="300355"/>
                    </a:xfrm>
                    <a:prstGeom prst="rect">
                      <a:avLst/>
                    </a:prstGeom>
                    <a:noFill/>
                  </pic:spPr>
                </pic:pic>
              </a:graphicData>
            </a:graphic>
          </wp:anchor>
        </w:drawing>
      </w:r>
    </w:p>
    <w:p>
      <w:pPr>
        <w:ind w:left="180"/>
        <w:spacing w:after="0" w:line="180" w:lineRule="auto"/>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p>
      <w:pPr>
        <w:spacing w:after="0" w:line="1" w:lineRule="exact"/>
        <w:rPr>
          <w:sz w:val="20"/>
          <w:szCs w:val="20"/>
          <w:color w:val="auto"/>
        </w:rPr>
      </w:pPr>
    </w:p>
    <w:p>
      <w:pPr>
        <w:ind w:left="180" w:right="820" w:hanging="179"/>
        <w:spacing w:after="0" w:line="269" w:lineRule="auto"/>
        <w:rPr>
          <w:sz w:val="20"/>
          <w:szCs w:val="20"/>
          <w:color w:val="auto"/>
        </w:rPr>
      </w:pPr>
      <w:r>
        <w:rPr>
          <w:rFonts w:ascii="Arial" w:cs="Arial" w:eastAsia="Arial" w:hAnsi="Arial"/>
          <w:sz w:val="18"/>
          <w:szCs w:val="18"/>
          <w:color w:val="auto"/>
        </w:rPr>
        <w:t>Annualized ratio of net investment income to average net assets</w:t>
      </w:r>
      <w:r>
        <w:rPr>
          <w:rFonts w:ascii="Arial" w:cs="Arial" w:eastAsia="Arial" w:hAnsi="Arial"/>
          <w:sz w:val="30"/>
          <w:szCs w:val="30"/>
          <w:color w:val="auto"/>
          <w:vertAlign w:val="superscript"/>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Three months</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 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 2013</w:t>
            </w: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415"/>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14.86</w:t>
            </w:r>
          </w:p>
        </w:tc>
        <w:tc>
          <w:tcPr>
            <w:tcW w:w="4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360" w:type="dxa"/>
            <w:vAlign w:val="bottom"/>
            <w:gridSpan w:val="3"/>
          </w:tcPr>
          <w:p>
            <w:pPr>
              <w:jc w:val="right"/>
              <w:ind w:right="220"/>
              <w:spacing w:after="0" w:line="256" w:lineRule="exact"/>
              <w:rPr>
                <w:sz w:val="20"/>
                <w:szCs w:val="20"/>
                <w:color w:val="auto"/>
              </w:rPr>
            </w:pPr>
            <w:r>
              <w:rPr>
                <w:rFonts w:ascii="Arial" w:cs="Arial" w:eastAsia="Arial" w:hAnsi="Arial"/>
                <w:sz w:val="18"/>
                <w:szCs w:val="18"/>
                <w:color w:val="auto"/>
              </w:rPr>
              <w:t>(0.25)</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(0.16)</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360" w:type="dxa"/>
            <w:vAlign w:val="bottom"/>
            <w:gridSpan w:val="3"/>
          </w:tcPr>
          <w:p>
            <w:pPr>
              <w:jc w:val="right"/>
              <w:ind w:right="280"/>
              <w:spacing w:after="0" w:line="256" w:lineRule="exact"/>
              <w:rPr>
                <w:sz w:val="20"/>
                <w:szCs w:val="20"/>
                <w:color w:val="auto"/>
              </w:rPr>
            </w:pPr>
            <w:r>
              <w:rPr>
                <w:rFonts w:ascii="Arial" w:cs="Arial" w:eastAsia="Arial" w:hAnsi="Arial"/>
                <w:sz w:val="18"/>
                <w:szCs w:val="18"/>
                <w:color w:val="auto"/>
              </w:rPr>
              <w:t>0.89</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(0.01)</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360" w:type="dxa"/>
            <w:vAlign w:val="bottom"/>
            <w:gridSpan w:val="3"/>
          </w:tcPr>
          <w:p>
            <w:pPr>
              <w:jc w:val="right"/>
              <w:ind w:right="220"/>
              <w:spacing w:after="0" w:line="256" w:lineRule="exact"/>
              <w:rPr>
                <w:sz w:val="20"/>
                <w:szCs w:val="20"/>
                <w:color w:val="auto"/>
              </w:rPr>
            </w:pPr>
            <w:r>
              <w:rPr>
                <w:rFonts w:ascii="Arial" w:cs="Arial" w:eastAsia="Arial" w:hAnsi="Arial"/>
                <w:sz w:val="18"/>
                <w:szCs w:val="18"/>
                <w:color w:val="auto"/>
              </w:rPr>
              <w:t>(0.36)</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360" w:type="dxa"/>
            <w:vAlign w:val="bottom"/>
            <w:gridSpan w:val="3"/>
          </w:tcPr>
          <w:p>
            <w:pPr>
              <w:jc w:val="right"/>
              <w:ind w:right="280"/>
              <w:spacing w:after="0" w:line="256" w:lineRule="exact"/>
              <w:rPr>
                <w:sz w:val="20"/>
                <w:szCs w:val="20"/>
                <w:color w:val="auto"/>
              </w:rPr>
            </w:pPr>
            <w:r>
              <w:rPr>
                <w:rFonts w:ascii="Arial" w:cs="Arial" w:eastAsia="Arial" w:hAnsi="Arial"/>
                <w:sz w:val="18"/>
                <w:szCs w:val="18"/>
                <w:color w:val="auto"/>
              </w:rPr>
              <w:t>0.06</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0.46</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1360" w:type="dxa"/>
            <w:vAlign w:val="bottom"/>
            <w:gridSpan w:val="3"/>
          </w:tcPr>
          <w:p>
            <w:pPr>
              <w:jc w:val="right"/>
              <w:ind w:right="220"/>
              <w:spacing w:after="0" w:line="266" w:lineRule="exact"/>
              <w:rPr>
                <w:sz w:val="20"/>
                <w:szCs w:val="20"/>
                <w:color w:val="auto"/>
              </w:rPr>
            </w:pPr>
            <w:r>
              <w:rPr>
                <w:rFonts w:ascii="Arial" w:cs="Arial" w:eastAsia="Arial" w:hAnsi="Arial"/>
                <w:sz w:val="18"/>
                <w:szCs w:val="18"/>
                <w:color w:val="auto"/>
              </w:rPr>
              <w:t>(0.03)</w:t>
            </w:r>
            <w:r>
              <w:rPr>
                <w:rFonts w:ascii="Arial" w:cs="Arial" w:eastAsia="Arial" w:hAnsi="Arial"/>
                <w:sz w:val="30"/>
                <w:szCs w:val="30"/>
                <w:color w:val="auto"/>
                <w:vertAlign w:val="superscript"/>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right"/>
              <w:ind w:right="260"/>
              <w:spacing w:after="0" w:line="266"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12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rPr>
              <w:t>10.01</w:t>
            </w:r>
          </w:p>
        </w:tc>
        <w:tc>
          <w:tcPr>
            <w:tcW w:w="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9" w:lineRule="exact"/>
              <w:rPr>
                <w:sz w:val="20"/>
                <w:szCs w:val="20"/>
                <w:color w:val="auto"/>
              </w:rPr>
            </w:pPr>
            <w:r>
              <w:rPr>
                <w:rFonts w:ascii="Arial" w:cs="Arial" w:eastAsia="Arial" w:hAnsi="Arial"/>
                <w:sz w:val="18"/>
                <w:szCs w:val="18"/>
                <w:color w:val="auto"/>
              </w:rPr>
              <w:t>14.82</w:t>
            </w: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360" w:type="dxa"/>
            <w:vAlign w:val="bottom"/>
            <w:gridSpan w:val="3"/>
          </w:tcPr>
          <w:p>
            <w:pPr>
              <w:jc w:val="right"/>
              <w:ind w:right="60"/>
              <w:spacing w:after="0" w:line="256" w:lineRule="exact"/>
              <w:rPr>
                <w:sz w:val="20"/>
                <w:szCs w:val="20"/>
                <w:color w:val="auto"/>
              </w:rPr>
            </w:pPr>
            <w:r>
              <w:rPr>
                <w:rFonts w:ascii="Arial" w:cs="Arial" w:eastAsia="Arial" w:hAnsi="Arial"/>
                <w:sz w:val="18"/>
                <w:szCs w:val="18"/>
                <w:color w:val="auto"/>
              </w:rPr>
              <w:t>(5.30)%</w:t>
            </w:r>
            <w:r>
              <w:rPr>
                <w:rFonts w:ascii="Arial" w:cs="Arial" w:eastAsia="Arial" w:hAnsi="Arial"/>
                <w:sz w:val="29"/>
                <w:szCs w:val="29"/>
                <w:color w:val="auto"/>
                <w:vertAlign w:val="superscript"/>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88.55%</w:t>
            </w:r>
            <w:r>
              <w:rPr>
                <w:rFonts w:ascii="Arial" w:cs="Arial" w:eastAsia="Arial" w:hAnsi="Arial"/>
                <w:sz w:val="29"/>
                <w:szCs w:val="29"/>
                <w:color w:val="auto"/>
                <w:vertAlign w:val="superscript"/>
              </w:rPr>
              <w:t>(6)</w:t>
            </w: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1360" w:type="dxa"/>
            <w:vAlign w:val="bottom"/>
            <w:gridSpan w:val="3"/>
          </w:tcPr>
          <w:p>
            <w:pPr>
              <w:jc w:val="right"/>
              <w:ind w:right="120"/>
              <w:spacing w:after="0" w:line="253" w:lineRule="exact"/>
              <w:rPr>
                <w:sz w:val="20"/>
                <w:szCs w:val="20"/>
                <w:color w:val="auto"/>
              </w:rPr>
            </w:pPr>
            <w:r>
              <w:rPr>
                <w:rFonts w:ascii="Arial" w:cs="Arial" w:eastAsia="Arial" w:hAnsi="Arial"/>
                <w:sz w:val="18"/>
                <w:szCs w:val="18"/>
                <w:color w:val="auto"/>
              </w:rPr>
              <w:t>2.09%</w:t>
            </w:r>
            <w:r>
              <w:rPr>
                <w:rFonts w:ascii="Arial" w:cs="Arial" w:eastAsia="Arial" w:hAnsi="Arial"/>
                <w:sz w:val="29"/>
                <w:szCs w:val="29"/>
                <w:color w:val="auto"/>
                <w:vertAlign w:val="superscript"/>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100"/>
              <w:spacing w:after="0" w:line="253" w:lineRule="exact"/>
              <w:rPr>
                <w:sz w:val="20"/>
                <w:szCs w:val="20"/>
                <w:color w:val="auto"/>
              </w:rPr>
            </w:pPr>
            <w:r>
              <w:rPr>
                <w:rFonts w:ascii="Arial" w:cs="Arial" w:eastAsia="Arial" w:hAnsi="Arial"/>
                <w:sz w:val="18"/>
                <w:szCs w:val="18"/>
                <w:color w:val="auto"/>
              </w:rPr>
              <w:t>2.25%</w:t>
            </w:r>
            <w:r>
              <w:rPr>
                <w:rFonts w:ascii="Arial" w:cs="Arial" w:eastAsia="Arial" w:hAnsi="Arial"/>
                <w:sz w:val="29"/>
                <w:szCs w:val="29"/>
                <w:color w:val="auto"/>
                <w:vertAlign w:val="superscript"/>
              </w:rPr>
              <w:t>(6)</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19,320,100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19,320,100</w:t>
            </w:r>
          </w:p>
        </w:tc>
        <w:tc>
          <w:tcPr>
            <w:tcW w:w="0" w:type="dxa"/>
            <w:vAlign w:val="bottom"/>
          </w:tcPr>
          <w:p>
            <w:pPr>
              <w:spacing w:after="0"/>
              <w:rPr>
                <w:sz w:val="1"/>
                <w:szCs w:val="1"/>
                <w:color w:val="auto"/>
              </w:rPr>
            </w:pPr>
          </w:p>
        </w:tc>
      </w:tr>
      <w:tr>
        <w:trPr>
          <w:trHeight w:val="418"/>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9"/>
              </w:rPr>
              <w:t>293,144,555</w:t>
            </w:r>
          </w:p>
        </w:tc>
        <w:tc>
          <w:tcPr>
            <w:tcW w:w="4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254,322,995</w:t>
            </w:r>
          </w:p>
        </w:tc>
        <w:tc>
          <w:tcPr>
            <w:tcW w:w="0" w:type="dxa"/>
            <w:vAlign w:val="bottom"/>
          </w:tcPr>
          <w:p>
            <w:pPr>
              <w:spacing w:after="0"/>
              <w:rPr>
                <w:sz w:val="1"/>
                <w:szCs w:val="1"/>
                <w:color w:val="auto"/>
              </w:rPr>
            </w:pP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9"/>
              </w:rPr>
              <w:t>293,430,624</w:t>
            </w:r>
          </w:p>
        </w:tc>
        <w:tc>
          <w:tcPr>
            <w:tcW w:w="4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249,457,996</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-3507105</wp:posOffset>
            </wp:positionV>
            <wp:extent cx="19812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347" w:lineRule="exact"/>
        <w:rPr>
          <w:sz w:val="20"/>
          <w:szCs w:val="20"/>
          <w:color w:val="auto"/>
        </w:rPr>
      </w:pPr>
    </w:p>
    <w:p>
      <w:pPr>
        <w:sectPr>
          <w:pgSz w:w="11900" w:h="16838" w:orient="portrait"/>
          <w:cols w:equalWidth="0" w:num="2">
            <w:col w:w="4940" w:space="140"/>
            <w:col w:w="4999"/>
          </w:cols>
          <w:pgMar w:left="380" w:top="792" w:right="1440" w:bottom="1440" w:gutter="0" w:footer="0" w:header="0"/>
          <w:type w:val="continuous"/>
        </w:sectPr>
      </w:pPr>
    </w:p>
    <w:p>
      <w:pPr>
        <w:spacing w:after="0" w:line="19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119380</wp:posOffset>
            </wp:positionV>
            <wp:extent cx="6114415" cy="59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34" w:name="page35"/>
    <w:bookmarkEnd w:id="34"/>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Nine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Nine months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 2014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 2013</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14.91</w:t>
            </w:r>
          </w:p>
        </w:tc>
        <w:tc>
          <w:tcPr>
            <w:tcW w:w="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13.07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rPr>
              <w:t>(0.57)</w:t>
            </w:r>
            <w:r>
              <w:rPr>
                <w:rFonts w:ascii="Arial" w:cs="Arial" w:eastAsia="Arial" w:hAnsi="Arial"/>
                <w:sz w:val="29"/>
                <w:szCs w:val="29"/>
                <w:color w:val="auto"/>
                <w:vertAlign w:val="superscript"/>
              </w:rPr>
              <w:t>(1)</w:t>
            </w:r>
          </w:p>
        </w:tc>
        <w:tc>
          <w:tcPr>
            <w:tcW w:w="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(0.41)</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Net realized gain (loss)</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240"/>
              <w:spacing w:after="0" w:line="256" w:lineRule="exact"/>
              <w:rPr>
                <w:sz w:val="20"/>
                <w:szCs w:val="20"/>
                <w:color w:val="auto"/>
              </w:rPr>
            </w:pPr>
            <w:r>
              <w:rPr>
                <w:rFonts w:ascii="Arial" w:cs="Arial" w:eastAsia="Arial" w:hAnsi="Arial"/>
                <w:sz w:val="18"/>
                <w:szCs w:val="18"/>
                <w:color w:val="auto"/>
              </w:rPr>
              <w:t>0.92</w:t>
            </w:r>
            <w:r>
              <w:rPr>
                <w:rFonts w:ascii="Arial" w:cs="Arial" w:eastAsia="Arial" w:hAnsi="Arial"/>
                <w:sz w:val="29"/>
                <w:szCs w:val="29"/>
                <w:color w:val="auto"/>
                <w:vertAlign w:val="superscript"/>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3"/>
          </w:tcPr>
          <w:p>
            <w:pPr>
              <w:jc w:val="right"/>
              <w:ind w:right="200"/>
              <w:spacing w:after="0" w:line="256" w:lineRule="exact"/>
              <w:rPr>
                <w:sz w:val="20"/>
                <w:szCs w:val="20"/>
                <w:color w:val="auto"/>
              </w:rPr>
            </w:pPr>
            <w:r>
              <w:rPr>
                <w:rFonts w:ascii="Arial" w:cs="Arial" w:eastAsia="Arial" w:hAnsi="Arial"/>
                <w:sz w:val="18"/>
                <w:szCs w:val="18"/>
                <w:color w:val="auto"/>
              </w:rPr>
              <w:t>(0.51)</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Provision for taxes on Net Realized Capital Gains</w:t>
            </w:r>
          </w:p>
        </w:tc>
        <w:tc>
          <w:tcPr>
            <w:tcW w:w="7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rPr>
              <w:t>(0.38)</w:t>
            </w:r>
            <w:r>
              <w:rPr>
                <w:rFonts w:ascii="Arial" w:cs="Arial" w:eastAsia="Arial" w:hAnsi="Arial"/>
                <w:sz w:val="29"/>
                <w:szCs w:val="29"/>
                <w:color w:val="auto"/>
                <w:vertAlign w:val="superscript"/>
              </w:rPr>
              <w:t>(1)</w:t>
            </w:r>
          </w:p>
        </w:tc>
        <w:tc>
          <w:tcPr>
            <w:tcW w:w="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120" w:type="dxa"/>
            <w:vAlign w:val="bottom"/>
            <w:gridSpan w:val="5"/>
          </w:tcPr>
          <w:p>
            <w:pPr>
              <w:ind w:left="20"/>
              <w:spacing w:after="0"/>
              <w:rPr>
                <w:sz w:val="20"/>
                <w:szCs w:val="20"/>
                <w:color w:val="auto"/>
              </w:rPr>
            </w:pPr>
            <w:r>
              <w:rPr>
                <w:rFonts w:ascii="Arial" w:cs="Arial" w:eastAsia="Arial" w:hAnsi="Arial"/>
                <w:sz w:val="18"/>
                <w:szCs w:val="18"/>
                <w:color w:val="auto"/>
              </w:rPr>
              <w:t>Net change in Unrealized Appreciation of Investments</w:t>
            </w:r>
          </w:p>
        </w:tc>
        <w:tc>
          <w:tcPr>
            <w:tcW w:w="100" w:type="dxa"/>
            <w:vAlign w:val="bottom"/>
          </w:tcPr>
          <w:p>
            <w:pPr>
              <w:spacing w:after="0"/>
              <w:rPr>
                <w:sz w:val="22"/>
                <w:szCs w:val="22"/>
                <w:color w:val="auto"/>
              </w:rPr>
            </w:pPr>
          </w:p>
        </w:tc>
        <w:tc>
          <w:tcPr>
            <w:tcW w:w="1320" w:type="dxa"/>
            <w:vAlign w:val="bottom"/>
            <w:gridSpan w:val="3"/>
          </w:tcPr>
          <w:p>
            <w:pPr>
              <w:jc w:val="right"/>
              <w:ind w:right="240"/>
              <w:spacing w:after="0" w:line="256" w:lineRule="exact"/>
              <w:rPr>
                <w:sz w:val="20"/>
                <w:szCs w:val="20"/>
                <w:color w:val="auto"/>
              </w:rPr>
            </w:pPr>
            <w:r>
              <w:rPr>
                <w:rFonts w:ascii="Arial" w:cs="Arial" w:eastAsia="Arial" w:hAnsi="Arial"/>
                <w:sz w:val="18"/>
                <w:szCs w:val="18"/>
                <w:color w:val="auto"/>
              </w:rPr>
              <w:t>0.49</w:t>
            </w:r>
            <w:r>
              <w:rPr>
                <w:rFonts w:ascii="Arial" w:cs="Arial" w:eastAsia="Arial" w:hAnsi="Arial"/>
                <w:sz w:val="29"/>
                <w:szCs w:val="29"/>
                <w:color w:val="auto"/>
                <w:vertAlign w:val="superscript"/>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3"/>
          </w:tcPr>
          <w:p>
            <w:pPr>
              <w:jc w:val="right"/>
              <w:ind w:right="260"/>
              <w:spacing w:after="0" w:line="256" w:lineRule="exact"/>
              <w:rPr>
                <w:sz w:val="20"/>
                <w:szCs w:val="20"/>
                <w:color w:val="auto"/>
              </w:rPr>
            </w:pPr>
            <w:r>
              <w:rPr>
                <w:rFonts w:ascii="Arial" w:cs="Arial" w:eastAsia="Arial" w:hAnsi="Arial"/>
                <w:sz w:val="18"/>
                <w:szCs w:val="18"/>
                <w:color w:val="auto"/>
              </w:rPr>
              <w:t>1.01</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5120" w:type="dxa"/>
            <w:vAlign w:val="bottom"/>
            <w:tcBorders>
              <w:right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Provision for taxes on Unrealized Appreciation of Investments</w:t>
            </w:r>
          </w:p>
        </w:tc>
        <w:tc>
          <w:tcPr>
            <w:tcW w:w="10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rPr>
              <w:t>(0.20)</w:t>
            </w:r>
            <w:r>
              <w:rPr>
                <w:rFonts w:ascii="Arial" w:cs="Arial" w:eastAsia="Arial" w:hAnsi="Arial"/>
                <w:sz w:val="29"/>
                <w:szCs w:val="29"/>
                <w:color w:val="auto"/>
                <w:vertAlign w:val="superscript"/>
              </w:rPr>
              <w:t>(1)</w:t>
            </w:r>
          </w:p>
        </w:tc>
        <w:tc>
          <w:tcPr>
            <w:tcW w:w="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Net asset value at end of period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15.17</w:t>
            </w:r>
          </w:p>
        </w:tc>
        <w:tc>
          <w:tcPr>
            <w:tcW w:w="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13.16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10.01</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14.82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Total return based on market value</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20"/>
              <w:spacing w:after="0" w:line="256" w:lineRule="exact"/>
              <w:rPr>
                <w:sz w:val="20"/>
                <w:szCs w:val="20"/>
                <w:color w:val="auto"/>
              </w:rPr>
            </w:pPr>
            <w:r>
              <w:rPr>
                <w:rFonts w:ascii="Arial" w:cs="Arial" w:eastAsia="Arial" w:hAnsi="Arial"/>
                <w:sz w:val="18"/>
                <w:szCs w:val="18"/>
                <w:color w:val="auto"/>
              </w:rPr>
              <w:t>(17.20)%</w:t>
            </w:r>
            <w:r>
              <w:rPr>
                <w:rFonts w:ascii="Arial" w:cs="Arial" w:eastAsia="Arial" w:hAnsi="Arial"/>
                <w:sz w:val="29"/>
                <w:szCs w:val="29"/>
                <w:color w:val="auto"/>
                <w:vertAlign w:val="superscript"/>
              </w:rPr>
              <w:t>(6)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3"/>
          </w:tcPr>
          <w:p>
            <w:pPr>
              <w:jc w:val="right"/>
              <w:ind w:right="100"/>
              <w:spacing w:after="0" w:line="256" w:lineRule="exact"/>
              <w:rPr>
                <w:sz w:val="20"/>
                <w:szCs w:val="20"/>
                <w:color w:val="auto"/>
              </w:rPr>
            </w:pPr>
            <w:r>
              <w:rPr>
                <w:rFonts w:ascii="Arial" w:cs="Arial" w:eastAsia="Arial" w:hAnsi="Arial"/>
                <w:sz w:val="18"/>
                <w:szCs w:val="18"/>
                <w:color w:val="auto"/>
              </w:rPr>
              <w:t>75.80%</w:t>
            </w:r>
            <w:r>
              <w:rPr>
                <w:rFonts w:ascii="Arial" w:cs="Arial" w:eastAsia="Arial" w:hAnsi="Arial"/>
                <w:sz w:val="29"/>
                <w:szCs w:val="29"/>
                <w:color w:val="auto"/>
                <w:vertAlign w:val="superscript"/>
              </w:rPr>
              <w:t>(6)</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return based on net asset value</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80"/>
              <w:spacing w:after="0" w:line="256" w:lineRule="exact"/>
              <w:rPr>
                <w:sz w:val="20"/>
                <w:szCs w:val="20"/>
                <w:color w:val="auto"/>
              </w:rPr>
            </w:pPr>
            <w:r>
              <w:rPr>
                <w:rFonts w:ascii="Arial" w:cs="Arial" w:eastAsia="Arial" w:hAnsi="Arial"/>
                <w:sz w:val="18"/>
                <w:szCs w:val="18"/>
                <w:color w:val="auto"/>
              </w:rPr>
              <w:t>1.74%</w:t>
            </w:r>
            <w:r>
              <w:rPr>
                <w:rFonts w:ascii="Arial" w:cs="Arial" w:eastAsia="Arial" w:hAnsi="Arial"/>
                <w:sz w:val="29"/>
                <w:szCs w:val="29"/>
                <w:color w:val="auto"/>
                <w:vertAlign w:val="superscript"/>
              </w:rPr>
              <w:t>(6)</w:t>
            </w:r>
          </w:p>
        </w:tc>
        <w:tc>
          <w:tcPr>
            <w:tcW w:w="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100"/>
              <w:spacing w:after="0" w:line="256" w:lineRule="exact"/>
              <w:rPr>
                <w:sz w:val="20"/>
                <w:szCs w:val="20"/>
                <w:color w:val="auto"/>
              </w:rPr>
            </w:pPr>
            <w:r>
              <w:rPr>
                <w:rFonts w:ascii="Arial" w:cs="Arial" w:eastAsia="Arial" w:hAnsi="Arial"/>
                <w:sz w:val="18"/>
                <w:szCs w:val="18"/>
                <w:color w:val="auto"/>
              </w:rPr>
              <w:t>0.69%</w:t>
            </w:r>
            <w:r>
              <w:rPr>
                <w:rFonts w:ascii="Arial" w:cs="Arial" w:eastAsia="Arial" w:hAnsi="Arial"/>
                <w:sz w:val="29"/>
                <w:szCs w:val="29"/>
                <w:color w:val="auto"/>
                <w:vertAlign w:val="superscript"/>
              </w:rPr>
              <w:t>(6)</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w w:val="99"/>
              </w:rPr>
              <w:t>19,320,100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19,320,100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Net assets at end of period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w w:val="89"/>
              </w:rPr>
              <w:t>293,144,555</w:t>
            </w:r>
          </w:p>
        </w:tc>
        <w:tc>
          <w:tcPr>
            <w:tcW w:w="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w w:val="97"/>
              </w:rPr>
              <w:t>254,322,995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net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9"/>
              </w:rPr>
              <w:t>285,484,323</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7"/>
              </w:rPr>
              <w:t>248,962,372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5120" w:type="dxa"/>
            <w:vAlign w:val="bottom"/>
            <w:gridSpan w:val="5"/>
          </w:tcPr>
          <w:p>
            <w:pPr>
              <w:ind w:left="20"/>
              <w:spacing w:after="0" w:line="206" w:lineRule="exact"/>
              <w:rPr>
                <w:sz w:val="20"/>
                <w:szCs w:val="20"/>
                <w:color w:val="auto"/>
              </w:rPr>
            </w:pPr>
            <w:r>
              <w:rPr>
                <w:rFonts w:ascii="Arial" w:cs="Arial" w:eastAsia="Arial" w:hAnsi="Arial"/>
                <w:sz w:val="18"/>
                <w:szCs w:val="18"/>
                <w:color w:val="auto"/>
              </w:rPr>
              <w:t>Annualized ratio of gross operating expenses to average net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3540" w:type="dxa"/>
            <w:vAlign w:val="bottom"/>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8.90%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4.29%</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5120" w:type="dxa"/>
            <w:vAlign w:val="bottom"/>
            <w:tcBorders>
              <w:right w:val="single" w:sz="8" w:color="CCEEFF"/>
            </w:tcBorders>
            <w:gridSpan w:val="5"/>
            <w:shd w:val="clear" w:color="auto" w:fill="CCEEFF"/>
          </w:tcPr>
          <w:p>
            <w:pPr>
              <w:ind w:left="20"/>
              <w:spacing w:after="0" w:line="206" w:lineRule="exact"/>
              <w:rPr>
                <w:sz w:val="20"/>
                <w:szCs w:val="20"/>
                <w:color w:val="auto"/>
              </w:rPr>
            </w:pPr>
            <w:r>
              <w:rPr>
                <w:rFonts w:ascii="Arial" w:cs="Arial" w:eastAsia="Arial" w:hAnsi="Arial"/>
                <w:sz w:val="18"/>
                <w:szCs w:val="18"/>
                <w:color w:val="auto"/>
              </w:rPr>
              <w:t>Annualized ratio of net operating expenses to average net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3540" w:type="dxa"/>
            <w:vAlign w:val="bottom"/>
            <w:shd w:val="clear" w:color="auto" w:fill="CCEEFF"/>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8.90%</w:t>
            </w:r>
          </w:p>
        </w:tc>
        <w:tc>
          <w:tcPr>
            <w:tcW w:w="4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4.29%</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5120" w:type="dxa"/>
            <w:vAlign w:val="bottom"/>
            <w:gridSpan w:val="5"/>
          </w:tcPr>
          <w:p>
            <w:pPr>
              <w:ind w:left="20"/>
              <w:spacing w:after="0" w:line="206" w:lineRule="exact"/>
              <w:rPr>
                <w:sz w:val="20"/>
                <w:szCs w:val="20"/>
                <w:color w:val="auto"/>
              </w:rPr>
            </w:pPr>
            <w:r>
              <w:rPr>
                <w:rFonts w:ascii="Arial" w:cs="Arial" w:eastAsia="Arial" w:hAnsi="Arial"/>
                <w:sz w:val="18"/>
                <w:szCs w:val="18"/>
                <w:color w:val="auto"/>
              </w:rPr>
              <w:t>Annualized ratio of net investment income to average net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120" w:type="dxa"/>
            <w:vAlign w:val="bottom"/>
          </w:tcPr>
          <w:p>
            <w:pPr>
              <w:spacing w:after="0"/>
              <w:rPr>
                <w:sz w:val="24"/>
                <w:szCs w:val="24"/>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(5.20)%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(4.28)%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For the period from</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2"/>
                <w:szCs w:val="12"/>
                <w:color w:val="auto"/>
              </w:rPr>
            </w:pPr>
          </w:p>
        </w:tc>
        <w:tc>
          <w:tcPr>
            <w:tcW w:w="13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January 6, 2011</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(date of inception) to</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540" w:type="dxa"/>
            <w:vAlign w:val="bottom"/>
          </w:tcPr>
          <w:p>
            <w:pPr>
              <w:ind w:left="20"/>
              <w:spacing w:after="0" w:line="201" w:lineRule="exact"/>
              <w:rPr>
                <w:sz w:val="20"/>
                <w:szCs w:val="20"/>
                <w:color w:val="auto"/>
              </w:rPr>
            </w:pPr>
            <w:r>
              <w:rPr>
                <w:rFonts w:ascii="Arial" w:cs="Arial" w:eastAsia="Arial" w:hAnsi="Arial"/>
                <w:sz w:val="18"/>
                <w:szCs w:val="18"/>
                <w:color w:val="auto"/>
              </w:rPr>
              <w:t>Net asset value at beginning of</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year/period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12.95</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shares</w:t>
            </w:r>
          </w:p>
        </w:tc>
        <w:tc>
          <w:tcPr>
            <w:tcW w:w="100" w:type="dxa"/>
            <w:vAlign w:val="bottom"/>
            <w:shd w:val="clear" w:color="auto" w:fill="CCEEFF"/>
          </w:tcPr>
          <w:p>
            <w:pPr>
              <w:spacing w:after="0"/>
              <w:rPr>
                <w:sz w:val="22"/>
                <w:szCs w:val="22"/>
                <w:color w:val="auto"/>
              </w:rPr>
            </w:pPr>
          </w:p>
        </w:tc>
        <w:tc>
          <w:tcPr>
            <w:tcW w:w="1480" w:type="dxa"/>
            <w:vAlign w:val="bottom"/>
            <w:tcBorders>
              <w:right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380"/>
              <w:spacing w:after="0" w:line="256" w:lineRule="exact"/>
              <w:rPr>
                <w:sz w:val="20"/>
                <w:szCs w:val="20"/>
                <w:color w:val="auto"/>
              </w:rPr>
            </w:pPr>
            <w:r>
              <w:rPr>
                <w:rFonts w:ascii="Arial" w:cs="Arial" w:eastAsia="Arial" w:hAnsi="Arial"/>
                <w:sz w:val="18"/>
                <w:szCs w:val="18"/>
                <w:color w:val="auto"/>
              </w:rPr>
              <w:t>1.91</w:t>
            </w:r>
            <w:r>
              <w:rPr>
                <w:rFonts w:ascii="Arial" w:cs="Arial" w:eastAsia="Arial" w:hAnsi="Arial"/>
                <w:sz w:val="29"/>
                <w:szCs w:val="29"/>
                <w:color w:val="auto"/>
                <w:vertAlign w:val="superscript"/>
              </w:rPr>
              <w:t>(3)</w:t>
            </w:r>
          </w:p>
        </w:tc>
        <w:tc>
          <w:tcPr>
            <w:tcW w:w="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420"/>
              <w:spacing w:after="0" w:line="256" w:lineRule="exact"/>
              <w:rPr>
                <w:sz w:val="20"/>
                <w:szCs w:val="20"/>
                <w:color w:val="auto"/>
              </w:rPr>
            </w:pPr>
            <w:r>
              <w:rPr>
                <w:rFonts w:ascii="Arial" w:cs="Arial" w:eastAsia="Arial" w:hAnsi="Arial"/>
                <w:sz w:val="18"/>
                <w:szCs w:val="18"/>
                <w:color w:val="auto"/>
              </w:rPr>
              <w:t>14.67</w:t>
            </w:r>
            <w:r>
              <w:rPr>
                <w:rFonts w:ascii="Arial" w:cs="Arial" w:eastAsia="Arial" w:hAnsi="Arial"/>
                <w:sz w:val="29"/>
                <w:szCs w:val="29"/>
                <w:color w:val="auto"/>
                <w:vertAlign w:val="superscript"/>
              </w:rPr>
              <w:t>(4)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Underwriters’ discount</w:t>
            </w:r>
          </w:p>
        </w:tc>
        <w:tc>
          <w:tcPr>
            <w:tcW w:w="100" w:type="dxa"/>
            <w:vAlign w:val="bottom"/>
          </w:tcPr>
          <w:p>
            <w:pPr>
              <w:spacing w:after="0"/>
              <w:rPr>
                <w:sz w:val="22"/>
                <w:szCs w:val="22"/>
                <w:color w:val="auto"/>
              </w:rPr>
            </w:pPr>
          </w:p>
        </w:tc>
        <w:tc>
          <w:tcPr>
            <w:tcW w:w="14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20" w:type="dxa"/>
            <w:vAlign w:val="bottom"/>
            <w:gridSpan w:val="3"/>
          </w:tcPr>
          <w:p>
            <w:pPr>
              <w:jc w:val="right"/>
              <w:ind w:right="320"/>
              <w:spacing w:after="0" w:line="256" w:lineRule="exact"/>
              <w:rPr>
                <w:sz w:val="20"/>
                <w:szCs w:val="20"/>
                <w:color w:val="auto"/>
              </w:rPr>
            </w:pPr>
            <w:r>
              <w:rPr>
                <w:rFonts w:ascii="Arial" w:cs="Arial" w:eastAsia="Arial" w:hAnsi="Arial"/>
                <w:sz w:val="18"/>
                <w:szCs w:val="18"/>
                <w:color w:val="auto"/>
              </w:rPr>
              <w:t>(0.72)</w:t>
            </w:r>
            <w:r>
              <w:rPr>
                <w:rFonts w:ascii="Arial" w:cs="Arial" w:eastAsia="Arial" w:hAnsi="Arial"/>
                <w:sz w:val="29"/>
                <w:szCs w:val="29"/>
                <w:color w:val="auto"/>
                <w:vertAlign w:val="superscript"/>
              </w:rPr>
              <w:t>(2)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3"/>
          </w:tcPr>
          <w:p>
            <w:pPr>
              <w:jc w:val="right"/>
              <w:ind w:right="360"/>
              <w:spacing w:after="0" w:line="256" w:lineRule="exact"/>
              <w:rPr>
                <w:sz w:val="20"/>
                <w:szCs w:val="20"/>
                <w:color w:val="auto"/>
              </w:rPr>
            </w:pPr>
            <w:r>
              <w:rPr>
                <w:rFonts w:ascii="Arial" w:cs="Arial" w:eastAsia="Arial" w:hAnsi="Arial"/>
                <w:sz w:val="18"/>
                <w:szCs w:val="18"/>
                <w:color w:val="auto"/>
              </w:rPr>
              <w:t>(0.86)</w:t>
            </w:r>
            <w:r>
              <w:rPr>
                <w:rFonts w:ascii="Arial" w:cs="Arial" w:eastAsia="Arial" w:hAnsi="Arial"/>
                <w:sz w:val="29"/>
                <w:szCs w:val="29"/>
                <w:color w:val="auto"/>
                <w:vertAlign w:val="superscript"/>
              </w:rPr>
              <w:t>(2)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EEFF"/>
          </w:tcPr>
          <w:p>
            <w:pPr>
              <w:spacing w:after="0"/>
              <w:rPr>
                <w:sz w:val="22"/>
                <w:szCs w:val="22"/>
                <w:color w:val="auto"/>
              </w:rPr>
            </w:pPr>
          </w:p>
        </w:tc>
        <w:tc>
          <w:tcPr>
            <w:tcW w:w="1480" w:type="dxa"/>
            <w:vAlign w:val="bottom"/>
            <w:tcBorders>
              <w:right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320"/>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(2)</w:t>
            </w:r>
          </w:p>
        </w:tc>
        <w:tc>
          <w:tcPr>
            <w:tcW w:w="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360"/>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00" w:type="dxa"/>
            <w:vAlign w:val="bottom"/>
          </w:tcPr>
          <w:p>
            <w:pPr>
              <w:spacing w:after="0"/>
              <w:rPr>
                <w:sz w:val="22"/>
                <w:szCs w:val="22"/>
                <w:color w:val="auto"/>
              </w:rPr>
            </w:pPr>
          </w:p>
        </w:tc>
        <w:tc>
          <w:tcPr>
            <w:tcW w:w="1320" w:type="dxa"/>
            <w:vAlign w:val="bottom"/>
            <w:gridSpan w:val="2"/>
          </w:tcPr>
          <w:p>
            <w:pPr>
              <w:jc w:val="right"/>
              <w:ind w:right="320"/>
              <w:spacing w:after="0" w:line="256" w:lineRule="exact"/>
              <w:rPr>
                <w:sz w:val="20"/>
                <w:szCs w:val="20"/>
                <w:color w:val="auto"/>
              </w:rPr>
            </w:pPr>
            <w:r>
              <w:rPr>
                <w:rFonts w:ascii="Arial" w:cs="Arial" w:eastAsia="Arial" w:hAnsi="Arial"/>
                <w:sz w:val="18"/>
                <w:szCs w:val="18"/>
                <w:color w:val="auto"/>
              </w:rPr>
              <w:t>(0.46)</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3"/>
          </w:tcPr>
          <w:p>
            <w:pPr>
              <w:jc w:val="right"/>
              <w:ind w:right="320"/>
              <w:spacing w:after="0" w:line="256" w:lineRule="exact"/>
              <w:rPr>
                <w:sz w:val="20"/>
                <w:szCs w:val="20"/>
                <w:color w:val="auto"/>
              </w:rPr>
            </w:pPr>
            <w:r>
              <w:rPr>
                <w:rFonts w:ascii="Arial" w:cs="Arial" w:eastAsia="Arial" w:hAnsi="Arial"/>
                <w:sz w:val="18"/>
                <w:szCs w:val="18"/>
                <w:color w:val="auto"/>
              </w:rPr>
              <w:t>(0.51)</w:t>
            </w:r>
            <w:r>
              <w:rPr>
                <w:rFonts w:ascii="Arial" w:cs="Arial" w:eastAsia="Arial" w:hAnsi="Arial"/>
                <w:sz w:val="29"/>
                <w:szCs w:val="29"/>
                <w:color w:val="auto"/>
                <w:vertAlign w:val="superscript"/>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3"/>
          </w:tcPr>
          <w:p>
            <w:pPr>
              <w:jc w:val="right"/>
              <w:ind w:right="360"/>
              <w:spacing w:after="0" w:line="256" w:lineRule="exact"/>
              <w:rPr>
                <w:sz w:val="20"/>
                <w:szCs w:val="20"/>
                <w:color w:val="auto"/>
              </w:rPr>
            </w:pPr>
            <w:r>
              <w:rPr>
                <w:rFonts w:ascii="Arial" w:cs="Arial" w:eastAsia="Arial" w:hAnsi="Arial"/>
                <w:sz w:val="18"/>
                <w:szCs w:val="18"/>
                <w:color w:val="auto"/>
              </w:rPr>
              <w:t>(0.37)</w:t>
            </w:r>
            <w:r>
              <w:rPr>
                <w:rFonts w:ascii="Arial" w:cs="Arial" w:eastAsia="Arial" w:hAnsi="Arial"/>
                <w:sz w:val="29"/>
                <w:szCs w:val="29"/>
                <w:color w:val="auto"/>
                <w:vertAlign w:val="superscript"/>
              </w:rPr>
              <w:t>(2)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loss</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320"/>
              <w:spacing w:after="0" w:line="256" w:lineRule="exact"/>
              <w:rPr>
                <w:sz w:val="20"/>
                <w:szCs w:val="20"/>
                <w:color w:val="auto"/>
              </w:rPr>
            </w:pPr>
            <w:r>
              <w:rPr>
                <w:rFonts w:ascii="Arial" w:cs="Arial" w:eastAsia="Arial" w:hAnsi="Arial"/>
                <w:sz w:val="18"/>
                <w:szCs w:val="18"/>
                <w:color w:val="auto"/>
              </w:rPr>
              <w:t>(1.12)</w:t>
            </w:r>
            <w:r>
              <w:rPr>
                <w:rFonts w:ascii="Arial" w:cs="Arial" w:eastAsia="Arial" w:hAnsi="Arial"/>
                <w:sz w:val="29"/>
                <w:szCs w:val="29"/>
                <w:color w:val="auto"/>
                <w:vertAlign w:val="superscript"/>
              </w:rPr>
              <w:t>(1)</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320"/>
              <w:spacing w:after="0" w:line="256" w:lineRule="exact"/>
              <w:rPr>
                <w:sz w:val="20"/>
                <w:szCs w:val="20"/>
                <w:color w:val="auto"/>
              </w:rPr>
            </w:pPr>
            <w:r>
              <w:rPr>
                <w:rFonts w:ascii="Arial" w:cs="Arial" w:eastAsia="Arial" w:hAnsi="Arial"/>
                <w:sz w:val="18"/>
                <w:szCs w:val="18"/>
                <w:color w:val="auto"/>
              </w:rPr>
              <w:t>(0.09)</w:t>
            </w:r>
            <w:r>
              <w:rPr>
                <w:rFonts w:ascii="Arial" w:cs="Arial" w:eastAsia="Arial" w:hAnsi="Arial"/>
                <w:sz w:val="29"/>
                <w:szCs w:val="29"/>
                <w:color w:val="auto"/>
                <w:vertAlign w:val="superscript"/>
              </w:rPr>
              <w:t>(1)</w:t>
            </w:r>
          </w:p>
        </w:tc>
        <w:tc>
          <w:tcPr>
            <w:tcW w:w="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540" w:type="dxa"/>
            <w:vAlign w:val="bottom"/>
          </w:tcPr>
          <w:p>
            <w:pPr>
              <w:ind w:left="20"/>
              <w:spacing w:after="0" w:line="201" w:lineRule="exact"/>
              <w:rPr>
                <w:sz w:val="20"/>
                <w:szCs w:val="20"/>
                <w:color w:val="auto"/>
              </w:rPr>
            </w:pPr>
            <w:r>
              <w:rPr>
                <w:rFonts w:ascii="Arial" w:cs="Arial" w:eastAsia="Arial" w:hAnsi="Arial"/>
                <w:sz w:val="18"/>
                <w:szCs w:val="18"/>
                <w:color w:val="auto"/>
              </w:rPr>
              <w:t>Benefit for taxes on Net Realized Capital</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5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Change in Unrealized Appreciation</w:t>
            </w:r>
          </w:p>
        </w:tc>
        <w:tc>
          <w:tcPr>
            <w:tcW w:w="1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4.53</w:t>
            </w:r>
            <w:r>
              <w:rPr>
                <w:rFonts w:ascii="Arial" w:cs="Arial" w:eastAsia="Arial" w:hAnsi="Arial"/>
                <w:sz w:val="30"/>
                <w:szCs w:val="30"/>
                <w:color w:val="auto"/>
                <w:vertAlign w:val="superscript"/>
              </w:rPr>
              <w:t>(1)</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(0.43)</w:t>
            </w:r>
            <w:r>
              <w:rPr>
                <w:rFonts w:ascii="Arial" w:cs="Arial" w:eastAsia="Arial" w:hAnsi="Arial"/>
                <w:sz w:val="30"/>
                <w:szCs w:val="30"/>
                <w:color w:val="auto"/>
                <w:vertAlign w:val="superscript"/>
              </w:rPr>
              <w:t>(5)</w:t>
            </w:r>
          </w:p>
        </w:tc>
        <w:tc>
          <w:tcPr>
            <w:tcW w:w="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(0.30)</w:t>
            </w:r>
            <w:r>
              <w:rPr>
                <w:rFonts w:ascii="Arial" w:cs="Arial" w:eastAsia="Arial" w:hAnsi="Arial"/>
                <w:sz w:val="30"/>
                <w:szCs w:val="30"/>
                <w:color w:val="auto"/>
                <w:vertAlign w:val="superscript"/>
              </w:rPr>
              <w:t>(2)</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Investments</w:t>
            </w:r>
          </w:p>
        </w:tc>
        <w:tc>
          <w:tcPr>
            <w:tcW w:w="1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3"/>
            <w:vMerge w:val="continue"/>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540" w:type="dxa"/>
            <w:vAlign w:val="bottom"/>
          </w:tcPr>
          <w:p>
            <w:pPr>
              <w:ind w:left="20"/>
              <w:spacing w:after="0" w:line="201" w:lineRule="exact"/>
              <w:rPr>
                <w:sz w:val="20"/>
                <w:szCs w:val="20"/>
                <w:color w:val="auto"/>
              </w:rPr>
            </w:pPr>
            <w:r>
              <w:rPr>
                <w:rFonts w:ascii="Arial" w:cs="Arial" w:eastAsia="Arial" w:hAnsi="Arial"/>
                <w:sz w:val="18"/>
                <w:szCs w:val="18"/>
                <w:color w:val="auto"/>
              </w:rPr>
              <w:t>Provision for taxes on Unrealized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Appreciation of Investments</w:t>
            </w:r>
          </w:p>
        </w:tc>
        <w:tc>
          <w:tcPr>
            <w:tcW w:w="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 value at end of period</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14.91</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w:t>
            </w: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12.95</w:t>
            </w:r>
          </w:p>
        </w:tc>
        <w:tc>
          <w:tcPr>
            <w:tcW w:w="44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54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rPr>
              <w:t>Per share market value at end of</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year/period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12.09</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8.43</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13.95</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5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-5745480</wp:posOffset>
            </wp:positionV>
            <wp:extent cx="5213985" cy="180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-942975</wp:posOffset>
            </wp:positionV>
            <wp:extent cx="5213985" cy="3086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-3627120</wp:posOffset>
            </wp:positionV>
            <wp:extent cx="52139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-24765</wp:posOffset>
            </wp:positionV>
            <wp:extent cx="52139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6" w:lineRule="exact"/>
        <w:rPr>
          <w:sz w:val="20"/>
          <w:szCs w:val="20"/>
          <w:color w:val="auto"/>
        </w:rPr>
      </w:pPr>
    </w:p>
    <w:tbl>
      <w:tblPr>
        <w:tblLayout w:type="fixed"/>
        <w:tblInd w:w="36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For the period from</w:t>
            </w:r>
          </w:p>
        </w:tc>
        <w:tc>
          <w:tcPr>
            <w:tcW w:w="0" w:type="dxa"/>
            <w:vAlign w:val="bottom"/>
          </w:tcPr>
          <w:p>
            <w:pPr>
              <w:spacing w:after="0"/>
              <w:rPr>
                <w:sz w:val="1"/>
                <w:szCs w:val="1"/>
                <w:color w:val="auto"/>
              </w:rPr>
            </w:pPr>
          </w:p>
        </w:tc>
      </w:tr>
      <w:tr>
        <w:trPr>
          <w:trHeight w:val="149"/>
        </w:trPr>
        <w:tc>
          <w:tcPr>
            <w:tcW w:w="136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2"/>
              </w:rPr>
              <w:t>Year ended</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14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January 6, 2011</w:t>
            </w:r>
          </w:p>
        </w:tc>
        <w:tc>
          <w:tcPr>
            <w:tcW w:w="0" w:type="dxa"/>
            <w:vAlign w:val="bottom"/>
          </w:tcPr>
          <w:p>
            <w:pPr>
              <w:spacing w:after="0"/>
              <w:rPr>
                <w:sz w:val="1"/>
                <w:szCs w:val="1"/>
                <w:color w:val="auto"/>
              </w:rPr>
            </w:pPr>
          </w:p>
        </w:tc>
      </w:tr>
      <w:tr>
        <w:trPr>
          <w:trHeight w:val="149"/>
        </w:trPr>
        <w:tc>
          <w:tcPr>
            <w:tcW w:w="13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4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(date of inception) to</w:t>
            </w:r>
          </w:p>
        </w:tc>
        <w:tc>
          <w:tcPr>
            <w:tcW w:w="0" w:type="dxa"/>
            <w:vAlign w:val="bottom"/>
          </w:tcPr>
          <w:p>
            <w:pPr>
              <w:spacing w:after="0"/>
              <w:rPr>
                <w:sz w:val="1"/>
                <w:szCs w:val="1"/>
                <w:color w:val="auto"/>
              </w:rPr>
            </w:pPr>
          </w:p>
        </w:tc>
      </w:tr>
      <w:tr>
        <w:trPr>
          <w:trHeight w:val="171"/>
        </w:trPr>
        <w:tc>
          <w:tcPr>
            <w:tcW w:w="136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December 31, 2013</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2012</w:t>
            </w:r>
          </w:p>
        </w:tc>
        <w:tc>
          <w:tcPr>
            <w:tcW w:w="148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792" w:right="1440" w:bottom="1440" w:gutter="0" w:footer="0" w:header="0"/>
        </w:sectPr>
      </w:pPr>
    </w:p>
    <w:p>
      <w:pPr>
        <w:ind w:left="20"/>
        <w:spacing w:after="0"/>
        <w:rPr>
          <w:sz w:val="20"/>
          <w:szCs w:val="20"/>
          <w:color w:val="auto"/>
        </w:rPr>
      </w:pPr>
      <w:r>
        <w:rPr>
          <w:rFonts w:ascii="Arial" w:cs="Arial" w:eastAsia="Arial" w:hAnsi="Arial"/>
          <w:sz w:val="18"/>
          <w:szCs w:val="18"/>
          <w:color w:val="auto"/>
        </w:rPr>
        <w:t>Total return based on market value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return based on net asset value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outstanding at end of period</w:t>
      </w:r>
    </w:p>
    <w:p>
      <w:pPr>
        <w:spacing w:after="0" w:line="23" w:lineRule="exact"/>
        <w:rPr>
          <w:sz w:val="20"/>
          <w:szCs w:val="20"/>
          <w:color w:val="auto"/>
        </w:rPr>
      </w:pPr>
    </w:p>
    <w:p>
      <w:pPr>
        <w:ind w:left="20" w:right="980"/>
        <w:spacing w:after="0" w:line="281" w:lineRule="auto"/>
        <w:rPr>
          <w:sz w:val="20"/>
          <w:szCs w:val="20"/>
          <w:color w:val="auto"/>
        </w:rPr>
      </w:pPr>
      <w:r>
        <w:rPr>
          <w:rFonts w:ascii="Arial" w:cs="Arial" w:eastAsia="Arial" w:hAnsi="Arial"/>
          <w:sz w:val="16"/>
          <w:szCs w:val="16"/>
          <w:b w:val="1"/>
          <w:bCs w:val="1"/>
          <w:color w:val="auto"/>
        </w:rPr>
        <w:t xml:space="preserve">Ratio/Supplemental Data: </w:t>
      </w:r>
      <w:r>
        <w:rPr>
          <w:rFonts w:ascii="Arial" w:cs="Arial" w:eastAsia="Arial" w:hAnsi="Arial"/>
          <w:sz w:val="16"/>
          <w:szCs w:val="16"/>
          <w:color w:val="auto"/>
        </w:rPr>
        <w:t>Net assets at end of year/period Average net assets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Annualized ratio of gross operating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420" w:type="dxa"/>
            <w:vAlign w:val="bottom"/>
            <w:tcBorders>
              <w:top w:val="single" w:sz="8" w:color="auto"/>
            </w:tcBorders>
          </w:tcPr>
          <w:p>
            <w:pPr>
              <w:jc w:val="right"/>
              <w:spacing w:after="0" w:line="240" w:lineRule="exact"/>
              <w:rPr>
                <w:sz w:val="20"/>
                <w:szCs w:val="20"/>
                <w:color w:val="auto"/>
              </w:rPr>
            </w:pPr>
            <w:r>
              <w:rPr>
                <w:rFonts w:ascii="Arial" w:cs="Arial" w:eastAsia="Arial" w:hAnsi="Arial"/>
                <w:sz w:val="17"/>
                <w:szCs w:val="17"/>
                <w:color w:val="auto"/>
              </w:rPr>
              <w:t>43.42%</w:t>
            </w:r>
            <w:r>
              <w:rPr>
                <w:rFonts w:ascii="Arial" w:cs="Arial" w:eastAsia="Arial" w:hAnsi="Arial"/>
                <w:sz w:val="27"/>
                <w:szCs w:val="27"/>
                <w:color w:val="auto"/>
                <w:vertAlign w:val="superscript"/>
              </w:rPr>
              <w:t>(6)</w:t>
            </w:r>
          </w:p>
        </w:tc>
        <w:tc>
          <w:tcPr>
            <w:tcW w:w="160" w:type="dxa"/>
            <w:vAlign w:val="bottom"/>
          </w:tcPr>
          <w:p>
            <w:pPr>
              <w:spacing w:after="0"/>
              <w:rPr>
                <w:sz w:val="20"/>
                <w:szCs w:val="20"/>
                <w:color w:val="auto"/>
              </w:rPr>
            </w:pPr>
          </w:p>
        </w:tc>
        <w:tc>
          <w:tcPr>
            <w:tcW w:w="1440" w:type="dxa"/>
            <w:vAlign w:val="bottom"/>
            <w:tcBorders>
              <w:top w:val="single" w:sz="8" w:color="auto"/>
            </w:tcBorders>
          </w:tcPr>
          <w:p>
            <w:pPr>
              <w:jc w:val="right"/>
              <w:spacing w:after="0" w:line="240" w:lineRule="exact"/>
              <w:rPr>
                <w:sz w:val="20"/>
                <w:szCs w:val="20"/>
                <w:color w:val="auto"/>
              </w:rPr>
            </w:pPr>
            <w:r>
              <w:rPr>
                <w:rFonts w:ascii="Arial" w:cs="Arial" w:eastAsia="Arial" w:hAnsi="Arial"/>
                <w:sz w:val="17"/>
                <w:szCs w:val="17"/>
                <w:color w:val="auto"/>
              </w:rPr>
              <w:t>(39.57)%</w:t>
            </w:r>
            <w:r>
              <w:rPr>
                <w:rFonts w:ascii="Arial" w:cs="Arial" w:eastAsia="Arial" w:hAnsi="Arial"/>
                <w:sz w:val="27"/>
                <w:szCs w:val="27"/>
                <w:color w:val="auto"/>
                <w:vertAlign w:val="superscript"/>
              </w:rPr>
              <w:t>(6)</w:t>
            </w: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line="240" w:lineRule="exact"/>
              <w:rPr>
                <w:sz w:val="20"/>
                <w:szCs w:val="20"/>
                <w:color w:val="auto"/>
              </w:rPr>
            </w:pPr>
            <w:r>
              <w:rPr>
                <w:rFonts w:ascii="Arial" w:cs="Arial" w:eastAsia="Arial" w:hAnsi="Arial"/>
                <w:sz w:val="17"/>
                <w:szCs w:val="17"/>
                <w:color w:val="auto"/>
              </w:rPr>
              <w:t>(7.00)%</w:t>
            </w:r>
            <w:r>
              <w:rPr>
                <w:rFonts w:ascii="Arial" w:cs="Arial" w:eastAsia="Arial" w:hAnsi="Arial"/>
                <w:sz w:val="27"/>
                <w:szCs w:val="27"/>
                <w:color w:val="auto"/>
                <w:vertAlign w:val="superscript"/>
              </w:rPr>
              <w:t>(7)</w:t>
            </w:r>
          </w:p>
        </w:tc>
      </w:tr>
      <w:tr>
        <w:trPr>
          <w:trHeight w:val="253"/>
        </w:trPr>
        <w:tc>
          <w:tcPr>
            <w:tcW w:w="1420" w:type="dxa"/>
            <w:vAlign w:val="bottom"/>
          </w:tcPr>
          <w:p>
            <w:pPr>
              <w:jc w:val="right"/>
              <w:spacing w:after="0" w:line="253" w:lineRule="exact"/>
              <w:rPr>
                <w:sz w:val="20"/>
                <w:szCs w:val="20"/>
                <w:color w:val="auto"/>
              </w:rPr>
            </w:pPr>
            <w:r>
              <w:rPr>
                <w:rFonts w:ascii="Arial" w:cs="Arial" w:eastAsia="Arial" w:hAnsi="Arial"/>
                <w:sz w:val="18"/>
                <w:szCs w:val="18"/>
                <w:color w:val="auto"/>
              </w:rPr>
              <w:t>14.08%</w:t>
            </w:r>
            <w:r>
              <w:rPr>
                <w:rFonts w:ascii="Arial" w:cs="Arial" w:eastAsia="Arial" w:hAnsi="Arial"/>
                <w:sz w:val="29"/>
                <w:szCs w:val="29"/>
                <w:color w:val="auto"/>
                <w:vertAlign w:val="superscript"/>
              </w:rPr>
              <w:t>(6)</w:t>
            </w:r>
          </w:p>
        </w:tc>
        <w:tc>
          <w:tcPr>
            <w:tcW w:w="1600" w:type="dxa"/>
            <w:vAlign w:val="bottom"/>
            <w:gridSpan w:val="2"/>
          </w:tcPr>
          <w:p>
            <w:pPr>
              <w:jc w:val="right"/>
              <w:ind w:right="37"/>
              <w:spacing w:after="0" w:line="253" w:lineRule="exact"/>
              <w:rPr>
                <w:sz w:val="20"/>
                <w:szCs w:val="20"/>
                <w:color w:val="auto"/>
              </w:rPr>
            </w:pPr>
            <w:r>
              <w:rPr>
                <w:rFonts w:ascii="Arial" w:cs="Arial" w:eastAsia="Arial" w:hAnsi="Arial"/>
                <w:sz w:val="18"/>
                <w:szCs w:val="18"/>
                <w:color w:val="auto"/>
              </w:rPr>
              <w:t>0.93%</w:t>
            </w:r>
            <w:r>
              <w:rPr>
                <w:rFonts w:ascii="Arial" w:cs="Arial" w:eastAsia="Arial" w:hAnsi="Arial"/>
                <w:sz w:val="29"/>
                <w:szCs w:val="29"/>
                <w:color w:val="auto"/>
                <w:vertAlign w:val="superscript"/>
              </w:rPr>
              <w:t>(6)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2"/>
              <w:spacing w:after="0" w:line="253" w:lineRule="exact"/>
              <w:rPr>
                <w:sz w:val="20"/>
                <w:szCs w:val="20"/>
                <w:color w:val="auto"/>
              </w:rPr>
            </w:pPr>
            <w:r>
              <w:rPr>
                <w:rFonts w:ascii="Arial" w:cs="Arial" w:eastAsia="Arial" w:hAnsi="Arial"/>
                <w:sz w:val="18"/>
                <w:szCs w:val="18"/>
                <w:color w:val="auto"/>
              </w:rPr>
              <w:t>(13.67)%</w:t>
            </w:r>
            <w:r>
              <w:rPr>
                <w:rFonts w:ascii="Arial" w:cs="Arial" w:eastAsia="Arial" w:hAnsi="Arial"/>
                <w:sz w:val="29"/>
                <w:szCs w:val="29"/>
                <w:color w:val="auto"/>
                <w:vertAlign w:val="superscript"/>
              </w:rPr>
              <w:t>(7)</w:t>
            </w:r>
          </w:p>
        </w:tc>
      </w:tr>
      <w:tr>
        <w:trPr>
          <w:trHeight w:val="230"/>
        </w:trPr>
        <w:tc>
          <w:tcPr>
            <w:tcW w:w="1420" w:type="dxa"/>
            <w:vAlign w:val="bottom"/>
          </w:tcPr>
          <w:p>
            <w:pPr>
              <w:jc w:val="right"/>
              <w:ind w:right="292"/>
              <w:spacing w:after="0"/>
              <w:rPr>
                <w:sz w:val="20"/>
                <w:szCs w:val="20"/>
                <w:color w:val="auto"/>
              </w:rPr>
            </w:pPr>
            <w:r>
              <w:rPr>
                <w:rFonts w:ascii="Arial" w:cs="Arial" w:eastAsia="Arial" w:hAnsi="Arial"/>
                <w:sz w:val="18"/>
                <w:szCs w:val="18"/>
                <w:color w:val="auto"/>
              </w:rPr>
              <w:t>19,320,100</w:t>
            </w:r>
          </w:p>
        </w:tc>
        <w:tc>
          <w:tcPr>
            <w:tcW w:w="1600" w:type="dxa"/>
            <w:vAlign w:val="bottom"/>
            <w:gridSpan w:val="2"/>
          </w:tcPr>
          <w:p>
            <w:pPr>
              <w:jc w:val="right"/>
              <w:ind w:right="357"/>
              <w:spacing w:after="0"/>
              <w:rPr>
                <w:sz w:val="20"/>
                <w:szCs w:val="20"/>
                <w:color w:val="auto"/>
              </w:rPr>
            </w:pPr>
            <w:r>
              <w:rPr>
                <w:rFonts w:ascii="Arial" w:cs="Arial" w:eastAsia="Arial" w:hAnsi="Arial"/>
                <w:sz w:val="18"/>
                <w:szCs w:val="18"/>
                <w:color w:val="auto"/>
              </w:rPr>
              <w:t>19,320,100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5,520,100</w:t>
            </w:r>
          </w:p>
        </w:tc>
      </w:tr>
      <w:tr>
        <w:trPr>
          <w:trHeight w:val="418"/>
        </w:trPr>
        <w:tc>
          <w:tcPr>
            <w:tcW w:w="1420" w:type="dxa"/>
            <w:vAlign w:val="bottom"/>
          </w:tcPr>
          <w:p>
            <w:pPr>
              <w:jc w:val="right"/>
              <w:ind w:right="292"/>
              <w:spacing w:after="0"/>
              <w:rPr>
                <w:sz w:val="20"/>
                <w:szCs w:val="20"/>
                <w:color w:val="auto"/>
              </w:rPr>
            </w:pPr>
            <w:r>
              <w:rPr>
                <w:rFonts w:ascii="Arial" w:cs="Arial" w:eastAsia="Arial" w:hAnsi="Arial"/>
                <w:sz w:val="18"/>
                <w:szCs w:val="18"/>
                <w:color w:val="auto"/>
                <w:w w:val="88"/>
              </w:rPr>
              <w:t>$ 287,966,444</w:t>
            </w:r>
          </w:p>
        </w:tc>
        <w:tc>
          <w:tcPr>
            <w:tcW w:w="1600" w:type="dxa"/>
            <w:vAlign w:val="bottom"/>
            <w:gridSpan w:val="2"/>
          </w:tcPr>
          <w:p>
            <w:pPr>
              <w:jc w:val="right"/>
              <w:ind w:right="357"/>
              <w:spacing w:after="0"/>
              <w:rPr>
                <w:sz w:val="20"/>
                <w:szCs w:val="20"/>
                <w:color w:val="auto"/>
              </w:rPr>
            </w:pPr>
            <w:r>
              <w:rPr>
                <w:rFonts w:ascii="Arial" w:cs="Arial" w:eastAsia="Arial" w:hAnsi="Arial"/>
                <w:sz w:val="18"/>
                <w:szCs w:val="18"/>
                <w:color w:val="auto"/>
              </w:rPr>
              <w:t>$252,582,801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w w:val="93"/>
              </w:rPr>
              <w:t>71,503,248</w:t>
            </w:r>
          </w:p>
        </w:tc>
      </w:tr>
      <w:tr>
        <w:trPr>
          <w:trHeight w:val="230"/>
        </w:trPr>
        <w:tc>
          <w:tcPr>
            <w:tcW w:w="1420" w:type="dxa"/>
            <w:vAlign w:val="bottom"/>
          </w:tcPr>
          <w:p>
            <w:pPr>
              <w:jc w:val="right"/>
              <w:ind w:right="292"/>
              <w:spacing w:after="0"/>
              <w:rPr>
                <w:sz w:val="20"/>
                <w:szCs w:val="20"/>
                <w:color w:val="auto"/>
              </w:rPr>
            </w:pPr>
            <w:r>
              <w:rPr>
                <w:rFonts w:ascii="Arial" w:cs="Arial" w:eastAsia="Arial" w:hAnsi="Arial"/>
                <w:sz w:val="18"/>
                <w:szCs w:val="18"/>
                <w:color w:val="auto"/>
                <w:w w:val="88"/>
              </w:rPr>
              <w:t>$ 250,121,052</w:t>
            </w:r>
          </w:p>
        </w:tc>
        <w:tc>
          <w:tcPr>
            <w:tcW w:w="1600" w:type="dxa"/>
            <w:vAlign w:val="bottom"/>
            <w:gridSpan w:val="2"/>
          </w:tcPr>
          <w:p>
            <w:pPr>
              <w:jc w:val="right"/>
              <w:ind w:right="357"/>
              <w:spacing w:after="0"/>
              <w:rPr>
                <w:sz w:val="20"/>
                <w:szCs w:val="20"/>
                <w:color w:val="auto"/>
              </w:rPr>
            </w:pPr>
            <w:r>
              <w:rPr>
                <w:rFonts w:ascii="Arial" w:cs="Arial" w:eastAsia="Arial" w:hAnsi="Arial"/>
                <w:sz w:val="18"/>
                <w:szCs w:val="18"/>
                <w:color w:val="auto"/>
              </w:rPr>
              <w:t>$208,050,344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w w:val="93"/>
              </w:rPr>
              <w:t>44,532,523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-2228215</wp:posOffset>
            </wp:positionH>
            <wp:positionV relativeFrom="paragraph">
              <wp:posOffset>-874395</wp:posOffset>
            </wp:positionV>
            <wp:extent cx="5213985"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-548005</wp:posOffset>
            </wp:positionV>
            <wp:extent cx="5213985"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-273685</wp:posOffset>
            </wp:positionV>
            <wp:extent cx="521398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0</wp:posOffset>
            </wp:positionV>
            <wp:extent cx="5213985" cy="3003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985" cy="3003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260" w:space="260"/>
            <w:col w:w="657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3720" w:type="dxa"/>
            <w:vAlign w:val="bottom"/>
            <w:gridSpan w:val="2"/>
          </w:tcPr>
          <w:p>
            <w:pPr>
              <w:ind w:left="180"/>
              <w:spacing w:after="0" w:line="274" w:lineRule="exact"/>
              <w:rPr>
                <w:sz w:val="20"/>
                <w:szCs w:val="20"/>
                <w:color w:val="auto"/>
              </w:rPr>
            </w:pPr>
            <w:r>
              <w:rPr>
                <w:rFonts w:ascii="Arial" w:cs="Arial" w:eastAsia="Arial" w:hAnsi="Arial"/>
                <w:sz w:val="18"/>
                <w:szCs w:val="18"/>
                <w:color w:val="auto"/>
              </w:rPr>
              <w:t>to average net assets</w:t>
            </w:r>
            <w:r>
              <w:rPr>
                <w:rFonts w:ascii="Arial" w:cs="Arial" w:eastAsia="Arial" w:hAnsi="Arial"/>
                <w:sz w:val="30"/>
                <w:szCs w:val="30"/>
                <w:color w:val="auto"/>
                <w:vertAlign w:val="superscript"/>
              </w:rPr>
              <w:t>(8)</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8.83%</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4.10%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5.01%</w:t>
            </w:r>
          </w:p>
        </w:tc>
      </w:tr>
      <w:tr>
        <w:trPr>
          <w:trHeight w:val="220"/>
        </w:trPr>
        <w:tc>
          <w:tcPr>
            <w:tcW w:w="3740" w:type="dxa"/>
            <w:vAlign w:val="bottom"/>
            <w:gridSpan w:val="3"/>
          </w:tcPr>
          <w:p>
            <w:pPr>
              <w:ind w:left="20"/>
              <w:spacing w:after="0"/>
              <w:rPr>
                <w:sz w:val="20"/>
                <w:szCs w:val="20"/>
                <w:color w:val="auto"/>
              </w:rPr>
            </w:pPr>
            <w:r>
              <w:rPr>
                <w:rFonts w:ascii="Arial" w:cs="Arial" w:eastAsia="Arial" w:hAnsi="Arial"/>
                <w:sz w:val="18"/>
                <w:szCs w:val="18"/>
                <w:color w:val="auto"/>
              </w:rPr>
              <w:t>Annualized ratio of net operating expenses to</w:t>
            </w: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67"/>
        </w:trPr>
        <w:tc>
          <w:tcPr>
            <w:tcW w:w="20" w:type="dxa"/>
            <w:vAlign w:val="bottom"/>
          </w:tcPr>
          <w:p>
            <w:pPr>
              <w:spacing w:after="0"/>
              <w:rPr>
                <w:sz w:val="23"/>
                <w:szCs w:val="23"/>
                <w:color w:val="auto"/>
              </w:rPr>
            </w:pPr>
          </w:p>
        </w:tc>
        <w:tc>
          <w:tcPr>
            <w:tcW w:w="372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8.83%</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4.10%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5.01%</w:t>
            </w:r>
          </w:p>
        </w:tc>
      </w:tr>
      <w:tr>
        <w:trPr>
          <w:trHeight w:val="205"/>
        </w:trPr>
        <w:tc>
          <w:tcPr>
            <w:tcW w:w="374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rPr>
              <w:t>Annualized ratio of net investment loss to</w:t>
            </w:r>
          </w:p>
        </w:tc>
        <w:tc>
          <w:tcPr>
            <w:tcW w:w="1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67"/>
        </w:trPr>
        <w:tc>
          <w:tcPr>
            <w:tcW w:w="20" w:type="dxa"/>
            <w:vAlign w:val="bottom"/>
            <w:shd w:val="clear" w:color="auto" w:fill="CCEEFF"/>
          </w:tcPr>
          <w:p>
            <w:pPr>
              <w:spacing w:after="0"/>
              <w:rPr>
                <w:sz w:val="23"/>
                <w:szCs w:val="23"/>
                <w:color w:val="auto"/>
              </w:rPr>
            </w:pPr>
          </w:p>
        </w:tc>
        <w:tc>
          <w:tcPr>
            <w:tcW w:w="372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(3.04)%</w:t>
            </w:r>
          </w:p>
        </w:tc>
        <w:tc>
          <w:tcPr>
            <w:tcW w:w="16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(3.98)%</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(4.64)%</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56" w:lineRule="exact"/>
        <w:rPr>
          <w:sz w:val="20"/>
          <w:szCs w:val="20"/>
          <w:color w:val="auto"/>
        </w:rPr>
      </w:pPr>
    </w:p>
    <w:p>
      <w:pPr>
        <w:ind w:left="300" w:hanging="27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 for the year/period.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shares outstanding at end of period.</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common shares for the year ended December 31, 2012 is based on the change in net asset value from the secondary offerings on February 10, 2012 and May 11, 2012.</w:t>
      </w:r>
    </w:p>
    <w:p>
      <w:pPr>
        <w:spacing w:after="0" w:line="62"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common shares for the period from January 6, 2011 (date of inception) to December 31, 2011 is based on the weighted average offering price for the shares issued during the period.</w:t>
      </w:r>
    </w:p>
    <w:p>
      <w:pPr>
        <w:spacing w:after="0" w:line="62"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spacing w:after="0" w:line="73" w:lineRule="exact"/>
        <w:rPr>
          <w:rFonts w:ascii="Arial" w:cs="Arial" w:eastAsia="Arial" w:hAnsi="Arial"/>
          <w:sz w:val="18"/>
          <w:szCs w:val="18"/>
          <w:color w:val="auto"/>
        </w:rPr>
      </w:pPr>
    </w:p>
    <w:p>
      <w:pPr>
        <w:jc w:val="both"/>
        <w:ind w:left="300" w:right="519" w:hanging="272"/>
        <w:spacing w:after="0" w:line="293" w:lineRule="auto"/>
        <w:tabs>
          <w:tab w:leader="none" w:pos="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percentage returns noted above are based on the increase in our net asset value attributable to issuances of our common stock at a premium to our net asset value per share, rather than investment returns. Such issuances of our common stock at a premium to net asset value per share are not typical, and may not occur in the future. The total returns are not annualized.</w:t>
      </w:r>
    </w:p>
    <w:p>
      <w:pPr>
        <w:spacing w:after="0" w:line="56" w:lineRule="exact"/>
        <w:rPr>
          <w:rFonts w:ascii="Arial" w:cs="Arial" w:eastAsia="Arial" w:hAnsi="Arial"/>
          <w:sz w:val="16"/>
          <w:szCs w:val="16"/>
          <w:color w:val="auto"/>
        </w:rPr>
      </w:pPr>
    </w:p>
    <w:p>
      <w:pPr>
        <w:jc w:val="both"/>
        <w:ind w:left="300" w:right="519" w:hanging="272"/>
        <w:spacing w:after="0" w:line="259" w:lineRule="auto"/>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assuming an investment at the initial public offering price of $15.00 per share. Total return based on net asset value is based upon the change in net asset value per share between the opening and ending net asset values per share and the issuance of common shares in the period. The total returns are not annualized.</w:t>
      </w:r>
    </w:p>
    <w:p>
      <w:pPr>
        <w:spacing w:after="0" w:line="78" w:lineRule="exact"/>
        <w:rPr>
          <w:rFonts w:ascii="Arial" w:cs="Arial" w:eastAsia="Arial" w:hAnsi="Arial"/>
          <w:sz w:val="18"/>
          <w:szCs w:val="18"/>
          <w:color w:val="auto"/>
        </w:rPr>
      </w:pPr>
    </w:p>
    <w:p>
      <w:pPr>
        <w:jc w:val="both"/>
        <w:ind w:left="300" w:right="519" w:hanging="272"/>
        <w:spacing w:after="0" w:line="272" w:lineRule="auto"/>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Financial Highlights for periods of less than one year are annualized and the ratios of operating expenses to average net assets and net investment loss to average net assets are adjusted accordingly. Non-recurring expenses were not annualized. For the year-end December 31, 2013, December 31, 2012, and for the period from January 6, 2011 (date of inception) to December 31, 2011, the Company incurred $0, $0, and $198,831 of organizational expenses, respectively, which were deemed to be non-recurring. For the period from January 6, 2011 (date of inception) to December 31, 2011, average net assets were calculated starting from the issuance of 100 shares on February 28, 2011.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 and its wholly-owned subsidiaries account for income taxes as C Corporations that are subject to federal and state corporate income taxes. These subsidiaries hold certain pass-through companies in connection with the Company’s proposed qualification as a RIC.</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For the three and nine months ended September 30, 2014, neither the Company nor its subsidiaries recorded a current income tax expense or benefit since they had net operating losses and capital loss carryforwards from prior years and a net operating loss for these periods. For the three and nine months ended September 30, 2013, the Company did not recognize a current income tax expense or benefit for the same reasons.</w:t>
      </w:r>
    </w:p>
    <w:p>
      <w:pPr>
        <w:spacing w:after="0" w:line="79"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Company and its wholly-owned subsidiaries recorded deferred income tax benefits and expenses for the three and nine months ended September 30, 2014, which consisted primarily of temporary differences related to certain expenses, net operating losses, capital losses and temporary differences arising from differences between the tax basis and financial reporting basis in underlying investments. For the three and nine months ended September 30, 2014, the Company recorded net deferred income tax provisions of $4,153,188 and $3,488,769, respectively. The Company recorded no deferred income tax expense or benefit for the three and nine months ended September 30, 2013 since it provided a full valuation allowance for deferred tax assets, which consisted primarily of net operating losses and temporary differences based on realized losses and unrealized depreciation of investments for financial statement purposes.</w:t>
      </w:r>
    </w:p>
    <w:p>
      <w:pPr>
        <w:spacing w:after="0" w:line="7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For federal and state purposes, a portion of the Company’s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79"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In September 2014 the Company filed its 2013 tax return as a regulated investment company “RIC” and is seeking to be granted RIC status for the 2013 taxable year, however, it will not be eligible to elect to be treated as a RIC for the 2013 taxable year unless it is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Although it filed an application with the SEC for an SEC Certification for the 2013 taxable year, there can be no assurance that it will receive an SEC Certification. In the event that the Company does not receive such SEC Certification or is otherwise unable to meet all of the qualifications to be treated as a RIC for 2013, it will be taxed as a C Corporation for the 2013 taxable year. Should it not qualify as a RIC for 2013, it intends to elect to be treated as a RIC for the 2014 taxable year, if management determines that it is in its best interests to do so. If it opts not to do so or is unable to qualify, it will continue to be taxed as a C corporation under the Code for the 2014 taxable year.</w:t>
      </w:r>
    </w:p>
    <w:p>
      <w:pPr>
        <w:spacing w:after="0" w:line="61"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The Company believes that its status as a RIC remains uncertain. For purposes of its financial statements, it has not recognized any tax benefits as a RIC and continued to provide tax liabilities as though it were a C Corporation through the reporting period including liabilities associated with the uncertain tax position, which arose from taxable temporary differences. As a result of the 2013 tax return filing as a RIC during the three months ended September 30, 2014, the Company increased its gross unrecognized tax benefits from zero to $10,447,042, of which $9,729,761, if recognized, would affect its effective tax rate by reducing its net deferred tax liability. The Company cannot determine the likelihood that the total amount of unrecognized tax benefits will change significantly within the next 12 months, however such change, if it occurs, will be directly linked to the final determination of its RIC status for 2013.</w:t>
      </w: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 – (continued)</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identified its major tax jurisdictions as U.S. federal and California and may be subject to the taxing authorities examination for the tax years 2011 – 2014 and 2010 – 2014, respectively.</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Company accrues all interest and penalties related to uncertain tax positions as incurred. As of September 30, 2014, there were no interest or penalties incurred related to uncertain tax positions.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On September 17, 2013, the Company issued $69,000,000 aggregate principal amount of the Convertible Senior Notes (the “Convertible Senior Notes”) (including $9,000,000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our common stock based on an initial conversion rate of 61.5091 shares of the Company’s common stock per $1,000 principal amount of Convertible Senior Notes, which is equivalent to an initial conversion price of approximately $16.26 per share of common stock. The Convertible Senior Notes mature on September 15, 2018, unless previously purchased or converted in accordance with their terms. The Company does not have the right to redeem the Convertible Senior Notes prior to maturity.</w:t>
      </w:r>
    </w:p>
    <w:p>
      <w:pPr>
        <w:spacing w:after="0" w:line="74"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 xml:space="preserve">The terms of the offering require the Company to place a portion of the proceeds of the offering in an escrow account (the “Interest Escrow”) with U.S. Bank National Association (the “Trustee”) under the indenture pursuant to which the notes are issued. Funds in the escrow account will be invested in government securities and will be used to make the first six scheduled interest payments on the notes, unless the Company elects to make the interest payments from the Company’s available funds. The interest payments on the Convertible Senior Notes will be secured by a pledge of the Company’s interest in the escrow account. In accordance with the Interest Escrow, the Company deposited $10,867,500 in an escrow account with the Trustee. These funds were used to purchase U.S. Treasury Strips (“Government Securities”) with an original cost of $10,845,236. As of September 30, 2014, 2 of the government securities purchased had matured and the proceeds were used by the trustee in accordance with the terms of the escrow agreement. At September 30, 2014, the remaining government securities are shown on the Consolidated Schedule of Investments and have an amortized cost of $7,277,896. The excess funds of $23,889 held in escrow will be used to secure the payment of the notes and is included on the Consolidated Statements of Assets and Liabilities as “Restricted Cash”. Proceeds from the issuance of the Convertible Senior Notes were offset by offering costs of approximately $3,585,929 that are being amortized over the term of the notes in accordance with ASC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As of September 30, 2014, of the total offering costs of $3,585,929 incurred, $2,841,316 remains to be amortized and is included within deferred debt issuance costs on the Consolidated Statements of Assets and Liabilities.</w:t>
      </w:r>
    </w:p>
    <w:p>
      <w:pPr>
        <w:spacing w:after="0" w:line="75"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As of September 30, 2014,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Convertible Senior Notes contain an interest make-whole payment provision pursuant to which holders who convert their notes prior to September 15, 2016 will receive, in addition to a number of shares of our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5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Company used a binomial lattice model to estimate the fair value of the embedded derivative in the Convertible Senior Notes. A binomial lattice model generates potential outcomes at various points in time, starting from the date of valuation until the expiration date of the embedded derivative. The estimated fair value of the embedded derivative as of September 30, 2014 is $12,000 as shown on the Consolidated Statement of Assets and Liabilities. The $787,000 decrease in the estimated fair value of the embedded derivative between December 31, 2013 and September 30, 2014 represents a gain from change in the fair value of embedded derivative as shown on the Consolidated Statement of Operations and Consolidated Statement of Cash Flows.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Company entered into the Loan Agreement, effective December 31, 2013, with Silicon Valley Bank to provide the Company with a new $18 million Credit Facility. Under the Credit Facility, the Company is permitted to borrow an amount equal to the lesser of $18 million or 20% of our then-current net asset value.</w:t>
      </w:r>
    </w:p>
    <w:p>
      <w:pPr>
        <w:spacing w:after="0" w:line="73"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 Under the terms of the Credit Facility, the Company must repay all outstanding borrowings so that there is at least a 30-day period every twelve months during which the Company has no balance outstanding. Under the terms of the Credit Facility, we must repay all outstanding borrowings so that there is at least a 30-day period every twelve months during which we have no balance outstanding. Under the Loan Agreement, the Company has made certain customary representations and warranties and is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75"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Credit Facility is secured by all of the Company’s property and assets, except for the Company’s assets pledged to secure certain obligations in connection with the Company’s issuance, in September 2013, of the Convertible Senior Notes and, as provided for in the Loan Agreement, as may be pledged in connection with any future issuance by the Company of convertible senior notes on substantially similar terms.</w:t>
      </w:r>
    </w:p>
    <w:p>
      <w:pPr>
        <w:spacing w:after="0" w:line="79"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Borrowing under the Credit Facility is subject to the leverage restrictions contained in the Investment Company Act of 1940, as amended. In addition, under the Loan Agreement, and as provided for therein, we have agreed not to incur certain additional permitted indebtedness in an aggregate amount exceeding 50% of our then-applicable net asset value.</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The Company has evaluated subsequent events through the date of issuance of the consolidated financial statements included herein (November 10, 2014). There have been no subsequent events that occurred during such period that would require disclosure in this Form 10-Q or would be required to be recognized in the consolidated financial statements as of and for the nine months ended September 30, 2014, except as disclosed below.</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60" w:right="519" w:firstLine="270"/>
        <w:spacing w:after="0" w:line="279" w:lineRule="auto"/>
        <w:rPr>
          <w:sz w:val="20"/>
          <w:szCs w:val="20"/>
          <w:color w:val="auto"/>
        </w:rPr>
      </w:pPr>
      <w:r>
        <w:rPr>
          <w:rFonts w:ascii="Arial" w:cs="Arial" w:eastAsia="Arial" w:hAnsi="Arial"/>
          <w:sz w:val="17"/>
          <w:szCs w:val="17"/>
          <w:color w:val="auto"/>
        </w:rPr>
        <w:t>From September 30, 2014 through November 10, 2014, the Company did not sell any investments. A binding purchase agreement for Course Hero Inc. was signed on September 19, 2014 with a closing date of November 4, 2014. On November 4, 2014 the Company funded the investment of $5,000,001. From September 30, 2014 through November 10, 2014, the Company closed on investments of $14,724,998 plus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47510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14"/>
                <w:szCs w:val="14"/>
                <w:color w:val="auto"/>
              </w:rPr>
            </w:pPr>
          </w:p>
        </w:tc>
        <w:tc>
          <w:tcPr>
            <w:tcW w:w="2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71"/>
        </w:trPr>
        <w:tc>
          <w:tcPr>
            <w:tcW w:w="2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OzyMedia, Inc.</w:t>
            </w: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Daily News and Information Site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3-Oct-14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4,999,999</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NestGSV, Inc.</w:t>
            </w:r>
          </w:p>
        </w:tc>
        <w:tc>
          <w:tcPr>
            <w:tcW w:w="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Incubator</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6-Oct-14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899,999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 Sustainability Partners</w:t>
            </w: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Clean Technology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13-Oct-14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3,875,000</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Enjoy Technology, Inc.</w:t>
            </w:r>
          </w:p>
        </w:tc>
        <w:tc>
          <w:tcPr>
            <w:tcW w:w="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5"/>
              </w:rPr>
              <w:t>Mobile Social</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23-Oct-14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1,000,000</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DogVacay, Inc.</w:t>
            </w: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Marketplaces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3-Nov-14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2,500,000</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Learnist Inc. (f/k/a Grockit, Inc.)</w:t>
            </w:r>
          </w:p>
        </w:tc>
        <w:tc>
          <w:tcPr>
            <w:tcW w:w="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Online Learning Platform</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7-Nov-14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1,450,000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Payments</w:t>
            </w:r>
          </w:p>
        </w:tc>
        <w:tc>
          <w:tcPr>
            <w:tcW w:w="8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14,724,998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Line of Credit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10, 2014, our balance on the credit facility was $7.0 million.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Escrow Deposits</w:t>
      </w:r>
    </w:p>
    <w:p>
      <w:pPr>
        <w:spacing w:after="0" w:line="117"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September 30, 2014 through November 10, 2014, the Company has not made any such escrow deposits.</w:t>
      </w:r>
    </w:p>
    <w:p>
      <w:pPr>
        <w:spacing w:after="0" w:line="200" w:lineRule="exact"/>
        <w:rPr>
          <w:sz w:val="20"/>
          <w:szCs w:val="20"/>
          <w:color w:val="auto"/>
        </w:rPr>
      </w:pPr>
    </w:p>
    <w:p>
      <w:pPr>
        <w:spacing w:after="0" w:line="3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2619"/>
        <w:spacing w:after="0" w:line="40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85"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forward looking statements contained in this quarterly report on Form 10-Q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539" w:hanging="322"/>
        <w:spacing w:after="0" w:line="277"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opt to use leverage as part of our investment strategy, and</w:t>
      </w:r>
    </w:p>
    <w:p>
      <w:pPr>
        <w:spacing w:after="0" w:line="62"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 and in our filings with the SEC.</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this quarterly report on Form 10-Q.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180" w:right="539" w:firstLine="270"/>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 elsewhere in this quarterly report on Form 10-Q.</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80" w:right="519" w:firstLine="270"/>
        <w:spacing w:after="0" w:line="271" w:lineRule="auto"/>
        <w:rPr>
          <w:sz w:val="20"/>
          <w:szCs w:val="20"/>
          <w:color w:val="auto"/>
        </w:rPr>
      </w:pPr>
      <w:r>
        <w:rPr>
          <w:rFonts w:ascii="Arial" w:cs="Arial" w:eastAsia="Arial" w:hAnsi="Arial"/>
          <w:sz w:val="17"/>
          <w:szCs w:val="17"/>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 capital-backed emerging companies. We acquire our investments through direct investments with prospective portfolio companies, secondary marketplaces for private companies and negotiations with selling stockholders.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71" w:lineRule="exact"/>
        <w:rPr>
          <w:sz w:val="20"/>
          <w:szCs w:val="20"/>
          <w:color w:val="auto"/>
        </w:rPr>
      </w:pPr>
    </w:p>
    <w:p>
      <w:pPr>
        <w:jc w:val="both"/>
        <w:ind w:left="180" w:right="519" w:firstLine="270"/>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mobile, cloud computing and big data, internet commerce, sustainability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81" w:lineRule="exact"/>
        <w:rPr>
          <w:sz w:val="20"/>
          <w:szCs w:val="20"/>
          <w:color w:val="auto"/>
        </w:rPr>
      </w:pPr>
    </w:p>
    <w:p>
      <w:pPr>
        <w:jc w:val="both"/>
        <w:ind w:left="180" w:right="539" w:firstLine="270"/>
        <w:spacing w:after="0" w:line="264"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months ended September 30, 2014 and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2139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74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September 30, 2014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right"/>
              <w:ind w:right="197"/>
              <w:spacing w:after="0"/>
              <w:rPr>
                <w:sz w:val="20"/>
                <w:szCs w:val="20"/>
                <w:color w:val="auto"/>
              </w:rPr>
            </w:pPr>
            <w:r>
              <w:rPr>
                <w:rFonts w:ascii="Arial" w:cs="Arial" w:eastAsia="Arial" w:hAnsi="Arial"/>
                <w:sz w:val="14"/>
                <w:szCs w:val="14"/>
                <w:b w:val="1"/>
                <w:bCs w:val="1"/>
                <w:color w:val="auto"/>
              </w:rPr>
              <w:t>September 30, 2013</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(Unaudited)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Per Basic</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Per Basic</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w w:val="97"/>
              </w:rPr>
              <w:t>Share</w:t>
            </w:r>
            <w:r>
              <w:rPr>
                <w:rFonts w:ascii="Arial" w:cs="Arial" w:eastAsia="Arial" w:hAnsi="Arial"/>
                <w:sz w:val="23"/>
                <w:szCs w:val="23"/>
                <w:b w:val="1"/>
                <w:bCs w:val="1"/>
                <w:color w:val="auto"/>
                <w:w w:val="97"/>
                <w:vertAlign w:val="superscript"/>
              </w:rPr>
              <w:t>(1)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540" w:type="dxa"/>
            <w:vAlign w:val="bottom"/>
            <w:vMerge w:val="continue"/>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w w:val="99"/>
              </w:rPr>
              <w:t>$   21,971</w:t>
            </w:r>
          </w:p>
        </w:tc>
        <w:tc>
          <w:tcPr>
            <w:tcW w:w="16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2,644</w:t>
            </w:r>
          </w:p>
        </w:tc>
        <w:tc>
          <w:tcPr>
            <w:tcW w:w="16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21,971</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8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Dividend income</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w:t>
            </w:r>
          </w:p>
        </w:tc>
        <w:tc>
          <w:tcPr>
            <w:tcW w:w="860" w:type="dxa"/>
            <w:vAlign w:val="bottom"/>
            <w:gridSpan w:val="2"/>
          </w:tcPr>
          <w:p>
            <w:pPr>
              <w:jc w:val="right"/>
              <w:ind w:right="17"/>
              <w:spacing w:after="0"/>
              <w:rPr>
                <w:sz w:val="20"/>
                <w:szCs w:val="20"/>
                <w:color w:val="auto"/>
              </w:rPr>
            </w:pPr>
            <w:r>
              <w:rPr>
                <w:rFonts w:ascii="Arial" w:cs="Arial" w:eastAsia="Arial" w:hAnsi="Arial"/>
                <w:sz w:val="18"/>
                <w:szCs w:val="18"/>
                <w:color w:val="auto"/>
              </w:rPr>
              <w:t>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9"/>
              </w:rPr>
              <w:t>8,271,569</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0.43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3,016,433</w:t>
            </w:r>
          </w:p>
        </w:tc>
        <w:tc>
          <w:tcPr>
            <w:tcW w:w="8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0.16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Investment management fees</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1,949,705</w:t>
            </w:r>
          </w:p>
        </w:tc>
        <w:tc>
          <w:tcPr>
            <w:tcW w:w="820" w:type="dxa"/>
            <w:vAlign w:val="bottom"/>
            <w:gridSpan w:val="2"/>
          </w:tcPr>
          <w:p>
            <w:pPr>
              <w:jc w:val="right"/>
              <w:ind w:right="59"/>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1,298,858</w:t>
            </w:r>
          </w:p>
        </w:tc>
        <w:tc>
          <w:tcPr>
            <w:tcW w:w="860" w:type="dxa"/>
            <w:vAlign w:val="bottom"/>
            <w:gridSpan w:val="2"/>
          </w:tcPr>
          <w:p>
            <w:pPr>
              <w:jc w:val="right"/>
              <w:ind w:right="17"/>
              <w:spacing w:after="0"/>
              <w:rPr>
                <w:sz w:val="20"/>
                <w:szCs w:val="20"/>
                <w:color w:val="auto"/>
              </w:rPr>
            </w:pPr>
            <w:r>
              <w:rPr>
                <w:rFonts w:ascii="Arial" w:cs="Arial" w:eastAsia="Arial" w:hAnsi="Arial"/>
                <w:sz w:val="18"/>
                <w:szCs w:val="18"/>
                <w:color w:val="auto"/>
              </w:rPr>
              <w:t>0.07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incentive fees</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3,684,300</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Costs incurred under our administration agreement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718,896</w:t>
            </w:r>
          </w:p>
        </w:tc>
        <w:tc>
          <w:tcPr>
            <w:tcW w:w="820" w:type="dxa"/>
            <w:vAlign w:val="bottom"/>
            <w:gridSpan w:val="2"/>
          </w:tcPr>
          <w:p>
            <w:pPr>
              <w:jc w:val="right"/>
              <w:ind w:right="59"/>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678,283</w:t>
            </w:r>
          </w:p>
        </w:tc>
        <w:tc>
          <w:tcPr>
            <w:tcW w:w="860" w:type="dxa"/>
            <w:vAlign w:val="bottom"/>
            <w:gridSpan w:val="2"/>
          </w:tcPr>
          <w:p>
            <w:pPr>
              <w:jc w:val="right"/>
              <w:ind w:right="17"/>
              <w:spacing w:after="0"/>
              <w:rPr>
                <w:sz w:val="20"/>
                <w:szCs w:val="20"/>
                <w:color w:val="auto"/>
              </w:rPr>
            </w:pPr>
            <w:r>
              <w:rPr>
                <w:rFonts w:ascii="Arial" w:cs="Arial" w:eastAsia="Arial" w:hAnsi="Arial"/>
                <w:sz w:val="18"/>
                <w:szCs w:val="18"/>
                <w:color w:val="auto"/>
              </w:rPr>
              <w:t>0.04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fees</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65,000</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8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Professional fees</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442,683</w:t>
            </w:r>
          </w:p>
        </w:tc>
        <w:tc>
          <w:tcPr>
            <w:tcW w:w="820" w:type="dxa"/>
            <w:vAlign w:val="bottom"/>
            <w:gridSpan w:val="2"/>
          </w:tcPr>
          <w:p>
            <w:pPr>
              <w:jc w:val="right"/>
              <w:ind w:right="59"/>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198,932</w:t>
            </w:r>
          </w:p>
        </w:tc>
        <w:tc>
          <w:tcPr>
            <w:tcW w:w="860" w:type="dxa"/>
            <w:vAlign w:val="bottom"/>
            <w:gridSpan w:val="2"/>
          </w:tcPr>
          <w:p>
            <w:pPr>
              <w:jc w:val="right"/>
              <w:ind w:right="17"/>
              <w:spacing w:after="0"/>
              <w:rPr>
                <w:sz w:val="20"/>
                <w:szCs w:val="20"/>
                <w:color w:val="auto"/>
              </w:rPr>
            </w:pPr>
            <w:r>
              <w:rPr>
                <w:rFonts w:ascii="Arial" w:cs="Arial" w:eastAsia="Arial" w:hAnsi="Arial"/>
                <w:sz w:val="18"/>
                <w:szCs w:val="18"/>
                <w:color w:val="auto"/>
              </w:rPr>
              <w:t>0.01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1,442,063</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191,188</w:t>
            </w:r>
          </w:p>
        </w:tc>
        <w:tc>
          <w:tcPr>
            <w:tcW w:w="8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0.01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Insurance Expense</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61,800</w:t>
            </w:r>
          </w:p>
        </w:tc>
        <w:tc>
          <w:tcPr>
            <w:tcW w:w="820" w:type="dxa"/>
            <w:vAlign w:val="bottom"/>
            <w:gridSpan w:val="2"/>
          </w:tcPr>
          <w:p>
            <w:pPr>
              <w:jc w:val="right"/>
              <w:ind w:right="59"/>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62,732</w:t>
            </w:r>
          </w:p>
        </w:tc>
        <w:tc>
          <w:tcPr>
            <w:tcW w:w="860" w:type="dxa"/>
            <w:vAlign w:val="bottom"/>
            <w:gridSpan w:val="2"/>
          </w:tcPr>
          <w:p>
            <w:pPr>
              <w:jc w:val="right"/>
              <w:ind w:right="17"/>
              <w:spacing w:after="0"/>
              <w:rPr>
                <w:sz w:val="20"/>
                <w:szCs w:val="20"/>
                <w:color w:val="auto"/>
              </w:rPr>
            </w:pPr>
            <w:r>
              <w:rPr>
                <w:rFonts w:ascii="Arial" w:cs="Arial" w:eastAsia="Arial" w:hAnsi="Arial"/>
                <w:sz w:val="18"/>
                <w:szCs w:val="18"/>
                <w:color w:val="auto"/>
              </w:rPr>
              <w:t>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Investor Relations Expense</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35,816</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54,760</w:t>
            </w:r>
          </w:p>
        </w:tc>
        <w:tc>
          <w:tcPr>
            <w:tcW w:w="8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Other expenses</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18,306</w:t>
            </w:r>
          </w:p>
        </w:tc>
        <w:tc>
          <w:tcPr>
            <w:tcW w:w="820" w:type="dxa"/>
            <w:vAlign w:val="bottom"/>
            <w:gridSpan w:val="2"/>
          </w:tcPr>
          <w:p>
            <w:pPr>
              <w:jc w:val="right"/>
              <w:ind w:right="59"/>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45,680</w:t>
            </w:r>
          </w:p>
        </w:tc>
        <w:tc>
          <w:tcPr>
            <w:tcW w:w="860" w:type="dxa"/>
            <w:vAlign w:val="bottom"/>
            <w:gridSpan w:val="2"/>
          </w:tcPr>
          <w:p>
            <w:pPr>
              <w:jc w:val="right"/>
              <w:ind w:right="17"/>
              <w:spacing w:after="0"/>
              <w:rPr>
                <w:sz w:val="20"/>
                <w:szCs w:val="20"/>
                <w:color w:val="auto"/>
              </w:rPr>
            </w:pPr>
            <w:r>
              <w:rPr>
                <w:rFonts w:ascii="Arial" w:cs="Arial" w:eastAsia="Arial" w:hAnsi="Arial"/>
                <w:sz w:val="18"/>
                <w:szCs w:val="18"/>
                <w:color w:val="auto"/>
              </w:rPr>
              <w:t>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5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Loss (Gain) on fair value adjustment for embedded</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derivative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421,000</w:t>
            </w:r>
          </w:p>
        </w:tc>
        <w:tc>
          <w:tcPr>
            <w:tcW w:w="8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0.02</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Benefit for taxes on net investment loss</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3,368,311</w:t>
            </w:r>
          </w:p>
        </w:tc>
        <w:tc>
          <w:tcPr>
            <w:tcW w:w="820" w:type="dxa"/>
            <w:vAlign w:val="bottom"/>
            <w:gridSpan w:val="2"/>
          </w:tcPr>
          <w:p>
            <w:pPr>
              <w:jc w:val="right"/>
              <w:ind w:right="59"/>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1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20" w:type="dxa"/>
            <w:vAlign w:val="bottom"/>
          </w:tcPr>
          <w:p>
            <w:pPr>
              <w:jc w:val="right"/>
              <w:ind w:right="613"/>
              <w:spacing w:after="0"/>
              <w:rPr>
                <w:sz w:val="20"/>
                <w:szCs w:val="20"/>
                <w:color w:val="auto"/>
              </w:rPr>
            </w:pPr>
            <w:r>
              <w:rPr>
                <w:rFonts w:ascii="Arial" w:cs="Arial" w:eastAsia="Arial" w:hAnsi="Arial"/>
                <w:sz w:val="18"/>
                <w:szCs w:val="18"/>
                <w:color w:val="auto"/>
                <w:w w:val="99"/>
              </w:rPr>
              <w:t>40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5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5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4420" w:type="dxa"/>
            <w:vAlign w:val="bottom"/>
            <w:gridSpan w:val="4"/>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98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2860" w:type="dxa"/>
            <w:vAlign w:val="bottom"/>
          </w:tcPr>
          <w:p>
            <w:pPr>
              <w:spacing w:after="0"/>
              <w:rPr>
                <w:sz w:val="23"/>
                <w:szCs w:val="23"/>
                <w:color w:val="auto"/>
              </w:rPr>
            </w:pPr>
          </w:p>
        </w:tc>
        <w:tc>
          <w:tcPr>
            <w:tcW w:w="180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rPr>
              <w:t>September 30, 2014</w:t>
            </w:r>
          </w:p>
        </w:tc>
        <w:tc>
          <w:tcPr>
            <w:tcW w:w="160" w:type="dxa"/>
            <w:vAlign w:val="bottom"/>
          </w:tcPr>
          <w:p>
            <w:pPr>
              <w:spacing w:after="0"/>
              <w:rPr>
                <w:sz w:val="23"/>
                <w:szCs w:val="23"/>
                <w:color w:val="auto"/>
              </w:rPr>
            </w:pPr>
          </w:p>
        </w:tc>
        <w:tc>
          <w:tcPr>
            <w:tcW w:w="1840" w:type="dxa"/>
            <w:vAlign w:val="bottom"/>
            <w:gridSpan w:val="3"/>
          </w:tcPr>
          <w:p>
            <w:pPr>
              <w:jc w:val="right"/>
              <w:ind w:right="237"/>
              <w:spacing w:after="0"/>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Per Basic</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Per Basic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3"/>
            <w:vMerge w:val="restart"/>
          </w:tcPr>
          <w:p>
            <w:pPr>
              <w:ind w:left="180"/>
              <w:spacing w:after="0"/>
              <w:rPr>
                <w:sz w:val="20"/>
                <w:szCs w:val="20"/>
                <w:color w:val="auto"/>
              </w:rPr>
            </w:pPr>
            <w:r>
              <w:rPr>
                <w:rFonts w:ascii="Arial" w:cs="Arial" w:eastAsia="Arial" w:hAnsi="Arial"/>
                <w:sz w:val="18"/>
                <w:szCs w:val="18"/>
                <w:color w:val="auto"/>
              </w:rPr>
              <w:t>Net Investment Loss</w:t>
            </w: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w w:val="97"/>
              </w:rPr>
              <w:t>Share</w:t>
            </w:r>
            <w:r>
              <w:rPr>
                <w:rFonts w:ascii="Arial" w:cs="Arial" w:eastAsia="Arial" w:hAnsi="Arial"/>
                <w:sz w:val="23"/>
                <w:szCs w:val="23"/>
                <w:b w:val="1"/>
                <w:bCs w:val="1"/>
                <w:color w:val="auto"/>
                <w:w w:val="97"/>
                <w:vertAlign w:val="superscript"/>
              </w:rPr>
              <w:t>(1)</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gridSpan w:val="3"/>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(4,881,287)</w:t>
            </w:r>
          </w:p>
        </w:tc>
        <w:tc>
          <w:tcPr>
            <w:tcW w:w="16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(3,013,789)</w:t>
            </w:r>
          </w:p>
        </w:tc>
        <w:tc>
          <w:tcPr>
            <w:tcW w:w="16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Realized Gain (Loss) on Investments</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5"/>
              </w:rPr>
              <w:t>17,160,816</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(162,569)</w:t>
            </w:r>
          </w:p>
        </w:tc>
        <w:tc>
          <w:tcPr>
            <w:tcW w:w="8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Benefit for taxes on Net Realized Capital Losses</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(7,006,762)</w:t>
            </w:r>
          </w:p>
        </w:tc>
        <w:tc>
          <w:tcPr>
            <w:tcW w:w="800" w:type="dxa"/>
            <w:vAlign w:val="bottom"/>
            <w:gridSpan w:val="2"/>
          </w:tcPr>
          <w:p>
            <w:pPr>
              <w:jc w:val="right"/>
              <w:ind w:right="2"/>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Change in Unrealized Appreciation on Investments</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1,260,683</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0.07</w:t>
            </w:r>
          </w:p>
        </w:tc>
        <w:tc>
          <w:tcPr>
            <w:tcW w:w="11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8,892,104</w:t>
            </w:r>
          </w:p>
        </w:tc>
        <w:tc>
          <w:tcPr>
            <w:tcW w:w="8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Provision for taxes on Unrealized Appreciation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3"/>
          </w:tcPr>
          <w:p>
            <w:pPr>
              <w:ind w:left="360"/>
              <w:spacing w:after="0"/>
              <w:rPr>
                <w:sz w:val="20"/>
                <w:szCs w:val="20"/>
                <w:color w:val="auto"/>
              </w:rPr>
            </w:pPr>
            <w:r>
              <w:rPr>
                <w:rFonts w:ascii="Arial" w:cs="Arial" w:eastAsia="Arial" w:hAnsi="Arial"/>
                <w:sz w:val="18"/>
                <w:szCs w:val="18"/>
                <w:color w:val="auto"/>
              </w:rPr>
              <w:t>Investments</w:t>
            </w:r>
          </w:p>
        </w:tc>
        <w:tc>
          <w:tcPr>
            <w:tcW w:w="1000" w:type="dxa"/>
            <w:vAlign w:val="bottom"/>
          </w:tcPr>
          <w:p>
            <w:pPr>
              <w:jc w:val="right"/>
              <w:spacing w:after="0"/>
              <w:rPr>
                <w:sz w:val="20"/>
                <w:szCs w:val="20"/>
                <w:color w:val="auto"/>
              </w:rPr>
            </w:pPr>
            <w:r>
              <w:rPr>
                <w:rFonts w:ascii="Arial" w:cs="Arial" w:eastAsia="Arial" w:hAnsi="Arial"/>
                <w:sz w:val="18"/>
                <w:szCs w:val="18"/>
                <w:color w:val="auto"/>
              </w:rPr>
              <w:t>(514,737)</w:t>
            </w:r>
          </w:p>
        </w:tc>
        <w:tc>
          <w:tcPr>
            <w:tcW w:w="800" w:type="dxa"/>
            <w:vAlign w:val="bottom"/>
            <w:gridSpan w:val="2"/>
          </w:tcPr>
          <w:p>
            <w:pPr>
              <w:jc w:val="right"/>
              <w:ind w:right="2"/>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40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Operations</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6,018,713</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0.31</w:t>
            </w:r>
          </w:p>
        </w:tc>
        <w:tc>
          <w:tcPr>
            <w:tcW w:w="11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5,715,746</w:t>
            </w:r>
          </w:p>
        </w:tc>
        <w:tc>
          <w:tcPr>
            <w:tcW w:w="8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-1774825</wp:posOffset>
            </wp:positionV>
            <wp:extent cx="52139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519" w:hanging="272"/>
        <w:spacing w:after="0" w:line="277"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basic per share figures noted above are based on a weighted-average of 19,320,100 and 19,320,100 shares outstanding for the three months ended September 30, 2014 and September 30, 2013, respectively.</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Investment income increased from $2,644 for the three months ended September 30, 2013 to $21,971, for the three months ended September 30, 2014. The increase was primarily due to the addition of several new term loans during the quarter ended September 30, 2014.</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60" w:right="519" w:firstLine="270"/>
        <w:spacing w:after="0" w:line="271" w:lineRule="auto"/>
        <w:rPr>
          <w:sz w:val="20"/>
          <w:szCs w:val="20"/>
          <w:color w:val="auto"/>
        </w:rPr>
      </w:pPr>
      <w:r>
        <w:rPr>
          <w:rFonts w:ascii="Arial" w:cs="Arial" w:eastAsia="Arial" w:hAnsi="Arial"/>
          <w:sz w:val="17"/>
          <w:szCs w:val="17"/>
          <w:color w:val="auto"/>
        </w:rPr>
        <w:t>Total operating expenses increased from $3,016,433 for the three months ended September 30, 2013 to $8,271,569, for the three months ended September 30, 2014. The increase was primarily due to increases in interest expense, incentive fees, and investment management fees. The increases in interest expense resulted from the Convertible Senior Notes and the Credit Facility. These borrowings have enabled us to increase our portfolio and continue to invest in emerging companies. Refer to “Overview” for a further discussion of our investment philosophy. The incentive fees result from the significant appreciation in our portfolio for the three months ended September 30, 2014 relative to the three months ended September 30, 2013. The increased management fees are a result of the growth of our investment portfolio for the three months ended September 30, 2014 relative to the three months ended September 30, 2013.</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Realized Gains (Losses) on Investments</w:t>
      </w:r>
    </w:p>
    <w:p>
      <w:pPr>
        <w:spacing w:after="0" w:line="117" w:lineRule="exact"/>
        <w:rPr>
          <w:sz w:val="20"/>
          <w:szCs w:val="20"/>
          <w:color w:val="auto"/>
        </w:rPr>
      </w:pPr>
    </w:p>
    <w:p>
      <w:pPr>
        <w:jc w:val="both"/>
        <w:ind w:left="60" w:right="519" w:firstLine="270"/>
        <w:spacing w:after="0" w:line="312" w:lineRule="auto"/>
        <w:rPr>
          <w:sz w:val="20"/>
          <w:szCs w:val="20"/>
          <w:color w:val="auto"/>
        </w:rPr>
      </w:pPr>
      <w:r>
        <w:rPr>
          <w:rFonts w:ascii="Arial" w:cs="Arial" w:eastAsia="Arial" w:hAnsi="Arial"/>
          <w:sz w:val="16"/>
          <w:szCs w:val="16"/>
          <w:color w:val="auto"/>
        </w:rPr>
        <w:t>For the three months ended September 30, 2013, net realized losses on investments were $162,569 and resulted from sale of our investment in Facebook Inc. For the three months ended September 30, 2014, net realized gains on investments were $17,160,816. The realized gains resulted primarily from the sales Twitter, Inc., DianRong (fka SinoLending Ltd.), and ZocDoc Inc.</w:t>
      </w:r>
    </w:p>
    <w:p>
      <w:pPr>
        <w:spacing w:after="0" w:line="200" w:lineRule="exact"/>
        <w:rPr>
          <w:sz w:val="20"/>
          <w:szCs w:val="20"/>
          <w:color w:val="auto"/>
        </w:rPr>
      </w:pPr>
    </w:p>
    <w:p>
      <w:pPr>
        <w:spacing w:after="0" w:line="2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43" w:name="page44"/>
    <w:bookmarkEnd w:id="43"/>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Net Change in Unrealized Appreciation of Investments</w:t>
      </w:r>
    </w:p>
    <w:p>
      <w:pPr>
        <w:spacing w:after="0" w:line="117" w:lineRule="exact"/>
        <w:rPr>
          <w:sz w:val="20"/>
          <w:szCs w:val="20"/>
          <w:color w:val="auto"/>
        </w:rPr>
      </w:pPr>
    </w:p>
    <w:p>
      <w:pPr>
        <w:jc w:val="both"/>
        <w:ind w:left="180" w:right="519" w:firstLine="270"/>
        <w:spacing w:after="0" w:line="259" w:lineRule="auto"/>
        <w:rPr>
          <w:sz w:val="20"/>
          <w:szCs w:val="20"/>
          <w:color w:val="auto"/>
        </w:rPr>
      </w:pPr>
      <w:r>
        <w:rPr>
          <w:rFonts w:ascii="Arial" w:cs="Arial" w:eastAsia="Arial" w:hAnsi="Arial"/>
          <w:sz w:val="18"/>
          <w:szCs w:val="18"/>
          <w:color w:val="auto"/>
        </w:rPr>
        <w:t>Net change in unrealized appreciation of investments decreased from $8,892,104 for the three months ended September 30, 2013 to $1,260,683, for the three months ended September 30, 2014. The following table summarizes the significant changes in unrealized appreciation (depreciation) of the Company’s investment portfolio for the three months ended September 30, 2014 by Portfolio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16510</wp:posOffset>
            </wp:positionV>
            <wp:extent cx="61315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3156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144780</wp:posOffset>
            </wp:positionV>
            <wp:extent cx="61315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31560" cy="8890"/>
                    </a:xfrm>
                    <a:prstGeom prst="rect">
                      <a:avLst/>
                    </a:prstGeom>
                    <a:noFill/>
                  </pic:spPr>
                </pic:pic>
              </a:graphicData>
            </a:graphic>
          </wp:anchor>
        </w:drawing>
      </w: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Change in</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4"/>
                <w:szCs w:val="14"/>
                <w:b w:val="1"/>
                <w:bCs w:val="1"/>
                <w:color w:val="auto"/>
              </w:rPr>
              <w:t>September 30, 2014 (Unaudited)</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0"/>
          </w:tcPr>
          <w:p>
            <w:pPr>
              <w:jc w:val="right"/>
              <w:ind w:right="660"/>
              <w:spacing w:after="0"/>
              <w:rPr>
                <w:sz w:val="20"/>
                <w:szCs w:val="20"/>
                <w:color w:val="auto"/>
              </w:rPr>
            </w:pPr>
            <w:r>
              <w:rPr>
                <w:rFonts w:ascii="Arial" w:cs="Arial" w:eastAsia="Arial" w:hAnsi="Arial"/>
                <w:sz w:val="14"/>
                <w:szCs w:val="14"/>
                <w:b w:val="1"/>
                <w:bCs w:val="1"/>
                <w:color w:val="auto"/>
              </w:rPr>
              <w:t>June 30, 2014 (Unaudited)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2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2760" w:type="dxa"/>
            <w:vAlign w:val="bottom"/>
            <w:gridSpan w:val="4"/>
            <w:vMerge w:val="continue"/>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96"/>
        </w:trPr>
        <w:tc>
          <w:tcPr>
            <w:tcW w:w="272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Bloom Energy Corporation</w:t>
            </w: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5"/>
              </w:rPr>
              <w:t>(1,372,632)</w:t>
            </w: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3,855,601</w:t>
            </w: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3,097,422</w:t>
            </w: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(758,179)</w:t>
            </w: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3,855,601</w:t>
            </w: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4,470,054</w:t>
            </w: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614,453</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Dailybreak,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5"/>
              </w:rPr>
              <w:t>(1,486,152)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2,882,186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(2,882,186)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2,882,186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1,486,152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(1,396,034)</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Dropbox, Inc.</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(1,726,810)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13,656,486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26,430,187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12,773,701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13,656,486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28,156,997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14,500,511</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Fullbridge,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5"/>
              </w:rPr>
              <w:t>(1,165,476)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6,396,180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4,770,109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(1,626,071)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6,396,180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5,935,585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(460,595)</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SugarCRM, Inc.</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1,026,679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8,299,914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12,124,407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3,824,493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8,299,914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11,097,728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2,797,814</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Twitter,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10,130,914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27,551,563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82,558,948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55,007,385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32,991,111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77,867,582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44,876,471</w:t>
            </w:r>
          </w:p>
        </w:tc>
        <w:tc>
          <w:tcPr>
            <w:tcW w:w="0" w:type="dxa"/>
            <w:vAlign w:val="bottom"/>
          </w:tcPr>
          <w:p>
            <w:pPr>
              <w:spacing w:after="0"/>
              <w:rPr>
                <w:sz w:val="1"/>
                <w:szCs w:val="1"/>
                <w:color w:val="auto"/>
              </w:rPr>
            </w:pPr>
          </w:p>
        </w:tc>
      </w:tr>
      <w:tr>
        <w:trPr>
          <w:trHeight w:val="243"/>
        </w:trPr>
        <w:tc>
          <w:tcPr>
            <w:tcW w:w="2760" w:type="dxa"/>
            <w:vAlign w:val="bottom"/>
            <w:gridSpan w:val="4"/>
          </w:tcPr>
          <w:p>
            <w:pPr>
              <w:ind w:left="20"/>
              <w:spacing w:after="0" w:line="242"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(1)</w:t>
            </w: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(4,145,840)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325,543,686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344,558,771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19,015,085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303,965,401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327,126,326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23,160,925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1,260,683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388,185,616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473,539,844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85,354,228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372,046,879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456,140,424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84,093,545</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7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-222250</wp:posOffset>
            </wp:positionV>
            <wp:extent cx="613156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31560" cy="34290"/>
                    </a:xfrm>
                    <a:prstGeom prst="rect">
                      <a:avLst/>
                    </a:prstGeom>
                    <a:noFill/>
                  </pic:spPr>
                </pic:pic>
              </a:graphicData>
            </a:graphic>
          </wp:anchor>
        </w:drawing>
      </w:r>
    </w:p>
    <w:p>
      <w:pPr>
        <w:spacing w:after="0" w:line="236" w:lineRule="exact"/>
        <w:rPr>
          <w:sz w:val="20"/>
          <w:szCs w:val="20"/>
          <w:color w:val="auto"/>
        </w:rPr>
      </w:pPr>
    </w:p>
    <w:p>
      <w:pPr>
        <w:ind w:left="420" w:right="539" w:hanging="272"/>
        <w:spacing w:after="0" w:line="277"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represents all investments (including U.S. Treasury Bills and U.S. Treasury Strips) whose individual change in unrealized appreciation (depreciation) was less than $1,000,000 for the three months ended September 30, 2014.</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Net Increase in Net Assets</w:t>
      </w:r>
    </w:p>
    <w:p>
      <w:pPr>
        <w:spacing w:after="0" w:line="117" w:lineRule="exact"/>
        <w:rPr>
          <w:sz w:val="20"/>
          <w:szCs w:val="20"/>
          <w:color w:val="auto"/>
        </w:rPr>
      </w:pPr>
    </w:p>
    <w:p>
      <w:pPr>
        <w:jc w:val="both"/>
        <w:ind w:left="180" w:right="519" w:firstLine="270"/>
        <w:spacing w:after="0" w:line="257" w:lineRule="auto"/>
        <w:rPr>
          <w:sz w:val="20"/>
          <w:szCs w:val="20"/>
          <w:color w:val="auto"/>
        </w:rPr>
      </w:pPr>
      <w:r>
        <w:rPr>
          <w:rFonts w:ascii="Arial" w:cs="Arial" w:eastAsia="Arial" w:hAnsi="Arial"/>
          <w:sz w:val="18"/>
          <w:szCs w:val="18"/>
          <w:color w:val="auto"/>
        </w:rPr>
        <w:t>Net increase in net assets resulting from operations was $6,018,713, and $5,715,746, respectively, for the three months ended September 30, 2014 and September 30, 2013. The increase in net assets was the result of the increases in realized gains and the benefit for taxes on net investment loss. These items were offset by: an increase in gross operating expenses, a decrease in change in unrealized appreciation on investments, the benefit for taxes on net realized capital gains, and the benefit for taxes on unrealized appreciation of investments.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nine months ended September 30, 2014 and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2139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September 30, 2013</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(Unaudited)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Per Basic</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Per Basic</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w w:val="97"/>
              </w:rPr>
              <w:t>Share</w:t>
            </w:r>
            <w:r>
              <w:rPr>
                <w:rFonts w:ascii="Arial" w:cs="Arial" w:eastAsia="Arial" w:hAnsi="Arial"/>
                <w:sz w:val="23"/>
                <w:szCs w:val="23"/>
                <w:b w:val="1"/>
                <w:bCs w:val="1"/>
                <w:color w:val="auto"/>
                <w:w w:val="97"/>
                <w:vertAlign w:val="superscript"/>
              </w:rPr>
              <w:t>(1)</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ind w:right="13"/>
              <w:spacing w:after="0"/>
              <w:rPr>
                <w:sz w:val="20"/>
                <w:szCs w:val="20"/>
                <w:color w:val="auto"/>
              </w:rPr>
            </w:pPr>
            <w:r>
              <w:rPr>
                <w:rFonts w:ascii="Arial" w:cs="Arial" w:eastAsia="Arial" w:hAnsi="Arial"/>
                <w:sz w:val="18"/>
                <w:szCs w:val="18"/>
                <w:b w:val="1"/>
                <w:bCs w:val="1"/>
                <w:color w:val="auto"/>
              </w:rPr>
              <w:t>159,819</w:t>
            </w:r>
          </w:p>
        </w:tc>
        <w:tc>
          <w:tcPr>
            <w:tcW w:w="160" w:type="dxa"/>
            <w:vAlign w:val="bottom"/>
          </w:tcPr>
          <w:p>
            <w:pPr>
              <w:spacing w:after="0"/>
              <w:rPr>
                <w:sz w:val="18"/>
                <w:szCs w:val="18"/>
                <w:color w:val="auto"/>
              </w:rPr>
            </w:pPr>
          </w:p>
        </w:tc>
        <w:tc>
          <w:tcPr>
            <w:tcW w:w="640" w:type="dxa"/>
            <w:vAlign w:val="bottom"/>
          </w:tcPr>
          <w:p>
            <w:pPr>
              <w:jc w:val="right"/>
              <w:ind w:right="62"/>
              <w:spacing w:after="0"/>
              <w:rPr>
                <w:sz w:val="20"/>
                <w:szCs w:val="20"/>
                <w:color w:val="auto"/>
              </w:rPr>
            </w:pPr>
            <w:r>
              <w:rPr>
                <w:rFonts w:ascii="Arial" w:cs="Arial" w:eastAsia="Arial" w:hAnsi="Arial"/>
                <w:sz w:val="18"/>
                <w:szCs w:val="18"/>
                <w:b w:val="1"/>
                <w:bCs w:val="1"/>
                <w:color w:val="auto"/>
              </w:rPr>
              <w:t>0.01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22,902</w:t>
            </w:r>
          </w:p>
        </w:tc>
        <w:tc>
          <w:tcPr>
            <w:tcW w:w="16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158,932</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2,256</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Dividend income</w:t>
            </w:r>
          </w:p>
        </w:tc>
        <w:tc>
          <w:tcPr>
            <w:tcW w:w="8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887</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20,646</w:t>
            </w:r>
          </w:p>
        </w:tc>
        <w:tc>
          <w:tcPr>
            <w:tcW w:w="860" w:type="dxa"/>
            <w:vAlign w:val="bottom"/>
            <w:gridSpan w:val="2"/>
          </w:tcPr>
          <w:p>
            <w:pPr>
              <w:jc w:val="right"/>
              <w:ind w:right="36"/>
              <w:spacing w:after="0"/>
              <w:rPr>
                <w:sz w:val="20"/>
                <w:szCs w:val="20"/>
                <w:color w:val="auto"/>
              </w:rPr>
            </w:pPr>
            <w:r>
              <w:rPr>
                <w:rFonts w:ascii="Arial" w:cs="Arial" w:eastAsia="Arial" w:hAnsi="Arial"/>
                <w:sz w:val="18"/>
                <w:szCs w:val="18"/>
                <w:color w:val="auto"/>
              </w:rPr>
              <w:t>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5"/>
              </w:rPr>
              <w:t>18,995,663</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0.98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7"/>
              </w:rPr>
              <w:t>7,991,327</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0.41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Investment management fees</w:t>
            </w:r>
          </w:p>
        </w:tc>
        <w:tc>
          <w:tcPr>
            <w:tcW w:w="8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5,639,564</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3,828,835</w:t>
            </w:r>
          </w:p>
        </w:tc>
        <w:tc>
          <w:tcPr>
            <w:tcW w:w="860" w:type="dxa"/>
            <w:vAlign w:val="bottom"/>
            <w:gridSpan w:val="2"/>
          </w:tcPr>
          <w:p>
            <w:pPr>
              <w:jc w:val="right"/>
              <w:ind w:right="36"/>
              <w:spacing w:after="0"/>
              <w:rPr>
                <w:sz w:val="20"/>
                <w:szCs w:val="20"/>
                <w:color w:val="auto"/>
              </w:rPr>
            </w:pPr>
            <w:r>
              <w:rPr>
                <w:rFonts w:ascii="Arial" w:cs="Arial" w:eastAsia="Arial" w:hAnsi="Arial"/>
                <w:sz w:val="18"/>
                <w:szCs w:val="18"/>
                <w:color w:val="auto"/>
              </w:rPr>
              <w:t>0.20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incentive fees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5,498,585</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Costs incurred under our administration agreement</w:t>
            </w:r>
          </w:p>
        </w:tc>
        <w:tc>
          <w:tcPr>
            <w:tcW w:w="8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2,557,129</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2,276,152</w:t>
            </w:r>
          </w:p>
        </w:tc>
        <w:tc>
          <w:tcPr>
            <w:tcW w:w="860" w:type="dxa"/>
            <w:vAlign w:val="bottom"/>
            <w:gridSpan w:val="2"/>
          </w:tcPr>
          <w:p>
            <w:pPr>
              <w:jc w:val="right"/>
              <w:ind w:right="36"/>
              <w:spacing w:after="0"/>
              <w:rPr>
                <w:sz w:val="20"/>
                <w:szCs w:val="20"/>
                <w:color w:val="auto"/>
              </w:rPr>
            </w:pPr>
            <w:r>
              <w:rPr>
                <w:rFonts w:ascii="Arial" w:cs="Arial" w:eastAsia="Arial" w:hAnsi="Arial"/>
                <w:sz w:val="18"/>
                <w:szCs w:val="18"/>
                <w:color w:val="auto"/>
              </w:rPr>
              <w:t>0.12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fees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195,000</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195,250</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1,301,777</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656,796</w:t>
            </w:r>
          </w:p>
        </w:tc>
        <w:tc>
          <w:tcPr>
            <w:tcW w:w="860" w:type="dxa"/>
            <w:vAlign w:val="bottom"/>
            <w:gridSpan w:val="2"/>
          </w:tcPr>
          <w:p>
            <w:pPr>
              <w:jc w:val="right"/>
              <w:ind w:right="36"/>
              <w:spacing w:after="0"/>
              <w:rPr>
                <w:sz w:val="20"/>
                <w:szCs w:val="20"/>
                <w:color w:val="auto"/>
              </w:rPr>
            </w:pPr>
            <w:r>
              <w:rPr>
                <w:rFonts w:ascii="Arial" w:cs="Arial" w:eastAsia="Arial" w:hAnsi="Arial"/>
                <w:sz w:val="18"/>
                <w:szCs w:val="18"/>
                <w:color w:val="auto"/>
              </w:rPr>
              <w:t>0.03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4,155,759</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191,188</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Insurance Expense</w:t>
            </w:r>
          </w:p>
        </w:tc>
        <w:tc>
          <w:tcPr>
            <w:tcW w:w="8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181,839</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179,807</w:t>
            </w:r>
          </w:p>
        </w:tc>
        <w:tc>
          <w:tcPr>
            <w:tcW w:w="860" w:type="dxa"/>
            <w:vAlign w:val="bottom"/>
            <w:gridSpan w:val="2"/>
          </w:tcPr>
          <w:p>
            <w:pPr>
              <w:jc w:val="right"/>
              <w:ind w:right="36"/>
              <w:spacing w:after="0"/>
              <w:rPr>
                <w:sz w:val="20"/>
                <w:szCs w:val="20"/>
                <w:color w:val="auto"/>
              </w:rPr>
            </w:pPr>
            <w:r>
              <w:rPr>
                <w:rFonts w:ascii="Arial" w:cs="Arial" w:eastAsia="Arial" w:hAnsi="Arial"/>
                <w:sz w:val="18"/>
                <w:szCs w:val="18"/>
                <w:color w:val="auto"/>
              </w:rPr>
              <w:t>0.01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Investor Relations Expense</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194,112</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171,265</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Other expenses</w:t>
            </w:r>
          </w:p>
        </w:tc>
        <w:tc>
          <w:tcPr>
            <w:tcW w:w="8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58,898</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71,034</w:t>
            </w:r>
          </w:p>
        </w:tc>
        <w:tc>
          <w:tcPr>
            <w:tcW w:w="16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4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Loss (Gain) on fair value adjustment for embedded</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derivative</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(787,000)</w:t>
            </w:r>
          </w:p>
        </w:tc>
        <w:tc>
          <w:tcPr>
            <w:tcW w:w="8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421,000</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0.02</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Benefit for taxes on net investment loss</w:t>
            </w:r>
          </w:p>
        </w:tc>
        <w:tc>
          <w:tcPr>
            <w:tcW w:w="8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7,740,594</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Loss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(11,095,250)</w:t>
            </w:r>
          </w:p>
        </w:tc>
        <w:tc>
          <w:tcPr>
            <w:tcW w:w="8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(7,968,425)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Realized Gain (Loss) on Investments</w:t>
            </w:r>
          </w:p>
        </w:tc>
        <w:tc>
          <w:tcPr>
            <w:tcW w:w="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w w:val="95"/>
              </w:rPr>
              <w:t>17,842,995</w:t>
            </w:r>
          </w:p>
        </w:tc>
        <w:tc>
          <w:tcPr>
            <w:tcW w:w="800" w:type="dxa"/>
            <w:vAlign w:val="bottom"/>
            <w:gridSpan w:val="2"/>
          </w:tcPr>
          <w:p>
            <w:pPr>
              <w:jc w:val="right"/>
              <w:ind w:right="62"/>
              <w:spacing w:after="0"/>
              <w:rPr>
                <w:sz w:val="20"/>
                <w:szCs w:val="20"/>
                <w:color w:val="auto"/>
              </w:rPr>
            </w:pPr>
            <w:r>
              <w:rPr>
                <w:rFonts w:ascii="Arial" w:cs="Arial" w:eastAsia="Arial" w:hAnsi="Arial"/>
                <w:sz w:val="18"/>
                <w:szCs w:val="18"/>
                <w:color w:val="auto"/>
              </w:rPr>
              <w:t>0.92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(9,837,093)</w:t>
            </w:r>
          </w:p>
        </w:tc>
        <w:tc>
          <w:tcPr>
            <w:tcW w:w="860" w:type="dxa"/>
            <w:vAlign w:val="bottom"/>
            <w:gridSpan w:val="2"/>
          </w:tcPr>
          <w:p>
            <w:pPr>
              <w:jc w:val="right"/>
              <w:ind w:right="36"/>
              <w:spacing w:after="0"/>
              <w:rPr>
                <w:sz w:val="20"/>
                <w:szCs w:val="20"/>
                <w:color w:val="auto"/>
              </w:rPr>
            </w:pPr>
            <w:r>
              <w:rPr>
                <w:rFonts w:ascii="Arial" w:cs="Arial" w:eastAsia="Arial" w:hAnsi="Arial"/>
                <w:sz w:val="18"/>
                <w:szCs w:val="18"/>
                <w:color w:val="auto"/>
              </w:rPr>
              <w:t>(0.51)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553"/>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4460" w:type="dxa"/>
            <w:vAlign w:val="bottom"/>
            <w:gridSpan w:val="4"/>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98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2900" w:type="dxa"/>
            <w:vAlign w:val="bottom"/>
          </w:tcPr>
          <w:p>
            <w:pPr>
              <w:spacing w:after="0"/>
              <w:rPr>
                <w:sz w:val="23"/>
                <w:szCs w:val="23"/>
                <w:color w:val="auto"/>
              </w:rPr>
            </w:pPr>
          </w:p>
        </w:tc>
        <w:tc>
          <w:tcPr>
            <w:tcW w:w="1780" w:type="dxa"/>
            <w:vAlign w:val="bottom"/>
            <w:gridSpan w:val="3"/>
          </w:tcPr>
          <w:p>
            <w:pPr>
              <w:jc w:val="right"/>
              <w:ind w:right="202"/>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23"/>
                <w:szCs w:val="23"/>
                <w:color w:val="auto"/>
              </w:rPr>
            </w:pPr>
          </w:p>
        </w:tc>
        <w:tc>
          <w:tcPr>
            <w:tcW w:w="180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Per Basic</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Per Basic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3"/>
            <w:vMerge w:val="restart"/>
          </w:tcPr>
          <w:p>
            <w:pPr>
              <w:ind w:left="180"/>
              <w:spacing w:after="0"/>
              <w:rPr>
                <w:sz w:val="20"/>
                <w:szCs w:val="20"/>
                <w:color w:val="auto"/>
              </w:rPr>
            </w:pPr>
            <w:r>
              <w:rPr>
                <w:rFonts w:ascii="Arial" w:cs="Arial" w:eastAsia="Arial" w:hAnsi="Arial"/>
                <w:sz w:val="18"/>
                <w:szCs w:val="18"/>
                <w:color w:val="auto"/>
              </w:rPr>
              <w:t>Provision for taxes on Net Realized Capital Gains</w:t>
            </w:r>
          </w:p>
        </w:tc>
        <w:tc>
          <w:tcPr>
            <w:tcW w:w="98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w w:val="97"/>
              </w:rPr>
              <w:t>Share</w:t>
            </w:r>
            <w:r>
              <w:rPr>
                <w:rFonts w:ascii="Arial" w:cs="Arial" w:eastAsia="Arial" w:hAnsi="Arial"/>
                <w:sz w:val="23"/>
                <w:szCs w:val="23"/>
                <w:b w:val="1"/>
                <w:bCs w:val="1"/>
                <w:color w:val="auto"/>
                <w:w w:val="97"/>
                <w:vertAlign w:val="superscript"/>
              </w:rPr>
              <w:t>(1)</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ind w:right="19"/>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3"/>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(7,285,295)</w:t>
            </w:r>
          </w:p>
        </w:tc>
        <w:tc>
          <w:tcPr>
            <w:tcW w:w="16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Arial" w:cs="Arial" w:eastAsia="Arial" w:hAnsi="Arial"/>
                <w:sz w:val="18"/>
                <w:szCs w:val="18"/>
                <w:color w:val="auto"/>
              </w:rPr>
              <w:t>(0.38)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Change in Unrealized Appreciation on Investments</w:t>
            </w: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9,659,729</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19,545,712</w:t>
            </w:r>
          </w:p>
        </w:tc>
        <w:tc>
          <w:tcPr>
            <w:tcW w:w="8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Provision for taxes on Unrealized Appreciation of</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3"/>
          </w:tcPr>
          <w:p>
            <w:pPr>
              <w:ind w:left="360"/>
              <w:spacing w:after="0"/>
              <w:rPr>
                <w:sz w:val="20"/>
                <w:szCs w:val="20"/>
                <w:color w:val="auto"/>
              </w:rPr>
            </w:pPr>
            <w:r>
              <w:rPr>
                <w:rFonts w:ascii="Arial" w:cs="Arial" w:eastAsia="Arial" w:hAnsi="Arial"/>
                <w:sz w:val="18"/>
                <w:szCs w:val="18"/>
                <w:color w:val="auto"/>
              </w:rPr>
              <w:t>investments</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(3,944,068)</w:t>
            </w:r>
          </w:p>
        </w:tc>
        <w:tc>
          <w:tcPr>
            <w:tcW w:w="800" w:type="dxa"/>
            <w:vAlign w:val="bottom"/>
            <w:gridSpan w:val="2"/>
          </w:tcPr>
          <w:p>
            <w:pPr>
              <w:jc w:val="right"/>
              <w:ind w:right="2"/>
              <w:spacing w:after="0"/>
              <w:rPr>
                <w:sz w:val="20"/>
                <w:szCs w:val="20"/>
                <w:color w:val="auto"/>
              </w:rPr>
            </w:pPr>
            <w:r>
              <w:rPr>
                <w:rFonts w:ascii="Arial" w:cs="Arial" w:eastAsia="Arial" w:hAnsi="Arial"/>
                <w:sz w:val="18"/>
                <w:szCs w:val="18"/>
                <w:color w:val="auto"/>
              </w:rPr>
              <w:t>(0.20)</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Net Increase in Net Assets Resulting From Operations</w:t>
            </w: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5,178,111</w:t>
            </w: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1,740,194</w:t>
            </w:r>
          </w:p>
        </w:tc>
        <w:tc>
          <w:tcPr>
            <w:tcW w:w="8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-1362710</wp:posOffset>
            </wp:positionV>
            <wp:extent cx="52139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519" w:hanging="272"/>
        <w:spacing w:after="0" w:line="277"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basic per share figures noted above are based on a weighted-average of 19,320,100 and 19,320,100 shares outstanding for the nine months ended September 30, 2014 and September 30, 2013, respectively.</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Investment income increased from $22,902 for the nine months ended September 30, 2013 to $159,819, for the nine months ended September 30, 2014. The increase was primarily due to the addition of several new term loans during the nine months ended September 30, 2014.</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60" w:right="519" w:firstLine="270"/>
        <w:spacing w:after="0" w:line="271" w:lineRule="auto"/>
        <w:rPr>
          <w:sz w:val="20"/>
          <w:szCs w:val="20"/>
          <w:color w:val="auto"/>
        </w:rPr>
      </w:pPr>
      <w:r>
        <w:rPr>
          <w:rFonts w:ascii="Arial" w:cs="Arial" w:eastAsia="Arial" w:hAnsi="Arial"/>
          <w:sz w:val="17"/>
          <w:szCs w:val="17"/>
          <w:color w:val="auto"/>
        </w:rPr>
        <w:t>Total operating expenses increased from $7,991,327 for the nine months ended September 30, 2013 to $18,995,663, for the nine months ended September 30, 2014. The increase was primarily due to increases in interest expense, incentive fees, and investment management fees. The increases in interest expense resulted from the Convertible Senior Notes and the Credit Facility. These borrowings have enabled us to increase our portfolio and continue to invest in emerging companies. Refer to “Overview” for a further discussion of our investment philosophy. The incentive fees result from the appreciation in our portfolio for the nine months ended September 30, 2014 relative to the nine months ended September 30, 2013. The increased management fees are a result of the growth in our total assets, which primarily results from the growth of our investment portfolio for the nine months ended September 30, 2014 relative to the nine months ended September 30, 2013.</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Realized Gains and (Losses) on Investments</w:t>
      </w:r>
    </w:p>
    <w:p>
      <w:pPr>
        <w:spacing w:after="0" w:line="117"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For the nine months ended September 30, 2013, net realized losses on investments were $9,837,093 and resulted from sales of investments in Groupon Inc., and Zynga, Inc., as well as the write-off of our investments in Top Hat 430, Inc., Serious Energy, Inc., and AltEgo, LLC. For the nine months ended September 30, 2014, net realized gains on investments were $17,842,995. The realized gains resulted primarily from the sales Twitter, Inc., Control4 Corporation, Facebook, Inc. DianRong (fka SinoLending Ltd.), and ZocDoc Inc. The gains were offset by losses resulting from the sales of Violin Memory, Inc. and Silver Springs Networks, Inc.</w:t>
      </w:r>
    </w:p>
    <w:p>
      <w:pPr>
        <w:spacing w:after="0" w:line="200" w:lineRule="exact"/>
        <w:rPr>
          <w:sz w:val="20"/>
          <w:szCs w:val="20"/>
          <w:color w:val="auto"/>
        </w:rPr>
      </w:pPr>
    </w:p>
    <w:p>
      <w:pPr>
        <w:spacing w:after="0" w:line="33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45" w:name="page46"/>
    <w:bookmarkEnd w:id="4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 of Investments</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Net change in unrealized appreciation of investments decreased from $19,545,712 for the nine months ended September 30, 2013 to $9,659,729, for the nine months ended September 30, 2014. The following table summarizes the significant changes in unrealized appreciation (depreciation) of the Company’s investment portfolio for the nine months ended September 30, 2014 by Portfolio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614045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40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144780</wp:posOffset>
            </wp:positionV>
            <wp:extent cx="61404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Change in</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4"/>
                <w:szCs w:val="14"/>
                <w:b w:val="1"/>
                <w:bCs w:val="1"/>
                <w:color w:val="auto"/>
              </w:rPr>
              <w:t>September 30, 2014 (Unaudited)</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0"/>
              </w:rPr>
              <w:t>December 31, 2013</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2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Appreciation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Appreciation</w:t>
            </w:r>
          </w:p>
        </w:tc>
        <w:tc>
          <w:tcPr>
            <w:tcW w:w="0" w:type="dxa"/>
            <w:vAlign w:val="bottom"/>
          </w:tcPr>
          <w:p>
            <w:pPr>
              <w:spacing w:after="0"/>
              <w:rPr>
                <w:sz w:val="1"/>
                <w:szCs w:val="1"/>
                <w:color w:val="auto"/>
              </w:rPr>
            </w:pPr>
          </w:p>
        </w:tc>
      </w:tr>
      <w:tr>
        <w:trPr>
          <w:trHeight w:val="171"/>
        </w:trPr>
        <w:tc>
          <w:tcPr>
            <w:tcW w:w="2760" w:type="dxa"/>
            <w:vAlign w:val="bottom"/>
            <w:gridSpan w:val="4"/>
            <w:vMerge w:val="continue"/>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(Depreciation)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(Depreciation)</w:t>
            </w:r>
          </w:p>
        </w:tc>
        <w:tc>
          <w:tcPr>
            <w:tcW w:w="0" w:type="dxa"/>
            <w:vAlign w:val="bottom"/>
          </w:tcPr>
          <w:p>
            <w:pPr>
              <w:spacing w:after="0"/>
              <w:rPr>
                <w:sz w:val="1"/>
                <w:szCs w:val="1"/>
                <w:color w:val="auto"/>
              </w:rPr>
            </w:pPr>
          </w:p>
        </w:tc>
      </w:tr>
      <w:tr>
        <w:trPr>
          <w:trHeight w:val="196"/>
        </w:trPr>
        <w:tc>
          <w:tcPr>
            <w:tcW w:w="272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2U, Inc. (f/k/a 2tor, Inc.)</w:t>
            </w: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7,197,331</w:t>
            </w: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99"/>
              </w:rPr>
              <w:t>10,032,117</w:t>
            </w: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7"/>
              </w:rPr>
              <w:t>18,508,839</w:t>
            </w: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8,476,722</w:t>
            </w: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10,031,318</w:t>
            </w: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97"/>
              </w:rPr>
              <w:t>11,310,709</w:t>
            </w: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1,279,391</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Avenues Global Holdings, LLC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1,223,805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10,151,854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11,239,445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1,087,591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10,150,484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10,014,270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(136,214)</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Chegg, Inc.</w:t>
            </w: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(1,170,967)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14,022,863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7,380,622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(6,642,241)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14,022,863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8,551,589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(5,471,274)</w:t>
            </w:r>
          </w:p>
        </w:tc>
        <w:tc>
          <w:tcPr>
            <w:tcW w:w="0" w:type="dxa"/>
            <w:vAlign w:val="bottom"/>
          </w:tcPr>
          <w:p>
            <w:pPr>
              <w:spacing w:after="0"/>
              <w:rPr>
                <w:sz w:val="1"/>
                <w:szCs w:val="1"/>
                <w:color w:val="auto"/>
              </w:rPr>
            </w:pPr>
          </w:p>
        </w:tc>
      </w:tr>
      <w:tr>
        <w:trPr>
          <w:trHeight w:val="243"/>
        </w:trPr>
        <w:tc>
          <w:tcPr>
            <w:tcW w:w="2760" w:type="dxa"/>
            <w:vAlign w:val="bottom"/>
            <w:gridSpan w:val="4"/>
            <w:shd w:val="clear" w:color="auto" w:fill="CCEEFF"/>
          </w:tcPr>
          <w:p>
            <w:pPr>
              <w:ind w:left="20"/>
              <w:spacing w:after="0" w:line="242" w:lineRule="exact"/>
              <w:rPr>
                <w:sz w:val="20"/>
                <w:szCs w:val="20"/>
                <w:color w:val="auto"/>
              </w:rPr>
            </w:pPr>
            <w:r>
              <w:rPr>
                <w:rFonts w:ascii="Arial" w:cs="Arial" w:eastAsia="Arial" w:hAnsi="Arial"/>
                <w:sz w:val="16"/>
                <w:szCs w:val="16"/>
                <w:color w:val="auto"/>
              </w:rPr>
              <w:t>Control4 Corporation</w:t>
            </w:r>
            <w:r>
              <w:rPr>
                <w:rFonts w:ascii="Arial" w:cs="Arial" w:eastAsia="Arial" w:hAnsi="Arial"/>
                <w:sz w:val="27"/>
                <w:szCs w:val="27"/>
                <w:color w:val="auto"/>
                <w:vertAlign w:val="superscript"/>
              </w:rPr>
              <w:t>(2)</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(6,289,367)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7,010,762</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13,300,129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6,289,367</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Cricket Media (fka ePals Inc.)</w:t>
            </w: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(1,269,670)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2,448,276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433,847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(2,014,429)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2,444,759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1,700,000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(744,759)</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Dailybreak,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(1,662,629)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2,882,186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(2,882,186)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2,430,950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1,211,393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(1,219,557)</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Dropbox, Inc.</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10,574,990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13,656,486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26,430,187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12,773,701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13,656,486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15,855,197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2,198,711</w:t>
            </w:r>
          </w:p>
        </w:tc>
        <w:tc>
          <w:tcPr>
            <w:tcW w:w="0" w:type="dxa"/>
            <w:vAlign w:val="bottom"/>
          </w:tcPr>
          <w:p>
            <w:pPr>
              <w:spacing w:after="0"/>
              <w:rPr>
                <w:sz w:val="1"/>
                <w:szCs w:val="1"/>
                <w:color w:val="auto"/>
              </w:rPr>
            </w:pPr>
          </w:p>
        </w:tc>
      </w:tr>
      <w:tr>
        <w:trPr>
          <w:trHeight w:val="243"/>
        </w:trPr>
        <w:tc>
          <w:tcPr>
            <w:tcW w:w="2760" w:type="dxa"/>
            <w:vAlign w:val="bottom"/>
            <w:gridSpan w:val="4"/>
            <w:shd w:val="clear" w:color="auto" w:fill="CCEEFF"/>
          </w:tcPr>
          <w:p>
            <w:pPr>
              <w:ind w:left="20"/>
              <w:spacing w:after="0" w:line="242" w:lineRule="exact"/>
              <w:rPr>
                <w:sz w:val="20"/>
                <w:szCs w:val="20"/>
                <w:color w:val="auto"/>
              </w:rPr>
            </w:pPr>
            <w:r>
              <w:rPr>
                <w:rFonts w:ascii="Arial" w:cs="Arial" w:eastAsia="Arial" w:hAnsi="Arial"/>
                <w:sz w:val="16"/>
                <w:szCs w:val="16"/>
                <w:color w:val="auto"/>
              </w:rPr>
              <w:t>Facebook, Inc.</w:t>
            </w:r>
            <w:r>
              <w:rPr>
                <w:rFonts w:ascii="Arial" w:cs="Arial" w:eastAsia="Arial" w:hAnsi="Arial"/>
                <w:sz w:val="27"/>
                <w:szCs w:val="27"/>
                <w:color w:val="auto"/>
                <w:vertAlign w:val="superscript"/>
              </w:rPr>
              <w:t>(2)</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(4,327,603)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5,236,147</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9,563,750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4,327,603</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Fullbridge, Inc.</w:t>
            </w: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(1,582,537)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6,396,180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4,770,109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(1,626,071)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3,784,016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3,740,482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(43,534)</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Palantir Technologies,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6,570,658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20,195,520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39,544,561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19,349,041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21,060,447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33,838,830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12,778,383</w:t>
            </w:r>
          </w:p>
        </w:tc>
        <w:tc>
          <w:tcPr>
            <w:tcW w:w="0" w:type="dxa"/>
            <w:vAlign w:val="bottom"/>
          </w:tcPr>
          <w:p>
            <w:pPr>
              <w:spacing w:after="0"/>
              <w:rPr>
                <w:sz w:val="1"/>
                <w:szCs w:val="1"/>
                <w:color w:val="auto"/>
              </w:rPr>
            </w:pPr>
          </w:p>
        </w:tc>
      </w:tr>
      <w:tr>
        <w:trPr>
          <w:trHeight w:val="243"/>
        </w:trPr>
        <w:tc>
          <w:tcPr>
            <w:tcW w:w="2760" w:type="dxa"/>
            <w:vAlign w:val="bottom"/>
            <w:gridSpan w:val="4"/>
          </w:tcPr>
          <w:p>
            <w:pPr>
              <w:ind w:left="20"/>
              <w:spacing w:after="0" w:line="242" w:lineRule="exact"/>
              <w:rPr>
                <w:sz w:val="20"/>
                <w:szCs w:val="20"/>
                <w:color w:val="auto"/>
              </w:rPr>
            </w:pPr>
            <w:r>
              <w:rPr>
                <w:rFonts w:ascii="Arial" w:cs="Arial" w:eastAsia="Arial" w:hAnsi="Arial"/>
                <w:sz w:val="16"/>
                <w:szCs w:val="16"/>
                <w:color w:val="auto"/>
              </w:rPr>
              <w:t>Silver Spring Networks, Inc.</w:t>
            </w:r>
            <w:r>
              <w:rPr>
                <w:rFonts w:ascii="Arial" w:cs="Arial" w:eastAsia="Arial" w:hAnsi="Arial"/>
                <w:sz w:val="27"/>
                <w:szCs w:val="27"/>
                <w:color w:val="auto"/>
                <w:vertAlign w:val="superscript"/>
              </w:rPr>
              <w:t>(2)</w:t>
            </w: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3,002,683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5,145,271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2,142,588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(3,002,683)</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SugarCRM,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2,744,614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8,299,914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12,124,407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3,824,493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8,299,794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9,379,673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1,079,879</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Totus Solutions, Inc,</w:t>
            </w: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(3,458,100)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6,100,523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369,289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(5,731,234)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6,023,973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3,750,839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(2,273,134)</w:t>
            </w:r>
          </w:p>
        </w:tc>
        <w:tc>
          <w:tcPr>
            <w:tcW w:w="0" w:type="dxa"/>
            <w:vAlign w:val="bottom"/>
          </w:tcPr>
          <w:p>
            <w:pPr>
              <w:spacing w:after="0"/>
              <w:rPr>
                <w:sz w:val="1"/>
                <w:szCs w:val="1"/>
                <w:color w:val="auto"/>
              </w:rPr>
            </w:pPr>
          </w:p>
        </w:tc>
      </w:tr>
      <w:tr>
        <w:trPr>
          <w:trHeight w:val="203"/>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TrueCar, Inc.</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1,763,989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2,015,023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4,064,146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2,049,123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2,014,863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2,299,997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285,134</w:t>
            </w: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Twitter, Inc.</w:t>
            </w: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88"/>
              </w:rPr>
              <w:t>(14,823,964)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27,551,563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82,558,948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55,007,385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32,991,111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102,822,460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69,831,349</w:t>
            </w:r>
          </w:p>
        </w:tc>
        <w:tc>
          <w:tcPr>
            <w:tcW w:w="0" w:type="dxa"/>
            <w:vAlign w:val="bottom"/>
          </w:tcPr>
          <w:p>
            <w:pPr>
              <w:spacing w:after="0"/>
              <w:rPr>
                <w:sz w:val="1"/>
                <w:szCs w:val="1"/>
                <w:color w:val="auto"/>
              </w:rPr>
            </w:pPr>
          </w:p>
        </w:tc>
      </w:tr>
      <w:tr>
        <w:trPr>
          <w:trHeight w:val="243"/>
        </w:trPr>
        <w:tc>
          <w:tcPr>
            <w:tcW w:w="2760" w:type="dxa"/>
            <w:vAlign w:val="bottom"/>
            <w:gridSpan w:val="4"/>
            <w:shd w:val="clear" w:color="auto" w:fill="CCEEFF"/>
          </w:tcPr>
          <w:p>
            <w:pPr>
              <w:ind w:left="20"/>
              <w:spacing w:after="0" w:line="242" w:lineRule="exact"/>
              <w:rPr>
                <w:sz w:val="20"/>
                <w:szCs w:val="20"/>
                <w:color w:val="auto"/>
              </w:rPr>
            </w:pPr>
            <w:r>
              <w:rPr>
                <w:rFonts w:ascii="Arial" w:cs="Arial" w:eastAsia="Arial" w:hAnsi="Arial"/>
                <w:sz w:val="16"/>
                <w:szCs w:val="16"/>
                <w:color w:val="auto"/>
              </w:rPr>
              <w:t>Violin Memory, Inc.</w:t>
            </w:r>
            <w:r>
              <w:rPr>
                <w:rFonts w:ascii="Arial" w:cs="Arial" w:eastAsia="Arial" w:hAnsi="Arial"/>
                <w:sz w:val="27"/>
                <w:szCs w:val="27"/>
                <w:color w:val="auto"/>
                <w:vertAlign w:val="superscript"/>
              </w:rPr>
              <w:t>(2)</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10,615,550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14,819,618</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4,204,068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(10,615,550)</w:t>
            </w:r>
          </w:p>
        </w:tc>
        <w:tc>
          <w:tcPr>
            <w:tcW w:w="0" w:type="dxa"/>
            <w:vAlign w:val="bottom"/>
          </w:tcPr>
          <w:p>
            <w:pPr>
              <w:spacing w:after="0"/>
              <w:rPr>
                <w:sz w:val="1"/>
                <w:szCs w:val="1"/>
                <w:color w:val="auto"/>
              </w:rPr>
            </w:pPr>
          </w:p>
        </w:tc>
      </w:tr>
      <w:tr>
        <w:trPr>
          <w:trHeight w:val="243"/>
        </w:trPr>
        <w:tc>
          <w:tcPr>
            <w:tcW w:w="2760" w:type="dxa"/>
            <w:vAlign w:val="bottom"/>
            <w:gridSpan w:val="4"/>
          </w:tcPr>
          <w:p>
            <w:pPr>
              <w:ind w:left="20"/>
              <w:spacing w:after="0" w:line="242" w:lineRule="exact"/>
              <w:rPr>
                <w:sz w:val="20"/>
                <w:szCs w:val="20"/>
                <w:color w:val="auto"/>
              </w:rPr>
            </w:pPr>
            <w:r>
              <w:rPr>
                <w:rFonts w:ascii="Arial" w:cs="Arial" w:eastAsia="Arial" w:hAnsi="Arial"/>
                <w:sz w:val="16"/>
                <w:szCs w:val="16"/>
                <w:color w:val="auto"/>
              </w:rPr>
              <w:t>Other</w:t>
            </w:r>
            <w:r>
              <w:rPr>
                <w:rFonts w:ascii="Arial" w:cs="Arial" w:eastAsia="Arial" w:hAnsi="Arial"/>
                <w:sz w:val="27"/>
                <w:szCs w:val="27"/>
                <w:color w:val="auto"/>
                <w:vertAlign w:val="superscript"/>
              </w:rPr>
              <w:t>(1)</w:t>
            </w:r>
          </w:p>
        </w:tc>
        <w:tc>
          <w:tcPr>
            <w:tcW w:w="1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550,946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264,433,111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266,115,444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1,682,333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131,431,492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132,562,879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1,131,387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9,659,729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388,185,616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473,539,844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85,354,228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290,554,354</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366,248,853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75,694,499</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7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614045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40450"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represents all investments (including U.S. Treasury Bills and U.S. Treasury Strips) whose individual change in unrealized appreciation (depreciation) was less than $1,000,000 for the nine months ended September 30, 2014.</w:t>
      </w:r>
    </w:p>
    <w:p>
      <w:pPr>
        <w:spacing w:after="0" w:line="62"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in unrealized gains and losses for these positions includes the reversal of previously unrealized gains and losses on these positions that were realized when the position was sold.</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Increase in Net Assets</w:t>
      </w:r>
    </w:p>
    <w:p>
      <w:pPr>
        <w:spacing w:after="0" w:line="117"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Net increase in net assets resulting from operations was $5,178,111, and $1,740,194, respectively, for the nine months ended September 30, 2014 and September 30, 2013. The increase in net assets was the result of the increases in realized gains and the benefit for taxes on net investment loss. These items were offset by: an increase in gross operating expenses, a decrease in change in unrealized appreciation on investments, the benefit for taxes on net realized capital gains, and the benefit for taxes on unrealized appreciation of investments.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The value of our investment portfolio will change over time due to changes in the fair value of our underlying investments, as well as changes in the composition of our portfolio resulting from purchases and sales of new and follow-on investments. The fair value, as of September 30, 2014, of all of our portfolio investments, excluding U.S. Treasury Bills and Strips, was $366,246,036. The table below summarizes the investments we funded during the nine months ended September 30, 2014. A binding purchase agreement for Course Hero Inc. was signed on September 19, 2014 with a closing date of November 4, 2014.</w:t>
      </w:r>
    </w:p>
    <w:p>
      <w:pPr>
        <w:spacing w:after="0" w:line="200" w:lineRule="exact"/>
        <w:rPr>
          <w:sz w:val="20"/>
          <w:szCs w:val="20"/>
          <w:color w:val="auto"/>
        </w:rPr>
      </w:pPr>
    </w:p>
    <w:p>
      <w:pPr>
        <w:spacing w:after="0" w:line="2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3820" w:type="dxa"/>
            <w:vAlign w:val="bottom"/>
            <w:gridSpan w:val="3"/>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Q3</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376"/>
        </w:trPr>
        <w:tc>
          <w:tcPr>
            <w:tcW w:w="3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 (Industry)</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5"/>
              </w:rPr>
              <w:t>Purchases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Purchases</w:t>
            </w:r>
          </w:p>
        </w:tc>
        <w:tc>
          <w:tcPr>
            <w:tcW w:w="0" w:type="dxa"/>
            <w:vAlign w:val="bottom"/>
          </w:tcPr>
          <w:p>
            <w:pPr>
              <w:spacing w:after="0"/>
              <w:rPr>
                <w:sz w:val="1"/>
                <w:szCs w:val="1"/>
                <w:color w:val="auto"/>
              </w:rPr>
            </w:pPr>
          </w:p>
        </w:tc>
      </w:tr>
      <w:tr>
        <w:trPr>
          <w:trHeight w:val="210"/>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AlwaysOn, Inc. (Social Media)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232,104</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232,104</w:t>
            </w:r>
          </w:p>
        </w:tc>
        <w:tc>
          <w:tcPr>
            <w:tcW w:w="0" w:type="dxa"/>
            <w:vAlign w:val="bottom"/>
          </w:tcPr>
          <w:p>
            <w:pPr>
              <w:spacing w:after="0"/>
              <w:rPr>
                <w:sz w:val="1"/>
                <w:szCs w:val="1"/>
                <w:color w:val="auto"/>
              </w:rPr>
            </w:pPr>
          </w:p>
        </w:tc>
      </w:tr>
      <w:tr>
        <w:trPr>
          <w:trHeight w:val="202"/>
        </w:trPr>
        <w:tc>
          <w:tcPr>
            <w:tcW w:w="38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Circle Media (f.k.a. S3 Digital Corp. (d/b/a S3i)</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gridSpan w:val="2"/>
          </w:tcPr>
          <w:p>
            <w:pPr>
              <w:ind w:left="180"/>
              <w:spacing w:after="0"/>
              <w:rPr>
                <w:sz w:val="20"/>
                <w:szCs w:val="20"/>
                <w:color w:val="auto"/>
              </w:rPr>
            </w:pPr>
            <w:r>
              <w:rPr>
                <w:rFonts w:ascii="Arial" w:cs="Arial" w:eastAsia="Arial" w:hAnsi="Arial"/>
                <w:sz w:val="18"/>
                <w:szCs w:val="18"/>
                <w:color w:val="auto"/>
              </w:rPr>
              <w:t>(Sports Analytics)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410,001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500,001</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Dailybreak, Inc. (Social Advertising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430,000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Arial" w:cs="Arial" w:eastAsia="Arial" w:hAnsi="Arial"/>
                <w:sz w:val="18"/>
                <w:szCs w:val="18"/>
                <w:color w:val="auto"/>
              </w:rPr>
              <w:t>Declara, Inc. (Social Cognitive Learning)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9,973,479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9,973,479</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Earlyshares.com (Equity Crowd Funding)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224,999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249,998</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Arial" w:cs="Arial" w:eastAsia="Arial" w:hAnsi="Arial"/>
                <w:sz w:val="18"/>
                <w:szCs w:val="18"/>
                <w:color w:val="auto"/>
              </w:rPr>
              <w:t>EdSurge, Inc. (Education Media Platform)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482,146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482,146</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Fullbridge, Inc. (Business Education)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1,280,000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899,041</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2,179,041</w:t>
            </w:r>
          </w:p>
        </w:tc>
        <w:tc>
          <w:tcPr>
            <w:tcW w:w="0" w:type="dxa"/>
            <w:vAlign w:val="bottom"/>
          </w:tcPr>
          <w:p>
            <w:pPr>
              <w:spacing w:after="0"/>
              <w:rPr>
                <w:sz w:val="1"/>
                <w:szCs w:val="1"/>
                <w:color w:val="auto"/>
              </w:rPr>
            </w:pPr>
          </w:p>
        </w:tc>
      </w:tr>
      <w:tr>
        <w:trPr>
          <w:trHeight w:val="202"/>
        </w:trPr>
        <w:tc>
          <w:tcPr>
            <w:tcW w:w="38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General Assembly Space, Inc. (Online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gridSpan w:val="2"/>
          </w:tcPr>
          <w:p>
            <w:pPr>
              <w:ind w:left="180"/>
              <w:spacing w:after="0"/>
              <w:rPr>
                <w:sz w:val="20"/>
                <w:szCs w:val="20"/>
                <w:color w:val="auto"/>
              </w:rPr>
            </w:pPr>
            <w:r>
              <w:rPr>
                <w:rFonts w:ascii="Arial" w:cs="Arial" w:eastAsia="Arial" w:hAnsi="Arial"/>
                <w:sz w:val="18"/>
                <w:szCs w:val="18"/>
                <w:color w:val="auto"/>
              </w:rPr>
              <w:t>Education)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5,991,641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5,991,641</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GSV Sustainability Partners (Clean Technology)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596,550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946,550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Arial" w:cs="Arial" w:eastAsia="Arial" w:hAnsi="Arial"/>
                <w:sz w:val="18"/>
                <w:szCs w:val="18"/>
                <w:color w:val="auto"/>
                <w:w w:val="94"/>
              </w:rPr>
              <w:t>JAMF Holdings, Inc. (Mobile Device Management)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4,996,044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4,996,044</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Lyft, Inc. (Peer to Peer Ridesharing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4,999,991</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4,999,991</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Arial" w:cs="Arial" w:eastAsia="Arial" w:hAnsi="Arial"/>
                <w:sz w:val="18"/>
                <w:szCs w:val="18"/>
                <w:color w:val="auto"/>
              </w:rPr>
              <w:t>NestGSV, Inc. (Incubator)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1,145,249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1,943,249</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Solexel, Inc. (Solar Power)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2,999,999</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2,999,999</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Arial" w:cs="Arial" w:eastAsia="Arial" w:hAnsi="Arial"/>
                <w:sz w:val="18"/>
                <w:szCs w:val="18"/>
                <w:color w:val="auto"/>
              </w:rPr>
              <w:t>StormWind, LLC (Interactive Learning)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3,092,255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999,997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4,092,252</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Totus Solutions, Inc.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3"/>
          </w:tcPr>
          <w:p>
            <w:pPr>
              <w:ind w:left="20"/>
              <w:spacing w:after="0"/>
              <w:rPr>
                <w:sz w:val="20"/>
                <w:szCs w:val="20"/>
                <w:color w:val="auto"/>
              </w:rPr>
            </w:pPr>
            <w:r>
              <w:rPr>
                <w:rFonts w:ascii="Arial" w:cs="Arial" w:eastAsia="Arial" w:hAnsi="Arial"/>
                <w:sz w:val="18"/>
                <w:szCs w:val="18"/>
                <w:color w:val="auto"/>
              </w:rPr>
              <w:t>Total Gross Payments</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21,801,181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8"/>
              </w:rPr>
              <w:t>13,004,318</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9"/>
              </w:rPr>
              <w:t>5,285,996</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40,091,495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-2760980</wp:posOffset>
            </wp:positionV>
            <wp:extent cx="517144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investments we disposed of during the nine months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1454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71"/>
        </w:trPr>
        <w:tc>
          <w:tcPr>
            <w:tcW w:w="29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Sold</w:t>
            </w:r>
          </w:p>
        </w:tc>
        <w:tc>
          <w:tcPr>
            <w:tcW w:w="22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5"/>
              </w:rPr>
              <w:t>Share Price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Proceeds</w:t>
            </w:r>
          </w:p>
        </w:tc>
        <w:tc>
          <w:tcPr>
            <w:tcW w:w="22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Control4 Corporation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Quarter 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203,700</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4,640,039</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2,886,302</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Quarter 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579,089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10,722,817</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5,465,113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Control4 Corporation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782,789</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15,362,856</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8,351,415</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tcPr>
          <w:p>
            <w:pPr>
              <w:ind w:left="20"/>
              <w:spacing w:after="0"/>
              <w:rPr>
                <w:sz w:val="20"/>
                <w:szCs w:val="20"/>
                <w:color w:val="auto"/>
              </w:rPr>
            </w:pPr>
            <w:r>
              <w:rPr>
                <w:rFonts w:ascii="Arial" w:cs="Arial" w:eastAsia="Arial" w:hAnsi="Arial"/>
                <w:sz w:val="18"/>
                <w:szCs w:val="18"/>
                <w:color w:val="auto"/>
              </w:rPr>
              <w:t>DianRong (fka SinoLending Ltd.)</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Quarter 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8,747,476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4,286,230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3,531,144</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Facebook, Inc.</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Quarter 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9,461,526</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5,828,043</w:t>
            </w: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color w:val="auto"/>
              </w:rPr>
              <w:t>Palantir Technologies</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Quarter 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1,759,900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889,672</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Silver Spring Networks, Inc.</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Quarter 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102,028</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1,544,984</w:t>
            </w:r>
          </w:p>
        </w:tc>
        <w:tc>
          <w:tcPr>
            <w:tcW w:w="12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(3,600,272)</w:t>
            </w: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Quarter 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52.27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15,681,483</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10,241,936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Violin Memory, Inc.</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Quarter 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1,247,498</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4,955,220</w:t>
            </w:r>
          </w:p>
        </w:tc>
        <w:tc>
          <w:tcPr>
            <w:tcW w:w="12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(9,864,958)</w:t>
            </w: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color w:val="auto"/>
              </w:rPr>
              <w:t>ZocDoc Inc.</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Quarter 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311,866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7,796,650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2,498,594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Proceeds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60,848,849</w:t>
            </w:r>
          </w:p>
        </w:tc>
        <w:tc>
          <w:tcPr>
            <w:tcW w:w="12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17,875,574</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-1148715</wp:posOffset>
            </wp:positionV>
            <wp:extent cx="5213985" cy="146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At September 30, 2014, we had portfolio company investments with costs totaling $280,906,237; U.S. Treasury Strips of $7,277,896, unrestricted cash of $6,517,389, and restricted cash of $48,889. The Company’s portfolio investments are pledged first to secure the payment of both principal and interest on the 2013 Convertible Senior Notes, thereafter the portfolio investments are pledged as collateral to secure any borrowings under the Credit Facility.</w:t>
      </w:r>
    </w:p>
    <w:p>
      <w:pPr>
        <w:spacing w:after="0" w:line="79"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On September 17, 2013, we issued $69,000,000 aggregate principal amount of the Convertible Senior Notes (the “Convertible Notes”) (including $9,000,000 aggregate principal amount issued pursuant to the exercise of the initial purchasers’ option to purchase additional Convertible Notes). The Convertible Notes bear interest at a fixed rate of 5.25% per year, payable semi-annually in arrears on March 15 and September 15 of each year, commencing on March 15, 2014. The Convertible Notes are convertible into shares of our common stock based on an initial conversion rate of 61.5091 shares of our common stock per $1,000 principal amount of Convertible Notes, which is equivalent to an initial conversion price of approximately $16.26 per share of common stock. The Convertible Notes mature on September 15, 2018,</w:t>
      </w:r>
    </w:p>
    <w:p>
      <w:pPr>
        <w:spacing w:after="0" w:line="200" w:lineRule="exact"/>
        <w:rPr>
          <w:sz w:val="20"/>
          <w:szCs w:val="20"/>
          <w:color w:val="auto"/>
        </w:rPr>
      </w:pPr>
    </w:p>
    <w:p>
      <w:pPr>
        <w:spacing w:after="0" w:line="3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47" w:name="page48"/>
    <w:bookmarkEnd w:id="4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39"/>
        <w:spacing w:after="0" w:line="277" w:lineRule="auto"/>
        <w:rPr>
          <w:sz w:val="20"/>
          <w:szCs w:val="20"/>
          <w:color w:val="auto"/>
        </w:rPr>
      </w:pPr>
      <w:r>
        <w:rPr>
          <w:rFonts w:ascii="Arial" w:cs="Arial" w:eastAsia="Arial" w:hAnsi="Arial"/>
          <w:sz w:val="18"/>
          <w:szCs w:val="18"/>
          <w:color w:val="auto"/>
        </w:rPr>
        <w:t>unless previously purchased or converted in accordance with their terms. We do not have the right to redeem the Convertible Notes prior to maturity.</w:t>
      </w:r>
    </w:p>
    <w:p>
      <w:pPr>
        <w:spacing w:after="0" w:line="62"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We entered into a Loan and Security Agreement (the “Loan Agreement”), effective December 31, 2013, with Silicon Valley Bank to provide us with a new $18 million credit facility (the “Credit Facility”). Under the Credit Facility, we are permitted to borrow an amount equal to the lesser of $18 million or 20% of our then-current net asset value.</w:t>
      </w:r>
    </w:p>
    <w:p>
      <w:pPr>
        <w:spacing w:after="0" w:line="73"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2014, we had no borrowings outstanding under the Credit Facility.</w:t>
      </w:r>
    </w:p>
    <w:p>
      <w:pPr>
        <w:spacing w:after="0" w:line="117"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A binding purchase agreement for Course Hero Inc. was signed on September 19, 2014 with a closing date of November 4, 2014. On November 4, 2014 we funded the investment in Course Hero Inc.</w:t>
      </w:r>
    </w:p>
    <w:p>
      <w:pPr>
        <w:spacing w:after="0" w:line="62"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Our primary use of cash is to make investments and to pay our operating expenses. We used substantially all of the proceeds of the offerings to invest in portfolio companies as of September 30, 2014, except for amounts retained for purposes of funding our ongoing expenses. For the nine months ended September 30, 2014, cash used in operating activities, consisting primarily of investment activity, was approximately $0.6 million.</w:t>
      </w:r>
    </w:p>
    <w:p>
      <w:pPr>
        <w:spacing w:after="0" w:line="79" w:lineRule="exact"/>
        <w:rPr>
          <w:sz w:val="20"/>
          <w:szCs w:val="20"/>
          <w:color w:val="auto"/>
        </w:rPr>
      </w:pPr>
    </w:p>
    <w:p>
      <w:pPr>
        <w:jc w:val="both"/>
        <w:ind w:left="60" w:right="519" w:firstLine="270"/>
        <w:spacing w:after="0" w:line="254" w:lineRule="auto"/>
        <w:rPr>
          <w:sz w:val="20"/>
          <w:szCs w:val="20"/>
          <w:color w:val="auto"/>
        </w:rPr>
      </w:pPr>
      <w:r>
        <w:rPr>
          <w:rFonts w:ascii="Arial" w:cs="Arial" w:eastAsia="Arial" w:hAnsi="Arial"/>
          <w:sz w:val="18"/>
          <w:szCs w:val="18"/>
          <w:color w:val="auto"/>
        </w:rPr>
        <w:t>Our current policy is to maintain cash reserves and liquid securities in an amount sufficient to pay our operating expenses, including investment management fees and costs incurred under the administration agreement, for approximately two years. For a description of the investment advisory and administration services we receive, see “Related Party Transactions and Certain Relationships”. We incurred $3,684,300 and $5,498,585 in accrued incentive fees, $1,949,705 and $5,639,564 in investment management fees and $718,896 and $2,557,129 in costs incurred under the administration agreement for three and nine months ended September 30, 2014, respectively. We incurred approximately $1,298,858 and $3,828,835 in investment management fees and $678,283 and $2,276,152 in costs incurred under the administration agreement for the three and nine months ended September 30, 2013, respectively.</w:t>
      </w:r>
    </w:p>
    <w:p>
      <w:pPr>
        <w:spacing w:after="0" w:line="84"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As of September 30, 2014, the fair value of our level 1 portfolio investments, which are not subject to lock-up, was $89,939,570.</w:t>
      </w:r>
    </w:p>
    <w:p>
      <w:pPr>
        <w:spacing w:after="0" w:line="62"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As of September 30, 2014, the fair value of our portfolio investments was $366.2 million. Fair value adjustments may include subsequent financing rounds, discounts due to lack of marketability, senior management changes or any other developments that factor into our valuations. The fair value of our investments can be expected to fluctuate in future periods due to changes in our investments and changes in the fair value of the investments. The Company’s portfolio investments are pledged first to secure the payment of both principal and interest on the 2013 Convertible Senior Notes, thereafter the portfolio investments are pledged as collateral to secure any borrowings under the Credit Facility.</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ind w:left="140"/>
              <w:spacing w:after="0"/>
              <w:rPr>
                <w:sz w:val="20"/>
                <w:szCs w:val="20"/>
                <w:color w:val="auto"/>
              </w:rPr>
            </w:pPr>
            <w:r>
              <w:rPr>
                <w:rFonts w:ascii="Arial" w:cs="Arial" w:eastAsia="Arial" w:hAnsi="Arial"/>
                <w:sz w:val="14"/>
                <w:szCs w:val="14"/>
                <w:b w:val="1"/>
                <w:bCs w:val="1"/>
                <w:color w:val="auto"/>
                <w:w w:val="93"/>
              </w:rPr>
              <w:t>Payments Due By Period (dollars in millions)</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1 – 3 years</w:t>
            </w:r>
          </w:p>
        </w:tc>
        <w:tc>
          <w:tcPr>
            <w:tcW w:w="16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3 – 5 years</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640" w:type="dxa"/>
            <w:vAlign w:val="bottom"/>
            <w:gridSpan w:val="3"/>
            <w:vMerge w:val="restart"/>
          </w:tcPr>
          <w:p>
            <w:pPr>
              <w:ind w:left="20"/>
              <w:spacing w:after="0"/>
              <w:rPr>
                <w:sz w:val="20"/>
                <w:szCs w:val="20"/>
                <w:color w:val="auto"/>
              </w:rPr>
            </w:pPr>
            <w:r>
              <w:rPr>
                <w:rFonts w:ascii="Arial" w:cs="Arial" w:eastAsia="Arial" w:hAnsi="Arial"/>
                <w:sz w:val="18"/>
                <w:szCs w:val="18"/>
                <w:color w:val="auto"/>
              </w:rPr>
              <w:t>Payable for securities purchased</w:t>
            </w:r>
            <w:r>
              <w:rPr>
                <w:rFonts w:ascii="Arial" w:cs="Arial" w:eastAsia="Arial" w:hAnsi="Arial"/>
                <w:sz w:val="30"/>
                <w:szCs w:val="30"/>
                <w:color w:val="auto"/>
                <w:vertAlign w:val="superscript"/>
              </w:rPr>
              <w:t>(1)</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3640" w:type="dxa"/>
            <w:vAlign w:val="bottom"/>
            <w:gridSpan w:val="3"/>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   94.0</w:t>
            </w:r>
          </w:p>
        </w:tc>
        <w:tc>
          <w:tcPr>
            <w:tcW w:w="4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Credit Facility</w:t>
            </w:r>
            <w:r>
              <w:rPr>
                <w:rFonts w:ascii="Arial" w:cs="Arial" w:eastAsia="Arial" w:hAnsi="Arial"/>
                <w:sz w:val="29"/>
                <w:szCs w:val="29"/>
                <w:color w:val="auto"/>
                <w:vertAlign w:val="superscript"/>
              </w:rPr>
              <w:t>(2)(3)</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6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300" w:right="519" w:hanging="272"/>
        <w:spacing w:after="0" w:line="279" w:lineRule="auto"/>
        <w:tabs>
          <w:tab w:leader="none" w:pos="30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Payable for securities purchased relates to the purchase of the United States Treasury Bill on margin and the purchase of Course Hero Inc. The United States Treasury Bill payable was subsequently repaid on October 2, 2014 when the United States Treasury Bill matured and the $11.0 million margin deposit which was posted as collateral was returned. A binding purchase agreement for Course Hero Inc. was signed on September 19, 2014 with a closing date of November 4, 2014.</w:t>
      </w:r>
    </w:p>
    <w:p>
      <w:pPr>
        <w:spacing w:after="0" w:line="200" w:lineRule="exact"/>
        <w:rPr>
          <w:sz w:val="20"/>
          <w:szCs w:val="20"/>
          <w:color w:val="auto"/>
        </w:rPr>
      </w:pPr>
    </w:p>
    <w:p>
      <w:pPr>
        <w:spacing w:after="0" w:line="3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Total unused amount of the credit facility at September 30, 2014 was $18,000,000.</w:t>
      </w:r>
    </w:p>
    <w:p>
      <w:pPr>
        <w:spacing w:after="0" w:line="117" w:lineRule="exact"/>
        <w:rPr>
          <w:rFonts w:ascii="Arial" w:cs="Arial" w:eastAsia="Arial" w:hAnsi="Arial"/>
          <w:sz w:val="18"/>
          <w:szCs w:val="18"/>
          <w:i w:val="1"/>
          <w:iCs w:val="1"/>
          <w:color w:val="auto"/>
        </w:rPr>
      </w:pPr>
    </w:p>
    <w:p>
      <w:pPr>
        <w:ind w:left="280" w:hanging="272"/>
        <w:spacing w:after="0"/>
        <w:tabs>
          <w:tab w:leader="none" w:pos="28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The weighted average interest rate incurred under the credit facility was 8.00% for the nine months ended September 30, 2014.</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As of September 30, 2014, we had no off-balance sheet arrangements, including any risk management of commodity pricing or other hedging practices. However, we may employ hedging and other risk management techniques in the future.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However, if there are earnings or realized capital gains to be distributed, we intend to declare and pay a dividend at least annually.</w:t>
      </w:r>
    </w:p>
    <w:p>
      <w:pPr>
        <w:spacing w:after="0" w:line="57"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In September 2014 we filed our 2013 tax return as a regulated investment company “RIC” and are seeking to be granted RIC status for our 2013 taxable year, however, we will not be eligible to elect to be treated as a RIC for the 2013 taxable year unless we are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Although we filed an application with the SEC for an SEC Certification for the 2013 taxable year, there can be no assurance that we will receive an SEC Certification. In the event that we do not receive such SEC Certification or we are otherwise unable to meet all of the qualifications to be treated as a RIC for 2013, we will be taxed as a C Corporation for the 2013 taxable year. Should we not qualify as a RIC for 2013, we intend to elect to be treated as a RIC for our 2014 taxable year, if management determines that it is in our best interests to do so. If we opt not to do so or are unable to qualify, we will continue to be taxed as a C corporation under the Code for our 2014 taxable year. Refer to note 8 for further detail. To obtain and maintain RIC tax treatment, we must, among other things, distribute at least 90% of our ordinary income and realized net short-term capital gains in excess of realized net long-term capital losses, if any, for each taxable year. See “U.S. Federal Income Tax Considerations.” There is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73"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On September 17, 2013, the Company issued $69,000,000 aggregate principal amount of the Convertible Senior Notes (including $9,000,000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are convertible into shares of our common stock based on an initial conversion rate of 61.5091 shares of our common stock per $1,000 principal amount of Convertible Senior Notes, which is equivalent to an initial conversion price of approximately $16.26 per share of common stock. The Convertible Senior Notes mature on September 15, 2018, unless previously purchased or converted in accordance with their terms. The Company does not have the right to redeem the Convertible Senior Notes prior to maturity.</w:t>
      </w:r>
    </w:p>
    <w:p>
      <w:pPr>
        <w:spacing w:after="0" w:line="89"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The terms of the offering require the Company to place a portion of the offering proceeds in an escrow account (the “Interest Escrow”) with U.S. Bank National Association, (the “trustee”) under the indenture pursuant to which the notes are issued. Funds in the escrow account will be invested in government securities and will be used to make the first six scheduled interest payments on the notes, unless the Company elects to make the interest payments from the Company’s available funds. The interest payments on the Convertible Senior Notes will be secured by a pledge of the Company’s interest in the escrow account. In accordance with the Interest Escrow, the Company deposited $10,867,500 in an escrow account with the Trustee. These funds were used to purchase U.S. Treasury Strips (“Government Securities”) with an original cost of $10,845,236. As of September 30, 2014, 2 of the government securities purchased had matured and the proceeds were used by the trustee in accordance with the terms of the escrow agreement. At September 30, 2014, the remaining government securities are shown on the Consolidated Schedule of Investments and have an amortized cost of $7,277,896. The excess funds of $23,889 held in escrow will be used to secure the payment of the notes and is included on the Consolidated Statements of Assets and Liabilities as “Restricted Cash”. Proceeds from the issuance of the Convertible Senior Notes were offset by offering costs of approximately $3,585,929 that are being amortized over the term of the notes in accordance with ASC 470 Debt. As of September 30, 2014, of the total offering costs of $3,585,929 incurred, $2,841,316 remains to be amortized and is included within deferred debt issuance costs on the Consolidated Statements of Assets and Liabilities.</w:t>
      </w:r>
    </w:p>
    <w:p>
      <w:pPr>
        <w:spacing w:after="0" w:line="75"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As of September 30, 2014,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our subsidiaries.</w:t>
      </w:r>
    </w:p>
    <w:p>
      <w:pPr>
        <w:spacing w:after="0" w:line="64"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Convertible Senior Notes contain an interest make-whole payment provision pursuant to which holders who convert their notes prior to September 15, 2016 will receive, in addition to a number of shares of our common stock calculated at the applicable conversion rate for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Company entered into the Loan Agreement, effective December 31, 2013, with Silicon Valley Bank to provide the Company with a new $18 million Credit Facility. Under the Credit Facility, the Company is permitted to borrow an amount equal to the lesser of $18 million or 20% of our then-current net asset value.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Credit Facility, among other things, matures on December 31, 2016, and bears interest at a per annum rate equal to the greater of (i) the prime rate plus 4.75% and (ii) 8.0%. In addition, a fee of $180,000 per annum (1.0% of the $18 million revolving line of credit) is charged under the Loan Agreement. Under the terms of the Credit Facility, we must repay all outstanding borrowings so that there is at least a 30-day period every twelve months during which we have no balance outstanding. Under the Loan Agreement, we have made certain customary representations and warranties and we are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74"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The Credit Facility is secured by all of our property and assets, except for our assets pledged to secure certain obligations in connection with our issuance, in September 2013, of the Convertible Senior Notes and, as provided for in the Loan Agreement, as may be pledged in connection with any future issuance by us of convertible senior notes on substantially similar terms.</w:t>
      </w:r>
    </w:p>
    <w:p>
      <w:pPr>
        <w:spacing w:after="0" w:line="39"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Borrowing under the Credit Facility is subject to the leverage restrictions contained in the Investment Company Act of 1940, as amended. In addition, under the Loan Agreement, and as provided for therein, we have agreed not to incur certain additional permitted indebtedness in an aggregate amount exceeding 50% of our then-applicable net asset value.</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GSV Capital’s Board of Directors has authorized a share repurchase program of GSVC stock of up to $10 million over the next 12 months. Under the repurchase program, the Company may repurchase its outstanding common stock in the open market provided that the Company complies with the prohibitions under its Insider Trading policies and procedures and the guidelines specified in Rule 10b-18 of the Securities Exchange Act of 1934.</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We entered into an investment advisory agreement with GSV Asset Management (the “Advisory Agreement”) in connection with our initial public offering. Pursuant to the Advisory Agreement, GSV Asset Management will be paid a base annual fee of 2.00% of gross assets, and an annual incentive fee equal to the lesser of (i) 20% of GSV Capital’s realized capital gains during each calendar year, if any, calculated on an investment-by-investment basis, subject to a non-compounded preferred return, or “hurdle,” and a “catch-up” feature, and (ii) 20% of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70"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GSV Asset Management earned $1,949,705 and $5,639,564 in base management fees and $0 in incentive fees for the three and nine months ended September 30, 2014, respectively. For the three and nine months ended September 30, 2014, respectively, we accrued incentive fees of $3,684,300, and $5,498,585, in accordance with the AICPA’s TPA (TIS 6910.2) which considers the hypothetical liquidation value of our investment portfolio as of the measurement date.</w:t>
      </w:r>
    </w:p>
    <w:p>
      <w:pPr>
        <w:spacing w:after="0" w:line="79"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GSV Asset Management earned $1,298,858 and $3,828,835 in base management fees and $0 in incentive fees for the three and nine months ended September 30, 2013, respectively. For the three and nine months ended September 30, 2013, respectively, we accrued incentive fees of $0, and $0, in accordance with the AICPA’s TPA (TIS 6910.2) which considers the hypothetical liquidation value of our investment portfolio as of the measurement date.</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As of September 30, 2014, we were owed $18,834 from GSV Capital Service Company, LLC, for the prepayment of overhead expenses as well as California Franchise Board fees. In addition as of September 30, 2014, we owed GSV Asset Management $48,898, which relates to the reimbursement of expenses paid for by GSV Asset Management that were the responsibility of the Company.</w:t>
      </w:r>
    </w:p>
    <w:p>
      <w:pPr>
        <w:spacing w:after="0" w:line="7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As of December 31, 2013, we were owed $3,039 from GSV Capital Service Company, LLC for reimbursement of expenses paid for by us that were the responsibility of GSV Asset Management. In addition</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color w:val="auto"/>
        </w:rPr>
        <w:t>as of December 31, 2013, we owed GSV Asset Management $563,978, which relates to the reimbursement of expenses paid for by GSV Asset Management that were the responsibility of the Company.</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$718,896 and $2,557,129 in such costs incurred under the Administration Agreement for the three and nine months ended September 30, 2014, respectively. There were $678,283 and $2,276,152 in such costs incurred under the Administration Agreement for the three and nine months ended September 30, 2013, respectively.</w:t>
      </w:r>
    </w:p>
    <w:p>
      <w:pPr>
        <w:spacing w:after="0" w:line="81"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financial statements included herein are expressed in United States dollars and have been prepared in conformity with accounting principles generally accepted in the United States of America (“GAAP”).</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In accordance with Regulation S-X under the Securities Act of 1933 and Securities Exchange Act of 1934, the Company does not consolidate portfolio company investments.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Investments at Fair Value</w:t>
      </w:r>
    </w:p>
    <w:p>
      <w:pPr>
        <w:spacing w:after="0" w:line="117" w:lineRule="exact"/>
        <w:rPr>
          <w:sz w:val="20"/>
          <w:szCs w:val="20"/>
          <w:color w:val="auto"/>
        </w:rPr>
      </w:pPr>
    </w:p>
    <w:p>
      <w:pPr>
        <w:jc w:val="both"/>
        <w:ind w:left="40" w:right="539" w:firstLine="270"/>
        <w:spacing w:after="0" w:line="271" w:lineRule="auto"/>
        <w:rPr>
          <w:sz w:val="20"/>
          <w:szCs w:val="20"/>
          <w:color w:val="auto"/>
        </w:rPr>
      </w:pPr>
      <w:r>
        <w:rPr>
          <w:rFonts w:ascii="Arial" w:cs="Arial" w:eastAsia="Arial" w:hAnsi="Arial"/>
          <w:sz w:val="17"/>
          <w:szCs w:val="17"/>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GAAP fair value measurement guidance classifies the inputs used to measure these fair values into the following hierarchy:</w:t>
      </w:r>
    </w:p>
    <w:p>
      <w:pPr>
        <w:spacing w:after="0" w:line="136"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we have the ability to access.</w:t>
      </w:r>
    </w:p>
    <w:p>
      <w:pPr>
        <w:spacing w:after="0" w:line="54"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540" w:hanging="26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540" w:hanging="26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117"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5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w:t>
      </w:r>
    </w:p>
    <w:p>
      <w:pPr>
        <w:spacing w:after="0" w:line="7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An asset’s categorization within the valuation hierarchy is based upon the lowest level of input that is significant to the fair value measurement.</w:t>
      </w:r>
    </w:p>
    <w:p>
      <w:pPr>
        <w:spacing w:after="0" w:line="62"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5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73"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5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provided by the valuation firms, among other factors, in making our fair value determinations.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was taxed as a regular corporation (a “C corporation”) under subchapter C of the Internal Revenue Code of 1986, as amended, for its 2012 taxable year. The Company uses the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8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In September 2014 we filed our 2013 tax return as a regulated investment company “RIC” and are seeking to be granted RIC status for our 2013 taxable year, however, we will not be eligible to elect to be treated as a RIC for the 2013 taxable year unless we are certified by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Although we filed an application with the SEC for an SEC Certification for the 2013 taxable year, there can be no assurance that we will receive an SEC Certification. In the event that we do not receive such SEC Certification or we are otherwise unable to meet all of the qualifications to be treated as a RIC for 2013, we will be taxed as a C Corporation for the</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86" w:lineRule="auto"/>
        <w:rPr>
          <w:sz w:val="20"/>
          <w:szCs w:val="20"/>
          <w:color w:val="auto"/>
        </w:rPr>
      </w:pPr>
      <w:r>
        <w:rPr>
          <w:rFonts w:ascii="Arial" w:cs="Arial" w:eastAsia="Arial" w:hAnsi="Arial"/>
          <w:sz w:val="17"/>
          <w:szCs w:val="17"/>
          <w:color w:val="auto"/>
        </w:rPr>
        <w:t>2013 taxable year. Should we not qualify as a RIC for 2013, we intend to elect to be treated as a RIC for our 2014 taxable year, if management determines that it is in our best interests to do so. If we opt not to do so or are unable to qualify, we will continue to be taxed as a C corporation under the Code for our 2014 taxable year. Refer to note 8 for further detail.</w:t>
      </w:r>
    </w:p>
    <w:p>
      <w:pPr>
        <w:spacing w:after="0" w:line="57"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In order to qualify as a RIC, among other things, the Company is required to distribute to its stockholders on a timely basis at least 90% of investment company taxable income, as defined by the Code, for each year, and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of the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 At the present time, the Company cannot assure you that it will be eligible to elect to be taxed as a RIC for its 2013 taxable year. If it is not treated as a RIC for 2013, the Company will be taxed as a C corporation under the Code for the 2013 taxable year. Until such time as it qualifies and elects to be taxed as a RIC, GSV will provide for income taxes, if any, as a C Corp. The Company intends to elect to be taxed as a RIC for its 2014 taxable year, if management determines that it is in the Company’s best interests to do so.</w:t>
      </w:r>
    </w:p>
    <w:p>
      <w:pPr>
        <w:spacing w:after="0" w:line="7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 June 2013, the Financial Accounting Standards Board issued Accounting Standards Update (“ASU”) 2013-08, Financial Services — Investment Companies (Topic 946): Amendments to the Scope, Measurement, and Disclosure Requirements (“ASU 2013-08”). ASU 2013-08 amends the criteria that define an investment company, clarifies the measurement guidance and requires certain additional disclosures. Public companies are required to apply ASU 2013-08 prospectively for interim and annual reporting periods beginning after December 15, 2013.</w:t>
      </w:r>
    </w:p>
    <w:p>
      <w:pPr>
        <w:spacing w:after="0" w:line="8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Company does not believe that the adoption of any recently issued accounting standards will have a material impact on its current financial position and results of operations.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left="60" w:right="519" w:firstLine="270"/>
        <w:spacing w:after="0" w:line="279" w:lineRule="auto"/>
        <w:rPr>
          <w:sz w:val="20"/>
          <w:szCs w:val="20"/>
          <w:color w:val="auto"/>
        </w:rPr>
      </w:pPr>
      <w:r>
        <w:rPr>
          <w:rFonts w:ascii="Arial" w:cs="Arial" w:eastAsia="Arial" w:hAnsi="Arial"/>
          <w:sz w:val="17"/>
          <w:szCs w:val="17"/>
          <w:color w:val="auto"/>
        </w:rPr>
        <w:t>From September 30, 2014 through November 10, 2014, the Company did not sell any investments. A binding purchase agreement for Course Hero Inc. was signed on September 19, 2014 with a closing date of November 4, 2014. On November 4, 2014 the Company funded the investment of $5,000,001. From September 30, 2014 through November 10, 2014, the Company closed on investments of $14,724,998 plus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47510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14"/>
                <w:szCs w:val="14"/>
                <w:color w:val="auto"/>
              </w:rPr>
            </w:pPr>
          </w:p>
        </w:tc>
        <w:tc>
          <w:tcPr>
            <w:tcW w:w="2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71"/>
        </w:trPr>
        <w:tc>
          <w:tcPr>
            <w:tcW w:w="2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OzyMedia, Inc.</w:t>
            </w: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Daily News and Information Site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3-Oct-14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4,999,999</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NestGSV, Inc.</w:t>
            </w:r>
          </w:p>
        </w:tc>
        <w:tc>
          <w:tcPr>
            <w:tcW w:w="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Incubator</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6-Oct-14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899,999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 Sustainability Partners</w:t>
            </w: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Clean Technology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13-Oct-14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3,875,000</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Enjoy Technology, Inc.</w:t>
            </w:r>
          </w:p>
        </w:tc>
        <w:tc>
          <w:tcPr>
            <w:tcW w:w="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5"/>
              </w:rPr>
              <w:t>Mobile Social</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23-Oct-14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1,000,000</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DogVacay, Inc.</w:t>
            </w:r>
          </w:p>
        </w:tc>
        <w:tc>
          <w:tcPr>
            <w:tcW w:w="8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Marketplaces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3-Nov-14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2,500,000</w:t>
            </w:r>
          </w:p>
        </w:tc>
        <w:tc>
          <w:tcPr>
            <w:tcW w:w="0" w:type="dxa"/>
            <w:vAlign w:val="bottom"/>
          </w:tcPr>
          <w:p>
            <w:pPr>
              <w:spacing w:after="0"/>
              <w:rPr>
                <w:sz w:val="1"/>
                <w:szCs w:val="1"/>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Learnist Inc. (f/k/a Grockit, Inc.)</w:t>
            </w:r>
          </w:p>
        </w:tc>
        <w:tc>
          <w:tcPr>
            <w:tcW w:w="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Online Learning Platform</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7-Nov-14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1,450,000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Payments</w:t>
            </w:r>
          </w:p>
        </w:tc>
        <w:tc>
          <w:tcPr>
            <w:tcW w:w="8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14,724,998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Line of Credit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10, 2014, our balance on the credit facility was $7.0 million.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Escrow Deposits</w:t>
      </w:r>
    </w:p>
    <w:p>
      <w:pPr>
        <w:spacing w:after="0" w:line="117"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September 30, 2014 through November 10, 2014, the Company has not made any such escrow deposits.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519" w:firstLine="270"/>
        <w:spacing w:after="0" w:line="279" w:lineRule="auto"/>
        <w:rPr>
          <w:sz w:val="20"/>
          <w:szCs w:val="20"/>
          <w:color w:val="auto"/>
        </w:rPr>
      </w:pPr>
      <w:r>
        <w:rPr>
          <w:rFonts w:ascii="Arial" w:cs="Arial" w:eastAsia="Arial" w:hAnsi="Arial"/>
          <w:sz w:val="17"/>
          <w:szCs w:val="17"/>
          <w:color w:val="auto"/>
        </w:rPr>
        <w:t>We are subject to financial market risks, which could include; to the extent we utilize leverage,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200" w:lineRule="exact"/>
        <w:rPr>
          <w:sz w:val="20"/>
          <w:szCs w:val="20"/>
          <w:color w:val="auto"/>
        </w:rPr>
      </w:pPr>
    </w:p>
    <w:p>
      <w:pPr>
        <w:spacing w:after="0" w:line="3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As of September 30, 2014, we, including our Chief Executive Officer and Chief Financial Officer, evaluated the effectiveness of the design and operation of our disclosure controls and procedures (as defined in Rule 13a-15(e) under the Securities Exchange Act of 1934).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6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quarter ended September 30, 2014 that have materially affected, or are reasonably likely to materially affect, our internal control over financial reporting.</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None of us, our investment adviser or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Item 1A. Risk Factors in our Annual Report on Form 10-K for the fiscal year ended December 31, 2013,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 There have been no material changes during the three months ended September 30, 2014 to the risk factors discussed in Item 1A. Risk Factors in our Annual Report on Form 10-K for the year ended December 31, 2013.</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51028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02860" cy="8890"/>
                    </a:xfrm>
                    <a:prstGeom prst="rect">
                      <a:avLst/>
                    </a:prstGeom>
                    <a:noFill/>
                  </pic:spPr>
                </pic:pic>
              </a:graphicData>
            </a:graphic>
          </wp:anchor>
        </w:drawing>
      </w:r>
    </w:p>
    <w:p>
      <w:pPr>
        <w:spacing w:after="0" w:line="137" w:lineRule="exact"/>
        <w:rPr>
          <w:sz w:val="20"/>
          <w:szCs w:val="20"/>
          <w:color w:val="auto"/>
        </w:rPr>
      </w:pPr>
    </w:p>
    <w:p>
      <w:pPr>
        <w:ind w:left="80"/>
        <w:spacing w:after="0"/>
        <w:tabs>
          <w:tab w:leader="none" w:pos="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Amendment and Restatement*</w:t>
      </w:r>
    </w:p>
    <w:p>
      <w:pPr>
        <w:spacing w:after="0" w:line="23" w:lineRule="exact"/>
        <w:rPr>
          <w:sz w:val="20"/>
          <w:szCs w:val="20"/>
          <w:color w:val="auto"/>
        </w:rPr>
      </w:pPr>
    </w:p>
    <w:p>
      <w:pPr>
        <w:ind w:left="80"/>
        <w:spacing w:after="0"/>
        <w:tabs>
          <w:tab w:leader="none" w:pos="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Articles of Amendment**</w:t>
      </w:r>
    </w:p>
    <w:p>
      <w:pPr>
        <w:spacing w:after="0" w:line="9" w:lineRule="exact"/>
        <w:rPr>
          <w:sz w:val="20"/>
          <w:szCs w:val="20"/>
          <w:color w:val="auto"/>
        </w:rPr>
      </w:pPr>
    </w:p>
    <w:p>
      <w:pPr>
        <w:ind w:left="80"/>
        <w:spacing w:after="0"/>
        <w:tabs>
          <w:tab w:leader="none" w:pos="4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Bylaws*</w:t>
      </w:r>
    </w:p>
    <w:p>
      <w:pPr>
        <w:spacing w:after="0" w:line="9" w:lineRule="exact"/>
        <w:rPr>
          <w:sz w:val="20"/>
          <w:szCs w:val="20"/>
          <w:color w:val="auto"/>
        </w:rPr>
      </w:pPr>
    </w:p>
    <w:p>
      <w:pPr>
        <w:ind w:left="80"/>
        <w:spacing w:after="0"/>
        <w:tabs>
          <w:tab w:leader="none" w:pos="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Form of Common Stock Certificate***</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Dividend Reinvestment Plan*</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Amended and Restated Investment Advisory Agreement by and between Registrant and GSV Asset Management, LLC****</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Administration Agreement by and between Registrant and GSV Capital Service Company, LLC****</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Indemnification Agreement by and between Registrant and each of its directors*</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Custody Agreement by and between Registrant and U.S. Bank National Association*****</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96520</wp:posOffset>
            </wp:positionV>
            <wp:extent cx="6114415"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ind w:left="6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Trademark License Agreement by and between Registrant and GSV Asset Management, LLC**</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 of the Securities Exchange Act of 1934, as amended</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 of the Securities Exchange Act of 1934, as amended</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20" w:right="519" w:hanging="412"/>
        <w:spacing w:after="0" w:line="277"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w:t>
      </w:r>
    </w:p>
    <w:p>
      <w:pPr>
        <w:spacing w:after="0" w:line="62"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Previously filed in connection with the Registrant’s Current Report on Form 8-K (File No. 814-00852), filed on June 1, 2011.</w:t>
      </w:r>
    </w:p>
    <w:p>
      <w:pPr>
        <w:spacing w:after="0" w:line="140" w:lineRule="exact"/>
        <w:rPr>
          <w:rFonts w:ascii="Arial" w:cs="Arial" w:eastAsia="Arial" w:hAnsi="Arial"/>
          <w:sz w:val="16"/>
          <w:szCs w:val="16"/>
          <w:color w:val="auto"/>
        </w:rPr>
      </w:pPr>
    </w:p>
    <w:p>
      <w:pPr>
        <w:ind w:left="420" w:right="519" w:hanging="412"/>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3 to the Registrant’s Registration Statement on Form N-2 (File No. 333-175655) filed on September 20, 2011.</w:t>
      </w:r>
    </w:p>
    <w:p>
      <w:pPr>
        <w:spacing w:after="0" w:line="62" w:lineRule="exact"/>
        <w:rPr>
          <w:rFonts w:ascii="Arial" w:cs="Arial" w:eastAsia="Arial" w:hAnsi="Arial"/>
          <w:sz w:val="18"/>
          <w:szCs w:val="18"/>
          <w:color w:val="auto"/>
        </w:rPr>
      </w:pPr>
    </w:p>
    <w:p>
      <w:pPr>
        <w:ind w:left="420" w:right="539" w:hanging="412"/>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in connection with Annual Report for the fiscal year ended December 31, 2012 on Form 10-K (File No. 814-00852), filed on March 14, 2013.</w:t>
      </w:r>
    </w:p>
    <w:p>
      <w:pPr>
        <w:spacing w:after="0" w:line="62" w:lineRule="exact"/>
        <w:rPr>
          <w:sz w:val="20"/>
          <w:szCs w:val="20"/>
          <w:color w:val="auto"/>
        </w:rPr>
      </w:pPr>
    </w:p>
    <w:p>
      <w:pPr>
        <w:ind w:left="460" w:right="519" w:hanging="458"/>
        <w:spacing w:after="0" w:line="277" w:lineRule="auto"/>
        <w:rPr>
          <w:sz w:val="20"/>
          <w:szCs w:val="20"/>
          <w:color w:val="auto"/>
        </w:rPr>
      </w:pPr>
      <w:r>
        <w:rPr>
          <w:rFonts w:ascii="Arial" w:cs="Arial" w:eastAsia="Arial" w:hAnsi="Arial"/>
          <w:sz w:val="18"/>
          <w:szCs w:val="18"/>
          <w:color w:val="auto"/>
        </w:rPr>
        <w:t>*****Previously filed in connection with Pre-Effective Amendment No. 3 to the Registrant’s Registration Statement on Form N-2 (File No. 333-171578), filed on April 15, 2011.</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65" w:right="1440" w:bottom="1440" w:gutter="0" w:footer="0" w:header="0"/>
        </w:sectPr>
      </w:pPr>
    </w:p>
    <w:bookmarkStart w:id="58" w:name="page59"/>
    <w:bookmarkEnd w:id="58"/>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80" w:right="519"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9684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6400" w:type="dxa"/>
            <w:vAlign w:val="bottom"/>
            <w:gridSpan w:val="3"/>
          </w:tcPr>
          <w:p>
            <w:pPr>
              <w:ind w:left="1120"/>
              <w:spacing w:after="0"/>
              <w:rPr>
                <w:sz w:val="20"/>
                <w:szCs w:val="20"/>
                <w:color w:val="auto"/>
              </w:rPr>
            </w:pPr>
            <w:r>
              <w:rPr>
                <w:rFonts w:ascii="Arial" w:cs="Arial" w:eastAsia="Arial" w:hAnsi="Arial"/>
                <w:sz w:val="18"/>
                <w:szCs w:val="18"/>
                <w:b w:val="1"/>
                <w:bCs w:val="1"/>
                <w:color w:val="auto"/>
              </w:rPr>
              <w:t>GSV CAPITAL CORP.</w:t>
            </w:r>
          </w:p>
        </w:tc>
      </w:tr>
      <w:tr>
        <w:trPr>
          <w:trHeight w:val="234"/>
        </w:trPr>
        <w:tc>
          <w:tcPr>
            <w:tcW w:w="3200" w:type="dxa"/>
            <w:vAlign w:val="bottom"/>
          </w:tcPr>
          <w:p>
            <w:pPr>
              <w:ind w:left="140"/>
              <w:spacing w:after="0"/>
              <w:rPr>
                <w:sz w:val="20"/>
                <w:szCs w:val="20"/>
                <w:color w:val="auto"/>
              </w:rPr>
            </w:pPr>
            <w:r>
              <w:rPr>
                <w:rFonts w:ascii="Arial" w:cs="Arial" w:eastAsia="Arial" w:hAnsi="Arial"/>
                <w:sz w:val="18"/>
                <w:szCs w:val="18"/>
                <w:b w:val="1"/>
                <w:bCs w:val="1"/>
                <w:color w:val="auto"/>
              </w:rPr>
              <w:t>Date: November 10, 2014</w:t>
            </w:r>
          </w:p>
        </w:tc>
        <w:tc>
          <w:tcPr>
            <w:tcW w:w="6400" w:type="dxa"/>
            <w:vAlign w:val="bottom"/>
            <w:gridSpan w:val="3"/>
          </w:tcPr>
          <w:p>
            <w:pPr>
              <w:ind w:left="112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tc>
      </w:tr>
      <w:tr>
        <w:trPr>
          <w:trHeight w:val="195"/>
        </w:trPr>
        <w:tc>
          <w:tcPr>
            <w:tcW w:w="3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T. Moe</w:t>
            </w:r>
          </w:p>
        </w:tc>
        <w:tc>
          <w:tcPr>
            <w:tcW w:w="1260" w:type="dxa"/>
            <w:vAlign w:val="bottom"/>
          </w:tcPr>
          <w:p>
            <w:pPr>
              <w:spacing w:after="0"/>
              <w:rPr>
                <w:sz w:val="16"/>
                <w:szCs w:val="16"/>
                <w:color w:val="auto"/>
              </w:rPr>
            </w:pPr>
          </w:p>
        </w:tc>
      </w:tr>
      <w:tr>
        <w:trPr>
          <w:trHeight w:val="216"/>
        </w:trPr>
        <w:tc>
          <w:tcPr>
            <w:tcW w:w="3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w:t>
            </w:r>
          </w:p>
        </w:tc>
      </w:tr>
      <w:tr>
        <w:trPr>
          <w:trHeight w:val="216"/>
        </w:trPr>
        <w:tc>
          <w:tcPr>
            <w:tcW w:w="3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12"/>
        </w:trPr>
        <w:tc>
          <w:tcPr>
            <w:tcW w:w="3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4"/>
        </w:trPr>
        <w:tc>
          <w:tcPr>
            <w:tcW w:w="3200" w:type="dxa"/>
            <w:vAlign w:val="bottom"/>
          </w:tcPr>
          <w:p>
            <w:pPr>
              <w:ind w:left="140"/>
              <w:spacing w:after="0"/>
              <w:rPr>
                <w:sz w:val="20"/>
                <w:szCs w:val="20"/>
                <w:color w:val="auto"/>
              </w:rPr>
            </w:pPr>
            <w:r>
              <w:rPr>
                <w:rFonts w:ascii="Arial" w:cs="Arial" w:eastAsia="Arial" w:hAnsi="Arial"/>
                <w:sz w:val="18"/>
                <w:szCs w:val="18"/>
                <w:b w:val="1"/>
                <w:bCs w:val="1"/>
                <w:color w:val="auto"/>
              </w:rPr>
              <w:t>Date: November 10, 2014</w:t>
            </w:r>
          </w:p>
        </w:tc>
        <w:tc>
          <w:tcPr>
            <w:tcW w:w="6400" w:type="dxa"/>
            <w:vAlign w:val="bottom"/>
            <w:gridSpan w:val="3"/>
          </w:tcPr>
          <w:p>
            <w:pPr>
              <w:ind w:left="112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William Tanona</w:t>
            </w:r>
          </w:p>
        </w:tc>
      </w:tr>
      <w:tr>
        <w:trPr>
          <w:trHeight w:val="195"/>
        </w:trPr>
        <w:tc>
          <w:tcPr>
            <w:tcW w:w="3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Tanona</w:t>
            </w:r>
          </w:p>
        </w:tc>
        <w:tc>
          <w:tcPr>
            <w:tcW w:w="1260" w:type="dxa"/>
            <w:vAlign w:val="bottom"/>
          </w:tcPr>
          <w:p>
            <w:pPr>
              <w:spacing w:after="0"/>
              <w:rPr>
                <w:sz w:val="16"/>
                <w:szCs w:val="16"/>
                <w:color w:val="auto"/>
              </w:rPr>
            </w:pPr>
          </w:p>
        </w:tc>
      </w:tr>
      <w:tr>
        <w:trPr>
          <w:trHeight w:val="216"/>
        </w:trPr>
        <w:tc>
          <w:tcPr>
            <w:tcW w:w="3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30"/>
        </w:trPr>
        <w:tc>
          <w:tcPr>
            <w:tcW w:w="3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0"/>
        </w:trPr>
        <w:tc>
          <w:tcPr>
            <w:tcW w:w="3200" w:type="dxa"/>
            <w:vAlign w:val="bottom"/>
          </w:tcPr>
          <w:p>
            <w:pPr>
              <w:spacing w:after="0"/>
              <w:rPr>
                <w:sz w:val="24"/>
                <w:szCs w:val="24"/>
                <w:color w:val="auto"/>
              </w:rPr>
            </w:pPr>
          </w:p>
        </w:tc>
        <w:tc>
          <w:tcPr>
            <w:tcW w:w="5140" w:type="dxa"/>
            <w:vAlign w:val="bottom"/>
            <w:gridSpan w:val="2"/>
          </w:tcPr>
          <w:p>
            <w:pPr>
              <w:ind w:left="1500"/>
              <w:spacing w:after="0"/>
              <w:rPr>
                <w:sz w:val="20"/>
                <w:szCs w:val="20"/>
                <w:color w:val="auto"/>
              </w:rPr>
            </w:pPr>
            <w:r>
              <w:rPr>
                <w:rFonts w:ascii="Arial" w:cs="Arial" w:eastAsia="Arial" w:hAnsi="Arial"/>
                <w:sz w:val="18"/>
                <w:szCs w:val="18"/>
                <w:color w:val="auto"/>
              </w:rPr>
              <w:t>57</w:t>
            </w:r>
          </w:p>
        </w:tc>
        <w:tc>
          <w:tcPr>
            <w:tcW w:w="1260" w:type="dxa"/>
            <w:vAlign w:val="bottom"/>
          </w:tcPr>
          <w:p>
            <w:pPr>
              <w:spacing w:after="0"/>
              <w:rPr>
                <w:sz w:val="24"/>
                <w:szCs w:val="24"/>
                <w:color w:val="auto"/>
              </w:rPr>
            </w:pPr>
          </w:p>
        </w:tc>
      </w:tr>
      <w:tr>
        <w:trPr>
          <w:trHeight w:val="162"/>
        </w:trPr>
        <w:tc>
          <w:tcPr>
            <w:tcW w:w="32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320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36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59" w:name="page60"/>
    <w:bookmarkEnd w:id="59"/>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539" w:hanging="262"/>
        <w:spacing w:after="0" w:line="264"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820" w:right="539" w:hanging="272"/>
        <w:spacing w:after="0" w:line="312" w:lineRule="auto"/>
        <w:tabs>
          <w:tab w:leader="none" w:pos="8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820" w:right="519" w:hanging="272"/>
        <w:spacing w:after="0" w:line="264"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820" w:right="539" w:hanging="272"/>
        <w:spacing w:after="0" w:line="264"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539" w:hanging="272"/>
        <w:spacing w:after="0" w:line="277"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64655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60" w:name="page61"/>
    <w:bookmarkEnd w:id="60"/>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William Tanona, certify that:</w:t>
      </w:r>
    </w:p>
    <w:p>
      <w:pPr>
        <w:spacing w:after="0" w:line="117" w:lineRule="exact"/>
        <w:rPr>
          <w:sz w:val="20"/>
          <w:szCs w:val="20"/>
          <w:color w:val="auto"/>
        </w:rPr>
      </w:pPr>
    </w:p>
    <w:p>
      <w:pPr>
        <w:ind w:left="540" w:hanging="26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539" w:hanging="262"/>
        <w:spacing w:after="0" w:line="26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820" w:right="539" w:hanging="272"/>
        <w:spacing w:after="0" w:line="312" w:lineRule="auto"/>
        <w:tabs>
          <w:tab w:leader="none" w:pos="8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jc w:val="both"/>
        <w:ind w:left="820" w:right="519" w:hanging="272"/>
        <w:spacing w:after="0" w:line="264"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519" w:hanging="272"/>
        <w:spacing w:after="0" w:line="259"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jc w:val="both"/>
        <w:ind w:left="820" w:right="539" w:hanging="272"/>
        <w:spacing w:after="0" w:line="264"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539" w:hanging="272"/>
        <w:spacing w:after="0" w:line="277" w:lineRule="auto"/>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64655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William Tanona</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61" w:name="page62"/>
    <w:bookmarkEnd w:id="61"/>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Quarterly Report on Form 10-Q for period ended September 30, 2014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62" w:name="page63"/>
    <w:bookmarkEnd w:id="62"/>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the Quarterly Report on Form 10-Q for period ended September 30, 2014 (the “Report”) of GSV Capital Corp. (the “Registrant”), as filed with the Securities and Exchange Commission on the date hereof, I, William Tanona, the Chief Financial Officer of the Registrant, hereby certify, to the best of my knowledge, that:</w:t>
      </w:r>
    </w:p>
    <w:p>
      <w:pPr>
        <w:spacing w:after="0" w:line="73" w:lineRule="exact"/>
        <w:rPr>
          <w:sz w:val="20"/>
          <w:szCs w:val="20"/>
          <w:color w:val="auto"/>
        </w:rPr>
      </w:pPr>
    </w:p>
    <w:p>
      <w:pPr>
        <w:ind w:left="500" w:right="539" w:hanging="26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William Tanona</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9"/>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3"/>
    </w:lvl>
  </w:abstractNum>
  <w:abstractNum w:abstractNumId="10">
    <w:nsid w:val="2D1D5AE9"/>
    <w:multiLevelType w:val="hybridMultilevel"/>
    <w:lvl w:ilvl="0">
      <w:lvlJc w:val="left"/>
      <w:lvlText w:val="(%1)"/>
      <w:numFmt w:val="decimal"/>
      <w:start w:val="13"/>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2"/>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3"/>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2019-12-07T23:45:09Z</dcterms:created>
  <dcterms:modified xsi:type="dcterms:W3CDTF">2019-12-07T23:45:09Z</dcterms:modified>
</cp:coreProperties>
</file>