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Falk Erik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NEOSTELLAR CAPITAL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 FIFTH AVENUE,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Neostellar Capital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NSLR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792"/>
        <w:gridCol w:w="1140"/>
        <w:gridCol w:w="981"/>
        <w:gridCol w:w="10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weighted-average price, rounded to the nearest hundredth. The Reporting Person undertakes to provide upon request by the staff of the Securities and Exchange Commission, Neostellar Capital Corp. (the "Company"), or a security holder of the Company, full information regarding the number of shares purchased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Erik Falk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837" TargetMode="External"/><Relationship Id="rId5" Type="http://schemas.openxmlformats.org/officeDocument/2006/relationships/hyperlink" Target="http://www.sec.gov/cgi-bin/browse-edgar?action=getcompany&amp;CIK=00015094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3390</Characters>
  <CharactersWithSpaces>3947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