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200660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354965</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51" w:lineRule="exact"/>
        <w:rPr>
          <w:sz w:val="24"/>
          <w:szCs w:val="24"/>
          <w:color w:val="auto"/>
        </w:rPr>
      </w:pPr>
    </w:p>
    <w:p>
      <w:pPr>
        <w:ind w:left="1120" w:right="3559" w:hanging="685"/>
        <w:spacing w:after="0" w:line="282" w:lineRule="auto"/>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6"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320" w:right="77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 The number of shares of the issuer’s Common Stock, $0.01 par value, outstanding as of August 11, 2014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666750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11"/>
          </w:tcPr>
          <w:p>
            <w:pPr>
              <w:jc w:val="center"/>
              <w:ind w:right="1420"/>
              <w:spacing w:after="0"/>
              <w:rPr>
                <w:sz w:val="20"/>
                <w:szCs w:val="20"/>
                <w:color w:val="auto"/>
              </w:rPr>
            </w:pPr>
            <w:r>
              <w:rPr>
                <w:rFonts w:ascii="Arial" w:cs="Arial" w:eastAsia="Arial" w:hAnsi="Arial"/>
                <w:sz w:val="18"/>
                <w:szCs w:val="18"/>
                <w:b w:val="1"/>
                <w:bCs w:val="1"/>
                <w:color w:val="auto"/>
                <w:w w:val="98"/>
              </w:rPr>
              <w:t>GSV CAPITAL CORP.</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11"/>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520" w:type="dxa"/>
            <w:vAlign w:val="bottom"/>
            <w:gridSpan w:val="28"/>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0" w:type="dxa"/>
            <w:vAlign w:val="bottom"/>
            <w:gridSpan w:val="24"/>
            <w:shd w:val="clear" w:color="auto" w:fill="CCEEFF"/>
          </w:tcPr>
          <w:p>
            <w:pPr>
              <w:spacing w:after="0" w:line="17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Statements of Assets and Liabilities as of June 30, 2014 (unaudited) and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0000EE"/>
            </w:tcBorders>
            <w:gridSpan w:val="19"/>
            <w:shd w:val="clear" w:color="auto" w:fill="CCEEFF"/>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2013</w:t>
              </w:r>
            </w:hyperlink>
          </w:p>
        </w:tc>
        <w:tc>
          <w:tcPr>
            <w:tcW w:w="420" w:type="dxa"/>
            <w:vAlign w:val="bottom"/>
            <w:tcBorders>
              <w:top w:val="single" w:sz="8" w:color="CCEEFF"/>
            </w:tcBorders>
            <w:gridSpan w:val="5"/>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20" w:type="dxa"/>
            <w:vAlign w:val="bottom"/>
            <w:tcBorders>
              <w:bottom w:val="single" w:sz="8" w:color="0000EE"/>
            </w:tcBorders>
            <w:gridSpan w:val="21"/>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for the three and six months ended</w:t>
              </w:r>
            </w:hyperlink>
          </w:p>
        </w:tc>
        <w:tc>
          <w:tcPr>
            <w:tcW w:w="38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0" w:type="dxa"/>
            <w:vAlign w:val="bottom"/>
            <w:gridSpan w:val="24"/>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2014, and June 30, 2013</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0" w:type="dxa"/>
            <w:vAlign w:val="bottom"/>
            <w:gridSpan w:val="24"/>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Changes in Net Assets (unaudited) for the six months ended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22"/>
            <w:shd w:val="clear" w:color="auto" w:fill="CCEEFF"/>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2014, and June 30, 2013</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0" w:type="dxa"/>
            <w:vAlign w:val="bottom"/>
            <w:gridSpan w:val="24"/>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Cash Flows (unaudited) for the six months ended June 30,</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20"/>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2014, and June 30, 2013</w:t>
              </w:r>
            </w:hyperlink>
          </w:p>
        </w:tc>
        <w:tc>
          <w:tcPr>
            <w:tcW w:w="400" w:type="dxa"/>
            <w:vAlign w:val="bottom"/>
            <w:gridSpan w:val="4"/>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Schedule of Investments as of June 30, 2014 (unaudited)</w:t>
              </w:r>
            </w:hyperlink>
          </w:p>
        </w:tc>
        <w:tc>
          <w:tcPr>
            <w:tcW w:w="1520" w:type="dxa"/>
            <w:vAlign w:val="bottom"/>
            <w:tcBorders>
              <w:bottom w:val="single" w:sz="8" w:color="CCEEFF"/>
            </w:tcBorders>
            <w:gridSpan w:val="7"/>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0" w:type="dxa"/>
            <w:vAlign w:val="bottom"/>
            <w:gridSpan w:val="24"/>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Consolidated Schedule of Investments as of December 31, 2013</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Notes to the Consolidated Financial Statements as of June 30, 2014 (unaudited)</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680" w:type="dxa"/>
            <w:vAlign w:val="bottom"/>
            <w:gridSpan w:val="25"/>
          </w:tcPr>
          <w:p>
            <w:pPr>
              <w:ind w:left="80"/>
              <w:spacing w:after="0" w:line="17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EEFF"/>
          </w:tcPr>
          <w:p>
            <w:pPr>
              <w:ind w:left="2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3.</w:t>
              </w:r>
            </w:hyperlink>
          </w:p>
        </w:tc>
        <w:tc>
          <w:tcPr>
            <w:tcW w:w="668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20" w:type="dxa"/>
            <w:vAlign w:val="bottom"/>
            <w:gridSpan w:val="28"/>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1.</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EEFF"/>
          </w:tcPr>
          <w:p>
            <w:pPr>
              <w:ind w:left="200"/>
              <w:spacing w:after="0" w:line="17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1A.</w:t>
              </w:r>
            </w:hyperlink>
          </w:p>
        </w:tc>
        <w:tc>
          <w:tcPr>
            <w:tcW w:w="668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EEFF"/>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3.</w:t>
              </w:r>
            </w:hyperlink>
          </w:p>
        </w:tc>
        <w:tc>
          <w:tcPr>
            <w:tcW w:w="668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Defaults Upon Senior Securities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EEFF"/>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668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6680" w:type="dxa"/>
            <w:vAlign w:val="bottom"/>
            <w:gridSpan w:val="25"/>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0" w:type="dxa"/>
            <w:vAlign w:val="bottom"/>
            <w:gridSpan w:val="24"/>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-3644265</wp:posOffset>
            </wp:positionV>
            <wp:extent cx="5111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(Unaudited)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Investments at fair value: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controlled securities (cost of $11,301,139 and $0,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12,410,350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Investments in affiliated securities (cost of $75,196,702 and $64,912,527,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respectively)</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67,776,900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62,740,162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non-control/non-affiliated securities (cost of $196,466,367 and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$214,796,591, respectively)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286,850,588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292,643,491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w w:val="96"/>
              </w:rPr>
              <w:t>Investments owned and pledged (cost of $9,082,226 and $10,845,236,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9,102,586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10,865,200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Investments in United States Treasury Bill (cost of $80,000,445 and $0, respectively)</w:t>
            </w:r>
          </w:p>
        </w:tc>
        <w:tc>
          <w:tcPr>
            <w:tcW w:w="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97"/>
              </w:rPr>
              <w:t>80,000,000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4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Total Investments (cost of $372,046,879 and $290,554,354,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456,140,424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366,248,853</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4,194,280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7,219,203</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22,139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22,264</w:t>
            </w:r>
          </w:p>
        </w:tc>
        <w:tc>
          <w:tcPr>
            <w:tcW w:w="0" w:type="dxa"/>
            <w:vAlign w:val="bottom"/>
          </w:tcPr>
          <w:p>
            <w:pPr>
              <w:spacing w:after="0"/>
              <w:rPr>
                <w:sz w:val="1"/>
                <w:szCs w:val="1"/>
                <w:color w:val="auto"/>
              </w:rPr>
            </w:pP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Due from GSV Capital Service Company, LLC</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35,406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Due from portfolio companies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122,251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153,178</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receivable</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61,944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49,739</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Coupon interest receivable</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11,141</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Dividend receivable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13,233</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credit facility fees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189,940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288,249</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Deferred debt issuance costs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3,022,216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3,378,121</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offering costs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241,010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184,710</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334,700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368,524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464,364,412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377,947,558</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9,647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563,978</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160,068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382,165</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incentive fees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12,337,837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10,523,552</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Accrued interest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1,187,693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1,056,563</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188,753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Payable for securities purchased</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72,000,667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deferred tax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7,656,143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8,320,561</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Line of Credit</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15,141,333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Convertible senior notes embedded derivative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799,000</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Convertible senior notes payable 5.25% due September 15, 2018</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68,397,429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68,335,295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177,238,570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89,981,114</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Commitments and contingencies (Note 6)</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287,125,842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287,966,444</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par value $0.01 per share</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(100,000,000 authorized; 19,320,100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Paid-in capital in excess of par</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275,837,514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275,837,514</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investment loss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(25,406,364)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(19,192,401)</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Accumulated net realized loss on investments</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(13,256,660)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(13,660,306)</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unrealized appreciation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49,758,151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44,788,436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287,125,842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287,966,444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9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-5110480</wp:posOffset>
            </wp:positionV>
            <wp:extent cx="52139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-3266440</wp:posOffset>
            </wp:positionV>
            <wp:extent cx="52139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This balance is a related party transaction. Refer to Note 2 for more detail.</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control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Interest income from affiliated securities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68,591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Interest income from non-control/non-affiliated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Dividend income from affiliated securities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 income from non-control/non-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20,258</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97,033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20,258</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1,933,663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1,246,378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3,689,859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2,529,977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incentive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1,814,285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w w:val="95"/>
              </w:rPr>
              <w:t>Costs incurred under administration agreement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929,701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709,885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1,838,233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1,597,869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130,250</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402,555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859,094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457,864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1,533,971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2,713,696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117,075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116,505</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25,354</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5,875,551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2,402,634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10,724,094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4,974,894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2,359,369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4,372,283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(3,419,149)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(2,386,911)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(6,213,963)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(4,954,636)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Net Realized Gain (Loss) on Investments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(7,249,566)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(6,327,632)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(9,674,524)</w:t>
            </w:r>
          </w:p>
        </w:tc>
        <w:tc>
          <w:tcPr>
            <w:tcW w:w="0" w:type="dxa"/>
            <w:vAlign w:val="bottom"/>
          </w:tcPr>
          <w:p>
            <w:pPr>
              <w:spacing w:after="0"/>
              <w:rPr>
                <w:sz w:val="1"/>
                <w:szCs w:val="1"/>
                <w:color w:val="auto"/>
              </w:rPr>
            </w:pPr>
          </w:p>
        </w:tc>
      </w:tr>
      <w:tr>
        <w:trPr>
          <w:trHeight w:val="198"/>
        </w:trPr>
        <w:tc>
          <w:tcPr>
            <w:tcW w:w="36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Benefit/(Provision) for taxes on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380"/>
              <w:spacing w:after="0"/>
              <w:rPr>
                <w:sz w:val="20"/>
                <w:szCs w:val="20"/>
                <w:color w:val="auto"/>
              </w:rPr>
            </w:pPr>
            <w:r>
              <w:rPr>
                <w:rFonts w:ascii="Arial" w:cs="Arial" w:eastAsia="Arial" w:hAnsi="Arial"/>
                <w:sz w:val="18"/>
                <w:szCs w:val="18"/>
                <w:b w:val="1"/>
                <w:bCs w:val="1"/>
                <w:color w:val="auto"/>
              </w:rPr>
              <w:t>Realized Capital (Gains)/Losses</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2,959,998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(278,533)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Net Change in Unrealized Appreciation</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on Investments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11,472,725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12,230,246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8,399,046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10,653,608</w:t>
            </w:r>
          </w:p>
        </w:tc>
        <w:tc>
          <w:tcPr>
            <w:tcW w:w="0" w:type="dxa"/>
            <w:vAlign w:val="bottom"/>
          </w:tcPr>
          <w:p>
            <w:pPr>
              <w:spacing w:after="0"/>
              <w:rPr>
                <w:sz w:val="1"/>
                <w:szCs w:val="1"/>
                <w:color w:val="auto"/>
              </w:rPr>
            </w:pPr>
          </w:p>
        </w:tc>
      </w:tr>
      <w:tr>
        <w:trPr>
          <w:trHeight w:val="198"/>
        </w:trPr>
        <w:tc>
          <w:tcPr>
            <w:tcW w:w="36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Provision for taxes on Unrealized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380"/>
              <w:spacing w:after="0"/>
              <w:rPr>
                <w:sz w:val="20"/>
                <w:szCs w:val="20"/>
                <w:color w:val="auto"/>
              </w:rPr>
            </w:pPr>
            <w:r>
              <w:rPr>
                <w:rFonts w:ascii="Arial" w:cs="Arial" w:eastAsia="Arial" w:hAnsi="Arial"/>
                <w:sz w:val="18"/>
                <w:szCs w:val="18"/>
                <w:b w:val="1"/>
                <w:bCs w:val="1"/>
                <w:color w:val="auto"/>
              </w:rPr>
              <w:t>Appreciation of Investments</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(4,684,314)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(3,429,331)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3,515,703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(840,602)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(3,975,552)</w:t>
            </w:r>
          </w:p>
        </w:tc>
        <w:tc>
          <w:tcPr>
            <w:tcW w:w="0" w:type="dxa"/>
            <w:vAlign w:val="bottom"/>
          </w:tcPr>
          <w:p>
            <w:pPr>
              <w:spacing w:after="0"/>
              <w:rPr>
                <w:sz w:val="1"/>
                <w:szCs w:val="1"/>
                <w:color w:val="auto"/>
              </w:rPr>
            </w:pPr>
          </w:p>
        </w:tc>
      </w:tr>
      <w:tr>
        <w:trPr>
          <w:trHeight w:val="191"/>
        </w:trPr>
        <w:tc>
          <w:tcPr>
            <w:tcW w:w="3620" w:type="dxa"/>
            <w:vAlign w:val="bottom"/>
            <w:tcBorders>
              <w:top w:val="single" w:sz="8" w:color="CCEEFF"/>
            </w:tcBorders>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80"/>
              <w:spacing w:after="0"/>
              <w:rPr>
                <w:sz w:val="20"/>
                <w:szCs w:val="20"/>
                <w:color w:val="auto"/>
              </w:rPr>
            </w:pPr>
            <w:r>
              <w:rPr>
                <w:rFonts w:ascii="Arial" w:cs="Arial" w:eastAsia="Arial" w:hAnsi="Arial"/>
                <w:sz w:val="18"/>
                <w:szCs w:val="18"/>
                <w:b w:val="1"/>
                <w:bCs w:val="1"/>
                <w:color w:val="auto"/>
              </w:rPr>
              <w:t>Resulting from Operations per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380"/>
              <w:spacing w:after="0"/>
              <w:rPr>
                <w:sz w:val="20"/>
                <w:szCs w:val="20"/>
                <w:color w:val="auto"/>
              </w:rPr>
            </w:pPr>
            <w:r>
              <w:rPr>
                <w:rFonts w:ascii="Arial" w:cs="Arial" w:eastAsia="Arial" w:hAnsi="Arial"/>
                <w:sz w:val="18"/>
                <w:szCs w:val="18"/>
                <w:b w:val="1"/>
                <w:bCs w:val="1"/>
                <w:color w:val="auto"/>
              </w:rPr>
              <w:t>Common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Outstanding – basic and diluted</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19,320,100</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19,320,100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-4270375</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-2469515</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-2186305</wp:posOffset>
            </wp:positionV>
            <wp:extent cx="52139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4800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2013</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(6,213,963)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(4,954,636)</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(9,674,524)</w:t>
            </w: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Provision for taxes on Net Realized Capital Gains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(278,533)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10,653,608</w:t>
            </w: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(3,429,331)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(3,975,552)</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Decrease in Net Assets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(3,975,552)</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287,966,444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252,582,801</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287,125,842</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248,607,249</w:t>
            </w:r>
          </w:p>
        </w:tc>
      </w:tr>
      <w:tr>
        <w:trPr>
          <w:trHeight w:val="21"/>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19,320,100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19,320,100</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19,320,100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19,320,100</w:t>
            </w:r>
          </w:p>
        </w:tc>
      </w:tr>
      <w:tr>
        <w:trPr>
          <w:trHeight w:val="21"/>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GSV CAPITAL CORP. AND SUBSIDIARIES</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1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(840,602)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  (3,975,552)</w:t>
            </w:r>
          </w:p>
        </w:tc>
      </w:tr>
      <w:tr>
        <w:trPr>
          <w:trHeight w:val="202"/>
        </w:trPr>
        <w:tc>
          <w:tcPr>
            <w:tcW w:w="5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Adjustments to reconcile net decrease in net assets resulting from operations</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net cash used in operating activities:</w:t>
            </w: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(682,179)</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9,674,524</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(8,399,046)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(10,653,608)</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(640,000)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(664,418)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Amortization of deferred credit facility fees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98,309</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debt issuance costs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(27,553)</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 in:</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(35,548,349)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(19,607,661)</w:t>
            </w: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(160,001,251)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Proceeds from sales or redemption of investments in: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32,975,438</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17,785,344</w:t>
            </w: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United States treasury strips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576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(32,367)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3,117</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Due from portfolio companies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30,927</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125,747</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(12,205)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(49,729)</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Coupon interest receivable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Dividend receivable</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(11,305)</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20,890</w:t>
            </w:r>
          </w:p>
        </w:tc>
      </w:tr>
      <w:tr>
        <w:trPr>
          <w:trHeight w:val="257"/>
        </w:trPr>
        <w:tc>
          <w:tcPr>
            <w:tcW w:w="5760" w:type="dxa"/>
            <w:vAlign w:val="bottom"/>
          </w:tcPr>
          <w:p>
            <w:pPr>
              <w:ind w:left="20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(554,331)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387,654</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72,000,667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(222,097)</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(112,139)</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incentive fees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188,753</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(271,697)</w:t>
            </w:r>
          </w:p>
        </w:tc>
      </w:tr>
      <w:tr>
        <w:trPr>
          <w:trHeight w:val="20"/>
        </w:trPr>
        <w:tc>
          <w:tcPr>
            <w:tcW w:w="5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(18,110,081)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(6,684,415)</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(2,858,667)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(56,300)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15,085,158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-994410</wp:posOffset>
            </wp:positionV>
            <wp:extent cx="521398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GSV CAPITAL CORP. AND SUBSIDIARIES</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88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Total Decrease in Cash Balance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(3,024,923)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(6,684,415)</w:t>
            </w:r>
          </w:p>
        </w:tc>
      </w:tr>
      <w:tr>
        <w:trPr>
          <w:trHeight w:val="216"/>
        </w:trPr>
        <w:tc>
          <w:tcPr>
            <w:tcW w:w="6080" w:type="dxa"/>
            <w:vAlign w:val="bottom"/>
            <w:gridSpan w:val="5"/>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7,219,203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11,318,525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4,194,280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4,634,110</w:t>
            </w:r>
          </w:p>
        </w:tc>
      </w:tr>
      <w:tr>
        <w:trPr>
          <w:trHeight w:val="210"/>
        </w:trPr>
        <w:tc>
          <w:tcPr>
            <w:tcW w:w="608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60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rPr>
              <w:t>Transactions in Investments in Portfolio Companies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080" w:type="dxa"/>
            <w:vAlign w:val="bottom"/>
            <w:gridSpan w:val="5"/>
          </w:tcPr>
          <w:p>
            <w:pPr>
              <w:ind w:left="20"/>
              <w:spacing w:after="0"/>
              <w:rPr>
                <w:sz w:val="20"/>
                <w:szCs w:val="20"/>
                <w:color w:val="auto"/>
              </w:rPr>
            </w:pPr>
            <w:r>
              <w:rPr>
                <w:rFonts w:ascii="Arial" w:cs="Arial" w:eastAsia="Arial" w:hAnsi="Arial"/>
                <w:sz w:val="18"/>
                <w:szCs w:val="18"/>
                <w:color w:val="auto"/>
              </w:rPr>
              <w:t>Convertible notes converted to preferred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3,064,135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Term loan converted to preferred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503,851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5"/>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1,273,125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1,999,997</w:t>
            </w:r>
          </w:p>
        </w:tc>
      </w:tr>
      <w:tr>
        <w:trPr>
          <w:trHeight w:val="216"/>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Common shares converted to preferred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2,006,077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5"/>
          </w:tcPr>
          <w:p>
            <w:pPr>
              <w:ind w:left="20"/>
              <w:spacing w:after="0"/>
              <w:rPr>
                <w:sz w:val="20"/>
                <w:szCs w:val="20"/>
                <w:color w:val="auto"/>
              </w:rPr>
            </w:pPr>
            <w:r>
              <w:rPr>
                <w:rFonts w:ascii="Arial" w:cs="Arial" w:eastAsia="Arial" w:hAnsi="Arial"/>
                <w:sz w:val="18"/>
                <w:szCs w:val="18"/>
                <w:color w:val="auto"/>
              </w:rPr>
              <w:t>Common membership interest converted to preferred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Decrease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6"/>
        </w:trPr>
        <w:tc>
          <w:tcPr>
            <w:tcW w:w="608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Non-Cash Financing Items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Increase in deferred offering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-1585595</wp:posOffset>
            </wp:positionV>
            <wp:extent cx="521398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2940" w:right="3399" w:hanging="2912"/>
        <w:spacing w:after="0" w:line="995" w:lineRule="auto"/>
        <w:tabs>
          <w:tab w:leader="none" w:pos="28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This balance is a related party transaction. Refer to Note 2 Related Party Arrangements. </w:t>
      </w:r>
      <w:r>
        <w:rPr>
          <w:rFonts w:ascii="Arial" w:cs="Arial" w:eastAsia="Arial" w:hAnsi="Arial"/>
          <w:sz w:val="16"/>
          <w:szCs w:val="16"/>
          <w:i w:val="1"/>
          <w:iCs w:val="1"/>
          <w:color w:val="auto"/>
        </w:rPr>
        <w:t>See notes to the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Twitter, Inc.</w:t>
            </w:r>
            <w:r>
              <w:rPr>
                <w:rFonts w:ascii="Arial" w:cs="Arial" w:eastAsia="Arial" w:hAnsi="Arial"/>
                <w:sz w:val="22"/>
                <w:szCs w:val="22"/>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1,900,600</w:t>
            </w:r>
          </w:p>
        </w:tc>
        <w:tc>
          <w:tcPr>
            <w:tcW w:w="880" w:type="dxa"/>
            <w:vAlign w:val="bottom"/>
          </w:tcPr>
          <w:p>
            <w:pPr>
              <w:jc w:val="right"/>
              <w:spacing w:after="0"/>
              <w:rPr>
                <w:sz w:val="20"/>
                <w:szCs w:val="20"/>
                <w:color w:val="auto"/>
              </w:rPr>
            </w:pPr>
            <w:r>
              <w:rPr>
                <w:rFonts w:ascii="Arial" w:cs="Arial" w:eastAsia="Arial" w:hAnsi="Arial"/>
                <w:sz w:val="16"/>
                <w:szCs w:val="16"/>
                <w:color w:val="auto"/>
                <w:w w:val="87"/>
              </w:rPr>
              <w:t>$ 32,991,111</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$77,867,582</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Cyber Security</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7,145,690</w:t>
            </w:r>
          </w:p>
        </w:tc>
        <w:tc>
          <w:tcPr>
            <w:tcW w:w="880" w:type="dxa"/>
            <w:vAlign w:val="bottom"/>
          </w:tcPr>
          <w:p>
            <w:pPr>
              <w:jc w:val="right"/>
              <w:spacing w:after="0"/>
              <w:rPr>
                <w:sz w:val="20"/>
                <w:szCs w:val="20"/>
                <w:color w:val="auto"/>
              </w:rPr>
            </w:pPr>
            <w:r>
              <w:rPr>
                <w:rFonts w:ascii="Arial" w:cs="Arial" w:eastAsia="Arial" w:hAnsi="Arial"/>
                <w:sz w:val="16"/>
                <w:szCs w:val="16"/>
                <w:color w:val="auto"/>
              </w:rPr>
              <w:t>20,051,479</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39,301,295</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326,797</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1,932,187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21,060,447</w:t>
            </w:r>
          </w:p>
        </w:tc>
        <w:tc>
          <w:tcPr>
            <w:tcW w:w="8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w w:val="99"/>
              </w:rPr>
              <w:t>41,233,482</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Online Storage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760,000</w:t>
            </w:r>
          </w:p>
        </w:tc>
        <w:tc>
          <w:tcPr>
            <w:tcW w:w="880" w:type="dxa"/>
            <w:vAlign w:val="bottom"/>
          </w:tcPr>
          <w:p>
            <w:pPr>
              <w:jc w:val="right"/>
              <w:spacing w:after="0"/>
              <w:rPr>
                <w:sz w:val="20"/>
                <w:szCs w:val="20"/>
                <w:color w:val="auto"/>
              </w:rPr>
            </w:pPr>
            <w:r>
              <w:rPr>
                <w:rFonts w:ascii="Arial" w:cs="Arial" w:eastAsia="Arial" w:hAnsi="Arial"/>
                <w:sz w:val="16"/>
                <w:szCs w:val="16"/>
                <w:color w:val="auto"/>
              </w:rPr>
              <w:t>8,641,153</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16,304,416</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552,486</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5,015,333</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11,852,581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13,656,486</w:t>
            </w:r>
          </w:p>
        </w:tc>
        <w:tc>
          <w:tcPr>
            <w:tcW w:w="8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w w:val="99"/>
              </w:rPr>
              <w:t>28,156,997</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(11)</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1,319,233</w:t>
            </w:r>
          </w:p>
        </w:tc>
        <w:tc>
          <w:tcPr>
            <w:tcW w:w="880" w:type="dxa"/>
            <w:vAlign w:val="bottom"/>
          </w:tcPr>
          <w:p>
            <w:pPr>
              <w:jc w:val="right"/>
              <w:spacing w:after="0"/>
              <w:rPr>
                <w:sz w:val="20"/>
                <w:szCs w:val="20"/>
                <w:color w:val="auto"/>
              </w:rPr>
            </w:pPr>
            <w:r>
              <w:rPr>
                <w:rFonts w:ascii="Arial" w:cs="Arial" w:eastAsia="Arial" w:hAnsi="Arial"/>
                <w:sz w:val="16"/>
                <w:szCs w:val="16"/>
                <w:color w:val="auto"/>
              </w:rPr>
              <w:t>10,032,117</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19,293,387</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2,961,399</w:t>
            </w:r>
          </w:p>
        </w:tc>
        <w:tc>
          <w:tcPr>
            <w:tcW w:w="880" w:type="dxa"/>
            <w:vAlign w:val="bottom"/>
          </w:tcPr>
          <w:p>
            <w:pPr>
              <w:jc w:val="right"/>
              <w:spacing w:after="0"/>
              <w:rPr>
                <w:sz w:val="20"/>
                <w:szCs w:val="20"/>
                <w:color w:val="auto"/>
              </w:rPr>
            </w:pPr>
            <w:r>
              <w:rPr>
                <w:rFonts w:ascii="Arial" w:cs="Arial" w:eastAsia="Arial" w:hAnsi="Arial"/>
                <w:sz w:val="16"/>
                <w:szCs w:val="16"/>
                <w:color w:val="auto"/>
              </w:rPr>
              <w:t>14,519,443</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14,515,149</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3"/>
                <w:szCs w:val="23"/>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1"/>
              </w:rPr>
              <w:t>Preferred shares, Junior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Globally-focused Private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10,014,270</w:t>
            </w:r>
          </w:p>
        </w:tc>
        <w:tc>
          <w:tcPr>
            <w:tcW w:w="880" w:type="dxa"/>
            <w:vAlign w:val="bottom"/>
          </w:tcPr>
          <w:p>
            <w:pPr>
              <w:jc w:val="right"/>
              <w:spacing w:after="0"/>
              <w:rPr>
                <w:sz w:val="20"/>
                <w:szCs w:val="20"/>
                <w:color w:val="auto"/>
              </w:rPr>
            </w:pPr>
            <w:r>
              <w:rPr>
                <w:rFonts w:ascii="Arial" w:cs="Arial" w:eastAsia="Arial" w:hAnsi="Arial"/>
                <w:sz w:val="16"/>
                <w:szCs w:val="16"/>
                <w:color w:val="auto"/>
              </w:rPr>
              <w:t>10,151,854</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11,258,690</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Customer Relationship</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1,899,799</w:t>
            </w:r>
          </w:p>
        </w:tc>
        <w:tc>
          <w:tcPr>
            <w:tcW w:w="880" w:type="dxa"/>
            <w:vAlign w:val="bottom"/>
          </w:tcPr>
          <w:p>
            <w:pPr>
              <w:jc w:val="right"/>
              <w:spacing w:after="0"/>
              <w:rPr>
                <w:sz w:val="20"/>
                <w:szCs w:val="20"/>
                <w:color w:val="auto"/>
              </w:rPr>
            </w:pPr>
            <w:r>
              <w:rPr>
                <w:rFonts w:ascii="Arial" w:cs="Arial" w:eastAsia="Arial" w:hAnsi="Arial"/>
                <w:sz w:val="16"/>
                <w:szCs w:val="16"/>
                <w:color w:val="auto"/>
              </w:rPr>
              <w:t>6,799,392</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8,985,863</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Manager</w:t>
            </w: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373,134</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2,111,865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8,299,914</w:t>
            </w:r>
          </w:p>
        </w:tc>
        <w:tc>
          <w:tcPr>
            <w:tcW w:w="8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w w:val="99"/>
              </w:rPr>
              <w:t>11,097,728</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5,034,324</w:t>
            </w:r>
          </w:p>
        </w:tc>
        <w:tc>
          <w:tcPr>
            <w:tcW w:w="880" w:type="dxa"/>
            <w:vAlign w:val="bottom"/>
          </w:tcPr>
          <w:p>
            <w:pPr>
              <w:jc w:val="right"/>
              <w:spacing w:after="0"/>
              <w:rPr>
                <w:sz w:val="20"/>
                <w:szCs w:val="20"/>
                <w:color w:val="auto"/>
              </w:rPr>
            </w:pPr>
            <w:r>
              <w:rPr>
                <w:rFonts w:ascii="Arial" w:cs="Arial" w:eastAsia="Arial" w:hAnsi="Arial"/>
                <w:sz w:val="16"/>
                <w:szCs w:val="16"/>
                <w:color w:val="auto"/>
              </w:rPr>
              <w:t>11,017,801</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11,000,012</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3,914,535</w:t>
            </w:r>
          </w:p>
        </w:tc>
        <w:tc>
          <w:tcPr>
            <w:tcW w:w="88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10,000,000</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Cognitive Learning</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5,358,195</w:t>
            </w:r>
          </w:p>
        </w:tc>
        <w:tc>
          <w:tcPr>
            <w:tcW w:w="880" w:type="dxa"/>
            <w:vAlign w:val="bottom"/>
          </w:tcPr>
          <w:p>
            <w:pPr>
              <w:jc w:val="right"/>
              <w:spacing w:after="0"/>
              <w:rPr>
                <w:sz w:val="20"/>
                <w:szCs w:val="20"/>
                <w:color w:val="auto"/>
              </w:rPr>
            </w:pPr>
            <w:r>
              <w:rPr>
                <w:rFonts w:ascii="Arial" w:cs="Arial" w:eastAsia="Arial" w:hAnsi="Arial"/>
                <w:sz w:val="16"/>
                <w:szCs w:val="16"/>
                <w:color w:val="auto"/>
              </w:rPr>
              <w:t>9,999,999</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9,999,999</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73,440</w:t>
            </w:r>
          </w:p>
        </w:tc>
        <w:tc>
          <w:tcPr>
            <w:tcW w:w="880" w:type="dxa"/>
            <w:vAlign w:val="bottom"/>
          </w:tcPr>
          <w:p>
            <w:pPr>
              <w:jc w:val="right"/>
              <w:spacing w:after="0"/>
              <w:rPr>
                <w:sz w:val="20"/>
                <w:szCs w:val="20"/>
                <w:color w:val="auto"/>
              </w:rPr>
            </w:pPr>
            <w:r>
              <w:rPr>
                <w:rFonts w:ascii="Arial" w:cs="Arial" w:eastAsia="Arial" w:hAnsi="Arial"/>
                <w:sz w:val="16"/>
                <w:szCs w:val="16"/>
                <w:color w:val="auto"/>
              </w:rPr>
              <w:t>9,999,928</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9,999,917</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Menlo Park,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2,839,861</w:t>
            </w:r>
          </w:p>
        </w:tc>
        <w:tc>
          <w:tcPr>
            <w:tcW w:w="880" w:type="dxa"/>
            <w:vAlign w:val="bottom"/>
          </w:tcPr>
          <w:p>
            <w:pPr>
              <w:jc w:val="right"/>
              <w:spacing w:after="0"/>
              <w:rPr>
                <w:sz w:val="20"/>
                <w:szCs w:val="20"/>
                <w:color w:val="auto"/>
              </w:rPr>
            </w:pPr>
            <w:r>
              <w:rPr>
                <w:rFonts w:ascii="Arial" w:cs="Arial" w:eastAsia="Arial" w:hAnsi="Arial"/>
                <w:sz w:val="16"/>
                <w:szCs w:val="16"/>
                <w:color w:val="auto"/>
              </w:rPr>
              <w:t>10,000,003</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9,998,157</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-4935220</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-4274820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-2276475</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2"/>
                <w:szCs w:val="22"/>
                <w:b w:val="1"/>
                <w:bCs w:val="1"/>
                <w:color w:val="auto"/>
                <w:vertAlign w:val="superscript"/>
              </w:rPr>
              <w:t>(10)</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1,182,792</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$ 8,326,856</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65"/>
        </w:trPr>
        <w:tc>
          <w:tcPr>
            <w:tcW w:w="2660" w:type="dxa"/>
            <w:vAlign w:val="bottom"/>
            <w:gridSpan w:val="9"/>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ZocDoc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Online Medical</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Scheduling</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200,000</w:t>
            </w:r>
          </w:p>
        </w:tc>
        <w:tc>
          <w:tcPr>
            <w:tcW w:w="820" w:type="dxa"/>
            <w:vAlign w:val="bottom"/>
          </w:tcPr>
          <w:p>
            <w:pPr>
              <w:jc w:val="right"/>
              <w:spacing w:after="0"/>
              <w:rPr>
                <w:sz w:val="20"/>
                <w:szCs w:val="20"/>
                <w:color w:val="auto"/>
              </w:rPr>
            </w:pPr>
            <w:r>
              <w:rPr>
                <w:rFonts w:ascii="Arial" w:cs="Arial" w:eastAsia="Arial" w:hAnsi="Arial"/>
                <w:sz w:val="16"/>
                <w:szCs w:val="16"/>
                <w:color w:val="auto"/>
              </w:rPr>
              <w:t>3,563,178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111,866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1,734,878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2,796,650</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5,298,056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7,796,650</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(2)(5)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3,279,629</w:t>
            </w:r>
          </w:p>
        </w:tc>
        <w:tc>
          <w:tcPr>
            <w:tcW w:w="820" w:type="dxa"/>
            <w:vAlign w:val="bottom"/>
          </w:tcPr>
          <w:p>
            <w:pPr>
              <w:jc w:val="right"/>
              <w:spacing w:after="0"/>
              <w:rPr>
                <w:sz w:val="20"/>
                <w:szCs w:val="20"/>
                <w:color w:val="auto"/>
              </w:rPr>
            </w:pPr>
            <w:r>
              <w:rPr>
                <w:rFonts w:ascii="Arial" w:cs="Arial" w:eastAsia="Arial" w:hAnsi="Arial"/>
                <w:sz w:val="16"/>
                <w:szCs w:val="16"/>
                <w:color w:val="auto"/>
              </w:rPr>
              <w:t>2,019,687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4,066,740</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2,132,824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3,000,030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3,012,802</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366,666</w:t>
            </w:r>
          </w:p>
        </w:tc>
        <w:tc>
          <w:tcPr>
            <w:tcW w:w="820" w:type="dxa"/>
            <w:vAlign w:val="bottom"/>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196,166</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Unit Warrants $1.55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price, expire 7/6/14</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568,753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Unit Warrants $1.76 strike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price, expire 1/6/15</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646,310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5,129,717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7,309,833</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9"/>
          </w:tcPr>
          <w:p>
            <w:pPr>
              <w:ind w:left="20"/>
              <w:spacing w:after="0" w:line="15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133,213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2,999,977</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126,552</w:t>
            </w:r>
          </w:p>
        </w:tc>
        <w:tc>
          <w:tcPr>
            <w:tcW w:w="820" w:type="dxa"/>
            <w:vAlign w:val="bottom"/>
          </w:tcPr>
          <w:p>
            <w:pPr>
              <w:jc w:val="right"/>
              <w:spacing w:after="0"/>
              <w:rPr>
                <w:sz w:val="20"/>
                <w:szCs w:val="20"/>
                <w:color w:val="auto"/>
              </w:rPr>
            </w:pPr>
            <w:r>
              <w:rPr>
                <w:rFonts w:ascii="Arial" w:cs="Arial" w:eastAsia="Arial" w:hAnsi="Arial"/>
                <w:sz w:val="16"/>
                <w:szCs w:val="16"/>
                <w:color w:val="auto"/>
              </w:rPr>
              <w:t>2,999,978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3,035,279</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5,999,961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6,035,256</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9"/>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Cambridge, MA</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Business Education</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1,728,724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3,193,444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2,823,871</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1,655,167</w:t>
            </w:r>
          </w:p>
        </w:tc>
        <w:tc>
          <w:tcPr>
            <w:tcW w:w="820" w:type="dxa"/>
            <w:vAlign w:val="bottom"/>
          </w:tcPr>
          <w:p>
            <w:pPr>
              <w:jc w:val="right"/>
              <w:spacing w:after="0"/>
              <w:rPr>
                <w:sz w:val="20"/>
                <w:szCs w:val="20"/>
                <w:color w:val="auto"/>
              </w:rPr>
            </w:pPr>
            <w:r>
              <w:rPr>
                <w:rFonts w:ascii="Arial" w:cs="Arial" w:eastAsia="Arial" w:hAnsi="Arial"/>
                <w:sz w:val="16"/>
                <w:szCs w:val="16"/>
                <w:color w:val="auto"/>
              </w:rPr>
              <w:t>2,956,022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3,111,714</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3/22/2020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714,286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85,779</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82,418</w:t>
            </w:r>
          </w:p>
        </w:tc>
        <w:tc>
          <w:tcPr>
            <w:tcW w:w="820" w:type="dxa"/>
            <w:vAlign w:val="bottom"/>
          </w:tcPr>
          <w:p>
            <w:pPr>
              <w:jc w:val="right"/>
              <w:spacing w:after="0"/>
              <w:rPr>
                <w:sz w:val="20"/>
                <w:szCs w:val="20"/>
                <w:color w:val="auto"/>
              </w:rPr>
            </w:pPr>
            <w:r>
              <w:rPr>
                <w:rFonts w:ascii="Arial" w:cs="Arial" w:eastAsia="Arial" w:hAnsi="Arial"/>
                <w:sz w:val="16"/>
                <w:szCs w:val="16"/>
                <w:color w:val="auto"/>
              </w:rPr>
              <w:t>9,799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412,088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50,970</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expire 5/16/2019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192,308</w:t>
            </w:r>
          </w:p>
        </w:tc>
        <w:tc>
          <w:tcPr>
            <w:tcW w:w="820" w:type="dxa"/>
            <w:vAlign w:val="bottom"/>
          </w:tcPr>
          <w:p>
            <w:pPr>
              <w:jc w:val="right"/>
              <w:spacing w:after="0"/>
              <w:rPr>
                <w:sz w:val="20"/>
                <w:szCs w:val="20"/>
                <w:color w:val="auto"/>
              </w:rPr>
            </w:pPr>
            <w:r>
              <w:rPr>
                <w:rFonts w:ascii="Arial" w:cs="Arial" w:eastAsia="Arial" w:hAnsi="Arial"/>
                <w:sz w:val="16"/>
                <w:szCs w:val="16"/>
                <w:color w:val="auto"/>
              </w:rPr>
              <w:t>23,244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3/22/2020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186,170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67,021</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8"/>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expire 10/09/2018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82,418</w:t>
            </w:r>
          </w:p>
        </w:tc>
        <w:tc>
          <w:tcPr>
            <w:tcW w:w="820" w:type="dxa"/>
            <w:vAlign w:val="bottom"/>
          </w:tcPr>
          <w:p>
            <w:pPr>
              <w:jc w:val="right"/>
              <w:spacing w:after="0"/>
              <w:rPr>
                <w:sz w:val="20"/>
                <w:szCs w:val="20"/>
                <w:color w:val="auto"/>
              </w:rPr>
            </w:pPr>
            <w:r>
              <w:rPr>
                <w:rFonts w:ascii="Arial" w:cs="Arial" w:eastAsia="Arial" w:hAnsi="Arial"/>
                <w:sz w:val="16"/>
                <w:szCs w:val="16"/>
                <w:color w:val="auto"/>
              </w:rPr>
              <w:t>9,901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6,396,180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5,935,585</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9"/>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375,985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5,000,300</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62"/>
        </w:trPr>
        <w:tc>
          <w:tcPr>
            <w:tcW w:w="2660" w:type="dxa"/>
            <w:vAlign w:val="bottom"/>
            <w:gridSpan w:val="9"/>
          </w:tcPr>
          <w:p>
            <w:pPr>
              <w:ind w:left="20"/>
              <w:spacing w:after="0" w:line="162" w:lineRule="exact"/>
              <w:rPr>
                <w:sz w:val="20"/>
                <w:szCs w:val="20"/>
                <w:color w:val="auto"/>
              </w:rPr>
            </w:pPr>
            <w:r>
              <w:rPr>
                <w:rFonts w:ascii="Arial" w:cs="Arial" w:eastAsia="Arial" w:hAnsi="Arial"/>
                <w:sz w:val="16"/>
                <w:szCs w:val="16"/>
                <w:b w:val="1"/>
                <w:bCs w:val="1"/>
                <w:color w:val="auto"/>
              </w:rPr>
              <w:t>Lyft,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Peer to Peer Ridesharing</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493,490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5,003,631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4,999,054</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-5136515</wp:posOffset>
            </wp:positionV>
            <wp:extent cx="52139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-3669665</wp:posOffset>
            </wp:positionV>
            <wp:extent cx="521398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-3009265</wp:posOffset>
            </wp:positionV>
            <wp:extent cx="521398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52139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14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Stockholm, Sweden</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3,658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3,598,472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$ 4,814,292</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1.68%</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9"/>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2,126,475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4,335,671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4,600,727</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1.60%</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Globally-focused Private</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3,000,000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229</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1,577,097</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0.53%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4,577,097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4,500,000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1.57%</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Fuel Cell Energy</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201,589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3,855,601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4,470,054</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1.56%</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Gilt Groupe,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248,600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6,594,433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4,338,580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1.51%</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904,977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2,063,356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3,040,723</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1.06%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301,369</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1,100,912</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1,144,627</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0.40%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3,164,268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4,185,350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1.46%</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E-Transcript Exchange</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3,200,512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4,000,862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4,020,940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Information Site</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1,090,909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3,000,200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865,000</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0.31%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3,500,200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3,865,000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1.35%</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Online Learning Platform</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2,728,252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2,005,945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2,073,472</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1,731,501</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1,503,670</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1,499,999</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3,509,615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3,573,471</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1.24%</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1,561,625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2,005,730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2,082,161</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0.73%</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1,000,000</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1,021,778</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806,000</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0.28%</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450,000</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605,500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443,700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0.15%</w:t>
            </w:r>
          </w:p>
        </w:tc>
        <w:tc>
          <w:tcPr>
            <w:tcW w:w="0" w:type="dxa"/>
            <w:vAlign w:val="bottom"/>
          </w:tcPr>
          <w:p>
            <w:pPr>
              <w:spacing w:after="0"/>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strike price, expire 4/9/2019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187,500</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54,375</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3,633,008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3,386,236</w:t>
            </w:r>
          </w:p>
        </w:tc>
        <w:tc>
          <w:tcPr>
            <w:tcW w:w="12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Arial" w:cs="Arial" w:eastAsia="Arial" w:hAnsi="Arial"/>
                <w:sz w:val="16"/>
                <w:szCs w:val="16"/>
                <w:color w:val="auto"/>
                <w:w w:val="92"/>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-4535805</wp:posOffset>
            </wp:positionV>
            <wp:extent cx="52139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-3103880</wp:posOffset>
            </wp:positionV>
            <wp:extent cx="52139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Shares/Principal</w:t>
            </w:r>
          </w:p>
        </w:tc>
        <w:tc>
          <w:tcPr>
            <w:tcW w:w="140" w:type="dxa"/>
            <w:vAlign w:val="bottom"/>
          </w:tcPr>
          <w:p>
            <w:pPr>
              <w:spacing w:after="0"/>
              <w:rPr>
                <w:sz w:val="14"/>
                <w:szCs w:val="14"/>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5"/>
              </w:rPr>
              <w:t>Convertible 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Corporate Education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615,763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5"/>
              </w:rPr>
              <w:t>2,006,077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$ 2,484,026</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5"/>
              </w:rPr>
              <w:t>Convertible 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169,033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778,607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801,563</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7"/>
              </w:rPr>
              <w:t>Preferred warrants, $4.59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expire 02/25/2018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16,903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18,424</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2,784,684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3,304,013</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TrueCar, Inc.</w:t>
            </w:r>
            <w:r>
              <w:rPr>
                <w:rFonts w:ascii="Arial" w:cs="Arial" w:eastAsia="Arial" w:hAnsi="Arial"/>
                <w:sz w:val="22"/>
                <w:szCs w:val="22"/>
                <w:b w:val="1"/>
                <w:bCs w:val="1"/>
                <w:color w:val="auto"/>
                <w:vertAlign w:val="superscript"/>
              </w:rPr>
              <w:t>(12)</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Santa Monica,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Online Marketplace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251,572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2,015,023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3,067,543</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(1)(6)</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San Bruno,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Online Marketplace</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Finance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1,771,653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2,259,717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2,232,283</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8"/>
              </w:rPr>
              <w:t>Common warrants, $0.13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expire 6/15/2018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770,934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192,734</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2,282,845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2,425,017</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Bellevue, WA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Education Technology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7,159,221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1,502,362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1,584,894</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3,579,610</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792,447</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2,260,379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2,377,341</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Knowledge Networks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318,979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2,000,447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49,505</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249,703</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2,217,653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2,249,701</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w w:val="99"/>
              </w:rPr>
              <w:t>Circle Media (f.k.a. S3 Digital Corp.</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9"/>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Class A1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Sports Analytics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1,110,639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1,079,058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1,295,005</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Term Loan, 12%, 09/30/15***</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272,500</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283,901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272,500</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4"/>
              </w:rPr>
              <w:t>Preferred warrants, $1.166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expire 09/30/2020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7"/>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expire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160,806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69,147</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7"/>
              </w:rPr>
              <w:t>Preferred warrants, $1.16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expire 6/21/2021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38,594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14,280</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5"/>
              </w:rPr>
              <w:t>1,394,313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1,835,932</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Boston, MA</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1,878,129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5"/>
              </w:rPr>
              <w:t>2,430,950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1,070,534</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347,666</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451,236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415,618</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5"/>
              </w:rPr>
              <w:t>2,882,186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1,486,152</w:t>
            </w: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-4982210</wp:posOffset>
            </wp:positionV>
            <wp:extent cx="521398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-3627120</wp:posOffset>
            </wp:positionV>
            <wp:extent cx="521398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-2966720</wp:posOffset>
            </wp:positionV>
            <wp:extent cx="521398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-2280285</wp:posOffset>
            </wp:positionV>
            <wp:extent cx="5213985"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521398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Shares/Principal</w:t>
            </w:r>
          </w:p>
        </w:tc>
        <w:tc>
          <w:tcPr>
            <w:tcW w:w="140" w:type="dxa"/>
            <w:vAlign w:val="bottom"/>
          </w:tcPr>
          <w:p>
            <w:pPr>
              <w:spacing w:after="0"/>
              <w:rPr>
                <w:sz w:val="14"/>
                <w:szCs w:val="14"/>
                <w:color w:val="auto"/>
              </w:rPr>
            </w:pPr>
          </w:p>
        </w:tc>
        <w:tc>
          <w:tcPr>
            <w:tcW w:w="8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Carrollton, TX</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LED Lighting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7"/>
              </w:rPr>
              <w:t>11,111,110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1,000,000</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$ 1,000,400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expire, 4/01/2016</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76,110</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76,110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8,692,652</w:t>
            </w: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2,183,582</w:t>
            </w:r>
          </w:p>
        </w:tc>
        <w:tc>
          <w:tcPr>
            <w:tcW w:w="880" w:type="dxa"/>
            <w:vAlign w:val="bottom"/>
          </w:tcPr>
          <w:p>
            <w:pPr>
              <w:jc w:val="right"/>
              <w:spacing w:after="0"/>
              <w:rPr>
                <w:sz w:val="20"/>
                <w:szCs w:val="20"/>
                <w:color w:val="auto"/>
              </w:rPr>
            </w:pPr>
            <w:r>
              <w:rPr>
                <w:rFonts w:ascii="Arial" w:cs="Arial" w:eastAsia="Arial" w:hAnsi="Arial"/>
                <w:sz w:val="16"/>
                <w:szCs w:val="16"/>
                <w:color w:val="auto"/>
              </w:rPr>
              <w:t>17,893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11,307,348</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2,840,591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6,100,283</w:t>
            </w:r>
          </w:p>
        </w:tc>
        <w:tc>
          <w:tcPr>
            <w:tcW w:w="880" w:type="dxa"/>
            <w:vAlign w:val="bottom"/>
          </w:tcPr>
          <w:p>
            <w:pPr>
              <w:jc w:val="right"/>
              <w:spacing w:after="0"/>
              <w:rPr>
                <w:sz w:val="20"/>
                <w:szCs w:val="20"/>
                <w:color w:val="auto"/>
              </w:rPr>
            </w:pPr>
            <w:r>
              <w:rPr>
                <w:rFonts w:ascii="Arial" w:cs="Arial" w:eastAsia="Arial" w:hAnsi="Arial"/>
                <w:sz w:val="16"/>
                <w:szCs w:val="16"/>
                <w:color w:val="auto"/>
              </w:rPr>
              <w:t>1,094,403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2"/>
                <w:szCs w:val="22"/>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Woodside,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4,465,925</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876,023</w:t>
            </w:r>
          </w:p>
        </w:tc>
        <w:tc>
          <w:tcPr>
            <w:tcW w:w="880" w:type="dxa"/>
            <w:vAlign w:val="bottom"/>
          </w:tcPr>
          <w:p>
            <w:pPr>
              <w:jc w:val="right"/>
              <w:spacing w:after="0"/>
              <w:rPr>
                <w:sz w:val="20"/>
                <w:szCs w:val="20"/>
                <w:color w:val="auto"/>
              </w:rPr>
            </w:pPr>
            <w:r>
              <w:rPr>
                <w:rFonts w:ascii="Arial" w:cs="Arial" w:eastAsia="Arial" w:hAnsi="Arial"/>
                <w:sz w:val="16"/>
                <w:szCs w:val="16"/>
                <w:color w:val="auto"/>
              </w:rPr>
              <w:t>850,000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1,141,626</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1,027,391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203,011</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warrants Series A-1, $0.19</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strike price, expire 12/31/2014</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1,313,508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26,270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price, expire 1/9/2017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109,375</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1,903,414</w:t>
            </w:r>
          </w:p>
        </w:tc>
        <w:tc>
          <w:tcPr>
            <w:tcW w:w="880" w:type="dxa"/>
            <w:vAlign w:val="bottom"/>
          </w:tcPr>
          <w:p>
            <w:pPr>
              <w:jc w:val="right"/>
              <w:spacing w:after="0"/>
              <w:rPr>
                <w:sz w:val="20"/>
                <w:szCs w:val="20"/>
                <w:color w:val="auto"/>
              </w:rPr>
            </w:pPr>
            <w:r>
              <w:rPr>
                <w:rFonts w:ascii="Arial" w:cs="Arial" w:eastAsia="Arial" w:hAnsi="Arial"/>
                <w:sz w:val="16"/>
                <w:szCs w:val="16"/>
                <w:color w:val="auto"/>
              </w:rPr>
              <w:t>1,079,281</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2"/>
                <w:szCs w:val="22"/>
                <w:b w:val="1"/>
                <w:bCs w:val="1"/>
                <w:color w:val="auto"/>
                <w:vertAlign w:val="superscript"/>
              </w:rPr>
              <w:t>(1)(7)</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Software Development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1,001,650</w:t>
            </w:r>
          </w:p>
        </w:tc>
        <w:tc>
          <w:tcPr>
            <w:tcW w:w="880" w:type="dxa"/>
            <w:vAlign w:val="bottom"/>
          </w:tcPr>
          <w:p>
            <w:pPr>
              <w:jc w:val="right"/>
              <w:spacing w:after="0"/>
              <w:rPr>
                <w:sz w:val="20"/>
                <w:szCs w:val="20"/>
                <w:color w:val="auto"/>
              </w:rPr>
            </w:pPr>
            <w:r>
              <w:rPr>
                <w:rFonts w:ascii="Arial" w:cs="Arial" w:eastAsia="Arial" w:hAnsi="Arial"/>
                <w:sz w:val="16"/>
                <w:szCs w:val="16"/>
                <w:color w:val="auto"/>
              </w:rPr>
              <w:t>1,000,000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AliphCom, Inc. (d/b/a Jawbone)</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Smart Device Company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793,152</w:t>
            </w:r>
          </w:p>
        </w:tc>
        <w:tc>
          <w:tcPr>
            <w:tcW w:w="880" w:type="dxa"/>
            <w:vAlign w:val="bottom"/>
          </w:tcPr>
          <w:p>
            <w:pPr>
              <w:jc w:val="right"/>
              <w:spacing w:after="0"/>
              <w:rPr>
                <w:sz w:val="20"/>
                <w:szCs w:val="20"/>
                <w:color w:val="auto"/>
              </w:rPr>
            </w:pPr>
            <w:r>
              <w:rPr>
                <w:rFonts w:ascii="Arial" w:cs="Arial" w:eastAsia="Arial" w:hAnsi="Arial"/>
                <w:sz w:val="16"/>
                <w:szCs w:val="16"/>
                <w:color w:val="auto"/>
              </w:rPr>
              <w:t>900,000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DianRong (fka SinoLending Ltd.)**</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Shanghai, China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6,414,368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503,235</w:t>
            </w:r>
          </w:p>
        </w:tc>
        <w:tc>
          <w:tcPr>
            <w:tcW w:w="880" w:type="dxa"/>
            <w:vAlign w:val="bottom"/>
          </w:tcPr>
          <w:p>
            <w:pPr>
              <w:jc w:val="right"/>
              <w:spacing w:after="0"/>
              <w:rPr>
                <w:sz w:val="20"/>
                <w:szCs w:val="20"/>
                <w:color w:val="auto"/>
              </w:rPr>
            </w:pPr>
            <w:r>
              <w:rPr>
                <w:rFonts w:ascii="Arial" w:cs="Arial" w:eastAsia="Arial" w:hAnsi="Arial"/>
                <w:sz w:val="16"/>
                <w:szCs w:val="16"/>
                <w:color w:val="auto"/>
              </w:rPr>
              <w:t>577,293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Class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2,333,108</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250,491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753,726</w:t>
            </w:r>
          </w:p>
        </w:tc>
        <w:tc>
          <w:tcPr>
            <w:tcW w:w="880" w:type="dxa"/>
            <w:vAlign w:val="bottom"/>
          </w:tcPr>
          <w:p>
            <w:pPr>
              <w:jc w:val="right"/>
              <w:spacing w:after="0"/>
              <w:rPr>
                <w:sz w:val="20"/>
                <w:szCs w:val="20"/>
                <w:color w:val="auto"/>
              </w:rPr>
            </w:pPr>
            <w:r>
              <w:rPr>
                <w:rFonts w:ascii="Arial" w:cs="Arial" w:eastAsia="Arial" w:hAnsi="Arial"/>
                <w:sz w:val="16"/>
                <w:szCs w:val="16"/>
                <w:color w:val="auto"/>
              </w:rPr>
              <w:t>827,293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2"/>
                <w:szCs w:val="22"/>
                <w:b w:val="1"/>
                <w:bCs w:val="1"/>
                <w:color w:val="auto"/>
                <w:vertAlign w:val="superscript"/>
              </w:rPr>
              <w:t>(1)(8)</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Herndon, VA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7"/>
              </w:rPr>
              <w:t>33,333,333</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2,446,284</w:t>
            </w:r>
          </w:p>
        </w:tc>
        <w:tc>
          <w:tcPr>
            <w:tcW w:w="880" w:type="dxa"/>
            <w:vAlign w:val="bottom"/>
          </w:tcPr>
          <w:p>
            <w:pPr>
              <w:jc w:val="right"/>
              <w:spacing w:after="0"/>
              <w:rPr>
                <w:sz w:val="20"/>
                <w:szCs w:val="20"/>
                <w:color w:val="auto"/>
              </w:rPr>
            </w:pPr>
            <w:r>
              <w:rPr>
                <w:rFonts w:ascii="Arial" w:cs="Arial" w:eastAsia="Arial" w:hAnsi="Arial"/>
                <w:sz w:val="16"/>
                <w:szCs w:val="16"/>
                <w:color w:val="auto"/>
              </w:rPr>
              <w:t>825,000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Woodside,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Clean Technology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1,250,000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625,000</w:t>
            </w:r>
          </w:p>
        </w:tc>
        <w:tc>
          <w:tcPr>
            <w:tcW w:w="880" w:type="dxa"/>
            <w:vAlign w:val="bottom"/>
          </w:tcPr>
          <w:p>
            <w:pPr>
              <w:jc w:val="right"/>
              <w:spacing w:after="0"/>
              <w:rPr>
                <w:sz w:val="20"/>
                <w:szCs w:val="20"/>
                <w:color w:val="auto"/>
              </w:rPr>
            </w:pPr>
            <w:r>
              <w:rPr>
                <w:rFonts w:ascii="Arial" w:cs="Arial" w:eastAsia="Arial" w:hAnsi="Arial"/>
                <w:sz w:val="16"/>
                <w:szCs w:val="16"/>
                <w:color w:val="auto"/>
              </w:rPr>
              <w:t>625,000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635,000</w:t>
            </w:r>
          </w:p>
        </w:tc>
        <w:tc>
          <w:tcPr>
            <w:tcW w:w="880" w:type="dxa"/>
            <w:vAlign w:val="bottom"/>
          </w:tcPr>
          <w:p>
            <w:pPr>
              <w:jc w:val="right"/>
              <w:spacing w:after="0"/>
              <w:rPr>
                <w:sz w:val="20"/>
                <w:szCs w:val="20"/>
                <w:color w:val="auto"/>
              </w:rPr>
            </w:pPr>
            <w:r>
              <w:rPr>
                <w:rFonts w:ascii="Arial" w:cs="Arial" w:eastAsia="Arial" w:hAnsi="Arial"/>
                <w:sz w:val="16"/>
                <w:szCs w:val="16"/>
                <w:color w:val="auto"/>
              </w:rPr>
              <w:t>635,000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Higher Education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Learning Platform</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1,201,923</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1,267,240</w:t>
            </w:r>
          </w:p>
        </w:tc>
        <w:tc>
          <w:tcPr>
            <w:tcW w:w="880" w:type="dxa"/>
            <w:vAlign w:val="bottom"/>
          </w:tcPr>
          <w:p>
            <w:pPr>
              <w:jc w:val="right"/>
              <w:spacing w:after="0"/>
              <w:rPr>
                <w:sz w:val="20"/>
                <w:szCs w:val="20"/>
                <w:color w:val="auto"/>
              </w:rPr>
            </w:pPr>
            <w:r>
              <w:rPr>
                <w:rFonts w:ascii="Arial" w:cs="Arial" w:eastAsia="Arial" w:hAnsi="Arial"/>
                <w:sz w:val="16"/>
                <w:szCs w:val="16"/>
                <w:color w:val="auto"/>
              </w:rPr>
              <w:t>580,386</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Burlingame,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Education Media Platform</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494,365</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500,801</w:t>
            </w:r>
          </w:p>
        </w:tc>
        <w:tc>
          <w:tcPr>
            <w:tcW w:w="880" w:type="dxa"/>
            <w:vAlign w:val="bottom"/>
          </w:tcPr>
          <w:p>
            <w:pPr>
              <w:jc w:val="right"/>
              <w:spacing w:after="0"/>
              <w:rPr>
                <w:sz w:val="20"/>
                <w:szCs w:val="20"/>
                <w:color w:val="auto"/>
              </w:rPr>
            </w:pPr>
            <w:r>
              <w:rPr>
                <w:rFonts w:ascii="Arial" w:cs="Arial" w:eastAsia="Arial" w:hAnsi="Arial"/>
                <w:sz w:val="16"/>
                <w:szCs w:val="16"/>
                <w:color w:val="auto"/>
              </w:rPr>
              <w:t>503,356</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Retail Machines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1,250,000</w:t>
            </w: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260,476</w:t>
            </w:r>
          </w:p>
        </w:tc>
        <w:tc>
          <w:tcPr>
            <w:tcW w:w="880" w:type="dxa"/>
            <w:vAlign w:val="bottom"/>
          </w:tcPr>
          <w:p>
            <w:pPr>
              <w:jc w:val="right"/>
              <w:spacing w:after="0"/>
              <w:rPr>
                <w:sz w:val="20"/>
                <w:szCs w:val="20"/>
                <w:color w:val="auto"/>
              </w:rPr>
            </w:pPr>
            <w:r>
              <w:rPr>
                <w:rFonts w:ascii="Arial" w:cs="Arial" w:eastAsia="Arial" w:hAnsi="Arial"/>
                <w:sz w:val="16"/>
                <w:szCs w:val="16"/>
                <w:color w:val="auto"/>
              </w:rPr>
              <w:t>336,408</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-5235575</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-4034790</wp:posOffset>
            </wp:positionV>
            <wp:extent cx="52139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-2576830</wp:posOffset>
            </wp:positionV>
            <wp:extent cx="52139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-1478915</wp:posOffset>
            </wp:positionV>
            <wp:extent cx="52139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Shares/Principal</w:t>
            </w:r>
          </w:p>
        </w:tc>
        <w:tc>
          <w:tcPr>
            <w:tcW w:w="100" w:type="dxa"/>
            <w:vAlign w:val="bottom"/>
          </w:tcPr>
          <w:p>
            <w:pPr>
              <w:spacing w:after="0"/>
              <w:rPr>
                <w:sz w:val="14"/>
                <w:szCs w:val="14"/>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1"/>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AAI</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7"/>
              </w:rPr>
              <w:t>San Jose, CA</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287,082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5"/>
              </w:rPr>
              <w:t>4C Insights (f.k.a The Echo Systems</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9"/>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Chicago, IL</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Data Platform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512,365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245,423</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Earlyshares.com</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Miami, FL</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Equity Crowd Funding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149,144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224,999</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86"/>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174,223</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282,964,208</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367,037,838</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U.S. Treasury Bill, 0%, due 7/3/2014</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80,000,000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80,000,445</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80,000,000</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(13)</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0.00% due 08/15/2016</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1,821,805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1,830,233</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0.00% due 02/15/2016</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1,818,002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1,825,270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0.00% due 08/15/2015</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1,816,053</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1,819,536</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0.00% due 02/15/2015</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1,816,000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1,813,612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1,814,692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0.00% due 08/15/2014</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1,812,754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1,812,855</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9,082,226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9,102,586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372,046,879</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456,140,424</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158.86%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440" w:type="dxa"/>
            <w:vAlign w:val="bottom"/>
            <w:tcBorders>
              <w:top w:val="single" w:sz="8" w:color="CCEEFF"/>
              <w:bottom w:val="single" w:sz="8" w:color="auto"/>
            </w:tcBorders>
          </w:tcPr>
          <w:p>
            <w:pPr>
              <w:spacing w:after="0"/>
              <w:rPr>
                <w:sz w:val="22"/>
                <w:szCs w:val="22"/>
                <w:color w:val="auto"/>
              </w:rPr>
            </w:pPr>
          </w:p>
        </w:tc>
        <w:tc>
          <w:tcPr>
            <w:tcW w:w="320" w:type="dxa"/>
            <w:vAlign w:val="bottom"/>
            <w:tcBorders>
              <w:top w:val="single" w:sz="8" w:color="CCEEFF"/>
              <w:bottom w:val="single" w:sz="8" w:color="auto"/>
            </w:tcBorders>
          </w:tcPr>
          <w:p>
            <w:pPr>
              <w:spacing w:after="0"/>
              <w:rPr>
                <w:sz w:val="22"/>
                <w:szCs w:val="22"/>
                <w:color w:val="auto"/>
              </w:rPr>
            </w:pPr>
          </w:p>
        </w:tc>
        <w:tc>
          <w:tcPr>
            <w:tcW w:w="40" w:type="dxa"/>
            <w:vAlign w:val="bottom"/>
            <w:tcBorders>
              <w:top w:val="single" w:sz="8" w:color="CCEEFF"/>
              <w:bottom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-2194560</wp:posOffset>
            </wp:positionV>
            <wp:extent cx="52482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482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482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4827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4827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right="519" w:hanging="272"/>
        <w:spacing w:after="0" w:line="308"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19" w:hanging="272"/>
        <w:spacing w:after="0" w:line="273"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June 30, 2014, GSV Capital Corp. valued Cricket Media (fka ePals Inc.), based on its June 30,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70" w:lineRule="exact"/>
        <w:rPr>
          <w:rFonts w:ascii="Arial" w:cs="Arial" w:eastAsia="Arial" w:hAnsi="Arial"/>
          <w:sz w:val="17"/>
          <w:szCs w:val="17"/>
          <w:color w:val="auto"/>
        </w:rPr>
      </w:pPr>
    </w:p>
    <w:p>
      <w:pPr>
        <w:jc w:val="both"/>
        <w:ind w:left="280" w:right="519"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6, 2013, Twitter, Inc., priced its initial public offering, selling 70,000,000 shares at a price of $26 per share. GSV Capital Corp.’s shares in Twitter, Inc. are subject to a lock-up agreement which expired on May 5, 2014. At June 30, 2014, GSV Capital Corp. valued Twitter, Inc., based on its June 30, 2014 closing price.</w:t>
      </w:r>
    </w:p>
    <w:p>
      <w:pPr>
        <w:spacing w:after="0" w:line="73" w:lineRule="exact"/>
        <w:rPr>
          <w:sz w:val="20"/>
          <w:szCs w:val="20"/>
          <w:color w:val="auto"/>
        </w:rPr>
      </w:pPr>
    </w:p>
    <w:p>
      <w:pPr>
        <w:jc w:val="both"/>
        <w:ind w:left="320" w:right="539" w:hanging="310"/>
        <w:spacing w:after="0" w:line="264" w:lineRule="auto"/>
        <w:rPr>
          <w:sz w:val="20"/>
          <w:szCs w:val="20"/>
          <w:color w:val="auto"/>
        </w:rPr>
      </w:pPr>
      <w:r>
        <w:rPr>
          <w:rFonts w:ascii="Arial" w:cs="Arial" w:eastAsia="Arial" w:hAnsi="Arial"/>
          <w:sz w:val="18"/>
          <w:szCs w:val="18"/>
          <w:color w:val="auto"/>
        </w:rPr>
        <w:t>(10)On November 12, 2013, Chegg, Inc., priced its initial public offering, selling 14,400,000 shares at a price of $12.50 per share. GSV Capital Corp.’s shares in Chegg, Inc. are subject to a lock-up agreement which expired on May 11, 2014. At June 30, 2014, GSV Capital Corp. valued Chegg, Inc., based on its June 30, 2014 closing price.</w:t>
      </w:r>
    </w:p>
    <w:p>
      <w:pPr>
        <w:spacing w:after="0" w:line="73" w:lineRule="exact"/>
        <w:rPr>
          <w:sz w:val="20"/>
          <w:szCs w:val="20"/>
          <w:color w:val="auto"/>
        </w:rPr>
      </w:pPr>
    </w:p>
    <w:p>
      <w:pPr>
        <w:jc w:val="both"/>
        <w:ind w:left="300" w:right="519" w:hanging="296"/>
        <w:spacing w:after="0" w:line="302" w:lineRule="auto"/>
        <w:rPr>
          <w:sz w:val="20"/>
          <w:szCs w:val="20"/>
          <w:color w:val="auto"/>
        </w:rPr>
      </w:pPr>
      <w:r>
        <w:rPr>
          <w:rFonts w:ascii="Arial" w:cs="Arial" w:eastAsia="Arial" w:hAnsi="Arial"/>
          <w:sz w:val="16"/>
          <w:szCs w:val="16"/>
          <w:color w:val="auto"/>
        </w:rPr>
        <w:t>(11)On March 28, 2014, 2U, Inc. (f/k/a 2tor, Inc.) priced its initial public offering, selling 9,175,000 shares at a price of $13 per share. GSV Capital Corp.’s shares in 2U, Inc. (f/k/a 2tor, Inc.) are subject to a lock-up agreement which expires on September 24, 2014. At June 30, 2014, GSV Capital Corp. valued 2U, Inc. (f/k/a 2tor, Inc.), based on its June 30, 2014 closing price, adjusted for a discount due to lack of marketability of 13.0%. Michael Moe is a Board member of 2U, Inc. (f/k/a 2tor, Inc.).</w:t>
      </w:r>
    </w:p>
    <w:p>
      <w:pPr>
        <w:spacing w:after="0" w:line="46"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(12)On May 15, 2014, TrueCar, Inc. priced its initial public offering, selling 7,775,000 shares at a price of $14 per share. GSV Capital Corp.’s shares in TrueCar, Inc. are subject to a lock-up agreement which expires on Novemenber 11, 2014. At June 30, 2014, GSV Capital Corp. valued TrueCar, Inc., based on its June 30, 2014 closing price, adjusted for a discount due to lack of marketability of 17.5%.</w:t>
      </w:r>
    </w:p>
    <w:p>
      <w:pPr>
        <w:spacing w:after="0" w:line="79" w:lineRule="exact"/>
        <w:rPr>
          <w:sz w:val="20"/>
          <w:szCs w:val="20"/>
          <w:color w:val="auto"/>
        </w:rPr>
      </w:pPr>
    </w:p>
    <w:p>
      <w:pPr>
        <w:jc w:val="both"/>
        <w:ind w:left="320" w:right="519" w:hanging="312"/>
        <w:spacing w:after="0" w:line="27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June 30, 2014. On February 15, 2014, 1 US Treasury Strip with a cost of $1,790,785 matured and the proceeds were used by the trustee in accordance with the terms of the escrow agreement.</w:t>
      </w:r>
    </w:p>
    <w:p>
      <w:pPr>
        <w:spacing w:after="0" w:line="200" w:lineRule="exact"/>
        <w:rPr>
          <w:sz w:val="20"/>
          <w:szCs w:val="20"/>
          <w:color w:val="auto"/>
        </w:rPr>
      </w:pPr>
    </w:p>
    <w:p>
      <w:pPr>
        <w:spacing w:after="0" w:line="297"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60" w:type="dxa"/>
            <w:vAlign w:val="bottom"/>
          </w:tcPr>
          <w:p>
            <w:pPr>
              <w:spacing w:after="0"/>
              <w:rPr>
                <w:sz w:val="14"/>
                <w:szCs w:val="14"/>
                <w:color w:val="auto"/>
              </w:rPr>
            </w:pPr>
          </w:p>
        </w:tc>
        <w:tc>
          <w:tcPr>
            <w:tcW w:w="9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Twitter, Inc.</w:t>
            </w:r>
            <w:r>
              <w:rPr>
                <w:rFonts w:ascii="Arial" w:cs="Arial" w:eastAsia="Arial" w:hAnsi="Arial"/>
                <w:sz w:val="22"/>
                <w:szCs w:val="22"/>
                <w:b w:val="1"/>
                <w:bCs w:val="1"/>
                <w:color w:val="auto"/>
                <w:vertAlign w:val="superscript"/>
              </w:rPr>
              <w:t>(11)**</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1,900,600</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$32,991,111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$102,822,460</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7,145,690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20,051,479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32,119,877</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9"/>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326,797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1,718,953</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33,838,830</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3"/>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760,000</w:t>
            </w:r>
          </w:p>
        </w:tc>
        <w:tc>
          <w:tcPr>
            <w:tcW w:w="820" w:type="dxa"/>
            <w:vAlign w:val="bottom"/>
          </w:tcPr>
          <w:p>
            <w:pPr>
              <w:jc w:val="right"/>
              <w:spacing w:after="0"/>
              <w:rPr>
                <w:sz w:val="20"/>
                <w:szCs w:val="20"/>
                <w:color w:val="auto"/>
              </w:rPr>
            </w:pPr>
            <w:r>
              <w:rPr>
                <w:rFonts w:ascii="Arial" w:cs="Arial" w:eastAsia="Arial" w:hAnsi="Arial"/>
                <w:sz w:val="16"/>
                <w:szCs w:val="16"/>
                <w:color w:val="auto"/>
              </w:rPr>
              <w:t>8,641,153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9,181,012</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9"/>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552,486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5,015,333</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6,674,185</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15,855,197</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3"/>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2,961,399</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14,519,443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14,519,443</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(8)**</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Home Automation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782,789</w:t>
            </w:r>
          </w:p>
        </w:tc>
        <w:tc>
          <w:tcPr>
            <w:tcW w:w="820" w:type="dxa"/>
            <w:vAlign w:val="bottom"/>
          </w:tcPr>
          <w:p>
            <w:pPr>
              <w:jc w:val="right"/>
              <w:spacing w:after="0"/>
              <w:rPr>
                <w:sz w:val="20"/>
                <w:szCs w:val="20"/>
                <w:color w:val="auto"/>
              </w:rPr>
            </w:pPr>
            <w:r>
              <w:rPr>
                <w:rFonts w:ascii="Arial" w:cs="Arial" w:eastAsia="Arial" w:hAnsi="Arial"/>
                <w:sz w:val="16"/>
                <w:szCs w:val="16"/>
                <w:color w:val="auto"/>
              </w:rPr>
              <w:t>7,010,762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13,300,129</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2U, Inc. (f/k/a 2tor, Inc.)</w:t>
            </w:r>
          </w:p>
        </w:tc>
        <w:tc>
          <w:tcPr>
            <w:tcW w:w="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1,151,802</w:t>
            </w:r>
          </w:p>
        </w:tc>
        <w:tc>
          <w:tcPr>
            <w:tcW w:w="820" w:type="dxa"/>
            <w:vAlign w:val="bottom"/>
          </w:tcPr>
          <w:p>
            <w:pPr>
              <w:jc w:val="right"/>
              <w:spacing w:after="0"/>
              <w:rPr>
                <w:sz w:val="20"/>
                <w:szCs w:val="20"/>
                <w:color w:val="auto"/>
              </w:rPr>
            </w:pPr>
            <w:r>
              <w:rPr>
                <w:rFonts w:ascii="Arial" w:cs="Arial" w:eastAsia="Arial" w:hAnsi="Arial"/>
                <w:sz w:val="16"/>
                <w:szCs w:val="16"/>
                <w:color w:val="auto"/>
              </w:rPr>
              <w:t>8,758,193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9,875,206</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9"/>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167,431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1,273,125</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1,435,503</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10,031,318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11,310,709</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3"/>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5,034,324</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11,017,561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11,286,628</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w w:val="98"/>
              </w:rPr>
              <w:t>Preferred shares, Junior Preferred Stock</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Globally Focused</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Private</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10,014,270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10,150,484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Menlo Park,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2,839,861</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10,000,003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10,000,003</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3"/>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PayNearMe, Inc.</w:t>
            </w:r>
            <w:r>
              <w:rPr>
                <w:rFonts w:ascii="Arial" w:cs="Arial" w:eastAsia="Arial" w:hAnsi="Arial"/>
                <w:sz w:val="27"/>
                <w:szCs w:val="27"/>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72"/>
        </w:trPr>
        <w:tc>
          <w:tcPr>
            <w:tcW w:w="2880" w:type="dxa"/>
            <w:vAlign w:val="bottom"/>
            <w:gridSpan w:val="1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8"/>
              <w:spacing w:after="0" w:line="172" w:lineRule="exact"/>
              <w:rPr>
                <w:sz w:val="20"/>
                <w:szCs w:val="20"/>
                <w:color w:val="auto"/>
              </w:rPr>
            </w:pPr>
            <w:r>
              <w:rPr>
                <w:rFonts w:ascii="Arial" w:cs="Arial" w:eastAsia="Arial" w:hAnsi="Arial"/>
                <w:sz w:val="16"/>
                <w:szCs w:val="16"/>
                <w:color w:val="auto"/>
              </w:rPr>
              <w:t>3,914,535</w:t>
            </w: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9"/>
              </w:rPr>
              <w:t>10,000,001</w:t>
            </w:r>
          </w:p>
        </w:tc>
        <w:tc>
          <w:tcPr>
            <w:tcW w:w="1000" w:type="dxa"/>
            <w:vAlign w:val="bottom"/>
            <w:tcBorders>
              <w:left w:val="single" w:sz="8" w:color="CCEEFF"/>
            </w:tcBorders>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10,000,000</w:t>
            </w:r>
          </w:p>
        </w:tc>
        <w:tc>
          <w:tcPr>
            <w:tcW w:w="720" w:type="dxa"/>
            <w:vAlign w:val="bottom"/>
            <w:tcBorders>
              <w:lef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3"/>
                <w:szCs w:val="23"/>
                <w:b w:val="1"/>
                <w:bCs w:val="1"/>
                <w:color w:val="auto"/>
                <w:vertAlign w:val="superscript"/>
              </w:rPr>
              <w:t>**</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Menlo Park,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5"/>
              </w:rPr>
              <w:t>Social Networking</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175,000</w:t>
            </w:r>
          </w:p>
        </w:tc>
        <w:tc>
          <w:tcPr>
            <w:tcW w:w="820" w:type="dxa"/>
            <w:vAlign w:val="bottom"/>
          </w:tcPr>
          <w:p>
            <w:pPr>
              <w:jc w:val="right"/>
              <w:spacing w:after="0"/>
              <w:rPr>
                <w:sz w:val="20"/>
                <w:szCs w:val="20"/>
                <w:color w:val="auto"/>
              </w:rPr>
            </w:pPr>
            <w:r>
              <w:rPr>
                <w:rFonts w:ascii="Arial" w:cs="Arial" w:eastAsia="Arial" w:hAnsi="Arial"/>
                <w:sz w:val="16"/>
                <w:szCs w:val="16"/>
                <w:color w:val="auto"/>
              </w:rPr>
              <w:t>5,236,147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9,563,750</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Customer Relationship</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Manager</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1,899,799</w:t>
            </w:r>
          </w:p>
        </w:tc>
        <w:tc>
          <w:tcPr>
            <w:tcW w:w="820" w:type="dxa"/>
            <w:vAlign w:val="bottom"/>
          </w:tcPr>
          <w:p>
            <w:pPr>
              <w:jc w:val="right"/>
              <w:spacing w:after="0"/>
              <w:rPr>
                <w:sz w:val="20"/>
                <w:szCs w:val="20"/>
                <w:color w:val="auto"/>
              </w:rPr>
            </w:pPr>
            <w:r>
              <w:rPr>
                <w:rFonts w:ascii="Arial" w:cs="Arial" w:eastAsia="Arial" w:hAnsi="Arial"/>
                <w:sz w:val="16"/>
                <w:szCs w:val="16"/>
                <w:color w:val="auto"/>
              </w:rPr>
              <w:t>6,799,272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7,219,236</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9"/>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373,134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2,160,437</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8,299,794</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9,379,673</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-6216650</wp:posOffset>
            </wp:positionV>
            <wp:extent cx="5213985"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-5299075</wp:posOffset>
            </wp:positionV>
            <wp:extent cx="521398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-3583940</wp:posOffset>
            </wp:positionV>
            <wp:extent cx="521398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21"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6"/>
            <w:vMerge w:val="continue"/>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2"/>
                <w:szCs w:val="22"/>
                <w:b w:val="1"/>
                <w:bCs w:val="1"/>
                <w:color w:val="auto"/>
                <w:vertAlign w:val="superscript"/>
              </w:rPr>
              <w:t>(12)**</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8"/>
              </w:rPr>
              <w:t>$14,022,863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8,551,589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Online Medical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Scheduling</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3,926,702</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9"/>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111,866</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1,734,878</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2,196,322</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5,298,056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6,123,024</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6"/>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Knewton,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375,985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36,720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(1)(3)</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Globally-focused Private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9"/>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1,531,734</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4,531,734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4,500,000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6"/>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Music Streaming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Service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4,443,409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8"/>
              </w:rPr>
              <w:t>Global Education Learning (Holdings)</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gridSpan w:val="14"/>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2,126,475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4,335,671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4,338,009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(1)(5)</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4,205,142</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Violin Memory, Inc.</w:t>
            </w:r>
            <w:r>
              <w:rPr>
                <w:rFonts w:ascii="Arial" w:cs="Arial" w:eastAsia="Arial" w:hAnsi="Arial"/>
                <w:sz w:val="23"/>
                <w:szCs w:val="23"/>
                <w:b w:val="1"/>
                <w:bCs w:val="1"/>
                <w:color w:val="auto"/>
                <w:vertAlign w:val="superscript"/>
              </w:rPr>
              <w:t>(9)**</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Memory Flash</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1,247,498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14,819,618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4,204,068</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2,934,840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9"/>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1,099,997</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3,164,265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4,034,837</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6"/>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4,024,389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E-Transcript Exchange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3,200,512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4,000,862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4,000,640</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-6092825</wp:posOffset>
            </wp:positionV>
            <wp:extent cx="521398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-3991610</wp:posOffset>
            </wp:positionV>
            <wp:extent cx="521398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-1042035</wp:posOffset>
            </wp:positionV>
            <wp:extent cx="5213985"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07" w:gutter="0" w:footer="0" w:header="0"/>
        </w:sectPr>
      </w:pPr>
    </w:p>
    <w:bookmarkStart w:id="16" w:name="page17"/>
    <w:bookmarkEnd w:id="16"/>
    <w:p>
      <w:pPr>
        <w:spacing w:after="0" w:line="62" w:lineRule="exact"/>
        <w:rPr>
          <w:sz w:val="20"/>
          <w:szCs w:val="20"/>
          <w:color w:val="auto"/>
        </w:rPr>
      </w:pPr>
    </w:p>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Headquarters/Industry</w:t>
            </w: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tcBorders>
              <w:top w:val="single" w:sz="8" w:color="auto"/>
            </w:tcBorders>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Mountain View,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Daily News and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Information Site</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$ 3,000,200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9"/>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865,000</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3,500,200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3,865,000</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0"/>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7"/>
              </w:rPr>
              <w:t>Carrollton, TX</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rPr>
              <w:t>LED Lighting</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11,307,348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2,840,391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576,675</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8,692,652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2,183,582</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2,173,163</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9"/>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11.111,110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1,001,001</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6,023,973</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3,750,839</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tcBorders>
              <w:top w:val="single" w:sz="8" w:color="CCEEFF"/>
            </w:tcBorders>
            <w:gridSpan w:val="10"/>
          </w:tcPr>
          <w:p>
            <w:pPr>
              <w:ind w:left="20"/>
              <w:spacing w:after="0" w:line="199"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(1)</w:t>
            </w:r>
          </w:p>
        </w:tc>
        <w:tc>
          <w:tcPr>
            <w:tcW w:w="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5"/>
              </w:rPr>
              <w:t>Cambridge, MA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1"/>
              </w:rPr>
              <w:t>Business Education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1,728,724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3,193,444</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3,114,120</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line="192" w:lineRule="exact"/>
              <w:rPr>
                <w:sz w:val="20"/>
                <w:szCs w:val="20"/>
                <w:color w:val="auto"/>
              </w:rPr>
            </w:pPr>
            <w:r>
              <w:rPr>
                <w:rFonts w:ascii="Arial" w:cs="Arial" w:eastAsia="Arial" w:hAnsi="Arial"/>
                <w:sz w:val="14"/>
                <w:szCs w:val="14"/>
                <w:color w:val="auto"/>
              </w:rPr>
              <w:t>Term Loan, 10%, 3/31/14</w:t>
            </w:r>
            <w:r>
              <w:rPr>
                <w:rFonts w:ascii="Arial" w:cs="Arial" w:eastAsia="Arial" w:hAnsi="Arial"/>
                <w:sz w:val="22"/>
                <w:szCs w:val="22"/>
                <w:color w:val="auto"/>
                <w:vertAlign w:val="superscript"/>
              </w:rPr>
              <w:t>***</w:t>
            </w:r>
          </w:p>
        </w:tc>
        <w:tc>
          <w:tcPr>
            <w:tcW w:w="2000" w:type="dxa"/>
            <w:vAlign w:val="bottom"/>
            <w:gridSpan w:val="4"/>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262,612</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line="195" w:lineRule="exact"/>
              <w:rPr>
                <w:sz w:val="20"/>
                <w:szCs w:val="20"/>
                <w:color w:val="auto"/>
              </w:rPr>
            </w:pPr>
            <w:r>
              <w:rPr>
                <w:rFonts w:ascii="Arial" w:cs="Arial" w:eastAsia="Arial" w:hAnsi="Arial"/>
                <w:sz w:val="14"/>
                <w:szCs w:val="14"/>
                <w:color w:val="auto"/>
              </w:rPr>
              <w:t>Term Loan, 10%, 3/31/14</w:t>
            </w:r>
            <w:r>
              <w:rPr>
                <w:rFonts w:ascii="Arial" w:cs="Arial" w:eastAsia="Arial" w:hAnsi="Arial"/>
                <w:sz w:val="22"/>
                <w:szCs w:val="22"/>
                <w:color w:val="auto"/>
                <w:vertAlign w:val="superscript"/>
              </w:rPr>
              <w:t>***</w:t>
            </w:r>
          </w:p>
        </w:tc>
        <w:tc>
          <w:tcPr>
            <w:tcW w:w="200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241,239</w:t>
            </w:r>
          </w:p>
        </w:tc>
        <w:tc>
          <w:tcPr>
            <w:tcW w:w="9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0" w:type="dxa"/>
            <w:vAlign w:val="bottom"/>
            <w:gridSpan w:val="4"/>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80" w:type="dxa"/>
            <w:vAlign w:val="bottom"/>
            <w:tcBorders>
              <w:left w:val="single" w:sz="8" w:color="CCEEFF"/>
            </w:tcBorders>
            <w:gridSpan w:val="2"/>
            <w:vMerge w:val="continue"/>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expire 3/22/2020</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186,170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126,362</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expire 10/09/2018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expire 12/10/2018</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82,418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3,784,016</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3,740,482</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tcBorders>
              <w:top w:val="single" w:sz="8" w:color="CCEEFF"/>
            </w:tcBorders>
            <w:gridSpan w:val="10"/>
          </w:tcPr>
          <w:p>
            <w:pPr>
              <w:ind w:left="20"/>
              <w:spacing w:after="0" w:line="158" w:lineRule="exact"/>
              <w:rPr>
                <w:sz w:val="20"/>
                <w:szCs w:val="20"/>
                <w:color w:val="auto"/>
              </w:rPr>
            </w:pPr>
            <w:r>
              <w:rPr>
                <w:rFonts w:ascii="Arial" w:cs="Arial" w:eastAsia="Arial" w:hAnsi="Arial"/>
                <w:sz w:val="16"/>
                <w:szCs w:val="16"/>
                <w:b w:val="1"/>
                <w:bCs w:val="1"/>
                <w:color w:val="auto"/>
              </w:rPr>
              <w:t>Bloom Energy Corporation</w:t>
            </w:r>
          </w:p>
        </w:tc>
        <w:tc>
          <w:tcPr>
            <w:tcW w:w="80" w:type="dxa"/>
            <w:vAlign w:val="bottom"/>
            <w:tcBorders>
              <w:top w:val="single" w:sz="8" w:color="CCEEFF"/>
            </w:tcBorders>
          </w:tcPr>
          <w:p>
            <w:pPr>
              <w:spacing w:after="0"/>
              <w:rPr>
                <w:sz w:val="13"/>
                <w:szCs w:val="13"/>
                <w:color w:val="auto"/>
              </w:rPr>
            </w:pPr>
          </w:p>
        </w:tc>
        <w:tc>
          <w:tcPr>
            <w:tcW w:w="17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4"/>
              </w:rPr>
              <w:t>Sunnyvale,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Fuel Cell Energy</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3,855,601</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3,731,264</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8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(1)(11)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3"/>
              </w:rPr>
              <w:t>Online Learning</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3"/>
              </w:rPr>
              <w:t>Platform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2,728,252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2,073,472</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9"/>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1,731,501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1,503,670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1,499,999</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3,509,615</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3,573,471</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tcBorders>
              <w:top w:val="single" w:sz="8" w:color="CCEEFF"/>
            </w:tcBorders>
            <w:gridSpan w:val="10"/>
          </w:tcPr>
          <w:p>
            <w:pPr>
              <w:ind w:left="20"/>
              <w:spacing w:after="0" w:line="199"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(1)</w:t>
            </w:r>
          </w:p>
        </w:tc>
        <w:tc>
          <w:tcPr>
            <w:tcW w:w="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Corporate Education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2,006,077</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2,229,678</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 Series D</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169,033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697,041</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warrants, $4.59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expire 02/25/2018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2,784,684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2,926,719</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0"/>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(6)</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San Bruno,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Online Marketplace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Finance</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1,771,653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2,259,716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warrants, $0.13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expire 6/15/2018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115,640</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2,282,844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2,347,923</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0"/>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Santa Monica,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Online Marketplace</w:t>
            </w:r>
          </w:p>
        </w:tc>
        <w:tc>
          <w:tcPr>
            <w:tcW w:w="760" w:type="dxa"/>
            <w:vAlign w:val="bottom"/>
          </w:tcPr>
          <w:p>
            <w:pPr>
              <w:jc w:val="right"/>
              <w:spacing w:after="0"/>
              <w:rPr>
                <w:sz w:val="20"/>
                <w:szCs w:val="20"/>
                <w:color w:val="auto"/>
              </w:rPr>
            </w:pPr>
            <w:r>
              <w:rPr>
                <w:rFonts w:ascii="Arial" w:cs="Arial" w:eastAsia="Arial" w:hAnsi="Arial"/>
                <w:sz w:val="16"/>
                <w:szCs w:val="16"/>
                <w:color w:val="auto"/>
              </w:rPr>
              <w:t>377,358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2,299,997</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Bellevue, WA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7,159,221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1,502,362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1,503,436</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3,579,610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758,017</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751,718</w:t>
            </w:r>
          </w:p>
        </w:tc>
        <w:tc>
          <w:tcPr>
            <w:tcW w:w="7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-8156575</wp:posOffset>
            </wp:positionV>
            <wp:extent cx="5213985"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-6690360</wp:posOffset>
            </wp:positionV>
            <wp:extent cx="521398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-4717415</wp:posOffset>
            </wp:positionV>
            <wp:extent cx="521398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-3260090</wp:posOffset>
            </wp:positionV>
            <wp:extent cx="521398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-2325370</wp:posOffset>
            </wp:positionV>
            <wp:extent cx="5213985"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-1252855</wp:posOffset>
            </wp:positionV>
            <wp:extent cx="5213985"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sectPr>
          <w:pgSz w:w="11900" w:h="16900" w:orient="portrait"/>
          <w:cols w:equalWidth="0" w:num="1">
            <w:col w:w="10099"/>
          </w:cols>
          <w:pgMar w:left="360" w:top="792"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
        </w:trPr>
        <w:tc>
          <w:tcPr>
            <w:tcW w:w="57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720" w:type="dxa"/>
            <w:vAlign w:val="bottom"/>
          </w:tcPr>
          <w:p>
            <w:pPr>
              <w:ind w:left="200"/>
              <w:spacing w:after="0"/>
              <w:rPr>
                <w:sz w:val="20"/>
                <w:szCs w:val="20"/>
                <w:color w:val="auto"/>
              </w:rPr>
            </w:pPr>
            <w:r>
              <w:rPr>
                <w:rFonts w:ascii="Arial" w:cs="Arial" w:eastAsia="Arial" w:hAnsi="Arial"/>
                <w:sz w:val="16"/>
                <w:szCs w:val="16"/>
                <w:color w:val="auto"/>
              </w:rPr>
              <w:t>Total</w:t>
            </w:r>
          </w:p>
        </w:tc>
        <w:tc>
          <w:tcPr>
            <w:tcW w:w="800" w:type="dxa"/>
            <w:vAlign w:val="bottom"/>
          </w:tcPr>
          <w:p>
            <w:pPr>
              <w:jc w:val="right"/>
              <w:spacing w:after="0"/>
              <w:rPr>
                <w:sz w:val="20"/>
                <w:szCs w:val="20"/>
                <w:color w:val="auto"/>
              </w:rPr>
            </w:pPr>
            <w:r>
              <w:rPr>
                <w:rFonts w:ascii="Arial" w:cs="Arial" w:eastAsia="Arial" w:hAnsi="Arial"/>
                <w:sz w:val="16"/>
                <w:szCs w:val="16"/>
                <w:color w:val="auto"/>
              </w:rPr>
              <w:t>2,260,379</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2,255,154</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0.78%</w:t>
            </w:r>
          </w:p>
        </w:tc>
      </w:tr>
      <w:tr>
        <w:trPr>
          <w:trHeight w:val="20"/>
        </w:trPr>
        <w:tc>
          <w:tcPr>
            <w:tcW w:w="57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140" w:right="1440" w:bottom="1440" w:gutter="0" w:footer="0" w:header="0"/>
        </w:sectPr>
      </w:pPr>
    </w:p>
    <w:bookmarkStart w:id="18" w:name="page19"/>
    <w:bookmarkEnd w:id="18"/>
    <w:p>
      <w:pPr>
        <w:spacing w:after="0" w:line="22" w:lineRule="exact"/>
        <w:rPr>
          <w:sz w:val="20"/>
          <w:szCs w:val="20"/>
          <w:color w:val="auto"/>
        </w:rPr>
      </w:pPr>
    </w:p>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Headquarters/Industry</w:t>
            </w: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gridSpan w:val="15"/>
            <w:vMerge w:val="continue"/>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tcBorders>
              <w:top w:val="single" w:sz="8" w:color="auto"/>
            </w:tcBorders>
            <w:gridSpan w:val="15"/>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Knowledge Networks</w:t>
            </w:r>
          </w:p>
        </w:tc>
        <w:tc>
          <w:tcPr>
            <w:tcW w:w="760" w:type="dxa"/>
            <w:vAlign w:val="bottom"/>
          </w:tcPr>
          <w:p>
            <w:pPr>
              <w:jc w:val="right"/>
              <w:spacing w:after="0"/>
              <w:rPr>
                <w:sz w:val="20"/>
                <w:szCs w:val="20"/>
                <w:color w:val="auto"/>
              </w:rPr>
            </w:pPr>
            <w:r>
              <w:rPr>
                <w:rFonts w:ascii="Arial" w:cs="Arial" w:eastAsia="Arial" w:hAnsi="Arial"/>
                <w:sz w:val="16"/>
                <w:szCs w:val="16"/>
                <w:color w:val="auto"/>
              </w:rPr>
              <w:t>318,979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$ 2,000,447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1,999,998</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9"/>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249,505</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2,217,653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2,249,503</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5"/>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Silver Spring Networks, Inc.</w:t>
            </w:r>
            <w:r>
              <w:rPr>
                <w:rFonts w:ascii="Arial" w:cs="Arial" w:eastAsia="Arial" w:hAnsi="Arial"/>
                <w:sz w:val="23"/>
                <w:szCs w:val="23"/>
                <w:b w:val="1"/>
                <w:bCs w:val="1"/>
                <w:color w:val="auto"/>
                <w:vertAlign w:val="superscript"/>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Smart Grid</w:t>
            </w:r>
          </w:p>
        </w:tc>
        <w:tc>
          <w:tcPr>
            <w:tcW w:w="760" w:type="dxa"/>
            <w:vAlign w:val="bottom"/>
          </w:tcPr>
          <w:p>
            <w:pPr>
              <w:jc w:val="right"/>
              <w:spacing w:after="0"/>
              <w:rPr>
                <w:sz w:val="20"/>
                <w:szCs w:val="20"/>
                <w:color w:val="auto"/>
              </w:rPr>
            </w:pPr>
            <w:r>
              <w:rPr>
                <w:rFonts w:ascii="Arial" w:cs="Arial" w:eastAsia="Arial" w:hAnsi="Arial"/>
                <w:sz w:val="16"/>
                <w:szCs w:val="16"/>
                <w:color w:val="auto"/>
              </w:rPr>
              <w:t>102,028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2,142,588</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5"/>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Incubator</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1,188,137</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9"/>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594,068</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1,627,278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1,782,205</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5"/>
            <w:shd w:val="clear" w:color="auto" w:fill="CCEEFF"/>
          </w:tcPr>
          <w:p>
            <w:pPr>
              <w:ind w:left="20"/>
              <w:spacing w:after="0" w:line="199" w:lineRule="exact"/>
              <w:rPr>
                <w:sz w:val="20"/>
                <w:szCs w:val="20"/>
                <w:color w:val="auto"/>
              </w:rPr>
            </w:pPr>
            <w:r>
              <w:rPr>
                <w:rFonts w:ascii="Arial" w:cs="Arial" w:eastAsia="Arial" w:hAnsi="Arial"/>
                <w:sz w:val="23"/>
                <w:szCs w:val="23"/>
                <w:b w:val="1"/>
                <w:bCs w:val="1"/>
                <w:color w:val="auto"/>
                <w:vertAlign w:val="subscript"/>
              </w:rPr>
              <w:t>ePals Inc.</w:t>
            </w:r>
            <w:r>
              <w:rPr>
                <w:rFonts w:ascii="Arial" w:cs="Arial" w:eastAsia="Arial" w:hAnsi="Arial"/>
                <w:sz w:val="11"/>
                <w:szCs w:val="11"/>
                <w:b w:val="1"/>
                <w:bCs w:val="1"/>
                <w:color w:val="auto"/>
              </w:rPr>
              <w:t>**(1)(10)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Herndon, VA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33,333,333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2,444,759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1,666,667</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w w:val="93"/>
              </w:rPr>
              <w:t>Common warrants, 0.075 CAD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14"/>
            <w:shd w:val="clear" w:color="auto" w:fill="CCEEFF"/>
          </w:tcPr>
          <w:p>
            <w:pPr>
              <w:ind w:left="180"/>
              <w:spacing w:after="0"/>
              <w:rPr>
                <w:sz w:val="20"/>
                <w:szCs w:val="20"/>
                <w:color w:val="auto"/>
              </w:rPr>
            </w:pPr>
            <w:r>
              <w:rPr>
                <w:rFonts w:ascii="Arial" w:cs="Arial" w:eastAsia="Arial" w:hAnsi="Arial"/>
                <w:sz w:val="16"/>
                <w:szCs w:val="16"/>
                <w:color w:val="auto"/>
              </w:rPr>
              <w:t>expire 4/30/2014</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11,111,111</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33,333</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2,444,759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1,700,000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5"/>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Circle Media (f.k.a. S3 Digital Corp.</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gridSpan w:val="13"/>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Class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Sports Analytics</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1,168,847</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gridSpan w:val="14"/>
            <w:shd w:val="clear" w:color="auto" w:fill="CCEEFF"/>
          </w:tcPr>
          <w:p>
            <w:pPr>
              <w:ind w:left="180"/>
              <w:spacing w:after="0"/>
              <w:rPr>
                <w:sz w:val="20"/>
                <w:szCs w:val="20"/>
                <w:color w:val="auto"/>
              </w:rPr>
            </w:pPr>
            <w:r>
              <w:rPr>
                <w:rFonts w:ascii="Arial" w:cs="Arial" w:eastAsia="Arial" w:hAnsi="Arial"/>
                <w:sz w:val="16"/>
                <w:szCs w:val="16"/>
                <w:color w:val="auto"/>
              </w:rPr>
              <w:t>expire 11/21/2017</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5"/>
          </w:tcPr>
          <w:p>
            <w:pPr>
              <w:ind w:left="20"/>
              <w:spacing w:after="0" w:line="192" w:lineRule="exact"/>
              <w:rPr>
                <w:sz w:val="20"/>
                <w:szCs w:val="20"/>
                <w:color w:val="auto"/>
              </w:rPr>
            </w:pPr>
            <w:r>
              <w:rPr>
                <w:rFonts w:ascii="Arial" w:cs="Arial" w:eastAsia="Arial" w:hAnsi="Arial"/>
                <w:sz w:val="14"/>
                <w:szCs w:val="14"/>
                <w:color w:val="auto"/>
              </w:rPr>
              <w:t>Term Loan, 12%, 09/30/15</w:t>
            </w:r>
            <w:r>
              <w:rPr>
                <w:rFonts w:ascii="Arial" w:cs="Arial" w:eastAsia="Arial" w:hAnsi="Arial"/>
                <w:sz w:val="22"/>
                <w:szCs w:val="22"/>
                <w:color w:val="auto"/>
                <w:vertAlign w:val="superscript"/>
              </w:rPr>
              <w:t>***</w:t>
            </w:r>
          </w:p>
        </w:tc>
        <w:tc>
          <w:tcPr>
            <w:tcW w:w="2000" w:type="dxa"/>
            <w:vAlign w:val="bottom"/>
            <w:gridSpan w:val="4"/>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261,030</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warrants, $1.166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14"/>
            <w:shd w:val="clear" w:color="auto" w:fill="CCEEFF"/>
          </w:tcPr>
          <w:p>
            <w:pPr>
              <w:ind w:left="180"/>
              <w:spacing w:after="0"/>
              <w:rPr>
                <w:sz w:val="20"/>
                <w:szCs w:val="20"/>
                <w:color w:val="auto"/>
              </w:rPr>
            </w:pPr>
            <w:r>
              <w:rPr>
                <w:rFonts w:ascii="Arial" w:cs="Arial" w:eastAsia="Arial" w:hAnsi="Arial"/>
                <w:sz w:val="16"/>
                <w:szCs w:val="16"/>
                <w:color w:val="auto"/>
              </w:rPr>
              <w:t>expire 09/30/2020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1,281,442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1,633,169</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5"/>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Boston, MA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Social Advertising</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1,878,129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2,430,950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1,211,393</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5"/>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Sunnyvale,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Software Development</w:t>
            </w:r>
          </w:p>
        </w:tc>
        <w:tc>
          <w:tcPr>
            <w:tcW w:w="760" w:type="dxa"/>
            <w:vAlign w:val="bottom"/>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1,046,830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5"/>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Scottsdale, AZ</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Higher Education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Learning Platform</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857,302</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15"/>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Shanghai, China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Chinese P2P Lending</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503,235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577,293</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9"/>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shares, Class B</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2,333,108</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250,491</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247,163</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753,726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824,456</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15"/>
            <w:shd w:val="clear" w:color="auto" w:fill="CCEEFF"/>
          </w:tcPr>
          <w:p>
            <w:pPr>
              <w:ind w:left="20"/>
              <w:spacing w:after="0" w:line="199"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Woodside,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Social Media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3,152,417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624,783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9"/>
        </w:trPr>
        <w:tc>
          <w:tcPr>
            <w:tcW w:w="288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1,066,626</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1,027,391</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203,011</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1,652,174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803,011</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880" w:type="dxa"/>
            <w:vAlign w:val="bottom"/>
            <w:gridSpan w:val="15"/>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AliphCom, Inc. (d/b/a Jawbone)</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Smart Device Company</w:t>
            </w:r>
          </w:p>
        </w:tc>
        <w:tc>
          <w:tcPr>
            <w:tcW w:w="760" w:type="dxa"/>
            <w:vAlign w:val="bottom"/>
          </w:tcPr>
          <w:p>
            <w:pPr>
              <w:jc w:val="right"/>
              <w:spacing w:after="0"/>
              <w:rPr>
                <w:sz w:val="20"/>
                <w:szCs w:val="20"/>
                <w:color w:val="auto"/>
              </w:rPr>
            </w:pPr>
            <w:r>
              <w:rPr>
                <w:rFonts w:ascii="Arial" w:cs="Arial" w:eastAsia="Arial" w:hAnsi="Arial"/>
                <w:sz w:val="16"/>
                <w:szCs w:val="16"/>
                <w:color w:val="auto"/>
              </w:rPr>
              <w:t>150,000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782,189</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-7790815</wp:posOffset>
            </wp:positionV>
            <wp:extent cx="5213985"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-6435725</wp:posOffset>
            </wp:positionV>
            <wp:extent cx="5213985"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-5492750</wp:posOffset>
            </wp:positionV>
            <wp:extent cx="5213985"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-3905885</wp:posOffset>
            </wp:positionV>
            <wp:extent cx="5213985"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-1598930</wp:posOffset>
            </wp:positionV>
            <wp:extent cx="521398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-655955</wp:posOffset>
            </wp:positionV>
            <wp:extent cx="521398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ectPr>
          <w:pgSz w:w="11900" w:h="16860" w:orient="portrait"/>
          <w:cols w:equalWidth="0" w:num="1">
            <w:col w:w="10099"/>
          </w:cols>
          <w:pgMar w:left="360" w:top="792" w:right="1440" w:bottom="0" w:gutter="0" w:footer="0" w:header="0"/>
        </w:sectPr>
      </w:pPr>
    </w:p>
    <w:bookmarkStart w:id="19" w:name="page20"/>
    <w:bookmarkEnd w:id="19"/>
    <w:p>
      <w:pPr>
        <w:ind w:left="35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119380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0"/>
            <w:vMerge w:val="continue"/>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NestGSV Silicon Valley, LLC</w:t>
            </w:r>
            <w:r>
              <w:rPr>
                <w:rFonts w:ascii="Arial" w:cs="Arial" w:eastAsia="Arial" w:hAnsi="Arial"/>
                <w:sz w:val="22"/>
                <w:szCs w:val="22"/>
                <w:b w:val="1"/>
                <w:bCs w:val="1"/>
                <w:color w:val="auto"/>
                <w:vertAlign w:val="superscript"/>
              </w:rPr>
              <w:t>(1)(4)</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membership interest</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Redwood City,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557,084</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Retail 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1,250,000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308,660</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AAI</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7"/>
              </w:rPr>
              <w:t>San Jose,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Computer Software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264,941</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88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4C Insights (f.k.a The Echo Systems</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8"/>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3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Chicago, IL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Social Data Platform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512,365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229,234</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warrants, $0.20 strike price,</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expire 11/14/2016</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68,359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75,988</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1,512,392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229,234</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880" w:type="dxa"/>
            <w:vAlign w:val="bottom"/>
            <w:gridSpan w:val="10"/>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3"/>
              </w:rPr>
              <w:t>Redwood City, CA</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9"/>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Platform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184,077</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279,709,118</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355,383,653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123.41%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02/15/2014</w:t>
            </w: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1,791,000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1,790,785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1,790,839</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02/15/2015</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1,816,000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1,810,625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1,811,987</w:t>
            </w: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02/15/2016</w:t>
            </w: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1,834,000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1,810,323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1,816,540</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08/15/2014</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1,813,000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1,811,187</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1,812,094</w:t>
            </w: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08/15/2015</w:t>
            </w: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1,823,000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1,811,205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1,813,411</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08/15/2016</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1,851,000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1,811,111</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1,820,329</w:t>
            </w:r>
          </w:p>
        </w:tc>
        <w:tc>
          <w:tcPr>
            <w:tcW w:w="76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10,845,236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10,865,200</w:t>
            </w: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gridSpan w:val="10"/>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290,554,354</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366,248,853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127.18%</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440" w:type="dxa"/>
            <w:vAlign w:val="bottom"/>
            <w:tcBorders>
              <w:top w:val="single" w:sz="8" w:color="CCEEFF"/>
              <w:bottom w:val="single" w:sz="8" w:color="auto"/>
            </w:tcBorders>
          </w:tcPr>
          <w:p>
            <w:pPr>
              <w:spacing w:after="0"/>
              <w:rPr>
                <w:sz w:val="22"/>
                <w:szCs w:val="22"/>
                <w:color w:val="auto"/>
              </w:rPr>
            </w:pPr>
          </w:p>
        </w:tc>
        <w:tc>
          <w:tcPr>
            <w:tcW w:w="36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-3086735</wp:posOffset>
            </wp:positionV>
            <wp:extent cx="5213985"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266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200" w:lineRule="exact"/>
        <w:rPr>
          <w:sz w:val="20"/>
          <w:szCs w:val="20"/>
          <w:color w:val="auto"/>
        </w:rPr>
      </w:pPr>
    </w:p>
    <w:p>
      <w:pPr>
        <w:spacing w:after="0" w:line="361"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03"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19" w:hanging="272"/>
        <w:spacing w:after="0" w:line="259"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2, 2013, Control4 Corporation priced its initial public offering, selling 4,000,000 shares at a price of $16 per share. GSV Capital Corp.’s shares in Control4 are subject to a lock-up agreement which expired on January 29, 2014. At December 31, 2013, GSV Capital Corp. valued Control4 Corporation based on its December 31, 2013 closing price, adjusted for a discount due to lack of marketability of 4%.</w:t>
      </w:r>
    </w:p>
    <w:p>
      <w:pPr>
        <w:spacing w:after="0" w:line="78" w:lineRule="exact"/>
        <w:rPr>
          <w:rFonts w:ascii="Arial" w:cs="Arial" w:eastAsia="Arial" w:hAnsi="Arial"/>
          <w:sz w:val="18"/>
          <w:szCs w:val="18"/>
          <w:color w:val="auto"/>
        </w:rPr>
      </w:pPr>
    </w:p>
    <w:p>
      <w:pPr>
        <w:jc w:val="both"/>
        <w:ind w:left="280" w:right="519" w:hanging="272"/>
        <w:spacing w:after="0" w:line="259"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September 27, 2013, Violin Memory Inc. priced its initial public offering, selling 18,000,000 shares at a price of $9 per share. GSV Capital Corp.’s shares in Violin Memory Inc. are subject to a lock-up agreement which expired on March 26, 2014. At December 31, 2013, GSV Capital Corp. valued Violin Memory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(10)On October 22, 2013, ePals, Inc. priced its initial public offering, selling 40,267,333 shares at a price of CAD $0.075 per share. GSV Capital Corp.’s shares in ePals, Inc. are subject to a lock-up agreement which expired on February 23, 2014. At December 31, 2013, GSV Capital Corp. valued ePals, Inc., based on its December 31, 2013 closing price, adjusted for a discount due to lack of marketability of 8%.</w:t>
      </w:r>
    </w:p>
    <w:p>
      <w:pPr>
        <w:spacing w:after="0" w:line="79" w:lineRule="exact"/>
        <w:rPr>
          <w:sz w:val="20"/>
          <w:szCs w:val="20"/>
          <w:color w:val="auto"/>
        </w:rPr>
      </w:pPr>
    </w:p>
    <w:p>
      <w:pPr>
        <w:jc w:val="both"/>
        <w:ind w:left="300" w:right="519" w:hanging="296"/>
        <w:spacing w:after="0" w:line="259" w:lineRule="auto"/>
        <w:rPr>
          <w:sz w:val="20"/>
          <w:szCs w:val="20"/>
          <w:color w:val="auto"/>
        </w:rPr>
      </w:pPr>
      <w:r>
        <w:rPr>
          <w:rFonts w:ascii="Arial" w:cs="Arial" w:eastAsia="Arial" w:hAnsi="Arial"/>
          <w:sz w:val="18"/>
          <w:szCs w:val="18"/>
          <w:color w:val="auto"/>
        </w:rPr>
        <w:t>(11)On November 6, 2013, Twitter, Inc. priced its initial public offering, selling 70,000,000 shares at a price of $26 per share. GSV Capital Corp.’s shares in Twitter, Inc. are subject to a lock-up agreement which expired on May 5, 2014. At December 31, 2013, GSV Capital Corp. valued Twitter,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(12)On November 12, 2013, Chegg, Inc. priced its initial public offering, selling 14,400,000 shares at a price of $12.50 per share. GSV Capital Corp.’s shares in Chegg, Inc. are subject to a lock-up agreement which expired on May 11, 2014. At December 31, 2013, GSV Capital Corp. valued Chegg, Inc., based on its December 31, 2013 closing price, adjusted for a discount due to lack of marketability of 15%.</w:t>
      </w:r>
    </w:p>
    <w:p>
      <w:pPr>
        <w:spacing w:after="0" w:line="79" w:lineRule="exact"/>
        <w:rPr>
          <w:sz w:val="20"/>
          <w:szCs w:val="20"/>
          <w:color w:val="auto"/>
        </w:rPr>
      </w:pPr>
    </w:p>
    <w:p>
      <w:pPr>
        <w:jc w:val="both"/>
        <w:ind w:left="320" w:right="519" w:hanging="312"/>
        <w:spacing w:after="0" w:line="286"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December 31, 2013.</w:t>
      </w:r>
    </w:p>
    <w:p>
      <w:pPr>
        <w:spacing w:after="0" w:line="200" w:lineRule="exact"/>
        <w:rPr>
          <w:sz w:val="20"/>
          <w:szCs w:val="20"/>
          <w:color w:val="auto"/>
        </w:rPr>
      </w:pPr>
    </w:p>
    <w:p>
      <w:pPr>
        <w:spacing w:after="0" w:line="29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2014. The interim unaudited consolidated financial statements and notes hereto should be read in conjunction with the audited financial statements and notes thereto contained in the Company’s Annual Report on Form 10-K for the year ended December 31, 2013.</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Accordingly, our financial statements include our accounts and the accounts of the GSVC Holdings and GCL, our wholly-owned subsidiaries. All intercompany balances and transactions have been eliminated in consolidation. We began consolidating the GSVC Holdings during the quarter ended September 30, 2012.</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are subject to restrictions upon sale (such as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539"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6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5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Valuation of Financial Instruments</w:t>
      </w:r>
    </w:p>
    <w:p>
      <w:pPr>
        <w:spacing w:after="0" w:line="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The carrying amounts of our financial instruments, consisting of cash, receivables, accounts payable, and accrued expenses, approximate fair value due to their short-term nature. The embedded derivative liability is carried at fair value.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as of June 30, 2014 and December 31, 2013, respectively, for details regarding the nature and composition of the Company’s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First Republic Bank, N.A., and Silicon Valley Bank,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Restricted Cash consists of excess funds remaining in escrow from the purchase of the government securities that will be used to make the scheduled interest payments on the Convertible Senior Notes. See Note 9 for further detail. As of June 30, 2014, and December 31, 2013, respectively, the Company had Restricted Cash of $22,139 and $22,264 which is included on the Consolidated Statements of Assets and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302" w:lineRule="auto"/>
        <w:rPr>
          <w:sz w:val="20"/>
          <w:szCs w:val="20"/>
          <w:color w:val="auto"/>
        </w:rPr>
      </w:pPr>
      <w:r>
        <w:rPr>
          <w:rFonts w:ascii="Arial" w:cs="Arial" w:eastAsia="Arial" w:hAnsi="Arial"/>
          <w:sz w:val="16"/>
          <w:szCs w:val="16"/>
          <w:color w:val="auto"/>
        </w:rPr>
        <w:t>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June 30, 2014, and December 31, 2013, the Company had $0 in Escrow deposits.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Although we have filed an application with the SEC for this certification, there can be no assurance that we will receive it, or that we will otherwise qualify as a RIC for our 2013 taxable year. If we are unable to qualify as a RIC, we will continue to be taxed as a C corporation under the Code for our 2013 taxable year. To that end, for purposes of our financial statements, we have accrued taxes as though we were a C Corporation for the 2013 taxable year, in the event we are unable to obtain this certification.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At the present time, the Company cannot assure you that it will be eligible to elect to be taxed as a RIC for its 2013 taxable year. If it is not treated as a RIC for 2013, the Company will be taxed as a C corporation under the Code for the 2013 taxable year. Until such time as it qualifies and elects to be taxed as a RIC, GSV will provide for income taxes, if any, as a C Corp. The Company intends to elect to be taxed as a RIC for its 2014 taxable year, if management determines that it is in the Company’s best interests to do so.</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79" w:lineRule="auto"/>
        <w:rPr>
          <w:sz w:val="20"/>
          <w:szCs w:val="20"/>
          <w:color w:val="auto"/>
        </w:rPr>
      </w:pPr>
      <w:r>
        <w:rPr>
          <w:rFonts w:ascii="Arial" w:cs="Arial" w:eastAsia="Arial" w:hAnsi="Arial"/>
          <w:sz w:val="17"/>
          <w:szCs w:val="17"/>
          <w:color w:val="auto"/>
        </w:rPr>
        <w:t>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December 31, 2013, the Company entered into a Loan and Security Agreement (the “Loan Agreement”) with Silicon Valley Bank, pursuant to which Silicon Valley Bank agreed to provide the Company with a new $18 million credit facility (the “Credit Facility”). The Company incurred $288,249 of legal costs and other fees in connection with opening the Credit Facility. As of June 30, 2014, of the total costs of $288,249 incurred, $189,940 remains to be amortized and is included within deferred credit facility fees on the Consolidated Statements of Assets and Liabilities.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Offering costs include legal fees and other costs pertaining to public offerings. In accordance with ASC 340-10, the Company deferred offering costs of $241,010 associated with the registration statement filed on September 23, 2013 on form N-2 with the Securities and Exchange Commission (the “SEC”) to register the Company’s common stock, preferred stock, subscription rights, debt securities, and warrants under the Securities Act of 1933, as amended. If the registration statement is declared effective by the SEC and the Company’s securities are offered pursuant to the registration statement, the Company will reclassify the deferred offering costs into additional paid-in capital for equity offerings and will amortize the offering costs related to any debt securities issued.</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outstanding plus any potentially dilutive shares outstanding during the period. The Company used the if-converted method to determine the number of potentially dilutive shares outstanding. Refer to footnote 5 for further detail.</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 – (continued)</w:t>
      </w:r>
    </w:p>
    <w:p>
      <w:pPr>
        <w:spacing w:after="0" w:line="121"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$1,933,663 and $3,689,859 in base management fees and $0 in incentive fees for the three and six months ended June 30, 2014, respectively. GSV Asset Management earned $1,246,378 and $2,529,977 in base management fees and $0 in incentive fees for the three and six months ended June 30, 2013, respectively. For the three and six months ended June 30, 2014, respectively, we accrued incentive fees of $844,633, and $1,814,285, in accordance with the AICPA’s TPA (TIS 6910.2) which considers the hypothetical liquidation value of our investment portfolio as of the measurement date.</w:t>
      </w:r>
    </w:p>
    <w:p>
      <w:pPr>
        <w:spacing w:after="0" w:line="74"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As of June 30, 2014, we were owed $35,406 from GSV Capital Service Company, LLC, for the prepayment of overhead expenses as well as California Franchise Board fees. In addition as of June 30, 2014, we owed GSV Asset Management $9,647, which relates to the reimbursement of expenses paid for by GSV Asset Management that were the responsibility of the Company.</w:t>
      </w:r>
    </w:p>
    <w:p>
      <w:pPr>
        <w:spacing w:after="0" w:line="3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December 31, 2013, we were owed $3,039 from GSV Capital Service Company, LLC for reimbursement of expenses paid for by us that were the responsibility of GSV Asset Management. In addition as of December 31, 2013, we owed GSV Asset Management $563,978, which relates to the reimbursement of expenses paid for by GSV Asset Management that were the responsibility of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$929,701 and $1,838,233 in such costs incurred under the Administration Agreement for the three and six months ended June 30, 2014, respectively. There were $709,885 and $1,597,869 in such costs incurred under the Administration Agreement for the three and six months ended June 30, 2013, respectively.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from time to time, invest in U.S. Treasury Securities. At June 30, 2014, Investments in United States Treasury Bill and Payable for securities purchased, relate to the purchase of the United States Treasury Bill on margin that settled on June 30, 2014. The payable was subsequently repaid on July 3, 2014 when the United States Treasury Bill matured and the $8.0 million margin deposit which was posted as collateral was returned. The following table summarizes the composition of the Company’s investment portfolio by security type at cost and fair value as of June 30, 2014 and December 31, 2013.</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June 30, 2014 (Unaudited)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60,681,150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87,595,350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70,404,617</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81,410,161</w:t>
            </w: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160,114,453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169,119,155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126,151,898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129,925,500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Membership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348,610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764,881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301,196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217,191</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489,657</w:t>
            </w:r>
          </w:p>
        </w:tc>
        <w:tc>
          <w:tcPr>
            <w:tcW w:w="0" w:type="dxa"/>
            <w:vAlign w:val="bottom"/>
          </w:tcPr>
          <w:p>
            <w:pPr>
              <w:spacing w:after="0"/>
              <w:rPr>
                <w:sz w:val="1"/>
                <w:szCs w:val="1"/>
                <w:color w:val="auto"/>
              </w:rPr>
            </w:pPr>
          </w:p>
        </w:tc>
      </w:tr>
      <w:tr>
        <w:trPr>
          <w:trHeight w:val="191"/>
        </w:trPr>
        <w:tc>
          <w:tcPr>
            <w:tcW w:w="344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221,456,810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257,657,470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198,038,587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213,132,402</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61,507,398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109,380,368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81,670,531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142,251,251</w:t>
            </w: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282,964,208</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367,037,838</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279,709,118</w:t>
            </w:r>
          </w:p>
        </w:tc>
        <w:tc>
          <w:tcPr>
            <w:tcW w:w="2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355,383,653</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8"/>
                <w:szCs w:val="18"/>
                <w:color w:val="auto"/>
              </w:rPr>
              <w:t>Non-Portfolio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89,082,671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89,102,586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10,845,236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10,865,200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372,046,879</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456,140,424</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290,554,354</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366,248,853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-1174115</wp:posOffset>
            </wp:positionV>
            <wp:extent cx="521398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June 30, 2014 and December 31,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8025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2014 (Unaudited)</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2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Quoted Prices in</w:t>
            </w: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Identical Securities</w:t>
            </w: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 (Level 2)</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87,595,350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87,595,350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169,119,155</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169,119,155</w:t>
            </w: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348,610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594,355</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594,355</w:t>
            </w:r>
          </w:p>
        </w:tc>
        <w:tc>
          <w:tcPr>
            <w:tcW w:w="0" w:type="dxa"/>
            <w:vAlign w:val="bottom"/>
          </w:tcPr>
          <w:p>
            <w:pPr>
              <w:spacing w:after="0"/>
              <w:rPr>
                <w:sz w:val="1"/>
                <w:szCs w:val="1"/>
                <w:color w:val="auto"/>
              </w:rPr>
            </w:pPr>
          </w:p>
        </w:tc>
      </w:tr>
      <w:tr>
        <w:trPr>
          <w:trHeight w:val="191"/>
        </w:trPr>
        <w:tc>
          <w:tcPr>
            <w:tcW w:w="254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257,657,470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257,657,470</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Publicly Traded Portfolio</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86,194,438</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23,185,930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109,380,368</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3"/>
              </w:rPr>
              <w:t>Traded Portfolio Companies:</w:t>
            </w:r>
          </w:p>
        </w:tc>
        <w:tc>
          <w:tcPr>
            <w:tcW w:w="1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86,194,438</w:t>
            </w: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23,185,930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257,657,470</w:t>
            </w: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367,037,838</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8"/>
                <w:szCs w:val="18"/>
                <w:color w:val="auto"/>
              </w:rPr>
              <w:t>U.S. Treasury Bill</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80,000,000</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80,000,000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Strips</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9,102,586</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9,102,586</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175,297,024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23,185,930</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257,657,470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456,140,424</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159,000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-1903095</wp:posOffset>
            </wp:positionV>
            <wp:extent cx="4802505"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250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-916940</wp:posOffset>
            </wp:positionV>
            <wp:extent cx="161226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12265" cy="14605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-916940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-916940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-916940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-916940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-633730</wp:posOffset>
            </wp:positionV>
            <wp:extent cx="480250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0250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161226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12265" cy="17145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-33655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-8255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-33655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-33655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-8255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-33655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-8255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As of December 31, 2013</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81,410,161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81,410,161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129,925,500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129,925,500</w:t>
            </w:r>
          </w:p>
        </w:tc>
        <w:tc>
          <w:tcPr>
            <w:tcW w:w="0" w:type="dxa"/>
            <w:vAlign w:val="bottom"/>
          </w:tcPr>
          <w:p>
            <w:pPr>
              <w:spacing w:after="0"/>
              <w:rPr>
                <w:sz w:val="1"/>
                <w:szCs w:val="1"/>
                <w:color w:val="auto"/>
              </w:rPr>
            </w:pPr>
          </w:p>
        </w:tc>
      </w:tr>
      <w:tr>
        <w:trPr>
          <w:trHeight w:val="216"/>
        </w:trPr>
        <w:tc>
          <w:tcPr>
            <w:tcW w:w="2660" w:type="dxa"/>
            <w:vAlign w:val="bottom"/>
          </w:tcPr>
          <w:p>
            <w:pPr>
              <w:ind w:left="200"/>
              <w:spacing w:after="0"/>
              <w:rPr>
                <w:sz w:val="20"/>
                <w:szCs w:val="20"/>
                <w:color w:val="auto"/>
              </w:rPr>
            </w:pPr>
            <w:r>
              <w:rPr>
                <w:rFonts w:ascii="Arial" w:cs="Arial" w:eastAsia="Arial" w:hAnsi="Arial"/>
                <w:sz w:val="18"/>
                <w:szCs w:val="18"/>
                <w:color w:val="auto"/>
              </w:rPr>
              <w:t>Common Membership Interest</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557,084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6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489,657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489,657</w:t>
            </w:r>
          </w:p>
        </w:tc>
        <w:tc>
          <w:tcPr>
            <w:tcW w:w="0" w:type="dxa"/>
            <w:vAlign w:val="bottom"/>
          </w:tcPr>
          <w:p>
            <w:pPr>
              <w:spacing w:after="0"/>
              <w:rPr>
                <w:sz w:val="1"/>
                <w:szCs w:val="1"/>
                <w:color w:val="auto"/>
              </w:rPr>
            </w:pPr>
          </w:p>
        </w:tc>
      </w:tr>
      <w:tr>
        <w:trPr>
          <w:trHeight w:val="191"/>
        </w:trPr>
        <w:tc>
          <w:tcPr>
            <w:tcW w:w="26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213,132,402</w:t>
            </w:r>
          </w:p>
        </w:tc>
        <w:tc>
          <w:tcPr>
            <w:tcW w:w="2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213,132,402</w:t>
            </w:r>
          </w:p>
        </w:tc>
        <w:tc>
          <w:tcPr>
            <w:tcW w:w="0" w:type="dxa"/>
            <w:vAlign w:val="bottom"/>
          </w:tcPr>
          <w:p>
            <w:pPr>
              <w:spacing w:after="0"/>
              <w:rPr>
                <w:sz w:val="1"/>
                <w:szCs w:val="1"/>
                <w:color w:val="auto"/>
              </w:rPr>
            </w:pPr>
          </w:p>
        </w:tc>
      </w:tr>
      <w:tr>
        <w:trPr>
          <w:trHeight w:val="191"/>
        </w:trPr>
        <w:tc>
          <w:tcPr>
            <w:tcW w:w="26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Publicly Traded Portfolio</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11,706,338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130,544,913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142,251,251</w:t>
            </w:r>
          </w:p>
        </w:tc>
        <w:tc>
          <w:tcPr>
            <w:tcW w:w="0" w:type="dxa"/>
            <w:vAlign w:val="bottom"/>
          </w:tcPr>
          <w:p>
            <w:pPr>
              <w:spacing w:after="0"/>
              <w:rPr>
                <w:sz w:val="1"/>
                <w:szCs w:val="1"/>
                <w:color w:val="auto"/>
              </w:rPr>
            </w:pPr>
          </w:p>
        </w:tc>
      </w:tr>
      <w:tr>
        <w:trPr>
          <w:trHeight w:val="191"/>
        </w:trPr>
        <w:tc>
          <w:tcPr>
            <w:tcW w:w="26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w w:val="98"/>
              </w:rPr>
              <w:t>Traded Portfolio Companies: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11,706,338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130,544,913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213,132,402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355,383,653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Strip</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10,865,200</w:t>
            </w: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22,571,538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130,544,913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213,132,402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366,248,853</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2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-1482725</wp:posOffset>
            </wp:positionV>
            <wp:extent cx="1680845" cy="283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80845" cy="28321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-1482725</wp:posOffset>
            </wp:positionV>
            <wp:extent cx="1631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-1482725</wp:posOffset>
            </wp:positionV>
            <wp:extent cx="146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-1482725</wp:posOffset>
            </wp:positionV>
            <wp:extent cx="1460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-1482725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-1062990</wp:posOffset>
            </wp:positionV>
            <wp:extent cx="5213985"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-633730</wp:posOffset>
            </wp:positionV>
            <wp:extent cx="5213985"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16808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6808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-33655</wp:posOffset>
            </wp:positionV>
            <wp:extent cx="1631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-8255</wp:posOffset>
            </wp:positionV>
            <wp:extent cx="1631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-33655</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-8255</wp:posOffset>
            </wp:positionV>
            <wp:extent cx="1460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-33655</wp:posOffset>
            </wp:positionV>
            <wp:extent cx="146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-8255</wp:posOffset>
            </wp:positionV>
            <wp:extent cx="1460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-33655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-8255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and embedded derivative as of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Valuation Techniques</w:t>
            </w: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c>
          <w:tcPr>
            <w:tcW w:w="0" w:type="dxa"/>
            <w:vAlign w:val="bottom"/>
          </w:tcPr>
          <w:p>
            <w:pPr>
              <w:spacing w:after="0"/>
              <w:rPr>
                <w:sz w:val="1"/>
                <w:szCs w:val="1"/>
                <w:color w:val="auto"/>
              </w:rPr>
            </w:pPr>
          </w:p>
        </w:tc>
      </w:tr>
      <w:tr>
        <w:trPr>
          <w:trHeight w:val="186"/>
        </w:trPr>
        <w:tc>
          <w:tcPr>
            <w:tcW w:w="188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$ 87,595,350</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1.6x – 5.0x(3.2x)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10.30x – 35.00x(17.4x)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30% – 35%(33%)</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169,119,155</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2.0x – 6.2x(4.4x)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9.0x – 35.0x(22.9x)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35% – 45%(39%)</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1"/>
              </w:rPr>
              <w:t>Term Loans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348,610</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594,355</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4"/>
              </w:rPr>
              <w:t>Option pricing model</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1"/>
              </w:rPr>
              <w:t>0.50 – 3.66(2.21)</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Stock price</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1"/>
              </w:rPr>
              <w:t>0.13 – 4.59(1.42)</w:t>
            </w:r>
          </w:p>
        </w:tc>
        <w:tc>
          <w:tcPr>
            <w:tcW w:w="0" w:type="dxa"/>
            <w:vAlign w:val="bottom"/>
          </w:tcPr>
          <w:p>
            <w:pPr>
              <w:spacing w:after="0"/>
              <w:rPr>
                <w:sz w:val="1"/>
                <w:szCs w:val="1"/>
                <w:color w:val="auto"/>
              </w:rPr>
            </w:pPr>
          </w:p>
        </w:tc>
      </w:tr>
      <w:tr>
        <w:trPr>
          <w:trHeight w:val="206"/>
        </w:trPr>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2"/>
              </w:rPr>
              <w:t>Embedded Derivative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7"/>
              </w:rPr>
              <w:t>Binomial Lattice</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30% – 50%(41%)</w:t>
            </w:r>
          </w:p>
        </w:tc>
        <w:tc>
          <w:tcPr>
            <w:tcW w:w="0" w:type="dxa"/>
            <w:vAlign w:val="bottom"/>
          </w:tcPr>
          <w:p>
            <w:pPr>
              <w:spacing w:after="0"/>
              <w:rPr>
                <w:sz w:val="1"/>
                <w:szCs w:val="1"/>
                <w:color w:val="auto"/>
              </w:rPr>
            </w:pPr>
          </w:p>
        </w:tc>
      </w:tr>
      <w:tr>
        <w:trPr>
          <w:trHeight w:val="199"/>
        </w:trPr>
        <w:tc>
          <w:tcPr>
            <w:tcW w:w="1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159,000</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4"/>
              </w:rPr>
              <w:t>16.26</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180" w:right="51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fair values all else equal.</w:t>
      </w:r>
    </w:p>
    <w:p>
      <w:pPr>
        <w:spacing w:after="0" w:line="79" w:lineRule="exact"/>
        <w:rPr>
          <w:sz w:val="20"/>
          <w:szCs w:val="20"/>
          <w:color w:val="auto"/>
        </w:rPr>
      </w:pPr>
    </w:p>
    <w:p>
      <w:pPr>
        <w:jc w:val="both"/>
        <w:ind w:left="180" w:right="51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70" w:lineRule="exact"/>
        <w:rPr>
          <w:sz w:val="20"/>
          <w:szCs w:val="20"/>
          <w:color w:val="auto"/>
        </w:rPr>
      </w:pPr>
    </w:p>
    <w:p>
      <w:pPr>
        <w:ind w:left="180" w:right="539" w:firstLine="270"/>
        <w:spacing w:after="0" w:line="277" w:lineRule="auto"/>
        <w:rPr>
          <w:sz w:val="20"/>
          <w:szCs w:val="20"/>
          <w:color w:val="auto"/>
        </w:rPr>
      </w:pPr>
      <w:r>
        <w:rPr>
          <w:rFonts w:ascii="Arial" w:cs="Arial" w:eastAsia="Arial" w:hAnsi="Arial"/>
          <w:sz w:val="18"/>
          <w:szCs w:val="18"/>
          <w:color w:val="auto"/>
        </w:rPr>
        <w:t>The aggregate values of Level 3 portfolio investments and embedded derivative changed during the six months ended June 30, 2014 and the year ended December 31, 2013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-10795</wp:posOffset>
            </wp:positionV>
            <wp:extent cx="5188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4"/>
          </w:tcPr>
          <w:p>
            <w:pPr>
              <w:ind w:left="40"/>
              <w:spacing w:after="0"/>
              <w:rPr>
                <w:sz w:val="20"/>
                <w:szCs w:val="20"/>
                <w:color w:val="auto"/>
              </w:rPr>
            </w:pPr>
            <w:r>
              <w:rPr>
                <w:rFonts w:ascii="Arial" w:cs="Arial" w:eastAsia="Arial" w:hAnsi="Arial"/>
                <w:sz w:val="14"/>
                <w:szCs w:val="14"/>
                <w:b w:val="1"/>
                <w:bCs w:val="1"/>
                <w:color w:val="auto"/>
                <w:w w:val="91"/>
              </w:rPr>
              <w:t>Six months ended June 30, 2014 (Unaudited)</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Embedded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Membership</w:t>
            </w:r>
          </w:p>
        </w:tc>
        <w:tc>
          <w:tcPr>
            <w:tcW w:w="60" w:type="dxa"/>
            <w:vAlign w:val="bottom"/>
          </w:tcPr>
          <w:p>
            <w:pPr>
              <w:spacing w:after="0"/>
              <w:rPr>
                <w:sz w:val="12"/>
                <w:szCs w:val="12"/>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Term Loan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81,410,161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89"/>
              </w:rPr>
              <w:t>129,925,500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557,084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489,657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2"/>
              </w:rPr>
              <w:t>213,132,402</w:t>
            </w: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1,782,541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9"/>
              </w:rPr>
              <w:t>30,522,699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3,163,116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35,628,349</w:t>
            </w:r>
          </w:p>
        </w:tc>
        <w:tc>
          <w:tcPr>
            <w:tcW w:w="0" w:type="dxa"/>
            <w:vAlign w:val="bottom"/>
          </w:tcPr>
          <w:p>
            <w:pPr>
              <w:spacing w:after="0"/>
              <w:rPr>
                <w:sz w:val="1"/>
                <w:szCs w:val="1"/>
                <w:color w:val="auto"/>
              </w:rPr>
            </w:pPr>
          </w:p>
        </w:tc>
      </w:tr>
      <w:tr>
        <w:trPr>
          <w:trHeight w:val="149"/>
        </w:trPr>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(75,988)</w:t>
            </w:r>
          </w:p>
        </w:tc>
        <w:tc>
          <w:tcPr>
            <w:tcW w:w="0" w:type="dxa"/>
            <w:vAlign w:val="bottom"/>
          </w:tcPr>
          <w:p>
            <w:pPr>
              <w:spacing w:after="0"/>
              <w:rPr>
                <w:sz w:val="1"/>
                <w:szCs w:val="1"/>
                <w:color w:val="auto"/>
              </w:rPr>
            </w:pPr>
          </w:p>
        </w:tc>
      </w:tr>
      <w:tr>
        <w:trPr>
          <w:trHeight w:val="140"/>
        </w:trPr>
        <w:tc>
          <w:tcPr>
            <w:tcW w:w="192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1,273,125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6,074,063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40"/>
        </w:trPr>
        <w:tc>
          <w:tcPr>
            <w:tcW w:w="192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(2,006,077)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(1,273,125)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(3,567,986)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30"/>
        </w:trPr>
        <w:tc>
          <w:tcPr>
            <w:tcW w:w="1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color w:val="auto"/>
              </w:rPr>
              <w:t>included in earnings</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23,059,356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3,870,018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(57,084)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3,480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20,693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26,896,463</w:t>
            </w:r>
          </w:p>
        </w:tc>
        <w:tc>
          <w:tcPr>
            <w:tcW w:w="0" w:type="dxa"/>
            <w:vAlign w:val="bottom"/>
          </w:tcPr>
          <w:p>
            <w:pPr>
              <w:spacing w:after="0"/>
              <w:rPr>
                <w:sz w:val="1"/>
                <w:szCs w:val="1"/>
                <w:color w:val="auto"/>
              </w:rPr>
            </w:pPr>
          </w:p>
        </w:tc>
      </w:tr>
      <w:tr>
        <w:trPr>
          <w:trHeight w:val="149"/>
        </w:trPr>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(17,923,756)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(17,923,756)</w:t>
            </w:r>
          </w:p>
        </w:tc>
        <w:tc>
          <w:tcPr>
            <w:tcW w:w="0" w:type="dxa"/>
            <w:vAlign w:val="bottom"/>
          </w:tcPr>
          <w:p>
            <w:pPr>
              <w:spacing w:after="0"/>
              <w:rPr>
                <w:sz w:val="1"/>
                <w:szCs w:val="1"/>
                <w:color w:val="auto"/>
              </w:rPr>
            </w:pPr>
          </w:p>
        </w:tc>
      </w:tr>
      <w:tr>
        <w:trPr>
          <w:trHeight w:val="123"/>
        </w:trPr>
        <w:tc>
          <w:tcPr>
            <w:tcW w:w="192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Fair Value as of June 30,</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2014</w:t>
            </w: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87,595,350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w w:val="89"/>
              </w:rPr>
              <w:t>169,119,155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348,610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594,355</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257,657,470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92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Change in unrealized</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on Level 3 investments still</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held as of June 30, 2014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17,534,404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5,393,478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(57,084)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3,480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20,693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22,894,971</w:t>
            </w: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799,000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30"/>
        </w:trPr>
        <w:tc>
          <w:tcPr>
            <w:tcW w:w="1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Gain on fair value adjustment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color w:val="auto"/>
              </w:rPr>
              <w:t>for embedded derivative</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(640,000)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23"/>
        </w:trPr>
        <w:tc>
          <w:tcPr>
            <w:tcW w:w="192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June 30,</w:t>
            </w: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2014</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159,000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-1499870</wp:posOffset>
            </wp:positionV>
            <wp:extent cx="5213985" cy="2317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-222250</wp:posOffset>
            </wp:positionV>
            <wp:extent cx="12090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-196850</wp:posOffset>
            </wp:positionV>
            <wp:extent cx="12090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-222250</wp:posOffset>
            </wp:positionV>
            <wp:extent cx="94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-196850</wp:posOffset>
            </wp:positionV>
            <wp:extent cx="946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-222250</wp:posOffset>
            </wp:positionV>
            <wp:extent cx="946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-196850</wp:posOffset>
            </wp:positionV>
            <wp:extent cx="946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-222250</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-196850</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-222250</wp:posOffset>
            </wp:positionV>
            <wp:extent cx="102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-196850</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-222250</wp:posOffset>
            </wp:positionV>
            <wp:extent cx="1200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-196850</wp:posOffset>
            </wp:positionV>
            <wp:extent cx="1200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-222250</wp:posOffset>
            </wp:positionV>
            <wp:extent cx="1117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-196850</wp:posOffset>
            </wp:positionV>
            <wp:extent cx="111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-222250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-196850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420" w:right="539" w:hanging="27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six months ended June 30,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c>
          <w:tcPr>
            <w:tcW w:w="126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230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Term loan, 10%, 3/31/15</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Convertible preferred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6"/>
              </w:rPr>
              <w:t>Series C</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8"/>
              </w:rPr>
              <w:t>NestGSV Silicon Valley, LLC</w:t>
            </w:r>
          </w:p>
        </w:tc>
        <w:tc>
          <w:tcPr>
            <w:tcW w:w="16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Common Membership Interest</w:t>
            </w: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c>
          <w:tcPr>
            <w:tcW w:w="1260" w:type="dxa"/>
            <w:vAlign w:val="bottom"/>
          </w:tcPr>
          <w:p>
            <w:pPr>
              <w:spacing w:after="0"/>
              <w:rPr>
                <w:sz w:val="20"/>
                <w:szCs w:val="20"/>
                <w:color w:val="auto"/>
              </w:rPr>
            </w:pPr>
          </w:p>
        </w:tc>
      </w:tr>
      <w:tr>
        <w:trPr>
          <w:trHeight w:val="770"/>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gridSpan w:val="2"/>
          </w:tcPr>
          <w:p>
            <w:pPr>
              <w:jc w:val="right"/>
              <w:ind w:right="694"/>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5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-24765</wp:posOffset>
            </wp:positionV>
            <wp:extent cx="51885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4"/>
              </w:rPr>
              <w:t>Transfer from</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Transfer to</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NestGSV,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13"/>
          </w:tcPr>
          <w:p>
            <w:pPr>
              <w:jc w:val="center"/>
              <w:spacing w:after="0" w:line="195" w:lineRule="exact"/>
              <w:rPr>
                <w:sz w:val="20"/>
                <w:szCs w:val="20"/>
                <w:color w:val="auto"/>
              </w:rPr>
            </w:pPr>
            <w:r>
              <w:rPr>
                <w:rFonts w:ascii="Arial" w:cs="Arial" w:eastAsia="Arial" w:hAnsi="Arial"/>
                <w:sz w:val="18"/>
                <w:szCs w:val="18"/>
                <w:color w:val="auto"/>
                <w:w w:val="92"/>
              </w:rPr>
              <w:t>Convertible Promissory Note,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0"/>
          </w:tcPr>
          <w:p>
            <w:pPr>
              <w:jc w:val="center"/>
              <w:ind w:right="160"/>
              <w:spacing w:after="0" w:line="195" w:lineRule="exact"/>
              <w:rPr>
                <w:sz w:val="20"/>
                <w:szCs w:val="20"/>
                <w:color w:val="auto"/>
              </w:rPr>
            </w:pPr>
            <w:r>
              <w:rPr>
                <w:rFonts w:ascii="Arial" w:cs="Arial" w:eastAsia="Arial" w:hAnsi="Arial"/>
                <w:sz w:val="18"/>
                <w:szCs w:val="18"/>
                <w:color w:val="auto"/>
                <w:w w:val="87"/>
              </w:rPr>
              <w:t>Preferred shares, Series 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spacing w:after="0"/>
              <w:rPr>
                <w:sz w:val="20"/>
                <w:szCs w:val="20"/>
                <w:color w:val="auto"/>
              </w:rPr>
            </w:pPr>
            <w:r>
              <w:rPr>
                <w:rFonts w:ascii="Arial" w:cs="Arial" w:eastAsia="Arial" w:hAnsi="Arial"/>
                <w:sz w:val="18"/>
                <w:szCs w:val="18"/>
                <w:color w:val="auto"/>
                <w:w w:val="90"/>
              </w:rPr>
              <w:t>12%, 6/30/14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NestGSV, Inc.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16"/>
          </w:tcPr>
          <w:p>
            <w:pPr>
              <w:jc w:val="center"/>
              <w:ind w:right="220"/>
              <w:spacing w:after="0"/>
              <w:rPr>
                <w:sz w:val="20"/>
                <w:szCs w:val="20"/>
                <w:color w:val="auto"/>
              </w:rPr>
            </w:pPr>
            <w:r>
              <w:rPr>
                <w:rFonts w:ascii="Arial" w:cs="Arial" w:eastAsia="Arial" w:hAnsi="Arial"/>
                <w:sz w:val="18"/>
                <w:szCs w:val="18"/>
                <w:color w:val="auto"/>
                <w:w w:val="92"/>
              </w:rPr>
              <w:t>Convertible Promissory Note,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10"/>
          </w:tcPr>
          <w:p>
            <w:pPr>
              <w:jc w:val="center"/>
              <w:ind w:right="160"/>
              <w:spacing w:after="0"/>
              <w:rPr>
                <w:sz w:val="20"/>
                <w:szCs w:val="20"/>
                <w:color w:val="auto"/>
              </w:rPr>
            </w:pPr>
            <w:r>
              <w:rPr>
                <w:rFonts w:ascii="Arial" w:cs="Arial" w:eastAsia="Arial" w:hAnsi="Arial"/>
                <w:sz w:val="18"/>
                <w:szCs w:val="18"/>
                <w:color w:val="auto"/>
                <w:w w:val="87"/>
              </w:rPr>
              <w:t>Preferred shares, Series 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spacing w:after="0"/>
              <w:rPr>
                <w:sz w:val="20"/>
                <w:szCs w:val="20"/>
                <w:color w:val="auto"/>
              </w:rPr>
            </w:pPr>
            <w:r>
              <w:rPr>
                <w:rFonts w:ascii="Arial" w:cs="Arial" w:eastAsia="Arial" w:hAnsi="Arial"/>
                <w:sz w:val="18"/>
                <w:szCs w:val="18"/>
                <w:color w:val="auto"/>
                <w:w w:val="90"/>
              </w:rPr>
              <w:t>12%, 6/30/14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Fullbridge, Inc.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16"/>
          </w:tcPr>
          <w:p>
            <w:pPr>
              <w:jc w:val="center"/>
              <w:ind w:right="220"/>
              <w:spacing w:after="0"/>
              <w:rPr>
                <w:sz w:val="20"/>
                <w:szCs w:val="20"/>
                <w:color w:val="auto"/>
              </w:rPr>
            </w:pPr>
            <w:r>
              <w:rPr>
                <w:rFonts w:ascii="Arial" w:cs="Arial" w:eastAsia="Arial" w:hAnsi="Arial"/>
                <w:sz w:val="18"/>
                <w:szCs w:val="18"/>
                <w:color w:val="auto"/>
                <w:w w:val="92"/>
              </w:rPr>
              <w:t>Convertible Promissory Note,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10"/>
          </w:tcPr>
          <w:p>
            <w:pPr>
              <w:jc w:val="center"/>
              <w:ind w:right="180"/>
              <w:spacing w:after="0"/>
              <w:rPr>
                <w:sz w:val="20"/>
                <w:szCs w:val="20"/>
                <w:color w:val="auto"/>
              </w:rPr>
            </w:pPr>
            <w:r>
              <w:rPr>
                <w:rFonts w:ascii="Arial" w:cs="Arial" w:eastAsia="Arial" w:hAnsi="Arial"/>
                <w:sz w:val="18"/>
                <w:szCs w:val="18"/>
                <w:color w:val="auto"/>
                <w:w w:val="88"/>
              </w:rPr>
              <w:t>Preferred shares, Series 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jc w:val="center"/>
              <w:spacing w:after="0"/>
              <w:rPr>
                <w:sz w:val="20"/>
                <w:szCs w:val="20"/>
                <w:color w:val="auto"/>
              </w:rPr>
            </w:pPr>
            <w:r>
              <w:rPr>
                <w:rFonts w:ascii="Arial" w:cs="Arial" w:eastAsia="Arial" w:hAnsi="Arial"/>
                <w:sz w:val="18"/>
                <w:szCs w:val="18"/>
                <w:color w:val="auto"/>
                <w:w w:val="90"/>
              </w:rPr>
              <w:t>10%, 2/16/15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12"/>
          </w:tcPr>
          <w:p>
            <w:pPr>
              <w:jc w:val="right"/>
              <w:ind w:right="380"/>
              <w:spacing w:after="0"/>
              <w:rPr>
                <w:sz w:val="20"/>
                <w:szCs w:val="20"/>
                <w:color w:val="auto"/>
              </w:rPr>
            </w:pPr>
            <w:r>
              <w:rPr>
                <w:rFonts w:ascii="Arial" w:cs="Arial" w:eastAsia="Arial" w:hAnsi="Arial"/>
                <w:sz w:val="14"/>
                <w:szCs w:val="14"/>
                <w:b w:val="1"/>
                <w:bCs w:val="1"/>
                <w:color w:val="auto"/>
                <w:w w:val="96"/>
              </w:rPr>
              <w:t>Year ended December 31, 2013</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Embedded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40" w:type="dxa"/>
            <w:vAlign w:val="bottom"/>
          </w:tcPr>
          <w:p>
            <w:pPr>
              <w:spacing w:after="0"/>
              <w:rPr>
                <w:sz w:val="12"/>
                <w:szCs w:val="12"/>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8"/>
              </w:rPr>
              <w:t>Term Loans</w:t>
            </w:r>
          </w:p>
        </w:tc>
        <w:tc>
          <w:tcPr>
            <w:tcW w:w="40" w:type="dxa"/>
            <w:vAlign w:val="bottom"/>
          </w:tcPr>
          <w:p>
            <w:pPr>
              <w:spacing w:after="0"/>
              <w:rPr>
                <w:sz w:val="12"/>
                <w:szCs w:val="12"/>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2012</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97"/>
              </w:rPr>
              <w:t>112,855,675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100,853,882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223,062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214,432,619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8,248,157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59,273,379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6"/>
              </w:rPr>
              <w:t>1,242,325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68,783,561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26,442,820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(26,509,841)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67,021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10,091,058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(459,799)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9,631,259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Realized loss included in</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(953,811)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(27,463,851)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(15,488)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(28,433,150)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(depreciation) included in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62,256,476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19,839,371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57,084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(17,038)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179,874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82,315,767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w w:val="91"/>
              </w:rPr>
              <w:t>(125,439,156)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(8,158,498)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(133,597,654)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10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81,410,161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129,925,500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557,084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489,657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213,132,402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10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(depreciation) on Level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investments still held as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December 31, 2013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(75,011,491)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(2,524,084)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57,084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(3,371)</w:t>
            </w:r>
          </w:p>
        </w:tc>
        <w:tc>
          <w:tcPr>
            <w:tcW w:w="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(179,874)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(77,661,736)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2012</w:t>
            </w: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74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Embedded derivative from</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of convertible senior</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notes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700,000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Loss on fair value adjustment for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embedded derivative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99,000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10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799,000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799,000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-1619885</wp:posOffset>
            </wp:positionV>
            <wp:extent cx="5240020" cy="445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40020" cy="44577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-222250</wp:posOffset>
            </wp:positionV>
            <wp:extent cx="13290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-196850</wp:posOffset>
            </wp:positionV>
            <wp:extent cx="13290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-222250</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-196850</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-222250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-196850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-222250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-196850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-222250</wp:posOffset>
            </wp:positionV>
            <wp:extent cx="102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-196850</wp:posOffset>
            </wp:positionV>
            <wp:extent cx="102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-222250</wp:posOffset>
            </wp:positionV>
            <wp:extent cx="94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946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-222250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-196850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-222250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-196850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-3729990</wp:posOffset>
            </wp:positionV>
            <wp:extent cx="51885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36" w:lineRule="exact"/>
        <w:rPr>
          <w:sz w:val="20"/>
          <w:szCs w:val="20"/>
          <w:color w:val="auto"/>
        </w:rPr>
      </w:pPr>
    </w:p>
    <w:p>
      <w:pPr>
        <w:ind w:left="420" w:right="539" w:hanging="27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year ended December 31, 2013,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c>
          <w:tcPr>
            <w:tcW w:w="126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2300" w:type="dxa"/>
            <w:vAlign w:val="bottom"/>
          </w:tcPr>
          <w:p>
            <w:pPr>
              <w:ind w:left="20"/>
              <w:spacing w:after="0" w:line="195" w:lineRule="exact"/>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89"/>
              </w:rPr>
              <w:t>Convertible preferred shares, Series D</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F</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B</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D</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B</w:t>
            </w: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260" w:type="dxa"/>
            <w:vAlign w:val="bottom"/>
          </w:tcPr>
          <w:p>
            <w:pPr>
              <w:spacing w:after="0"/>
              <w:rPr>
                <w:sz w:val="20"/>
                <w:szCs w:val="20"/>
                <w:color w:val="auto"/>
              </w:rPr>
            </w:pPr>
          </w:p>
        </w:tc>
      </w:tr>
      <w:tr>
        <w:trPr>
          <w:trHeight w:val="770"/>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gridSpan w:val="2"/>
          </w:tcPr>
          <w:p>
            <w:pPr>
              <w:jc w:val="right"/>
              <w:ind w:right="69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5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519" w:firstLine="270"/>
        <w:spacing w:after="0" w:line="289" w:lineRule="auto"/>
        <w:rPr>
          <w:sz w:val="20"/>
          <w:szCs w:val="20"/>
          <w:color w:val="auto"/>
        </w:rPr>
      </w:pPr>
      <w:r>
        <w:rPr>
          <w:rFonts w:ascii="Arial" w:cs="Arial" w:eastAsia="Arial" w:hAnsi="Arial"/>
          <w:sz w:val="16"/>
          <w:szCs w:val="16"/>
          <w:color w:val="auto"/>
        </w:rPr>
        <w:t>The portfolio companies in which the Company invests periodically offer their shares in initial public offerings, (“IPO’s”). The Company’s shares in the portfolio companies are typically subject to lock-up agreements for 180 days following the IPO. Upon the IPO date, the Company transfers its investment from level 3 to level 2 due to the presence of an active market, limited by the lock-up agreement. The Company prices the investment at the closing price on a public exchange as of the measurement date subject to a discount for a lack of marketability, (“DLOM”). The DLOM for each portfolio company investment is based upon the market value of publicly traded put options with similar terms as the lock-up. Once the lock-up expires, the Company typically transfers the investment from level 2 to level 1 and prices the investment based on the closing price on a public exchange as of the measurement date. In situations where the lock-up has expired, but other factors restrict the sale of the investment, the Company will continue to classify the investment as level 2 and apply a DLOM appropriate to reflect the restrictions upon sale.</w:t>
      </w:r>
    </w:p>
    <w:p>
      <w:pPr>
        <w:spacing w:after="0" w:line="59"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six months ended June 30,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Corporate Action</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IPO/ Lock-up</w:t>
            </w:r>
          </w:p>
        </w:tc>
        <w:tc>
          <w:tcPr>
            <w:tcW w:w="160" w:type="dxa"/>
            <w:vAlign w:val="bottom"/>
          </w:tcPr>
          <w:p>
            <w:pPr>
              <w:spacing w:after="0"/>
              <w:rPr>
                <w:sz w:val="14"/>
                <w:szCs w:val="14"/>
                <w:color w:val="auto"/>
              </w:rPr>
            </w:pPr>
          </w:p>
        </w:tc>
        <w:tc>
          <w:tcPr>
            <w:tcW w:w="1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Transfer from</w:t>
            </w: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16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line="195" w:lineRule="exact"/>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5"/>
              </w:rPr>
              <w:t>Lock-up Expiration</w:t>
            </w:r>
          </w:p>
        </w:tc>
        <w:tc>
          <w:tcPr>
            <w:tcW w:w="16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91"/>
              </w:rPr>
              <w:t>5/5/2014</w:t>
            </w:r>
          </w:p>
        </w:tc>
        <w:tc>
          <w:tcPr>
            <w:tcW w:w="160" w:type="dxa"/>
            <w:vAlign w:val="bottom"/>
          </w:tcPr>
          <w:p>
            <w:pPr>
              <w:spacing w:after="0"/>
              <w:rPr>
                <w:sz w:val="16"/>
                <w:szCs w:val="16"/>
                <w:color w:val="auto"/>
              </w:rPr>
            </w:pPr>
          </w:p>
        </w:tc>
        <w:tc>
          <w:tcPr>
            <w:tcW w:w="1440" w:type="dxa"/>
            <w:vAlign w:val="bottom"/>
          </w:tcPr>
          <w:p>
            <w:pPr>
              <w:ind w:left="20"/>
              <w:spacing w:after="0" w:line="195" w:lineRule="exact"/>
              <w:rPr>
                <w:sz w:val="20"/>
                <w:szCs w:val="20"/>
                <w:color w:val="auto"/>
              </w:rPr>
            </w:pPr>
            <w:r>
              <w:rPr>
                <w:rFonts w:ascii="Arial" w:cs="Arial" w:eastAsia="Arial" w:hAnsi="Arial"/>
                <w:sz w:val="18"/>
                <w:szCs w:val="18"/>
                <w:color w:val="auto"/>
                <w:w w:val="99"/>
              </w:rPr>
              <w:t>Level 2 to Level 1</w:t>
            </w:r>
          </w:p>
        </w:tc>
        <w:tc>
          <w:tcPr>
            <w:tcW w:w="16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5/11/2014</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2 to Level 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TrueCar,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5/15/2014</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1/29/2014</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2 to Level 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3/26/2014</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2 to Level 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w w:val="99"/>
              </w:rPr>
              <w:t>2U, Inc. (f/k/a 2tor,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3/28/2014</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2013,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Corporate Action</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IPO/ Lock-up</w:t>
            </w:r>
          </w:p>
        </w:tc>
        <w:tc>
          <w:tcPr>
            <w:tcW w:w="160" w:type="dxa"/>
            <w:vAlign w:val="bottom"/>
          </w:tcPr>
          <w:p>
            <w:pPr>
              <w:spacing w:after="0"/>
              <w:rPr>
                <w:sz w:val="14"/>
                <w:szCs w:val="14"/>
                <w:color w:val="auto"/>
              </w:rPr>
            </w:pPr>
          </w:p>
        </w:tc>
        <w:tc>
          <w:tcPr>
            <w:tcW w:w="1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Transfer from</w:t>
            </w: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16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line="195" w:lineRule="exact"/>
              <w:rPr>
                <w:sz w:val="20"/>
                <w:szCs w:val="20"/>
                <w:color w:val="auto"/>
              </w:rPr>
            </w:pPr>
            <w:r>
              <w:rPr>
                <w:rFonts w:ascii="Arial" w:cs="Arial" w:eastAsia="Arial" w:hAnsi="Arial"/>
                <w:sz w:val="18"/>
                <w:szCs w:val="18"/>
                <w:color w:val="auto"/>
              </w:rPr>
              <w:t>Silver Spring Networks,</w:t>
            </w:r>
          </w:p>
        </w:tc>
        <w:tc>
          <w:tcPr>
            <w:tcW w:w="1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0"/>
              </w:rPr>
              <w:t>IPO</w:t>
            </w:r>
          </w:p>
        </w:tc>
        <w:tc>
          <w:tcPr>
            <w:tcW w:w="16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9"/>
              </w:rPr>
              <w:t>3/12/2013</w:t>
            </w:r>
          </w:p>
        </w:tc>
        <w:tc>
          <w:tcPr>
            <w:tcW w:w="160" w:type="dxa"/>
            <w:vAlign w:val="bottom"/>
          </w:tcPr>
          <w:p>
            <w:pPr>
              <w:spacing w:after="0"/>
              <w:rPr>
                <w:sz w:val="16"/>
                <w:szCs w:val="16"/>
                <w:color w:val="auto"/>
              </w:rPr>
            </w:pPr>
          </w:p>
        </w:tc>
        <w:tc>
          <w:tcPr>
            <w:tcW w:w="1440" w:type="dxa"/>
            <w:vAlign w:val="bottom"/>
          </w:tcPr>
          <w:p>
            <w:pPr>
              <w:ind w:left="20"/>
              <w:spacing w:after="0" w:line="195" w:lineRule="exact"/>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7%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Silver Spring Networks,</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9/8/2013</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2 to Level 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8/2/2013</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4%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9/27/2013</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11/6/2013</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12/12/2013</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w w:val="99"/>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2013, the Company wrote-off its investments in Top Hat 430, Inc., Serious Energy, Inc., AltEgo, LLC, and Starfish Holdings, Inc. and recorded realized losses.</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519" w:firstLine="270"/>
        <w:spacing w:after="0" w:line="308" w:lineRule="auto"/>
        <w:rPr>
          <w:sz w:val="20"/>
          <w:szCs w:val="20"/>
          <w:color w:val="auto"/>
        </w:rPr>
      </w:pPr>
      <w:r>
        <w:rPr>
          <w:rFonts w:ascii="Arial" w:cs="Arial" w:eastAsia="Arial" w:hAnsi="Arial"/>
          <w:sz w:val="17"/>
          <w:szCs w:val="17"/>
          <w:color w:val="auto"/>
        </w:rPr>
        <w:t>The table below details the equity offerings and related expenses incurred by the Company since inception.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1968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Issuances of Common Stock</w:t>
            </w:r>
          </w:p>
        </w:tc>
        <w:tc>
          <w:tcPr>
            <w:tcW w:w="1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Gross Proceeds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Underwriting</w:t>
            </w:r>
          </w:p>
        </w:tc>
        <w:tc>
          <w:tcPr>
            <w:tcW w:w="900" w:type="dxa"/>
            <w:vAlign w:val="bottom"/>
          </w:tcPr>
          <w:p>
            <w:pPr>
              <w:jc w:val="right"/>
              <w:ind w:right="156"/>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Raised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28, 2011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15.00</w:t>
            </w:r>
          </w:p>
        </w:tc>
        <w:tc>
          <w:tcPr>
            <w:tcW w:w="0" w:type="dxa"/>
            <w:vAlign w:val="bottom"/>
          </w:tcPr>
          <w:p>
            <w:pPr>
              <w:spacing w:after="0"/>
              <w:rPr>
                <w:sz w:val="1"/>
                <w:szCs w:val="1"/>
                <w:color w:val="auto"/>
              </w:rPr>
            </w:pPr>
          </w:p>
        </w:tc>
      </w:tr>
      <w:tr>
        <w:trPr>
          <w:trHeight w:val="257"/>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3,501,750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6"/>
              <w:spacing w:after="0" w:line="256" w:lineRule="exact"/>
              <w:rPr>
                <w:sz w:val="20"/>
                <w:szCs w:val="20"/>
                <w:color w:val="auto"/>
              </w:rPr>
            </w:pPr>
            <w:r>
              <w:rPr>
                <w:rFonts w:ascii="Arial" w:cs="Arial" w:eastAsia="Arial" w:hAnsi="Arial"/>
                <w:sz w:val="18"/>
                <w:szCs w:val="18"/>
                <w:color w:val="auto"/>
                <w:w w:val="87"/>
              </w:rPr>
              <w:t>527,166</w:t>
            </w:r>
            <w:r>
              <w:rPr>
                <w:rFonts w:ascii="Arial" w:cs="Arial" w:eastAsia="Arial" w:hAnsi="Arial"/>
                <w:sz w:val="29"/>
                <w:szCs w:val="29"/>
                <w:color w:val="auto"/>
                <w:w w:val="87"/>
                <w:vertAlign w:val="superscript"/>
              </w:rPr>
              <w:t>(1)</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27, 2011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2,185,000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30,917,750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6"/>
              <w:spacing w:after="0" w:line="256" w:lineRule="exact"/>
              <w:rPr>
                <w:sz w:val="20"/>
                <w:szCs w:val="20"/>
                <w:color w:val="auto"/>
              </w:rPr>
            </w:pPr>
            <w:r>
              <w:rPr>
                <w:rFonts w:ascii="Arial" w:cs="Arial" w:eastAsia="Arial" w:hAnsi="Arial"/>
                <w:sz w:val="18"/>
                <w:szCs w:val="18"/>
                <w:color w:val="auto"/>
                <w:w w:val="87"/>
              </w:rPr>
              <w:t>531,122</w:t>
            </w:r>
            <w:r>
              <w:rPr>
                <w:rFonts w:ascii="Arial" w:cs="Arial" w:eastAsia="Arial" w:hAnsi="Arial"/>
                <w:sz w:val="29"/>
                <w:szCs w:val="29"/>
                <w:color w:val="auto"/>
                <w:w w:val="87"/>
                <w:vertAlign w:val="superscript"/>
              </w:rPr>
              <w:t>(2)</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w w:val="92"/>
              </w:rPr>
              <w:t>326,077</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11, 2012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6,727,500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6"/>
              <w:spacing w:after="0" w:line="256" w:lineRule="exact"/>
              <w:rPr>
                <w:sz w:val="20"/>
                <w:szCs w:val="20"/>
                <w:color w:val="auto"/>
              </w:rPr>
            </w:pPr>
            <w:r>
              <w:rPr>
                <w:rFonts w:ascii="Arial" w:cs="Arial" w:eastAsia="Arial" w:hAnsi="Arial"/>
                <w:sz w:val="18"/>
                <w:szCs w:val="18"/>
                <w:color w:val="auto"/>
                <w:w w:val="87"/>
              </w:rPr>
              <w:t>412,620</w:t>
            </w:r>
            <w:r>
              <w:rPr>
                <w:rFonts w:ascii="Arial" w:cs="Arial" w:eastAsia="Arial" w:hAnsi="Arial"/>
                <w:sz w:val="29"/>
                <w:szCs w:val="29"/>
                <w:color w:val="auto"/>
                <w:w w:val="87"/>
                <w:vertAlign w:val="superscript"/>
              </w:rPr>
              <w:t>(3)</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 — BASIC AND DILUTED</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Company considered the potential dilutive effects of the convertible senior notes on earnings per share in accordance with the requirement of ASC 260-10, using the if-converted method. The effect of the assumed conversion of the convertible senior notes would have been to increase earnings per share. As such, the Company has excluded the effects of the assumed conversion of the convertible senior notes from the diluted EPS calculation. The following information sets forth the computation of basic and diluted net increase (decrease) in net assets resulting from operations per common share for the three and six months ended June 30, 2014 and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13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7"/>
                <w:szCs w:val="17"/>
                <w:color w:val="auto"/>
              </w:rPr>
            </w:pPr>
          </w:p>
        </w:tc>
      </w:t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(Unaudited)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(Unaudited)</w:t>
            </w:r>
          </w:p>
        </w:tc>
      </w:tr>
      <w:tr>
        <w:trPr>
          <w:trHeight w:val="198"/>
        </w:trPr>
        <w:tc>
          <w:tcPr>
            <w:tcW w:w="33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increase (decrease) in net assets per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common share – basic and diluted: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2"/>
        </w:trPr>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Net increase (decrease) in net assets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(920,306)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3,515,703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(3,975,552)</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19,320,100</w:t>
            </w:r>
          </w:p>
        </w:tc>
      </w:tr>
      <w:tr>
        <w:trPr>
          <w:trHeight w:val="191"/>
        </w:trPr>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3"/>
              </w:rPr>
              <w:t>Net increase (decrease) in net assets per</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4"/>
        </w:trPr>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common share –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r>
      <w:tr>
        <w:trPr>
          <w:trHeight w:val="21"/>
        </w:trPr>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317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625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5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June 30,</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left="277"/>
              <w:spacing w:after="0" w:line="149" w:lineRule="exact"/>
              <w:rPr>
                <w:sz w:val="20"/>
                <w:szCs w:val="20"/>
                <w:color w:val="auto"/>
              </w:rPr>
            </w:pPr>
            <w:r>
              <w:rPr>
                <w:rFonts w:ascii="Arial" w:cs="Arial" w:eastAsia="Arial" w:hAnsi="Arial"/>
                <w:sz w:val="14"/>
                <w:szCs w:val="14"/>
                <w:b w:val="1"/>
                <w:bCs w:val="1"/>
                <w:color w:val="auto"/>
                <w:w w:val="96"/>
              </w:rPr>
              <w:t>2013</w:t>
            </w: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12.69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(0.18)</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realized loss</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(0.33)</w:t>
            </w:r>
            <w:r>
              <w:rPr>
                <w:rFonts w:ascii="Arial" w:cs="Arial" w:eastAsia="Arial" w:hAnsi="Arial"/>
                <w:sz w:val="29"/>
                <w:szCs w:val="29"/>
                <w:color w:val="auto"/>
                <w:vertAlign w:val="superscript"/>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taxes on Net Realized Capital Losses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0.15</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change in Unrealized Appreciation of Investments</w:t>
            </w: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0.60</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0.63</w:t>
            </w:r>
            <w:r>
              <w:rPr>
                <w:rFonts w:ascii="Arial" w:cs="Arial" w:eastAsia="Arial" w:hAnsi="Arial"/>
                <w:sz w:val="29"/>
                <w:szCs w:val="29"/>
                <w:color w:val="auto"/>
                <w:vertAlign w:val="superscript"/>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(0.24)</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12.87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10.57</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7.86</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13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4.24%</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line="256" w:lineRule="exact"/>
              <w:rPr>
                <w:sz w:val="20"/>
                <w:szCs w:val="20"/>
                <w:color w:val="auto"/>
              </w:rPr>
            </w:pPr>
            <w:r>
              <w:rPr>
                <w:rFonts w:ascii="Arial" w:cs="Arial" w:eastAsia="Arial" w:hAnsi="Arial"/>
                <w:sz w:val="18"/>
                <w:szCs w:val="18"/>
                <w:color w:val="auto"/>
              </w:rPr>
              <w:t>(4.84)%</w:t>
            </w:r>
            <w:r>
              <w:rPr>
                <w:rFonts w:ascii="Arial" w:cs="Arial" w:eastAsia="Arial" w:hAnsi="Arial"/>
                <w:sz w:val="29"/>
                <w:szCs w:val="29"/>
                <w:color w:val="auto"/>
                <w:vertAlign w:val="superscript"/>
              </w:rPr>
              <w:t>(6)</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(0.34)%</w:t>
            </w:r>
            <w:r>
              <w:rPr>
                <w:rFonts w:ascii="Arial" w:cs="Arial" w:eastAsia="Arial" w:hAnsi="Arial"/>
                <w:sz w:val="29"/>
                <w:szCs w:val="29"/>
                <w:color w:val="auto"/>
                <w:vertAlign w:val="superscript"/>
              </w:rPr>
              <w:t>(6)</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1.42%</w:t>
            </w:r>
            <w:r>
              <w:rPr>
                <w:rFonts w:ascii="Arial" w:cs="Arial" w:eastAsia="Arial" w:hAnsi="Arial"/>
                <w:sz w:val="29"/>
                <w:szCs w:val="29"/>
                <w:color w:val="auto"/>
                <w:vertAlign w:val="superscript"/>
              </w:rPr>
              <w:t>(6)</w:t>
            </w:r>
          </w:p>
        </w:tc>
        <w:tc>
          <w:tcPr>
            <w:tcW w:w="1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19,320,100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19,320,100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287,125,842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248,607,249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275,480,154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244,629,431</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380" w:type="dxa"/>
            <w:vAlign w:val="bottom"/>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5380" w:type="dxa"/>
            <w:vAlign w:val="bottom"/>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3.98%</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380" w:type="dxa"/>
            <w:vAlign w:val="bottom"/>
            <w:tcBorders>
              <w:right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5380" w:type="dxa"/>
            <w:vAlign w:val="bottom"/>
            <w:tcBorders>
              <w:right w:val="single" w:sz="8" w:color="CCEEFF"/>
            </w:tcBorders>
            <w:shd w:val="clear" w:color="auto" w:fill="CCEEFF"/>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w:t>
            </w:r>
          </w:p>
        </w:tc>
        <w:tc>
          <w:tcPr>
            <w:tcW w:w="120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w w:val="99"/>
              </w:rPr>
              <w:t>Annualized ratio of net investment income to average net assets</w:t>
            </w:r>
            <w:r>
              <w:rPr>
                <w:rFonts w:ascii="Arial" w:cs="Arial" w:eastAsia="Arial" w:hAnsi="Arial"/>
                <w:sz w:val="30"/>
                <w:szCs w:val="30"/>
                <w:color w:val="auto"/>
                <w:w w:val="99"/>
                <w:vertAlign w:val="superscript"/>
              </w:rPr>
              <w:t>(8)</w:t>
            </w:r>
          </w:p>
        </w:tc>
        <w:tc>
          <w:tcPr>
            <w:tcW w:w="1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00"/>
              <w:spacing w:after="0" w:line="154" w:lineRule="exact"/>
              <w:rPr>
                <w:sz w:val="20"/>
                <w:szCs w:val="20"/>
                <w:color w:val="auto"/>
              </w:rPr>
            </w:pPr>
            <w:r>
              <w:rPr>
                <w:rFonts w:ascii="Arial" w:cs="Arial" w:eastAsia="Arial" w:hAnsi="Arial"/>
                <w:sz w:val="14"/>
                <w:szCs w:val="14"/>
                <w:b w:val="1"/>
                <w:bCs w:val="1"/>
                <w:color w:val="auto"/>
                <w:w w:val="90"/>
              </w:rPr>
              <w:t>Six months</w:t>
            </w:r>
          </w:p>
        </w:tc>
        <w:tc>
          <w:tcPr>
            <w:tcW w:w="80" w:type="dxa"/>
            <w:vAlign w:val="bottom"/>
          </w:tcPr>
          <w:p>
            <w:pPr>
              <w:spacing w:after="0"/>
              <w:rPr>
                <w:sz w:val="13"/>
                <w:szCs w:val="13"/>
                <w:color w:val="auto"/>
              </w:rPr>
            </w:pPr>
          </w:p>
        </w:tc>
        <w:tc>
          <w:tcPr>
            <w:tcW w:w="132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0"/>
              </w:rPr>
              <w:t>Six months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left="217"/>
              <w:spacing w:after="0" w:line="149"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13.07</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(0.32)</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realized gain (loss)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(0.50)</w:t>
            </w:r>
            <w:r>
              <w:rPr>
                <w:rFonts w:ascii="Arial" w:cs="Arial" w:eastAsia="Arial" w:hAnsi="Arial"/>
                <w:sz w:val="29"/>
                <w:szCs w:val="29"/>
                <w:color w:val="auto"/>
                <w:vertAlign w:val="superscript"/>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taxes on Net Realized Capital Gains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(0.01)</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change in Unrealized Appreciation of Investments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0.55</w:t>
            </w:r>
            <w:r>
              <w:rPr>
                <w:rFonts w:ascii="Arial" w:cs="Arial" w:eastAsia="Arial" w:hAnsi="Arial"/>
                <w:sz w:val="29"/>
                <w:szCs w:val="29"/>
                <w:color w:val="auto"/>
                <w:vertAlign w:val="superscript"/>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(1)</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12.87</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130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(12.57)%</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(6.76)%</w:t>
            </w:r>
            <w:r>
              <w:rPr>
                <w:rFonts w:ascii="Arial" w:cs="Arial" w:eastAsia="Arial" w:hAnsi="Arial"/>
                <w:sz w:val="29"/>
                <w:szCs w:val="29"/>
                <w:color w:val="auto"/>
                <w:vertAlign w:val="superscript"/>
              </w:rPr>
              <w:t>(6)</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(0.34)%</w:t>
            </w:r>
            <w:r>
              <w:rPr>
                <w:rFonts w:ascii="Arial" w:cs="Arial" w:eastAsia="Arial" w:hAnsi="Arial"/>
                <w:sz w:val="29"/>
                <w:szCs w:val="29"/>
                <w:color w:val="auto"/>
                <w:vertAlign w:val="superscript"/>
              </w:rPr>
              <w:t>(6)</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(1.53)%</w:t>
            </w:r>
            <w:r>
              <w:rPr>
                <w:rFonts w:ascii="Arial" w:cs="Arial" w:eastAsia="Arial" w:hAnsi="Arial"/>
                <w:sz w:val="29"/>
                <w:szCs w:val="29"/>
                <w:color w:val="auto"/>
                <w:vertAlign w:val="superscript"/>
              </w:rPr>
              <w:t>(6)</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19,320,100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19,320,100</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7"/>
              </w:rPr>
              <w:t>$287,125,842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5"/>
              </w:rPr>
              <w:t>$248,607,249</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net assets</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$281,410,486</w:t>
            </w: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$248,710,453</w:t>
            </w:r>
          </w:p>
        </w:tc>
        <w:tc>
          <w:tcPr>
            <w:tcW w:w="42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380" w:type="dxa"/>
            <w:vAlign w:val="bottom"/>
          </w:tcPr>
          <w:p>
            <w:pPr>
              <w:ind w:left="20"/>
              <w:spacing w:after="0" w:line="256" w:lineRule="exact"/>
              <w:rPr>
                <w:sz w:val="20"/>
                <w:szCs w:val="20"/>
                <w:color w:val="auto"/>
              </w:rPr>
            </w:pPr>
            <w:r>
              <w:rPr>
                <w:rFonts w:ascii="Arial" w:cs="Arial" w:eastAsia="Arial" w:hAnsi="Arial"/>
                <w:sz w:val="18"/>
                <w:szCs w:val="18"/>
                <w:color w:val="auto"/>
                <w:w w:val="94"/>
              </w:rPr>
              <w:t>Annualized ratio of gross operating expenses to average net assets</w:t>
            </w:r>
            <w:r>
              <w:rPr>
                <w:rFonts w:ascii="Arial" w:cs="Arial" w:eastAsia="Arial" w:hAnsi="Arial"/>
                <w:sz w:val="29"/>
                <w:szCs w:val="29"/>
                <w:color w:val="auto"/>
                <w:w w:val="94"/>
                <w:vertAlign w:val="superscript"/>
              </w:rPr>
              <w:t>(8)</w:t>
            </w:r>
          </w:p>
        </w:tc>
        <w:tc>
          <w:tcPr>
            <w:tcW w:w="10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380" w:type="dxa"/>
            <w:vAlign w:val="bottom"/>
            <w:tcBorders>
              <w:right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5380" w:type="dxa"/>
            <w:vAlign w:val="bottom"/>
            <w:tcBorders>
              <w:right w:val="single" w:sz="8" w:color="CCEEFF"/>
            </w:tcBorders>
            <w:shd w:val="clear" w:color="auto" w:fill="CCEEFF"/>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w:t>
            </w:r>
          </w:p>
        </w:tc>
        <w:tc>
          <w:tcPr>
            <w:tcW w:w="1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380" w:type="dxa"/>
            <w:vAlign w:val="bottom"/>
          </w:tcPr>
          <w:p>
            <w:pPr>
              <w:ind w:left="20"/>
              <w:spacing w:after="0" w:line="206" w:lineRule="exact"/>
              <w:rPr>
                <w:sz w:val="20"/>
                <w:szCs w:val="20"/>
                <w:color w:val="auto"/>
              </w:rPr>
            </w:pPr>
            <w:r>
              <w:rPr>
                <w:rFonts w:ascii="Arial" w:cs="Arial" w:eastAsia="Arial" w:hAnsi="Arial"/>
                <w:sz w:val="18"/>
                <w:szCs w:val="18"/>
                <w:color w:val="auto"/>
              </w:rPr>
              <w:t>Annualized ratio of net investment income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0"/>
        </w:trPr>
        <w:tc>
          <w:tcPr>
            <w:tcW w:w="120" w:type="dxa"/>
            <w:vAlign w:val="bottom"/>
          </w:tcPr>
          <w:p>
            <w:pPr>
              <w:spacing w:after="0"/>
              <w:rPr>
                <w:sz w:val="24"/>
                <w:szCs w:val="24"/>
                <w:color w:val="auto"/>
              </w:rPr>
            </w:pPr>
          </w:p>
        </w:tc>
        <w:tc>
          <w:tcPr>
            <w:tcW w:w="5380" w:type="dxa"/>
            <w:vAlign w:val="bottom"/>
          </w:tcPr>
          <w:p>
            <w:pPr>
              <w:ind w:left="45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-6216650</wp:posOffset>
            </wp:positionV>
            <wp:extent cx="526542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6542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-2589530</wp:posOffset>
            </wp:positionV>
            <wp:extent cx="5248275"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4827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-4236085</wp:posOffset>
            </wp:positionV>
            <wp:extent cx="51625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Year ended December</w:t>
            </w:r>
          </w:p>
        </w:tc>
        <w:tc>
          <w:tcPr>
            <w:tcW w:w="160" w:type="dxa"/>
            <w:vAlign w:val="bottom"/>
          </w:tcPr>
          <w:p>
            <w:pPr>
              <w:spacing w:after="0"/>
              <w:rPr>
                <w:sz w:val="12"/>
                <w:szCs w:val="1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3"/>
              </w:rPr>
              <w:t>Year ended December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January 6,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31,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left="274"/>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year/period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13.07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12.95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Issuance of common shares</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7"/>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Underwriters’ discount</w:t>
            </w:r>
          </w:p>
        </w:tc>
        <w:tc>
          <w:tcPr>
            <w:tcW w:w="80" w:type="dxa"/>
            <w:vAlign w:val="bottom"/>
          </w:tcPr>
          <w:p>
            <w:pPr>
              <w:spacing w:after="0"/>
              <w:rPr>
                <w:sz w:val="22"/>
                <w:szCs w:val="2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Net investment loss</w:t>
            </w:r>
          </w:p>
        </w:tc>
        <w:tc>
          <w:tcPr>
            <w:tcW w:w="80" w:type="dxa"/>
            <w:vAlign w:val="bottom"/>
          </w:tcPr>
          <w:p>
            <w:pPr>
              <w:spacing w:after="0"/>
              <w:rPr>
                <w:sz w:val="22"/>
                <w:szCs w:val="22"/>
                <w:color w:val="auto"/>
              </w:rPr>
            </w:pPr>
          </w:p>
        </w:tc>
        <w:tc>
          <w:tcPr>
            <w:tcW w:w="12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realized loss</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(1.12)</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3"/>
          </w:tcPr>
          <w:p>
            <w:pPr>
              <w:ind w:left="20"/>
              <w:spacing w:after="0"/>
              <w:rPr>
                <w:sz w:val="20"/>
                <w:szCs w:val="20"/>
                <w:color w:val="auto"/>
              </w:rPr>
            </w:pPr>
            <w:r>
              <w:rPr>
                <w:rFonts w:ascii="Arial" w:cs="Arial" w:eastAsia="Arial" w:hAnsi="Arial"/>
                <w:sz w:val="18"/>
                <w:szCs w:val="18"/>
                <w:color w:val="auto"/>
                <w:w w:val="95"/>
              </w:rPr>
              <w:t>Benefit for taxes on Net Realized Capital Losses</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 Appreciation</w:t>
            </w: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4.53</w:t>
            </w:r>
            <w:r>
              <w:rPr>
                <w:rFonts w:ascii="Arial" w:cs="Arial" w:eastAsia="Arial" w:hAnsi="Arial"/>
                <w:sz w:val="30"/>
                <w:szCs w:val="30"/>
                <w:color w:val="auto"/>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(0.43)</w:t>
            </w:r>
            <w:r>
              <w:rPr>
                <w:rFonts w:ascii="Arial" w:cs="Arial" w:eastAsia="Arial" w:hAnsi="Arial"/>
                <w:sz w:val="30"/>
                <w:szCs w:val="30"/>
                <w:color w:val="auto"/>
                <w:vertAlign w:val="superscript"/>
              </w:rPr>
              <w:t>(5)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(0.30)</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Investments</w:t>
            </w:r>
          </w:p>
        </w:tc>
        <w:tc>
          <w:tcPr>
            <w:tcW w:w="8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2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9"/>
              </w:rPr>
              <w:t>Provision for taxes on Unrealized Appreciation</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of Investments</w:t>
            </w:r>
          </w:p>
        </w:tc>
        <w:tc>
          <w:tcPr>
            <w:tcW w:w="8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year/period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43.42%</w:t>
            </w:r>
            <w:r>
              <w:rPr>
                <w:rFonts w:ascii="Arial" w:cs="Arial" w:eastAsia="Arial" w:hAnsi="Arial"/>
                <w:sz w:val="29"/>
                <w:szCs w:val="29"/>
                <w:color w:val="auto"/>
                <w:vertAlign w:val="superscript"/>
              </w:rPr>
              <w:t>(6)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57"/>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Total return based on net asset value</w:t>
            </w:r>
          </w:p>
        </w:tc>
        <w:tc>
          <w:tcPr>
            <w:tcW w:w="80" w:type="dxa"/>
            <w:vAlign w:val="bottom"/>
          </w:tcPr>
          <w:p>
            <w:pPr>
              <w:spacing w:after="0"/>
              <w:rPr>
                <w:sz w:val="22"/>
                <w:szCs w:val="22"/>
                <w:color w:val="auto"/>
              </w:rPr>
            </w:pPr>
          </w:p>
        </w:tc>
        <w:tc>
          <w:tcPr>
            <w:tcW w:w="128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14.08%</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19,320,100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19,320,100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5,520,100</w:t>
            </w:r>
          </w:p>
        </w:tc>
        <w:tc>
          <w:tcPr>
            <w:tcW w:w="0" w:type="dxa"/>
            <w:vAlign w:val="bottom"/>
          </w:tcPr>
          <w:p>
            <w:pPr>
              <w:spacing w:after="0"/>
              <w:rPr>
                <w:sz w:val="1"/>
                <w:szCs w:val="1"/>
                <w:color w:val="auto"/>
              </w:rPr>
            </w:pPr>
          </w:p>
        </w:tc>
      </w:tr>
      <w:tr>
        <w:trPr>
          <w:trHeight w:val="216"/>
        </w:trPr>
        <w:tc>
          <w:tcPr>
            <w:tcW w:w="372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assets at end of year/period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287,966,444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252,582,801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71,503,248</w:t>
            </w:r>
          </w:p>
        </w:tc>
        <w:tc>
          <w:tcPr>
            <w:tcW w:w="0" w:type="dxa"/>
            <w:vAlign w:val="bottom"/>
          </w:tcPr>
          <w:p>
            <w:pPr>
              <w:spacing w:after="0"/>
              <w:rPr>
                <w:sz w:val="1"/>
                <w:szCs w:val="1"/>
                <w:color w:val="auto"/>
              </w:rPr>
            </w:pPr>
          </w:p>
        </w:tc>
      </w:tr>
      <w:tr>
        <w:trPr>
          <w:trHeight w:val="216"/>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Average net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250,121,052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208,050,344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44,532,523</w:t>
            </w:r>
          </w:p>
        </w:tc>
        <w:tc>
          <w:tcPr>
            <w:tcW w:w="0" w:type="dxa"/>
            <w:vAlign w:val="bottom"/>
          </w:tcPr>
          <w:p>
            <w:pPr>
              <w:spacing w:after="0"/>
              <w:rPr>
                <w:sz w:val="1"/>
                <w:szCs w:val="1"/>
                <w:color w:val="auto"/>
              </w:rPr>
            </w:pPr>
          </w:p>
        </w:tc>
      </w:tr>
      <w:tr>
        <w:trPr>
          <w:trHeight w:val="205"/>
        </w:trPr>
        <w:tc>
          <w:tcPr>
            <w:tcW w:w="37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w w:val="96"/>
              </w:rPr>
              <w:t>Annualized ratio of gross operating expenses to</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5"/>
        </w:trPr>
        <w:tc>
          <w:tcPr>
            <w:tcW w:w="37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Annualized ratio of net investment loss to</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-2134870</wp:posOffset>
            </wp:positionV>
            <wp:extent cx="521398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year/period.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121" w:lineRule="exact"/>
        <w:rPr>
          <w:sz w:val="20"/>
          <w:szCs w:val="20"/>
          <w:color w:val="auto"/>
        </w:rPr>
      </w:pPr>
    </w:p>
    <w:p>
      <w:pPr>
        <w:jc w:val="both"/>
        <w:ind w:left="280" w:right="519" w:hanging="272"/>
        <w:spacing w:after="0" w:line="259" w:lineRule="auto"/>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280" w:right="519" w:hanging="272"/>
        <w:spacing w:after="0" w:line="272" w:lineRule="auto"/>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2013, December 31, 2012, and for the period from January 6, 2011 (date of inception) to December 31, 2011, the Company incurred $0,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and its wholly-owned subsidiaries are currently taxable as C Corporations and subject to federal and state corporate income taxes. These subsidiaries hold certain pass-through companies in connection with the Company’s proposed qualification as a RIC.</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three months and six months ended June 30, 2014, neither the Company nor its subsidiaries recorded a current income tax expense or benefit since they had net operating loss and capital loss carryforwards from prior years and a net operating loss for these periods. For the three and six months ended June 30, 2013, the Company did not recognize a current income tax expense or benefit for the same reasons.</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and its wholly-owned subsidiaries recorded deferred income tax benefits and expenses for the three and six months ended June 30, 2014, which consisted primarily of temporary differences related to certain expenses, net operating losses, capital losses and temporary differences arising from differences between the tax basis and financial reporting basis in underlying investments. For the three and six months ended June 30, 2014, the Company recorded net deferred income tax benefits of $635,053 and $664,419, respectively.</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 Company may elect to be treated for federal income tax purposes as a RIC effective for the 2013 tax year. The Company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(an “SEC Certification”) for the 2013 taxable year. Although the Company filed an application with the SEC for an SEC Certification for the 2013 taxable year, there can be no assurance that it will receive an SEC Certification. In the event that it does not receive such SEC Certification, the Company will be taxed as a C Corporation for the 2013 taxable year. To that end, for purposes of our financial statements, we have accrued taxes as though we were a C Corporation for the 2013 taxable year, in the event we are unable to obtain this certification.</w:t>
      </w:r>
    </w:p>
    <w:p>
      <w:pPr>
        <w:spacing w:after="0" w:line="58"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become a C corporation in the future. In the event that the Company qualifies as a RIC, the Company itself will no longer be required to recognize deferred tax assets or liabilities.</w:t>
      </w:r>
    </w:p>
    <w:p>
      <w:pPr>
        <w:spacing w:after="0" w:line="62"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did not have any unrecognized tax benefits as of the period presented herein. The Company identified its major tax jurisdictions as U.S. federal and California. For the three and six months ended June 30, 2014, no income tax expenses or related liabilities for uncertain tax positions were recognized for the Company’s open tax years from inception through 2014. The Company is not aware of any tax positions for which it is reasonably possible that the total amount of unrecognized tax benefits will change significantly in the next 12 months.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the Company’s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7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These funds were used to purchase $10,845,236 of government securities. On February 15, 2014, 1 US Treasury Strip with a cost of $1,790,785 matured and the proceeds were used by the trustee in accordance with the terms of the escrow agreement. At June 30, 2014, the remaining government securities are shown on the Consolidated Schedule of Investments and have an amortized cost of $9,082,226. The excess funds of $22,139 remaining from the purchase of government securities held in escrow will be used to secure the payment of the notes and is included on the Consolidated Statements of Assets and Liabilities. Proceeds from the issuance of the Convertible Senior Notes were offset by offering costs of approximately $3,585,929 that are being amortized over the term of the notes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June 30, 2014, of the total offering costs of $3,585,929 incurred, $3,022,216 remains to be amortized and is included within deferred debt issuance costs on the Consolidated Statements of Assets and Liabilities.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June 30, 2014 is $159,000 as shown on the Consolidated Statement of Assets and Liabilities. The $640,000 decrease in the estimated fair value of the embedded derivative between December 31, 2013 and June 30, 2014 represents a gain from change in the fair value of embedded derivative as shown on the Consolidated Statement of Operations and Consolidated Statement of Cash Flows.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the new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the Company has made certain customary representations and warranties and the Company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4"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Credit Facility is secured by all of the Company’s property and assets, except for its assets pledged to secure certain obligations in connection with the issuance, in September 2013, of the Convertible Senior Notes and, as provided for in the Loan Agreement, as may be pledged in connection with any future issuance by the Company of convertible senior notes on substantially similar terms.</w:t>
      </w:r>
    </w:p>
    <w:p>
      <w:pPr>
        <w:spacing w:after="0" w:line="79"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Borrowing under the Credit Facility is subject to the leverage restrictions contained in the Investment Company Act of 1940, as amended. In addition, under the Loan Agreement, and as provided for therein, the Company has agreed not to incur certain additional permitted indebtedness in an aggregate amount exceeding 50% of the Company’s then-applicable net asset value.</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From June 30, 2014 through August 11, 2014, the Company did not sell any investments. From June 30, 2014 through August 11, 2014, the Company closed on investments of $4,025,995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42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3"/>
              </w:rPr>
              <w:t>Payments</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Interactive Learning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3-Jul-14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999,997</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Incubator</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8-Jul-14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Solexel, Inc.</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Solar Power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11-Jul-14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2,999,999</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Earlyshares.com</w:t>
            </w:r>
          </w:p>
        </w:tc>
        <w:tc>
          <w:tcPr>
            <w:tcW w:w="1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Equity Crowd Funding</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18-Jul-14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4,025,995</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June 30, 2014 through August 11, 2014, the Company has not made any such escrow deposits.</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180" w:right="539" w:firstLine="270"/>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quarterly report on Form 10-Q.</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80"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left="18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180" w:right="539" w:firstLine="270"/>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180" w:right="519" w:firstLine="270"/>
        <w:spacing w:after="0" w:line="264"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following table summarizes the investments we made during the 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Gross Payments</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7-Jan-14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2,984,530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25-Feb-14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107,725</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Incubator</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29-Jan-14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Incubator</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4-Mar-14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99,000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Dailybreak, Inc.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Social Advertising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11-Feb-14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430,000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AlwaysOn,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Social Media</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14-Feb-14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232,104</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2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EdSurge, Inc.</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Education Media</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Platform</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18-Feb-14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482,146</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19-Feb-14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1,280,000</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2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JAMF Holdings, Inc.</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Mobile Device</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Management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28-Feb-14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4,996,044</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General Assembly Space,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6-Mar-14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2,995,658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Assembly Space, Inc.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21-Mar-14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2,995,983</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7"/>
                <w:szCs w:val="17"/>
                <w:color w:val="auto"/>
              </w:rPr>
            </w:pP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7"/>
              </w:rPr>
              <w:t>Peer to Peer</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Ridesharing</w:t>
            </w:r>
          </w:p>
        </w:tc>
        <w:tc>
          <w:tcPr>
            <w:tcW w:w="1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21-Mar-14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4,999,991</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LED Lighting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1-Apr-14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3-Apr-14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749,040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Incubator</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4-Apr-14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238,077</w:t>
            </w:r>
          </w:p>
        </w:tc>
        <w:tc>
          <w:tcPr>
            <w:tcW w:w="126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4" w:name="page45"/>
    <w:bookmarkEnd w:id="44"/>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5"/>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Gross Payments</w:t>
            </w:r>
          </w:p>
        </w:tc>
      </w:tr>
      <w:tr>
        <w:trPr>
          <w:trHeight w:val="210"/>
        </w:trPr>
        <w:tc>
          <w:tcPr>
            <w:tcW w:w="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GSV Sustainability Partners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Clean Technology</w:t>
            </w: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270"/>
              <w:spacing w:after="0"/>
              <w:rPr>
                <w:sz w:val="20"/>
                <w:szCs w:val="20"/>
                <w:color w:val="auto"/>
              </w:rPr>
            </w:pPr>
            <w:r>
              <w:rPr>
                <w:rFonts w:ascii="Arial" w:cs="Arial" w:eastAsia="Arial" w:hAnsi="Arial"/>
                <w:sz w:val="18"/>
                <w:szCs w:val="18"/>
                <w:color w:val="auto"/>
                <w:w w:val="94"/>
              </w:rPr>
              <w:t>15-Apr-14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225,250</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NestGSV, Inc.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Incubator</w:t>
            </w:r>
          </w:p>
        </w:tc>
        <w:tc>
          <w:tcPr>
            <w:tcW w:w="160" w:type="dxa"/>
            <w:vAlign w:val="bottom"/>
          </w:tcPr>
          <w:p>
            <w:pPr>
              <w:spacing w:after="0"/>
              <w:rPr>
                <w:sz w:val="18"/>
                <w:szCs w:val="18"/>
                <w:color w:val="auto"/>
              </w:rPr>
            </w:pPr>
          </w:p>
        </w:tc>
        <w:tc>
          <w:tcPr>
            <w:tcW w:w="1880" w:type="dxa"/>
            <w:vAlign w:val="bottom"/>
            <w:gridSpan w:val="3"/>
          </w:tcPr>
          <w:p>
            <w:pPr>
              <w:jc w:val="center"/>
              <w:ind w:right="270"/>
              <w:spacing w:after="0"/>
              <w:rPr>
                <w:sz w:val="20"/>
                <w:szCs w:val="20"/>
                <w:color w:val="auto"/>
              </w:rPr>
            </w:pPr>
            <w:r>
              <w:rPr>
                <w:rFonts w:ascii="Arial" w:cs="Arial" w:eastAsia="Arial" w:hAnsi="Arial"/>
                <w:sz w:val="18"/>
                <w:szCs w:val="18"/>
                <w:color w:val="auto"/>
                <w:w w:val="94"/>
              </w:rPr>
              <w:t>17-Apr-14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348,039</w:t>
            </w:r>
          </w:p>
        </w:tc>
      </w:tr>
      <w:tr>
        <w:trPr>
          <w:trHeight w:val="202"/>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Declara, Inc.</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Social Cognitive</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Learning</w:t>
            </w: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70"/>
              <w:spacing w:after="0"/>
              <w:rPr>
                <w:sz w:val="20"/>
                <w:szCs w:val="20"/>
                <w:color w:val="auto"/>
              </w:rPr>
            </w:pPr>
            <w:r>
              <w:rPr>
                <w:rFonts w:ascii="Arial" w:cs="Arial" w:eastAsia="Arial" w:hAnsi="Arial"/>
                <w:sz w:val="18"/>
                <w:szCs w:val="18"/>
                <w:color w:val="auto"/>
                <w:w w:val="94"/>
              </w:rPr>
              <w:t>17-Apr-14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9,973,479</w:t>
            </w: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Earlyshares.com</w:t>
            </w:r>
          </w:p>
        </w:tc>
        <w:tc>
          <w:tcPr>
            <w:tcW w:w="18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 Crowd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Funding</w:t>
            </w:r>
          </w:p>
        </w:tc>
        <w:tc>
          <w:tcPr>
            <w:tcW w:w="160" w:type="dxa"/>
            <w:vAlign w:val="bottom"/>
          </w:tcPr>
          <w:p>
            <w:pPr>
              <w:spacing w:after="0"/>
              <w:rPr>
                <w:sz w:val="20"/>
                <w:szCs w:val="20"/>
                <w:color w:val="auto"/>
              </w:rPr>
            </w:pPr>
          </w:p>
        </w:tc>
        <w:tc>
          <w:tcPr>
            <w:tcW w:w="1880" w:type="dxa"/>
            <w:vAlign w:val="bottom"/>
            <w:gridSpan w:val="3"/>
          </w:tcPr>
          <w:p>
            <w:pPr>
              <w:jc w:val="center"/>
              <w:ind w:right="270"/>
              <w:spacing w:after="0"/>
              <w:rPr>
                <w:sz w:val="20"/>
                <w:szCs w:val="20"/>
                <w:color w:val="auto"/>
              </w:rPr>
            </w:pPr>
            <w:r>
              <w:rPr>
                <w:rFonts w:ascii="Arial" w:cs="Arial" w:eastAsia="Arial" w:hAnsi="Arial"/>
                <w:sz w:val="18"/>
                <w:szCs w:val="18"/>
                <w:color w:val="auto"/>
                <w:w w:val="94"/>
              </w:rPr>
              <w:t>1-May-14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224,999</w:t>
            </w: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GSV Sustainability Partners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Clean Technology</w:t>
            </w: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95"/>
              </w:rPr>
              <w:t>15-May-14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371,300</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NestGSV, Inc.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Incubator</w:t>
            </w:r>
          </w:p>
        </w:tc>
        <w:tc>
          <w:tcPr>
            <w:tcW w:w="160" w:type="dxa"/>
            <w:vAlign w:val="bottom"/>
          </w:tcPr>
          <w:p>
            <w:pPr>
              <w:spacing w:after="0"/>
              <w:rPr>
                <w:sz w:val="18"/>
                <w:szCs w:val="18"/>
                <w:color w:val="auto"/>
              </w:rPr>
            </w:pPr>
          </w:p>
        </w:tc>
        <w:tc>
          <w:tcPr>
            <w:tcW w:w="1880" w:type="dxa"/>
            <w:vAlign w:val="bottom"/>
            <w:gridSpan w:val="3"/>
          </w:tcPr>
          <w:p>
            <w:pPr>
              <w:jc w:val="center"/>
              <w:ind w:right="290"/>
              <w:spacing w:after="0"/>
              <w:rPr>
                <w:sz w:val="20"/>
                <w:szCs w:val="20"/>
                <w:color w:val="auto"/>
              </w:rPr>
            </w:pPr>
            <w:r>
              <w:rPr>
                <w:rFonts w:ascii="Arial" w:cs="Arial" w:eastAsia="Arial" w:hAnsi="Arial"/>
                <w:sz w:val="18"/>
                <w:szCs w:val="18"/>
                <w:color w:val="auto"/>
                <w:w w:val="95"/>
              </w:rPr>
              <w:t>16-May-14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559,133</w:t>
            </w:r>
          </w:p>
        </w:tc>
      </w:tr>
      <w:tr>
        <w:trPr>
          <w:trHeight w:val="202"/>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Fullbridge, Inc.</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Business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Education</w:t>
            </w: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91"/>
              </w:rPr>
              <w:t>20-Jun-14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150,001</w:t>
            </w: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w w:val="92"/>
              </w:rPr>
              <w:t>Circle Media (f.k.a.S3 Digital Corp. (d/b/a</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S3i) (1)</w:t>
            </w:r>
          </w:p>
        </w:tc>
        <w:tc>
          <w:tcPr>
            <w:tcW w:w="1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Sports Analytics</w:t>
            </w:r>
          </w:p>
        </w:tc>
        <w:tc>
          <w:tcPr>
            <w:tcW w:w="16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26-Jun-14</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Payments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34,805,499</w:t>
            </w: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-8255</wp:posOffset>
            </wp:positionV>
            <wp:extent cx="52139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-2014855</wp:posOffset>
            </wp:positionV>
            <wp:extent cx="52139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investments we disposed of during the 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5"/>
              </w:rPr>
              <w:t>Share Price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3"/>
              </w:rPr>
              <w:t>Net Proceeds</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5-Feb-14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126,655</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6-Feb-14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83,991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7-Feb-14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646,432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10-Feb-14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210,008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12-Feb-14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1,157,940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12-Feb-14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1,205,224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13-Mar-14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18-Mar-14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229,989</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19-Mar-14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20-Mar-14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223,290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21-Mar-14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224,420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24-Mar-14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81,946</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11-Apr-14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11-Apr-14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201,439</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15-Apr-14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17-Apr-14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198,151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23-Apr-14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23-Apr-14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186,965</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24-Apr-14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28-Apr-14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194,690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29-Apr-14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29-Apr-14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189,353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11-Jun-14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12-Jun-14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5,100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94,309</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12-Jun-14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20-Jun-14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20-Jun-14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40,976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741,182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25-Jun-14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900,560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25-Jun-14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834,152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25-Jun-14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285,386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5,258,463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25-Jun-14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24,264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438,810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3-Feb-14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1,500,599</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5-Feb-14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3,058,437</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6-Feb-14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1,526,163</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19-Feb-14</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1,626,232</w:t>
            </w:r>
          </w:p>
        </w:tc>
        <w:tc>
          <w:tcPr>
            <w:tcW w:w="126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gridSpan w:val="2"/>
          </w:tcPr>
          <w:p>
            <w:pPr>
              <w:jc w:val="right"/>
              <w:ind w:right="788"/>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5"/>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 Price</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Net Proceeds</w:t>
            </w: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Facebook, Inc.</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27-Feb-14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Facebook, Inc.</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16-Jun-14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64.11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1,602,665</w:t>
            </w:r>
          </w:p>
        </w:tc>
        <w:tc>
          <w:tcPr>
            <w:tcW w:w="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Violin Memory, Inc.</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11-Apr-14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58,862</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Violin Memory, Inc.</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11-Apr-14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1,188,636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4,719,254</w:t>
            </w:r>
          </w:p>
        </w:tc>
        <w:tc>
          <w:tcPr>
            <w:tcW w:w="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Spring Networks, Inc.</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15-Apr-14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Silver Spring Networks, Inc.</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17-Apr-14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610,902</w:t>
            </w:r>
          </w:p>
        </w:tc>
        <w:tc>
          <w:tcPr>
            <w:tcW w:w="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Spring Networks, Inc.</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17-Apr-14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Silver Spring Networks, Inc.</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23-Apr-14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9,100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129,958</w:t>
            </w:r>
          </w:p>
        </w:tc>
        <w:tc>
          <w:tcPr>
            <w:tcW w:w="80" w:type="dxa"/>
            <w:vAlign w:val="bottom"/>
          </w:tcPr>
          <w:p>
            <w:pPr>
              <w:spacing w:after="0"/>
              <w:rPr>
                <w:sz w:val="18"/>
                <w:szCs w:val="18"/>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Spring Networks, Inc.</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23-Apr-14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Total Net Proceeds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32,853,238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1885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fair value, as of June 30, 2014, of all of our portfolio investments, excluding U.S. Treasury Bills and Strips, was $367,037,838. We also held $4,194,280 of unrestricted cash and $22,139 restricted cash on June 30, 2014.</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2014 and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Per Basic</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0" w:type="dxa"/>
            <w:vAlign w:val="bottom"/>
          </w:tcPr>
          <w:p>
            <w:pPr>
              <w:spacing w:after="0"/>
              <w:rPr>
                <w:sz w:val="1"/>
                <w:szCs w:val="1"/>
                <w:color w:val="auto"/>
              </w:rPr>
            </w:pPr>
          </w:p>
        </w:tc>
      </w:tr>
      <w:tr>
        <w:trPr>
          <w:trHeight w:val="202"/>
        </w:trPr>
        <w:tc>
          <w:tcPr>
            <w:tcW w:w="4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97,033</w:t>
            </w:r>
          </w:p>
        </w:tc>
        <w:tc>
          <w:tcPr>
            <w:tcW w:w="160" w:type="dxa"/>
            <w:vAlign w:val="bottom"/>
          </w:tcPr>
          <w:p>
            <w:pPr>
              <w:spacing w:after="0"/>
              <w:rPr>
                <w:sz w:val="18"/>
                <w:szCs w:val="18"/>
                <w:color w:val="auto"/>
              </w:rPr>
            </w:pPr>
          </w:p>
        </w:tc>
        <w:tc>
          <w:tcPr>
            <w:tcW w:w="620" w:type="dxa"/>
            <w:vAlign w:val="bottom"/>
          </w:tcPr>
          <w:p>
            <w:pPr>
              <w:jc w:val="right"/>
              <w:ind w:right="42"/>
              <w:spacing w:after="0"/>
              <w:rPr>
                <w:sz w:val="20"/>
                <w:szCs w:val="20"/>
                <w:color w:val="auto"/>
              </w:rPr>
            </w:pPr>
            <w:r>
              <w:rPr>
                <w:rFonts w:ascii="Arial" w:cs="Arial" w:eastAsia="Arial" w:hAnsi="Arial"/>
                <w:sz w:val="18"/>
                <w:szCs w:val="18"/>
                <w:b w:val="1"/>
                <w:bCs w:val="1"/>
                <w:color w:val="auto"/>
              </w:rPr>
              <w:t>0.01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15,723</w:t>
            </w:r>
          </w:p>
        </w:tc>
        <w:tc>
          <w:tcPr>
            <w:tcW w:w="16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96,935</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15,723</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5,875,551</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2,402,634</w:t>
            </w:r>
          </w:p>
        </w:tc>
        <w:tc>
          <w:tcPr>
            <w:tcW w:w="8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1,933,663</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1,246,378</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844,633</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Costs incurred under our administration agreement</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929,701</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709,885</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65,000</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65,000</w:t>
            </w:r>
          </w:p>
        </w:tc>
        <w:tc>
          <w:tcPr>
            <w:tcW w:w="8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402,555</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220,978</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1,533,971</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60,303</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64,062</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103,384</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72,943</w:t>
            </w:r>
          </w:p>
        </w:tc>
        <w:tc>
          <w:tcPr>
            <w:tcW w:w="8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22,341</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23,388</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Gain on fair value adjustment for embedded derivative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2,359,369</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(3,419,149)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(2,386,911)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Realized Loss on Investments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(7,249,566)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(6,327,632)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for taxes on Net Realized Capital Losses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2,959,998</w:t>
            </w:r>
          </w:p>
        </w:tc>
        <w:tc>
          <w:tcPr>
            <w:tcW w:w="7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Change in Unrealized Appreciation on Investments</w:t>
            </w: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11,472,725</w:t>
            </w:r>
          </w:p>
        </w:tc>
        <w:tc>
          <w:tcPr>
            <w:tcW w:w="780" w:type="dxa"/>
            <w:vAlign w:val="bottom"/>
            <w:gridSpan w:val="2"/>
          </w:tcPr>
          <w:p>
            <w:pPr>
              <w:jc w:val="right"/>
              <w:ind w:right="42"/>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12,230,246</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(4,684,314)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80" w:type="dxa"/>
            <w:vAlign w:val="bottom"/>
          </w:tcPr>
          <w:p>
            <w:pPr>
              <w:ind w:left="200"/>
              <w:spacing w:after="0" w:line="201" w:lineRule="exact"/>
              <w:rPr>
                <w:sz w:val="20"/>
                <w:szCs w:val="20"/>
                <w:color w:val="auto"/>
              </w:rPr>
            </w:pPr>
            <w:r>
              <w:rPr>
                <w:rFonts w:ascii="Arial" w:cs="Arial" w:eastAsia="Arial" w:hAnsi="Arial"/>
                <w:sz w:val="18"/>
                <w:szCs w:val="18"/>
                <w:color w:val="auto"/>
                <w:w w:val="95"/>
              </w:rPr>
              <w:t>Net Increase (Decrease) in Net Assets Resulting From</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(920,306)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3,515,703</w:t>
            </w:r>
          </w:p>
        </w:tc>
        <w:tc>
          <w:tcPr>
            <w:tcW w:w="860" w:type="dxa"/>
            <w:vAlign w:val="bottom"/>
            <w:gridSpan w:val="2"/>
          </w:tcPr>
          <w:p>
            <w:pPr>
              <w:jc w:val="right"/>
              <w:ind w:right="5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51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a weighted-average of 19,320,100 and 19,320,100 shares outstanding for the three months ended June 30, 2014 and June 30, 2013, respectively.</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60" w:right="539" w:firstLine="270"/>
        <w:spacing w:after="0" w:line="342" w:lineRule="auto"/>
        <w:rPr>
          <w:sz w:val="20"/>
          <w:szCs w:val="20"/>
          <w:color w:val="auto"/>
        </w:rPr>
      </w:pPr>
      <w:r>
        <w:rPr>
          <w:rFonts w:ascii="Arial" w:cs="Arial" w:eastAsia="Arial" w:hAnsi="Arial"/>
          <w:sz w:val="16"/>
          <w:szCs w:val="16"/>
          <w:color w:val="auto"/>
        </w:rPr>
        <w:t>Investment income increased from $15,723 for the three months ended June 30, 2013 to $97,033, for the three months ended June 30, 2014. The increase was primarily due to the addition of several new term loans during the quarter ended June 30, 2014.</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60" w:right="519" w:firstLine="270"/>
        <w:spacing w:after="0" w:line="291" w:lineRule="auto"/>
        <w:rPr>
          <w:sz w:val="20"/>
          <w:szCs w:val="20"/>
          <w:color w:val="auto"/>
        </w:rPr>
      </w:pPr>
      <w:r>
        <w:rPr>
          <w:rFonts w:ascii="Arial" w:cs="Arial" w:eastAsia="Arial" w:hAnsi="Arial"/>
          <w:sz w:val="16"/>
          <w:szCs w:val="16"/>
          <w:color w:val="auto"/>
        </w:rPr>
        <w:t>Total operating expenses increased from $2,402,634 for the three months ended June 30, 2013 to $5,875,551, for the three months ended June 30, 2014. The increase was primarily due to increases in interest expense, incentive fees, and investment management fees. The increases in interest expense resulted from the Convertible Senior Notes and the Credit Facility. These borrowings have enabled us to increase our portfolio and continue to invest in emerging companies. Refer to “Overview” for a further discussion of our investment philosophy. The incentive fees result from the significant appreciation in our portfolio for the three months ended June 30, 2014 relative to the three months ended June 30, 2013. The increased management fees are a result of the growth of our investment portfolio for the three months ended June 30, 2014 relative to the three months ended June 30, 2013.</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Losses on Investments</w:t>
      </w:r>
    </w:p>
    <w:p>
      <w:pPr>
        <w:spacing w:after="0" w:line="117"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Net realized losses on investments increased from $6,327,632 for the three months ended June 30, 2013 to $7,249,566, for the three months ended June 30, 2014. The increase was primarily due to the sales of our shares of Violin Memory, Inc. and Silver Spring Networks, Inc. These losses were partially offset by gains from the sales of our shares in Control4Corporation.</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of Investments</w:t>
      </w:r>
    </w:p>
    <w:p>
      <w:pPr>
        <w:spacing w:after="0" w:line="117"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Net change in unrealized appreciation of investments decreased from $12,230,246 for the three months ended June 30, 2013 to $11,472,725, for the three months ended June 30, 2014. The following table summarizes the significant changes in unrealized appreciation (depreciation) of the Company’s investment portfolio for the three months ended June 30, 2014 by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61315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119380</wp:posOffset>
            </wp:positionV>
            <wp:extent cx="61315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June 30, 2014 (Unaudited)</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March 31, 2014 (Unaudited)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(Depreciation)</w:t>
            </w: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Twitter, Inc.</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32,991,111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77,867,582</w:t>
            </w:r>
          </w:p>
        </w:tc>
        <w:tc>
          <w:tcPr>
            <w:tcW w:w="4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7"/>
              </w:rPr>
              <w:t>$ 44,876,471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9"/>
              </w:rPr>
              <w:t>32,991,111</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80,717,912</w:t>
            </w:r>
          </w:p>
        </w:tc>
        <w:tc>
          <w:tcPr>
            <w:tcW w:w="4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7"/>
              </w:rPr>
              <w:t>$ 47,726,801</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(2,850,330)</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21,060,447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41,233,482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20,173,035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21,060,448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42,447,871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21,387,423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(1,214,388)</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13,656,486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28,156,997</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14,500,511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13,656,486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25,068,483</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11,411,997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3,088,514</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2U, Inc. (f/k/a 2tor,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10,032,117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19,293,387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9,261,270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10,031,837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14,856,213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4,824,376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4,436,894</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ZocDoc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5,298,056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7,796,650</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2,498,594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5,298,056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5,649,417</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351,361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2,147,233</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Avenues Global Holdings, LLC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10,151,854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11,258,690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1,106,836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10,151,854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10,220,061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68,207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1,038,629</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Silver Spring Networks,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5,145,271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1,773,247</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(3,372,024)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3,372,024</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Violin Memory,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14,820,178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4,989,992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(9,830,186)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9,830,186</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Control4 Corporation</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5,257,705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12,282,478</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7,024,773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(7,024,773)</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Totus Solutions,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6,100,283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1,094,403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(5,005,880)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6,023,973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3,627,332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(2,396,641)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(2,609,239)</w:t>
            </w:r>
          </w:p>
        </w:tc>
        <w:tc>
          <w:tcPr>
            <w:tcW w:w="0" w:type="dxa"/>
            <w:vAlign w:val="bottom"/>
          </w:tcPr>
          <w:p>
            <w:pPr>
              <w:spacing w:after="0"/>
              <w:rPr>
                <w:sz w:val="1"/>
                <w:szCs w:val="1"/>
                <w:color w:val="auto"/>
              </w:rPr>
            </w:pPr>
          </w:p>
        </w:tc>
      </w:tr>
      <w:tr>
        <w:trPr>
          <w:trHeight w:val="243"/>
        </w:trPr>
        <w:tc>
          <w:tcPr>
            <w:tcW w:w="27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272,756,525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269,439,233</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(3,317,292)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260,055,782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255,480,515</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(4,575,267)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1,257,975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372,046,879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456,140,424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2"/>
              </w:rPr>
              <w:t>$ 84,093,545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384,492,701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457,113,521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2"/>
              </w:rPr>
              <w:t>$ 72,620,820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11,472,725</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613156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3156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whose individual change in unrealized appreciation (depreciation) was less than $1,000,000 for the three months ended June 30, 2014.</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Net increase (decrease) in net assets resulting from operations was $(920,306), and $3,515,703, respectively, for the three months ended June 30, 2014 and June 30, 2013. The decrease was the result of</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increased operating expenses, and the provision for taxes on unrealized appreciation of investments. These items were partially offset by the benefit for taxes on net investment loss and the benefit for taxes on net realized capital losses.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2014 and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June 30, 2014 (Unaudited)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June 30, 2013 (Unaudited)</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Per Basic</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Per Basic</w:t>
            </w:r>
          </w:p>
        </w:tc>
        <w:tc>
          <w:tcPr>
            <w:tcW w:w="0" w:type="dxa"/>
            <w:vAlign w:val="bottom"/>
          </w:tcPr>
          <w:p>
            <w:pPr>
              <w:spacing w:after="0"/>
              <w:rPr>
                <w:sz w:val="1"/>
                <w:szCs w:val="1"/>
                <w:color w:val="auto"/>
              </w:rPr>
            </w:pPr>
          </w:p>
        </w:tc>
      </w:tr>
      <w:tr>
        <w:trPr>
          <w:trHeight w:val="202"/>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ind w:right="122"/>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   137,848</w:t>
            </w:r>
          </w:p>
        </w:tc>
        <w:tc>
          <w:tcPr>
            <w:tcW w:w="16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8"/>
                <w:szCs w:val="18"/>
                <w:b w:val="1"/>
                <w:bCs w:val="1"/>
                <w:color w:val="auto"/>
              </w:rPr>
              <w:t>0.01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20,258</w:t>
            </w:r>
          </w:p>
        </w:tc>
        <w:tc>
          <w:tcPr>
            <w:tcW w:w="16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109,186</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28,662</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20,258</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10,724,094</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7"/>
              </w:rPr>
              <w:t>4,974,894</w:t>
            </w:r>
          </w:p>
        </w:tc>
        <w:tc>
          <w:tcPr>
            <w:tcW w:w="11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Investment management fees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3,689,859</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2,529,977</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Fees</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1,814,285</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ind w:left="200"/>
              <w:spacing w:after="0" w:line="201" w:lineRule="exact"/>
              <w:rPr>
                <w:sz w:val="20"/>
                <w:szCs w:val="20"/>
                <w:color w:val="auto"/>
              </w:rPr>
            </w:pPr>
            <w:r>
              <w:rPr>
                <w:rFonts w:ascii="Arial" w:cs="Arial" w:eastAsia="Arial" w:hAnsi="Arial"/>
                <w:sz w:val="18"/>
                <w:szCs w:val="18"/>
                <w:color w:val="auto"/>
              </w:rPr>
              <w:t>Costs incurred under our administration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agreement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1,838,233</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1,597,869</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130,000</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130,250</w:t>
            </w:r>
          </w:p>
        </w:tc>
        <w:tc>
          <w:tcPr>
            <w:tcW w:w="11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859,094</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457,864</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2,713,696</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Insurance Expense</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120,039</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117,075</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Investor Relations Expense</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158,296</w:t>
            </w:r>
          </w:p>
        </w:tc>
        <w:tc>
          <w:tcPr>
            <w:tcW w:w="10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116,505</w:t>
            </w:r>
          </w:p>
        </w:tc>
        <w:tc>
          <w:tcPr>
            <w:tcW w:w="11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40,592</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25,354</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derivative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4,372,283</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(6,213,963)</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(4,954,636)</w:t>
            </w:r>
          </w:p>
        </w:tc>
        <w:tc>
          <w:tcPr>
            <w:tcW w:w="11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Realized Gain (Loss) on Investments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682,179</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(9,674,524)</w:t>
            </w:r>
          </w:p>
        </w:tc>
        <w:tc>
          <w:tcPr>
            <w:tcW w:w="1180" w:type="dxa"/>
            <w:vAlign w:val="bottom"/>
            <w:gridSpan w:val="2"/>
          </w:tcPr>
          <w:p>
            <w:pPr>
              <w:jc w:val="right"/>
              <w:ind w:right="74"/>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Provision for taxes on Net Realized Capital</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(278,533)</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ind w:left="200"/>
              <w:spacing w:after="0" w:line="201" w:lineRule="exact"/>
              <w:rPr>
                <w:sz w:val="20"/>
                <w:szCs w:val="20"/>
                <w:color w:val="auto"/>
              </w:rPr>
            </w:pPr>
            <w:r>
              <w:rPr>
                <w:rFonts w:ascii="Arial" w:cs="Arial" w:eastAsia="Arial" w:hAnsi="Arial"/>
                <w:sz w:val="18"/>
                <w:szCs w:val="18"/>
                <w:color w:val="auto"/>
              </w:rPr>
              <w:t>Change in Unrealized Appreciation 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8,399,046</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6"/>
              </w:rPr>
              <w:t>10,653,608</w:t>
            </w:r>
          </w:p>
        </w:tc>
        <w:tc>
          <w:tcPr>
            <w:tcW w:w="1180" w:type="dxa"/>
            <w:vAlign w:val="bottom"/>
            <w:gridSpan w:val="2"/>
          </w:tcPr>
          <w:p>
            <w:pPr>
              <w:jc w:val="right"/>
              <w:ind w:right="13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Provision for taxes on Unrealized Appreciation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(3,429,331)</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ind w:left="200"/>
              <w:spacing w:after="0" w:line="201" w:lineRule="exact"/>
              <w:rPr>
                <w:sz w:val="20"/>
                <w:szCs w:val="20"/>
                <w:color w:val="auto"/>
              </w:rPr>
            </w:pPr>
            <w:r>
              <w:rPr>
                <w:rFonts w:ascii="Arial" w:cs="Arial" w:eastAsia="Arial" w:hAnsi="Arial"/>
                <w:sz w:val="18"/>
                <w:szCs w:val="18"/>
                <w:color w:val="auto"/>
              </w:rPr>
              <w:t>Net Increase (Decrease) in Net Assets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Resulting From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(840,602)</w:t>
            </w: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(3,975,552)</w:t>
            </w:r>
          </w:p>
        </w:tc>
        <w:tc>
          <w:tcPr>
            <w:tcW w:w="1180" w:type="dxa"/>
            <w:vAlign w:val="bottom"/>
            <w:gridSpan w:val="2"/>
          </w:tcPr>
          <w:p>
            <w:pPr>
              <w:jc w:val="right"/>
              <w:ind w:right="74"/>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19" w:hanging="272"/>
        <w:spacing w:after="0" w:line="277"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a weighted-average of 19,320,100 and 19,320,100 shares outstanding for the six months ended June 30, 2014 and June 30, 2013, respectively.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60" w:right="539" w:firstLine="270"/>
        <w:spacing w:after="0" w:line="342" w:lineRule="auto"/>
        <w:rPr>
          <w:sz w:val="20"/>
          <w:szCs w:val="20"/>
          <w:color w:val="auto"/>
        </w:rPr>
      </w:pPr>
      <w:r>
        <w:rPr>
          <w:rFonts w:ascii="Arial" w:cs="Arial" w:eastAsia="Arial" w:hAnsi="Arial"/>
          <w:sz w:val="16"/>
          <w:szCs w:val="16"/>
          <w:color w:val="auto"/>
        </w:rPr>
        <w:t>Investment income increased from $20,258 for the six months ended June 30, 2013 to $137,848, for the six months ended June 30, 2014. The increase was primarily due to the addition of several new term loans during the six months ended June 30, 2014.</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Total operating expenses increased from $4,974,894 for the six months ended June 30, 2013 to $10,724,094, for the six months ended June 30, 2014. The increase was primarily due to increases in interest expense, incentive fees, and investment management fees. The increases in interest expense resulted from the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76" w:lineRule="auto"/>
        <w:rPr>
          <w:sz w:val="20"/>
          <w:szCs w:val="20"/>
          <w:color w:val="auto"/>
        </w:rPr>
      </w:pPr>
      <w:r>
        <w:rPr>
          <w:rFonts w:ascii="Arial" w:cs="Arial" w:eastAsia="Arial" w:hAnsi="Arial"/>
          <w:sz w:val="17"/>
          <w:szCs w:val="17"/>
          <w:color w:val="auto"/>
        </w:rPr>
        <w:t>Convertible Senior Notes and the Credit Facility. These borrowings have enabled us to increase our portfolio and continue to invest in emerging companies. Refer to “Overview” for a further discussion of our investment philosophy. The incentive fees result from the appreciation in our portfolio for the six months ended June 30, 2014 relative to the six months ended June 30, 2013. The increased management fees are a result of the growth in our total assets, which primarily results from the growth of our investment portfolio for the six months ended June 30, 2014 relative to the six months ended June 30, 2013.</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and (Losses) on Investments</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For the six months ended June 30, 2014, we had $682,179 of realized capital gains, which represents a significant increase from the six months ended June 30, 2013, during which we incurred $9,674,524 of realized capital losses. The increase was primarily due to gains from the sales of our shares of Control4 Corporation and Facebook, Inc., which were offset by losses resulting from the sales of Violin Memory, Inc. and Silver Springs Networks, Inc.</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of Investments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Net change in unrealized appreciation of investments decreased from $10,653,608 for the six months ended June 30, 2013 to $8,399,046, for the six months ended June 30, 2014. The following table summarizes the significant changes in unrealized appreciation (depreciation) of the Company’s investment portfolio company for the six months ended June 30, 2014 by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1404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wp:posOffset>
            </wp:positionV>
            <wp:extent cx="61404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June 30, 2014 (Unaudited)</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December 31, 2013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Twitter, Inc.</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32,991,111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77,867,582</w:t>
            </w:r>
          </w:p>
        </w:tc>
        <w:tc>
          <w:tcPr>
            <w:tcW w:w="4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7"/>
              </w:rPr>
              <w:t>$ 44,876,471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9"/>
              </w:rPr>
              <w:t>32,991,111</w:t>
            </w:r>
          </w:p>
        </w:tc>
        <w:tc>
          <w:tcPr>
            <w:tcW w:w="4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$102,822,460</w:t>
            </w:r>
          </w:p>
        </w:tc>
        <w:tc>
          <w:tcPr>
            <w:tcW w:w="4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$ 69,831,349</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0"/>
              </w:rPr>
              <w:t>(24,954,878)</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21,060,447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41,233,482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20,173,035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21,060,447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33,838,830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12,778,383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7,394,652</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13,656,486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28,156,997</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14,500,511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13,656,486</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15,855,197</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2,198,711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12,301,800</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2U, Inc. (f/k/a 2tor,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10,032,117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19,293,387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9,261,270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10,031,318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11,310,709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1,279,391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7,981,879</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SugarCRM,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8,299,914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11,097,728</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2,797,814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8,299,794</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9,379,673</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1,079,879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1,717,935</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ZocDoc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5,298,056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7,796,650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2,498,594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5,298,056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6,123,024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824,968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1,673,626</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Avenues Global Holdings, LLC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10,151,854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11,258,690</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1,106,836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10,150,484</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10,014,270</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(136,214)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1,243,050</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Facebook,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5,236,147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9,563,750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4,327,603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(4,327,603)</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Silver Spring Networks,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5,145,271</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2,142,588</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(3,002,683)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3,002,683</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Violin Memory,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14,819,618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4,204,068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(10,615,550)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10,615,550</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Control4 Corporation</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7,010,762</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13,300,129</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6,289,367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(6,289,367)</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Totus Solutions,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6,100,283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1,094,403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(5,005,880)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6,023,973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3,750,839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(2,273,134)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(2,732,746)</w:t>
            </w:r>
          </w:p>
        </w:tc>
        <w:tc>
          <w:tcPr>
            <w:tcW w:w="0" w:type="dxa"/>
            <w:vAlign w:val="bottom"/>
          </w:tcPr>
          <w:p>
            <w:pPr>
              <w:spacing w:after="0"/>
              <w:rPr>
                <w:sz w:val="1"/>
                <w:szCs w:val="1"/>
                <w:color w:val="auto"/>
              </w:rPr>
            </w:pPr>
          </w:p>
        </w:tc>
      </w:tr>
      <w:tr>
        <w:trPr>
          <w:trHeight w:val="243"/>
        </w:trPr>
        <w:tc>
          <w:tcPr>
            <w:tcW w:w="27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264,456,611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258,341,505</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(6,115,106)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150,830,887</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143,943,316</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(6,887,571)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772,465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372,046,879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456,140,424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2"/>
              </w:rPr>
              <w:t>$ 84,093,545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290,554,354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366,248,853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4"/>
              </w:rPr>
              <w:t>$ 75,694,499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8,399,046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7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61404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4045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whose individual change in unrealized appreciation (depreciation) was less than $1,000,000 for the six months ended June 30, 2014.</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Net decrease in net assets resulting from operations was 840,602, and $3,975,552, respectively, for the six months ended June 30, 2014 and June 30, 2013. This was the result of increased realized capital gains, the benefit for taxes on net investment loss, offset by increased operating expenses, a decrease change in unrealized appreciation of investments and the provision for taxes on unrealized appreciation of investments.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At June 30, 2014, we had portfolio company investments with costs totaling $282,964,208; U.S. Treasury Strips of $9,082,226, unrestricted cash of $4,194,280, and restricted cash of $22,139.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September 17, 2013, we issued $69,000,000 aggregate principal amount of the Convertible Senior Notes (the “Convertible Notes”) (including $9,000,000 aggregate principal amount issued pursuant to the exercise of the initial purchasers’ option to purchase additional Convertible Notes). The Convertible Notes bear interest at a fixed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 unless previously purchased or converted in accordance with their terms. We do not have the right to redeem the Convertible Notes prior to maturity.</w:t>
      </w:r>
    </w:p>
    <w:p>
      <w:pPr>
        <w:spacing w:after="0" w:line="58"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entered into a Loan and Security Agreement (the “Loan Agreement”), effective December 31, 2013, with Silicon Valley Bank to provide us with a new $18 million credit facility (the “Credit Facility”). Under the Credit Facility, we are permitted to borrow an amount equal to the lesser of $18 million or 20% of our then-current net asset value.</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2014, we had $15,141,333 in borrowings outstanding under the Credit Facility.</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June 30, 2014, except for amounts retained for purposes of funding our ongoing expenses. For the six months ended June 30, 2014, cash used in operating activities, consisting primarily of investment activity, was approximately $18.1 million.</w:t>
      </w:r>
    </w:p>
    <w:p>
      <w:pPr>
        <w:spacing w:after="0" w:line="79"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Our current policy is to maintain cash reserves and liquid securities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$844,633 and $1,814,285 in accrued incentive fees, $1,933,663 and $3,689,859 in investment management fees and $929,701 and $1,838,233 in costs incurred under the administration agreement for three and six months ended June 30, 2014, respectively. We incurred approximately $1,246,378 and $2,529,977 in investment management fees and $709,885 and $1,597,869 in costs incurred under the administration agreement for the three and six months ended June 30, 2013, respectively.</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June 30, 2014, the fair value of our level 1 portfolio investments, which are not subject to lock-up, was $86,194,438.</w:t>
      </w:r>
    </w:p>
    <w:p>
      <w:pPr>
        <w:spacing w:after="0" w:line="12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As of June 30, 2014, the fair value of our portfolio investments was $367.0 million.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542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4"/>
              </w:rPr>
              <w:t>Payments Due By Period (dollars in millions)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1 – 3 years</w:t>
            </w: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3 – 5 years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More than 5</w:t>
            </w:r>
          </w:p>
        </w:tc>
        <w:tc>
          <w:tcPr>
            <w:tcW w:w="0" w:type="dxa"/>
            <w:vAlign w:val="bottom"/>
          </w:tcPr>
          <w:p>
            <w:pPr>
              <w:spacing w:after="0"/>
              <w:rPr>
                <w:sz w:val="1"/>
                <w:szCs w:val="1"/>
                <w:color w:val="auto"/>
              </w:rPr>
            </w:pPr>
          </w:p>
        </w:tc>
      </w:tr>
      <w:tr>
        <w:trPr>
          <w:trHeight w:val="171"/>
        </w:trPr>
        <w:tc>
          <w:tcPr>
            <w:tcW w:w="358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50"/>
        </w:trPr>
        <w:tc>
          <w:tcPr>
            <w:tcW w:w="358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72.0</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0" w:right="519" w:hanging="27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that settled on June 30, 2014. The payable was subsequently repaid on July 3, 2014 when the United States Treasury Bill matured and the $8.0 million margin deposit which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unused amount of the credit facility at June 30, 2014 was $2,858,667.</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weighted average interest rate incurred under the credit facility was 8.00% for the six months ended June 30, 2014.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60" w:right="539" w:firstLine="270"/>
        <w:spacing w:after="0" w:line="308" w:lineRule="auto"/>
        <w:rPr>
          <w:sz w:val="20"/>
          <w:szCs w:val="20"/>
          <w:color w:val="auto"/>
        </w:rPr>
      </w:pPr>
      <w:r>
        <w:rPr>
          <w:rFonts w:ascii="Arial" w:cs="Arial" w:eastAsia="Arial" w:hAnsi="Arial"/>
          <w:sz w:val="17"/>
          <w:szCs w:val="17"/>
          <w:color w:val="auto"/>
        </w:rPr>
        <w:t>As of June 30, 2014,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57"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6"/>
          <w:szCs w:val="16"/>
          <w:color w:val="auto"/>
        </w:rPr>
        <w:t>We are currently taxable as a C corporation and subject to federal and state corporation income taxes. We may elect to be treated as a RIC under Subchapter M of the Code, beginning with our 2013 taxable year if the Company is able to satisfy the requirements to be treated as a RIC. However,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Although we have filed an application with the SEC for this certification, there can be no assurance that we will receive it. If we are unable to qualify as a RIC, we will continue to be taxed as a C corporation under the Code for our 2013 taxable year. To that end, for purposes of our financial statements, we have accrued taxes as though we were a C Corporation for the 2013 taxable year, in the event we are unable to obtain this certification. We intend to elect to be treated as a RIC for our 2014 taxable year, if management determines that it is in our best interests to do so. To obtain and maintain RIC tax treatment, we must, among other things, distribute at least 90% of our ordinary income and realized net short-term capital gains in excess of realized net long-term capital losses, if any, for each taxable year.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6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1" w:lineRule="auto"/>
        <w:rPr>
          <w:sz w:val="20"/>
          <w:szCs w:val="20"/>
          <w:color w:val="auto"/>
        </w:rPr>
      </w:pPr>
      <w:r>
        <w:rPr>
          <w:rFonts w:ascii="Arial" w:cs="Arial" w:eastAsia="Arial" w:hAnsi="Arial"/>
          <w:sz w:val="17"/>
          <w:szCs w:val="17"/>
          <w:color w:val="auto"/>
        </w:rPr>
        <w:t>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On September 17, 2013, the Company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9"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placed $10,845,236 of government securities in an escrow account with the Trustee. As of June 30, 2014, 1 US Treasury Strip with a cost of $1,790,785 matured and the proceeds were used by the trustee in accordance with the terms of the escrow agreement. These government securities are shown on the consolidated schedule of investments.</w:t>
      </w:r>
    </w:p>
    <w:p>
      <w:pPr>
        <w:spacing w:after="0" w:line="8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64"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the new $18 million Credit Facility. Under the Credit Facility, we are permitted to borrow an amount equal to the lesser of $18 million or 20% of our then-current net asset value.</w:t>
      </w:r>
    </w:p>
    <w:p>
      <w:pPr>
        <w:spacing w:after="0" w:line="73"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4"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3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GSV Capital’s Board of Directors has authorized a share repurchase program of GSVC stock of up to $10 million over the next 12 months. Under the repurchase program, the Company may repurchase its outstanding common stock in the open market provided that the Company complies with the prohibitions under its Insider Trading policies and procedures and the guidelines specified in Rule 10b-18 of the Securities Exchange Act of 1934.</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GSV Asset Management earned $1,933,663 and $3,689,859 in base management fees and $0 in incentive fees for the three and six months ended June 30, 2014, respectively. For the three and six months ended June 30, 2014, respectively, we accrued incentive fees of $844,633, and $1,814,285, in accordance with the AICPA’s TPA (TIS 6910.2) which considers the hypothetical liquidation value of our investment portfolio as of the measurement date.</w:t>
      </w:r>
    </w:p>
    <w:p>
      <w:pPr>
        <w:spacing w:after="0" w:line="7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GSV Asset Management earned $1,246,378 and $2,529,977 in base management fees and $0 in incentive fees for the three and six months ended June 30, 2013, respectively. For the three and six months ended June 30, 2013, respectively, we accrued incentive fees of $0, and $0, in accordance with the AICPA’s TPA (TIS 6910.2) which considers the hypothetical liquidation value of our investment portfolio as of the measurement date.</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June 30, 2014, we were owed $35,406 from GSV Capital Service Company, LLC, for the prepayment of overhead expenses as well as California Franchise Board fees. In addition as of June 30, 2014,</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we owed GSV Asset Management $9,647, which relates to the reimbursement of expenses paid for by GSV Asset Management that were the responsibility of the Company.</w:t>
      </w:r>
    </w:p>
    <w:p>
      <w:pPr>
        <w:spacing w:after="0" w:line="6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December 31, 2013, we were owed $3,039 from GSV Capital Service Company, LLC for reimbursement of expenses paid for by us that were the responsibility of GSV Asset Management. In addition as of December 31, 2013, we owed GSV Asset Management $563,978, which relates to the reimbursement of expenses paid for by GSV Asset Management that were the responsibility of the Company.</w:t>
      </w:r>
    </w:p>
    <w:p>
      <w:pPr>
        <w:spacing w:after="0" w:line="7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$929,701 and $1,838,233 in such costs incurred under the Administration Agreement for the three and six months ended June 30, 2014, respectively. There were $709,885 and $1,597,869 in such costs incurred under the Administration Agreement for the three and six months ended June 30, 2013, respectively.</w:t>
      </w:r>
    </w:p>
    <w:p>
      <w:pPr>
        <w:spacing w:after="0" w:line="8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left="40"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4560" w:right="5019" w:hanging="4282"/>
        <w:spacing w:after="0" w:line="1064" w:lineRule="auto"/>
        <w:tabs>
          <w:tab w:leader="none" w:pos="5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-309880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hanging="26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Although we have filed an application with the SEC for this certification, there can be no assurance that we will receive it, or that we will otherwise qualify as a RIC for</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85" w:lineRule="auto"/>
        <w:rPr>
          <w:sz w:val="20"/>
          <w:szCs w:val="20"/>
          <w:color w:val="auto"/>
        </w:rPr>
      </w:pPr>
      <w:r>
        <w:rPr>
          <w:rFonts w:ascii="Arial" w:cs="Arial" w:eastAsia="Arial" w:hAnsi="Arial"/>
          <w:sz w:val="16"/>
          <w:szCs w:val="16"/>
          <w:color w:val="auto"/>
        </w:rPr>
        <w:t>our 2013 taxable year. If we are unable to qualify as a RIC, we will continue to be taxed as a C corporation under the Code for our 2013 taxable year. To that end, for purposes of our financial statements, we have accrued taxes as though we were a C Corporation for the 2013 taxable year, in the event we are unable to obtain this certification.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At the present time, the Company cannot assure you that it will be eligible to elect to be taxed as a RIC for its 2013 taxable year. If it is not treated as a RIC for 2013, the Company will be taxed as a C corporation under the Code for the 2013 taxable year. Until such time as it qualifies and elects to be taxed as a RIC, the Company will provide for income taxes, if any, as a C Corp. The Company intends to elect to be taxed as a RIC for its 2014 taxable year, if management determines that it is in the Company’s best interests to do so.</w:t>
      </w:r>
    </w:p>
    <w:p>
      <w:pPr>
        <w:spacing w:after="0" w:line="70" w:lineRule="exact"/>
        <w:rPr>
          <w:sz w:val="20"/>
          <w:szCs w:val="20"/>
          <w:color w:val="auto"/>
        </w:rPr>
      </w:pPr>
    </w:p>
    <w:p>
      <w:pPr>
        <w:jc w:val="both"/>
        <w:ind w:left="60" w:right="519" w:firstLine="270"/>
        <w:spacing w:after="0" w:line="253"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has identified its major tax jurisdictions as U.S. federal and California, and is not aware of any tax positions for which it is reasonably possible that the total amount of unrecognized tax benefits will change significantly in the next 12 months.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June 2013, the Financial Accounting Standards Board issued Accounting Standards Update (“ASU”) 2013-08, Financial Services — Investment Companies (Topic 946): Amendments to the Scope, Measurement, and Disclosure Requirements (“ASU 2013-08”). ASU 2013-08 amends the criteria that define an investment company, clarifies the measurement guidance and requires certain additional disclosures. Public companies are required to apply ASU 2013-08 prospectively for interim and annual reporting periods beginning after December 15, 2013.</w:t>
      </w:r>
    </w:p>
    <w:p>
      <w:pPr>
        <w:spacing w:after="0" w:line="80"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will have a material impact on its current financial position and results of operations.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From June 30, 2014 through August 11, 2014, the Company did not sell any investments. From June 30, 2014 through August 11, 2014, the Company closed on investments for $4,025,995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339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8"/>
              </w:rPr>
              <w:t>Gross Payments</w:t>
            </w: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3-Jul-14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999,997</w:t>
            </w: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Incubator</w:t>
            </w: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8-Jul-14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Solexel, Inc.</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Solar Power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11-Jul-14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2,999,999</w:t>
            </w: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Earlyshares.com</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Equity Crowd Funding</w:t>
            </w: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18-Jul-14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24,999</w:t>
            </w:r>
          </w:p>
        </w:tc>
      </w:tr>
      <w:tr>
        <w:trPr>
          <w:trHeight w:val="20"/>
        </w:trPr>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4,025,995</w:t>
            </w:r>
          </w:p>
        </w:tc>
      </w:tr>
      <w:tr>
        <w:trPr>
          <w:trHeight w:val="20"/>
        </w:trPr>
        <w:tc>
          <w:tcPr>
            <w:tcW w:w="2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Company is presently in the final stages of negotiations with respect to a handful of private company investments that it anticipates entering into within the next 30 to 60 days, subject to satisfaction of applicable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6" w:lineRule="auto"/>
        <w:rPr>
          <w:sz w:val="20"/>
          <w:szCs w:val="20"/>
          <w:color w:val="auto"/>
        </w:rPr>
      </w:pPr>
      <w:r>
        <w:rPr>
          <w:rFonts w:ascii="Arial" w:cs="Arial" w:eastAsia="Arial" w:hAnsi="Arial"/>
          <w:sz w:val="17"/>
          <w:szCs w:val="17"/>
          <w:color w:val="auto"/>
        </w:rPr>
        <w:t>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June 30, 2014 through August 11, 2014, the Company has not made any such escrow deposits.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June 30, 2014,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2013,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There have been no material changes during the three months ended June 30, 2014 to the risk factors discussed in Item 1A. Risk Factors in our Annual Report on Form 10-K for the year ended December 31, 2013.</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028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137"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23"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Investment Advisory Agreement by and between Registrant and GSV Asset Management, LLC ***</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Administration Agreement by and between Registrant and GSV Capital Service Company, LLC ***</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Trademark License Agreement by and between Registrant and GSV Asset Management, LLC**</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96520</wp:posOffset>
            </wp:positionV>
            <wp:extent cx="61144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ind w:left="6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right="519" w:hanging="272"/>
        <w:spacing w:after="0" w:line="277"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January 17,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in connection with Current Report on Form 8-K (File No. 814-00852) filed on April 10, 2014.</w:t>
      </w:r>
    </w:p>
    <w:p>
      <w:pPr>
        <w:spacing w:after="0" w:line="117" w:lineRule="exact"/>
        <w:rPr>
          <w:sz w:val="20"/>
          <w:szCs w:val="20"/>
          <w:color w:val="auto"/>
        </w:rPr>
      </w:pPr>
    </w:p>
    <w:p>
      <w:pPr>
        <w:ind w:left="280" w:right="539" w:hanging="269"/>
        <w:spacing w:after="0" w:line="277" w:lineRule="auto"/>
        <w:rPr>
          <w:sz w:val="20"/>
          <w:szCs w:val="20"/>
          <w:color w:val="auto"/>
        </w:rPr>
      </w:pPr>
      <w:r>
        <w:rPr>
          <w:rFonts w:ascii="Arial" w:cs="Arial" w:eastAsia="Arial" w:hAnsi="Arial"/>
          <w:sz w:val="18"/>
          <w:szCs w:val="18"/>
          <w:color w:val="auto"/>
        </w:rPr>
        <w:t>***Previously filed in connection with Annual Report for the fiscal year ended December 31, 2013 on Form 10-K (File No. 814-00852), filed on September 31, 2013.</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65" w:right="1440" w:bottom="1440" w:gutter="0" w:footer="0" w:header="0"/>
        </w:sectPr>
      </w:pPr>
    </w:p>
    <w:bookmarkStart w:id="59" w:name="page60"/>
    <w:bookmarkEnd w:id="5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2014</w:t>
            </w: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3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2014</w:t>
            </w: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Tanona</w:t>
            </w:r>
          </w:p>
        </w:tc>
      </w:tr>
      <w:tr>
        <w:trPr>
          <w:trHeight w:val="195"/>
        </w:trPr>
        <w:tc>
          <w:tcPr>
            <w:tcW w:w="3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Tanona</w:t>
            </w:r>
          </w:p>
        </w:tc>
        <w:tc>
          <w:tcPr>
            <w:tcW w:w="126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3060" w:type="dxa"/>
            <w:vAlign w:val="bottom"/>
          </w:tcPr>
          <w:p>
            <w:pPr>
              <w:spacing w:after="0"/>
              <w:rPr>
                <w:sz w:val="24"/>
                <w:szCs w:val="24"/>
                <w:color w:val="auto"/>
              </w:rPr>
            </w:pPr>
          </w:p>
        </w:tc>
        <w:tc>
          <w:tcPr>
            <w:tcW w:w="5280" w:type="dxa"/>
            <w:vAlign w:val="bottom"/>
            <w:gridSpan w:val="2"/>
          </w:tcPr>
          <w:p>
            <w:pPr>
              <w:ind w:left="1640"/>
              <w:spacing w:after="0"/>
              <w:rPr>
                <w:sz w:val="20"/>
                <w:szCs w:val="20"/>
                <w:color w:val="auto"/>
              </w:rPr>
            </w:pPr>
            <w:r>
              <w:rPr>
                <w:rFonts w:ascii="Arial" w:cs="Arial" w:eastAsia="Arial" w:hAnsi="Arial"/>
                <w:sz w:val="18"/>
                <w:szCs w:val="18"/>
                <w:color w:val="auto"/>
              </w:rPr>
              <w:t>55</w:t>
            </w:r>
          </w:p>
        </w:tc>
        <w:tc>
          <w:tcPr>
            <w:tcW w:w="1260" w:type="dxa"/>
            <w:vAlign w:val="bottom"/>
          </w:tcPr>
          <w:p>
            <w:pPr>
              <w:spacing w:after="0"/>
              <w:rPr>
                <w:sz w:val="24"/>
                <w:szCs w:val="24"/>
                <w:color w:val="auto"/>
              </w:rPr>
            </w:pPr>
          </w:p>
        </w:tc>
      </w:tr>
      <w:tr>
        <w:trPr>
          <w:trHeight w:val="162"/>
        </w:trPr>
        <w:tc>
          <w:tcPr>
            <w:tcW w:w="30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30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0" w:name="page61"/>
    <w:bookmarkEnd w:id="60"/>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00" w:hanging="26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80" w:right="519" w:hanging="272"/>
        <w:spacing w:after="0" w:line="259"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780" w:right="539" w:hanging="272"/>
        <w:spacing w:after="0" w:line="312" w:lineRule="auto"/>
        <w:tabs>
          <w:tab w:leader="none" w:pos="7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780" w:right="519" w:hanging="272"/>
        <w:spacing w:after="0" w:line="264"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780" w:right="519" w:hanging="272"/>
        <w:spacing w:after="0" w:line="259"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780" w:right="539" w:hanging="272"/>
        <w:spacing w:after="0" w:line="264"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539" w:hanging="272"/>
        <w:spacing w:after="0" w:line="277"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2014.</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xml:space="preserv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4445</wp:posOffset>
            </wp:positionV>
            <wp:extent cx="40049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1" w:name="page62"/>
    <w:bookmarkEnd w:id="61"/>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00" w:hanging="26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80" w:right="519" w:hanging="272"/>
        <w:spacing w:after="0" w:line="259"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780" w:right="539" w:hanging="272"/>
        <w:spacing w:after="0" w:line="312" w:lineRule="auto"/>
        <w:tabs>
          <w:tab w:leader="none" w:pos="7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780" w:right="519" w:hanging="272"/>
        <w:spacing w:after="0" w:line="264"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780" w:right="519" w:hanging="272"/>
        <w:spacing w:after="0" w:line="259"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780" w:right="539" w:hanging="272"/>
        <w:spacing w:after="0" w:line="264"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539" w:hanging="272"/>
        <w:spacing w:after="0" w:line="277"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2014.</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xml:space="preserve">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4445</wp:posOffset>
            </wp:positionV>
            <wp:extent cx="40049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2" w:name="page63"/>
    <w:bookmarkEnd w:id="62"/>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June 30, 2014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3" w:name="page64"/>
    <w:bookmarkEnd w:id="63"/>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June 30, 2014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13"/>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decimal"/>
      <w:start w:val="13"/>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7"/>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2019-12-08T00:23:49Z</dcterms:created>
  <dcterms:modified xsi:type="dcterms:W3CDTF">2019-12-08T00:23:49Z</dcterms:modified>
</cp:coreProperties>
</file>