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16"/>
          <w:szCs w:val="16"/>
          <w:b w:val="1"/>
          <w:bCs w:val="1"/>
          <w:color w:val="auto"/>
        </w:rPr>
        <w:t>Washington, D.C. 20549</w:t>
      </w:r>
    </w:p>
    <w:p>
      <w:pPr>
        <w:ind w:left="4700"/>
        <w:spacing w:after="0"/>
        <w:rPr>
          <w:sz w:val="20"/>
          <w:szCs w:val="20"/>
          <w:color w:val="auto"/>
        </w:rPr>
      </w:pPr>
      <w:r>
        <w:rPr>
          <w:rFonts w:ascii="Arial" w:cs="Arial" w:eastAsia="Arial" w:hAnsi="Arial"/>
          <w:sz w:val="14"/>
          <w:szCs w:val="14"/>
          <w:color w:val="auto"/>
        </w:rPr>
        <w:t>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49"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 xml:space="preserve">FOR THE QUARTERLY PERIOD ENDED </w:t>
      </w:r>
      <w:r>
        <w:rPr>
          <w:rFonts w:ascii="Arial" w:cs="Arial" w:eastAsia="Arial" w:hAnsi="Arial"/>
          <w:sz w:val="18"/>
          <w:szCs w:val="18"/>
          <w:b w:val="1"/>
          <w:bCs w:val="1"/>
          <w:color w:val="auto"/>
        </w:rPr>
        <w:t>September 30, 2019</w:t>
      </w:r>
    </w:p>
    <w:p>
      <w:pPr>
        <w:spacing w:after="0" w:line="17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814-00852</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Sutter Rock Capital Corp.</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169" w:lineRule="exact"/>
        <w:rPr>
          <w:sz w:val="24"/>
          <w:szCs w:val="24"/>
          <w:color w:val="auto"/>
        </w:rPr>
      </w:pPr>
    </w:p>
    <w:tbl>
      <w:tblPr>
        <w:tblLayout w:type="fixed"/>
        <w:tblInd w:w="1120" w:type="dxa"/>
        <w:tblCellMar>
          <w:top w:w="0" w:type="dxa"/>
          <w:left w:w="0" w:type="dxa"/>
          <w:bottom w:w="0" w:type="dxa"/>
          <w:right w:w="0" w:type="dxa"/>
        </w:tblCellMar>
      </w:tblPr>
      <w:tr>
        <w:trPr>
          <w:trHeight w:val="210"/>
        </w:trPr>
        <w:tc>
          <w:tcPr>
            <w:tcW w:w="6260" w:type="dxa"/>
            <w:vAlign w:val="bottom"/>
          </w:tcPr>
          <w:p>
            <w:pPr>
              <w:jc w:val="center"/>
              <w:ind w:right="2683"/>
              <w:spacing w:after="0"/>
              <w:rPr>
                <w:sz w:val="20"/>
                <w:szCs w:val="20"/>
                <w:color w:val="auto"/>
              </w:rPr>
            </w:pPr>
            <w:r>
              <w:rPr>
                <w:rFonts w:ascii="Arial" w:cs="Arial" w:eastAsia="Arial" w:hAnsi="Arial"/>
                <w:sz w:val="16"/>
                <w:szCs w:val="16"/>
                <w:b w:val="1"/>
                <w:bCs w:val="1"/>
                <w:color w:val="auto"/>
                <w:w w:val="99"/>
              </w:rPr>
              <w:t>Maryland</w:t>
            </w:r>
          </w:p>
        </w:tc>
        <w:tc>
          <w:tcPr>
            <w:tcW w:w="2240" w:type="dxa"/>
            <w:vAlign w:val="bottom"/>
          </w:tcPr>
          <w:p>
            <w:pPr>
              <w:jc w:val="right"/>
              <w:ind w:right="583"/>
              <w:spacing w:after="0"/>
              <w:rPr>
                <w:sz w:val="20"/>
                <w:szCs w:val="20"/>
                <w:color w:val="auto"/>
              </w:rPr>
            </w:pPr>
            <w:r>
              <w:rPr>
                <w:rFonts w:ascii="Arial" w:cs="Arial" w:eastAsia="Arial" w:hAnsi="Arial"/>
                <w:sz w:val="16"/>
                <w:szCs w:val="16"/>
                <w:b w:val="1"/>
                <w:bCs w:val="1"/>
                <w:color w:val="auto"/>
              </w:rPr>
              <w:t>27-4443543</w:t>
            </w:r>
          </w:p>
        </w:tc>
      </w:tr>
      <w:tr>
        <w:trPr>
          <w:trHeight w:val="224"/>
        </w:trPr>
        <w:tc>
          <w:tcPr>
            <w:tcW w:w="6260" w:type="dxa"/>
            <w:vAlign w:val="bottom"/>
          </w:tcPr>
          <w:p>
            <w:pPr>
              <w:jc w:val="center"/>
              <w:ind w:right="2703"/>
              <w:spacing w:after="0"/>
              <w:rPr>
                <w:sz w:val="20"/>
                <w:szCs w:val="20"/>
                <w:color w:val="auto"/>
              </w:rPr>
            </w:pPr>
            <w:r>
              <w:rPr>
                <w:rFonts w:ascii="Arial" w:cs="Arial" w:eastAsia="Arial" w:hAnsi="Arial"/>
                <w:sz w:val="14"/>
                <w:szCs w:val="14"/>
                <w:color w:val="auto"/>
                <w:w w:val="95"/>
              </w:rPr>
              <w:t>(State of incorporation)</w:t>
            </w:r>
          </w:p>
        </w:tc>
        <w:tc>
          <w:tcPr>
            <w:tcW w:w="2240" w:type="dxa"/>
            <w:vAlign w:val="bottom"/>
          </w:tcPr>
          <w:p>
            <w:pPr>
              <w:jc w:val="center"/>
              <w:ind w:left="63"/>
              <w:spacing w:after="0"/>
              <w:rPr>
                <w:sz w:val="20"/>
                <w:szCs w:val="20"/>
                <w:color w:val="auto"/>
              </w:rPr>
            </w:pPr>
            <w:r>
              <w:rPr>
                <w:rFonts w:ascii="Arial" w:cs="Arial" w:eastAsia="Arial" w:hAnsi="Arial"/>
                <w:sz w:val="14"/>
                <w:szCs w:val="14"/>
                <w:color w:val="auto"/>
                <w:w w:val="97"/>
              </w:rPr>
              <w:t>(I.R.S. Employer Identification No.)</w:t>
            </w:r>
          </w:p>
        </w:tc>
      </w:tr>
      <w:tr>
        <w:trPr>
          <w:trHeight w:val="236"/>
        </w:trPr>
        <w:tc>
          <w:tcPr>
            <w:tcW w:w="6260" w:type="dxa"/>
            <w:vAlign w:val="bottom"/>
          </w:tcPr>
          <w:p>
            <w:pPr>
              <w:jc w:val="center"/>
              <w:ind w:right="2703"/>
              <w:spacing w:after="0"/>
              <w:rPr>
                <w:sz w:val="20"/>
                <w:szCs w:val="20"/>
                <w:color w:val="auto"/>
              </w:rPr>
            </w:pPr>
            <w:r>
              <w:rPr>
                <w:rFonts w:ascii="Arial" w:cs="Arial" w:eastAsia="Arial" w:hAnsi="Arial"/>
                <w:sz w:val="16"/>
                <w:szCs w:val="16"/>
                <w:b w:val="1"/>
                <w:bCs w:val="1"/>
                <w:color w:val="auto"/>
                <w:w w:val="90"/>
              </w:rPr>
              <w:t>One Sansome Street, Suite 730, San Francisco, CA</w:t>
            </w:r>
          </w:p>
        </w:tc>
        <w:tc>
          <w:tcPr>
            <w:tcW w:w="2240" w:type="dxa"/>
            <w:vAlign w:val="bottom"/>
          </w:tcPr>
          <w:p>
            <w:pPr>
              <w:jc w:val="right"/>
              <w:ind w:right="763"/>
              <w:spacing w:after="0"/>
              <w:rPr>
                <w:sz w:val="20"/>
                <w:szCs w:val="20"/>
                <w:color w:val="auto"/>
              </w:rPr>
            </w:pPr>
            <w:r>
              <w:rPr>
                <w:rFonts w:ascii="Arial" w:cs="Arial" w:eastAsia="Arial" w:hAnsi="Arial"/>
                <w:sz w:val="16"/>
                <w:szCs w:val="16"/>
                <w:b w:val="1"/>
                <w:bCs w:val="1"/>
                <w:color w:val="auto"/>
              </w:rPr>
              <w:t>94104</w:t>
            </w:r>
          </w:p>
        </w:tc>
      </w:tr>
      <w:tr>
        <w:trPr>
          <w:trHeight w:val="224"/>
        </w:trPr>
        <w:tc>
          <w:tcPr>
            <w:tcW w:w="6260" w:type="dxa"/>
            <w:vAlign w:val="bottom"/>
          </w:tcPr>
          <w:p>
            <w:pPr>
              <w:jc w:val="center"/>
              <w:ind w:right="2703"/>
              <w:spacing w:after="0"/>
              <w:rPr>
                <w:sz w:val="20"/>
                <w:szCs w:val="20"/>
                <w:color w:val="auto"/>
              </w:rPr>
            </w:pPr>
            <w:r>
              <w:rPr>
                <w:rFonts w:ascii="Arial" w:cs="Arial" w:eastAsia="Arial" w:hAnsi="Arial"/>
                <w:sz w:val="14"/>
                <w:szCs w:val="14"/>
                <w:color w:val="auto"/>
                <w:w w:val="95"/>
              </w:rPr>
              <w:t>(Address of principal executive offices)</w:t>
            </w:r>
          </w:p>
        </w:tc>
        <w:tc>
          <w:tcPr>
            <w:tcW w:w="2240" w:type="dxa"/>
            <w:vAlign w:val="bottom"/>
          </w:tcPr>
          <w:p>
            <w:pPr>
              <w:jc w:val="center"/>
              <w:ind w:left="63"/>
              <w:spacing w:after="0"/>
              <w:rPr>
                <w:sz w:val="20"/>
                <w:szCs w:val="20"/>
                <w:color w:val="auto"/>
              </w:rPr>
            </w:pPr>
            <w:r>
              <w:rPr>
                <w:rFonts w:ascii="Arial" w:cs="Arial" w:eastAsia="Arial" w:hAnsi="Arial"/>
                <w:sz w:val="14"/>
                <w:szCs w:val="14"/>
                <w:color w:val="auto"/>
                <w:w w:val="93"/>
              </w:rPr>
              <w:t>(Zip Code)</w:t>
            </w:r>
          </w:p>
        </w:tc>
      </w:tr>
      <w:tr>
        <w:trPr>
          <w:trHeight w:val="357"/>
        </w:trPr>
        <w:tc>
          <w:tcPr>
            <w:tcW w:w="6260" w:type="dxa"/>
            <w:vAlign w:val="bottom"/>
          </w:tcPr>
          <w:p>
            <w:pPr>
              <w:jc w:val="right"/>
              <w:ind w:right="1083"/>
              <w:spacing w:after="0"/>
              <w:rPr>
                <w:sz w:val="20"/>
                <w:szCs w:val="20"/>
                <w:color w:val="auto"/>
              </w:rPr>
            </w:pPr>
            <w:r>
              <w:rPr>
                <w:rFonts w:ascii="Arial" w:cs="Arial" w:eastAsia="Arial" w:hAnsi="Arial"/>
                <w:sz w:val="16"/>
                <w:szCs w:val="16"/>
                <w:b w:val="1"/>
                <w:bCs w:val="1"/>
                <w:color w:val="auto"/>
              </w:rPr>
              <w:t>(650) 235-4769</w:t>
            </w:r>
          </w:p>
        </w:tc>
        <w:tc>
          <w:tcPr>
            <w:tcW w:w="2240" w:type="dxa"/>
            <w:vAlign w:val="bottom"/>
          </w:tcPr>
          <w:p>
            <w:pPr>
              <w:spacing w:after="0"/>
              <w:rPr>
                <w:sz w:val="24"/>
                <w:szCs w:val="24"/>
                <w:color w:val="auto"/>
              </w:rPr>
            </w:pPr>
          </w:p>
        </w:tc>
      </w:tr>
      <w:tr>
        <w:trPr>
          <w:trHeight w:val="224"/>
        </w:trPr>
        <w:tc>
          <w:tcPr>
            <w:tcW w:w="6260" w:type="dxa"/>
            <w:vAlign w:val="bottom"/>
          </w:tcPr>
          <w:p>
            <w:pPr>
              <w:jc w:val="center"/>
              <w:ind w:left="2863"/>
              <w:spacing w:after="0"/>
              <w:rPr>
                <w:sz w:val="20"/>
                <w:szCs w:val="20"/>
                <w:color w:val="auto"/>
              </w:rPr>
            </w:pPr>
            <w:r>
              <w:rPr>
                <w:rFonts w:ascii="Arial" w:cs="Arial" w:eastAsia="Arial" w:hAnsi="Arial"/>
                <w:sz w:val="14"/>
                <w:szCs w:val="14"/>
                <w:color w:val="auto"/>
                <w:w w:val="92"/>
              </w:rPr>
              <w:t>(Registrant’s telephone number, including area code)</w:t>
            </w:r>
          </w:p>
        </w:tc>
        <w:tc>
          <w:tcPr>
            <w:tcW w:w="2240" w:type="dxa"/>
            <w:vAlign w:val="bottom"/>
          </w:tcPr>
          <w:p>
            <w:pPr>
              <w:spacing w:after="0"/>
              <w:rPr>
                <w:sz w:val="19"/>
                <w:szCs w:val="19"/>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7"/>
        </w:trPr>
        <w:tc>
          <w:tcPr>
            <w:tcW w:w="43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par value $0.01 per share</w:t>
            </w:r>
          </w:p>
        </w:tc>
        <w:tc>
          <w:tcPr>
            <w:tcW w:w="262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SSSS</w:t>
            </w:r>
          </w:p>
        </w:tc>
        <w:tc>
          <w:tcPr>
            <w:tcW w:w="4440" w:type="dxa"/>
            <w:vAlign w:val="bottom"/>
          </w:tcPr>
          <w:p>
            <w:pPr>
              <w:jc w:val="center"/>
              <w:spacing w:after="0"/>
              <w:rPr>
                <w:sz w:val="20"/>
                <w:szCs w:val="20"/>
                <w:color w:val="auto"/>
              </w:rPr>
            </w:pPr>
            <w:r>
              <w:rPr>
                <w:rFonts w:ascii="Arial" w:cs="Arial" w:eastAsia="Arial" w:hAnsi="Arial"/>
                <w:sz w:val="16"/>
                <w:szCs w:val="16"/>
                <w:color w:val="auto"/>
                <w:w w:val="93"/>
              </w:rPr>
              <w:t>Nasdaq Capital Market</w:t>
            </w:r>
          </w:p>
        </w:tc>
      </w:tr>
    </w:tbl>
    <w:p>
      <w:pPr>
        <w:spacing w:after="0" w:line="212" w:lineRule="exact"/>
        <w:rPr>
          <w:sz w:val="24"/>
          <w:szCs w:val="24"/>
          <w:color w:val="auto"/>
        </w:rPr>
      </w:pPr>
    </w:p>
    <w:p>
      <w:pPr>
        <w:ind w:right="220" w:firstLine="35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6" w:lineRule="exact"/>
        <w:rPr>
          <w:sz w:val="24"/>
          <w:szCs w:val="24"/>
          <w:color w:val="auto"/>
        </w:rPr>
      </w:pPr>
    </w:p>
    <w:p>
      <w:pPr>
        <w:ind w:right="240" w:firstLine="351"/>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180" w:firstLine="35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7180" w:space="720"/>
            <w:col w:w="3520"/>
          </w:cols>
          <w:pgMar w:left="240" w:top="229"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96" w:lineRule="exact"/>
        <w:rPr>
          <w:sz w:val="24"/>
          <w:szCs w:val="24"/>
          <w:color w:val="auto"/>
        </w:rPr>
      </w:pPr>
    </w:p>
    <w:p>
      <w:pPr>
        <w:sectPr>
          <w:pgSz w:w="11900" w:h="16838" w:orient="portrait"/>
          <w:cols w:equalWidth="0" w:num="2">
            <w:col w:w="7180" w:space="720"/>
            <w:col w:w="3520"/>
          </w:cols>
          <w:pgMar w:left="240" w:top="229"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29" w:right="239" w:bottom="1440" w:gutter="0" w:footer="0" w:header="0"/>
          <w:type w:val="continuous"/>
        </w:sectPr>
      </w:pPr>
    </w:p>
    <w:p>
      <w:pPr>
        <w:spacing w:after="0" w:line="69" w:lineRule="exact"/>
        <w:rPr>
          <w:sz w:val="24"/>
          <w:szCs w:val="24"/>
          <w:color w:val="auto"/>
        </w:rPr>
      </w:pPr>
    </w:p>
    <w:p>
      <w:pPr>
        <w:ind w:right="400" w:firstLine="351"/>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19,013,519 shares of common stock, $0.01 par value per share, outstanding as of November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SUTTER ROCK CAPITAL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250"/>
        </w:trPr>
        <w:tc>
          <w:tcPr>
            <w:tcW w:w="10680" w:type="dxa"/>
            <w:vAlign w:val="bottom"/>
            <w:tcBorders>
              <w:bottom w:val="single" w:sz="8" w:color="CCEEFF"/>
            </w:tcBorders>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20"/>
              <w:spacing w:after="0" w:line="202" w:lineRule="exact"/>
              <w:rPr>
                <w:sz w:val="20"/>
                <w:szCs w:val="20"/>
                <w:color w:val="auto"/>
              </w:rPr>
            </w:pPr>
            <w:r>
              <w:rPr>
                <w:rFonts w:ascii="Arial" w:cs="Arial" w:eastAsia="Arial" w:hAnsi="Arial"/>
                <w:sz w:val="18"/>
                <w:szCs w:val="18"/>
                <w:color w:val="0000EE"/>
              </w:rPr>
              <w:t>Item 1.</w:t>
            </w:r>
          </w:p>
        </w:tc>
        <w:tc>
          <w:tcPr>
            <w:tcW w:w="950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500" w:type="dxa"/>
            <w:vAlign w:val="bottom"/>
            <w:gridSpan w:val="18"/>
            <w:shd w:val="clear" w:color="auto" w:fill="CCEEFF"/>
          </w:tcPr>
          <w:p>
            <w:pPr>
              <w:spacing w:after="0" w:line="202"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Assets and Liabilities as of September 30, 2019 (Unaudited) and December 31, 2018</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960" w:type="dxa"/>
            <w:vAlign w:val="bottom"/>
            <w:tcBorders>
              <w:top w:val="single" w:sz="8" w:color="0000EE"/>
            </w:tcBorders>
            <w:gridSpan w:val="17"/>
          </w:tcPr>
          <w:p>
            <w:pPr>
              <w:spacing w:after="0" w:line="20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September 30, 2019 and 2018</w:t>
              </w:r>
            </w:hyperlink>
          </w:p>
        </w:tc>
        <w:tc>
          <w:tcPr>
            <w:tcW w:w="5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880" w:type="dxa"/>
            <w:vAlign w:val="bottom"/>
            <w:gridSpan w:val="4"/>
          </w:tcPr>
          <w:p>
            <w:pPr>
              <w:spacing w:after="0"/>
              <w:rPr>
                <w:sz w:val="17"/>
                <w:szCs w:val="17"/>
                <w:color w:val="auto"/>
              </w:rPr>
            </w:pPr>
          </w:p>
        </w:tc>
        <w:tc>
          <w:tcPr>
            <w:tcW w:w="680" w:type="dxa"/>
            <w:vAlign w:val="bottom"/>
            <w:gridSpan w:val="4"/>
          </w:tcPr>
          <w:p>
            <w:pPr>
              <w:jc w:val="right"/>
              <w:ind w:right="4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Net Assets for the Nine Months Ended September 30, 2019 and 2018</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w:t>
              </w:r>
            </w:hyperlink>
          </w:p>
        </w:tc>
        <w:tc>
          <w:tcPr>
            <w:tcW w:w="8640" w:type="dxa"/>
            <w:vAlign w:val="bottom"/>
            <w:gridSpan w:val="16"/>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00" w:type="dxa"/>
            <w:vAlign w:val="bottom"/>
            <w:gridSpan w:val="18"/>
          </w:tcPr>
          <w:p>
            <w:pPr>
              <w:spacing w:after="0" w:line="20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Cash Flows for the Nine Months Ended September 30, 2019 and 2018 (Unaudited)</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0" w:type="dxa"/>
            <w:vAlign w:val="bottom"/>
            <w:gridSpan w:val="11"/>
            <w:shd w:val="clear" w:color="auto" w:fill="CCEEFF"/>
          </w:tcPr>
          <w:p>
            <w:pPr>
              <w:spacing w:after="0" w:line="202"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Schedule of Investments as of September 30, 2019 (Unaudited)</w:t>
              </w:r>
            </w:hyperlink>
          </w:p>
        </w:tc>
        <w:tc>
          <w:tcPr>
            <w:tcW w:w="31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0" w:type="dxa"/>
            <w:vAlign w:val="bottom"/>
            <w:gridSpan w:val="11"/>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Condensed Consolidated Schedule of Investments as of December 31, 2018</w:t>
              </w:r>
            </w:hyperlink>
          </w:p>
        </w:tc>
        <w:tc>
          <w:tcPr>
            <w:tcW w:w="3100" w:type="dxa"/>
            <w:vAlign w:val="bottom"/>
            <w:gridSpan w:val="7"/>
          </w:tcPr>
          <w:p>
            <w:pPr>
              <w:spacing w:after="0"/>
              <w:rPr>
                <w:sz w:val="17"/>
                <w:szCs w:val="17"/>
                <w:color w:val="auto"/>
              </w:rPr>
            </w:pPr>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780" w:type="dxa"/>
            <w:vAlign w:val="bottom"/>
            <w:gridSpan w:val="13"/>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Notes to Condensed Consolidated Financial Statements as of September 30, 2019 (Unaudited)</w:t>
              </w:r>
            </w:hyperlink>
          </w:p>
        </w:tc>
        <w:tc>
          <w:tcPr>
            <w:tcW w:w="2720" w:type="dxa"/>
            <w:vAlign w:val="bottom"/>
            <w:gridSpan w:val="5"/>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5"/>
          </w:tcPr>
          <w:p>
            <w:pPr>
              <w:ind w:lef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6780" w:type="dxa"/>
            <w:vAlign w:val="bottom"/>
            <w:gridSpan w:val="13"/>
          </w:tcPr>
          <w:p>
            <w:pPr>
              <w:spacing w:after="0" w:line="202"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Management’s Discussion and Analysis of Financial Condition and Results of Operations</w:t>
              </w:r>
            </w:hyperlink>
          </w:p>
        </w:tc>
        <w:tc>
          <w:tcPr>
            <w:tcW w:w="272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3.</w:t>
              </w:r>
            </w:hyperlink>
          </w:p>
        </w:tc>
        <w:tc>
          <w:tcPr>
            <w:tcW w:w="640" w:type="dxa"/>
            <w:vAlign w:val="bottom"/>
            <w:gridSpan w:val="3"/>
            <w:shd w:val="clear" w:color="auto" w:fill="CCEEFF"/>
          </w:tcPr>
          <w:p>
            <w:pPr>
              <w:spacing w:after="0"/>
              <w:rPr>
                <w:sz w:val="17"/>
                <w:szCs w:val="17"/>
                <w:color w:val="auto"/>
              </w:rPr>
            </w:pPr>
          </w:p>
        </w:tc>
        <w:tc>
          <w:tcPr>
            <w:tcW w:w="9500" w:type="dxa"/>
            <w:vAlign w:val="bottom"/>
            <w:gridSpan w:val="18"/>
            <w:shd w:val="clear" w:color="auto" w:fill="CCEEFF"/>
          </w:tcPr>
          <w:p>
            <w:pPr>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Item 4.</w:t>
              </w:r>
            </w:hyperlink>
          </w:p>
        </w:tc>
        <w:tc>
          <w:tcPr>
            <w:tcW w:w="640" w:type="dxa"/>
            <w:vAlign w:val="bottom"/>
            <w:gridSpan w:val="3"/>
          </w:tcPr>
          <w:p>
            <w:pPr>
              <w:spacing w:after="0"/>
              <w:rPr>
                <w:sz w:val="17"/>
                <w:szCs w:val="17"/>
                <w:color w:val="auto"/>
              </w:rPr>
            </w:pPr>
          </w:p>
        </w:tc>
        <w:tc>
          <w:tcPr>
            <w:tcW w:w="4340" w:type="dxa"/>
            <w:vAlign w:val="bottom"/>
            <w:gridSpan w:val="9"/>
          </w:tcPr>
          <w:p>
            <w:pPr>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5160" w:type="dxa"/>
            <w:vAlign w:val="bottom"/>
            <w:gridSpan w:val="9"/>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71</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0680" w:type="dxa"/>
            <w:vAlign w:val="bottom"/>
            <w:tcBorders>
              <w:bottom w:val="single" w:sz="8" w:color="CCEEFF"/>
            </w:tcBorders>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5"/>
          </w:tcPr>
          <w:p>
            <w:pPr>
              <w:ind w:left="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1.</w:t>
              </w:r>
            </w:hyperlink>
          </w:p>
        </w:tc>
        <w:tc>
          <w:tcPr>
            <w:tcW w:w="9500" w:type="dxa"/>
            <w:vAlign w:val="bottom"/>
            <w:gridSpan w:val="18"/>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1A.</w:t>
              </w:r>
            </w:hyperlink>
          </w:p>
        </w:tc>
        <w:tc>
          <w:tcPr>
            <w:tcW w:w="9500" w:type="dxa"/>
            <w:vAlign w:val="bottom"/>
            <w:gridSpan w:val="18"/>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Risk Factors</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Item 2.</w:t>
              </w:r>
            </w:hyperlink>
          </w:p>
        </w:tc>
        <w:tc>
          <w:tcPr>
            <w:tcW w:w="520" w:type="dxa"/>
            <w:vAlign w:val="bottom"/>
            <w:gridSpan w:val="2"/>
          </w:tcPr>
          <w:p>
            <w:pPr>
              <w:spacing w:after="0"/>
              <w:rPr>
                <w:sz w:val="17"/>
                <w:szCs w:val="17"/>
                <w:color w:val="auto"/>
              </w:rPr>
            </w:pPr>
          </w:p>
        </w:tc>
        <w:tc>
          <w:tcPr>
            <w:tcW w:w="9500" w:type="dxa"/>
            <w:vAlign w:val="bottom"/>
            <w:gridSpan w:val="18"/>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Item 3.</w:t>
              </w:r>
            </w:hyperlink>
          </w:p>
        </w:tc>
        <w:tc>
          <w:tcPr>
            <w:tcW w:w="640" w:type="dxa"/>
            <w:vAlign w:val="bottom"/>
            <w:gridSpan w:val="3"/>
            <w:shd w:val="clear" w:color="auto" w:fill="CCEEFF"/>
          </w:tcPr>
          <w:p>
            <w:pPr>
              <w:spacing w:after="0"/>
              <w:rPr>
                <w:sz w:val="17"/>
                <w:szCs w:val="17"/>
                <w:color w:val="auto"/>
              </w:rPr>
            </w:pPr>
          </w:p>
        </w:tc>
        <w:tc>
          <w:tcPr>
            <w:tcW w:w="2320" w:type="dxa"/>
            <w:vAlign w:val="bottom"/>
            <w:gridSpan w:val="7"/>
            <w:shd w:val="clear" w:color="auto" w:fill="CCEEFF"/>
          </w:tcPr>
          <w:p>
            <w:pPr>
              <w:spacing w:after="0" w:line="202"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Defaults Upon Senior Securities</w:t>
              </w:r>
            </w:hyperlink>
          </w:p>
        </w:tc>
        <w:tc>
          <w:tcPr>
            <w:tcW w:w="7180" w:type="dxa"/>
            <w:vAlign w:val="bottom"/>
            <w:gridSpan w:val="11"/>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Item 4.</w:t>
              </w:r>
            </w:hyperlink>
          </w:p>
        </w:tc>
        <w:tc>
          <w:tcPr>
            <w:tcW w:w="640" w:type="dxa"/>
            <w:vAlign w:val="bottom"/>
            <w:gridSpan w:val="3"/>
          </w:tcPr>
          <w:p>
            <w:pPr>
              <w:spacing w:after="0"/>
              <w:rPr>
                <w:sz w:val="17"/>
                <w:szCs w:val="17"/>
                <w:color w:val="auto"/>
              </w:rPr>
            </w:pPr>
          </w:p>
        </w:tc>
        <w:tc>
          <w:tcPr>
            <w:tcW w:w="2320" w:type="dxa"/>
            <w:vAlign w:val="bottom"/>
            <w:gridSpan w:val="7"/>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Mine Safety Disclosures</w:t>
              </w:r>
            </w:hyperlink>
          </w:p>
        </w:tc>
        <w:tc>
          <w:tcPr>
            <w:tcW w:w="718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75</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Item 5.</w:t>
              </w:r>
            </w:hyperlink>
          </w:p>
        </w:tc>
        <w:tc>
          <w:tcPr>
            <w:tcW w:w="640" w:type="dxa"/>
            <w:vAlign w:val="bottom"/>
            <w:gridSpan w:val="3"/>
            <w:shd w:val="clear" w:color="auto" w:fill="CCEEFF"/>
          </w:tcPr>
          <w:p>
            <w:pPr>
              <w:spacing w:after="0"/>
              <w:rPr>
                <w:sz w:val="17"/>
                <w:szCs w:val="17"/>
                <w:color w:val="auto"/>
              </w:rPr>
            </w:pPr>
          </w:p>
        </w:tc>
        <w:tc>
          <w:tcPr>
            <w:tcW w:w="9500" w:type="dxa"/>
            <w:vAlign w:val="bottom"/>
            <w:gridSpan w:val="18"/>
            <w:shd w:val="clear" w:color="auto" w:fill="CCEEFF"/>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Item 6.</w:t>
              </w:r>
            </w:hyperlink>
          </w:p>
        </w:tc>
        <w:tc>
          <w:tcPr>
            <w:tcW w:w="640" w:type="dxa"/>
            <w:vAlign w:val="bottom"/>
            <w:gridSpan w:val="3"/>
          </w:tcPr>
          <w:p>
            <w:pPr>
              <w:spacing w:after="0"/>
              <w:rPr>
                <w:sz w:val="17"/>
                <w:szCs w:val="17"/>
                <w:color w:val="auto"/>
              </w:rPr>
            </w:pPr>
          </w:p>
        </w:tc>
        <w:tc>
          <w:tcPr>
            <w:tcW w:w="1300" w:type="dxa"/>
            <w:vAlign w:val="bottom"/>
            <w:gridSpan w:val="4"/>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820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3"/>
          </w:tcPr>
          <w:p>
            <w:pPr>
              <w:jc w:val="right"/>
              <w:ind w:right="4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80" w:type="dxa"/>
            <w:vAlign w:val="bottom"/>
            <w:gridSpan w:val="5"/>
            <w:shd w:val="clear" w:color="auto" w:fill="CCEEFF"/>
          </w:tcPr>
          <w:p>
            <w:pPr>
              <w:ind w:lef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-3884295</wp:posOffset>
            </wp:positionV>
            <wp:extent cx="6783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Investments at fair value: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Non-controlled/non-affiliate investments (cost of $94,863,935 and $105,869,607, respectively)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161,350,359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170,067,233</w:t>
            </w:r>
          </w:p>
        </w:tc>
        <w:tc>
          <w:tcPr>
            <w:tcW w:w="0" w:type="dxa"/>
            <w:vAlign w:val="bottom"/>
          </w:tcPr>
          <w:p>
            <w:pPr>
              <w:spacing w:after="0"/>
              <w:rPr>
                <w:sz w:val="1"/>
                <w:szCs w:val="1"/>
                <w:color w:val="auto"/>
              </w:rPr>
            </w:pPr>
          </w:p>
        </w:tc>
      </w:tr>
      <w:tr>
        <w:trPr>
          <w:trHeight w:val="237"/>
        </w:trPr>
        <w:tc>
          <w:tcPr>
            <w:tcW w:w="8340" w:type="dxa"/>
            <w:vAlign w:val="bottom"/>
          </w:tcPr>
          <w:p>
            <w:pPr>
              <w:ind w:left="220"/>
              <w:spacing w:after="0"/>
              <w:rPr>
                <w:sz w:val="20"/>
                <w:szCs w:val="20"/>
                <w:color w:val="auto"/>
              </w:rPr>
            </w:pPr>
            <w:r>
              <w:rPr>
                <w:rFonts w:ascii="Arial" w:cs="Arial" w:eastAsia="Arial" w:hAnsi="Arial"/>
                <w:sz w:val="16"/>
                <w:szCs w:val="16"/>
                <w:color w:val="auto"/>
              </w:rPr>
              <w:t>Non-controlled/affiliate investments (cost of $47,576,383 and $42,333,854, respectively)</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30,241,445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5,931,863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Controlled investments (cost of $13,291,886 and $22,960,942,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8,251,634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22,816,733</w:t>
            </w:r>
          </w:p>
        </w:tc>
        <w:tc>
          <w:tcPr>
            <w:tcW w:w="0" w:type="dxa"/>
            <w:vAlign w:val="bottom"/>
          </w:tcPr>
          <w:p>
            <w:pPr>
              <w:spacing w:after="0"/>
              <w:rPr>
                <w:sz w:val="1"/>
                <w:szCs w:val="1"/>
                <w:color w:val="auto"/>
              </w:rPr>
            </w:pPr>
          </w:p>
        </w:tc>
      </w:tr>
      <w:tr>
        <w:trPr>
          <w:trHeight w:val="217"/>
        </w:trPr>
        <w:tc>
          <w:tcPr>
            <w:tcW w:w="8340" w:type="dxa"/>
            <w:vAlign w:val="bottom"/>
          </w:tcPr>
          <w:p>
            <w:pPr>
              <w:ind w:left="340"/>
              <w:spacing w:after="0"/>
              <w:rPr>
                <w:sz w:val="20"/>
                <w:szCs w:val="20"/>
                <w:color w:val="auto"/>
              </w:rPr>
            </w:pPr>
            <w:r>
              <w:rPr>
                <w:rFonts w:ascii="Arial" w:cs="Arial" w:eastAsia="Arial" w:hAnsi="Arial"/>
                <w:sz w:val="16"/>
                <w:szCs w:val="16"/>
                <w:color w:val="auto"/>
              </w:rPr>
              <w:t>Total Portfolio Investments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199,843,438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198,815,829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Investments in U.S. Treasury bills (cost of $49,993,250 and $99,982,067,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49,995,500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99,994,000</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Investments (cost of $205,725,454 and $271,146,470, respectively)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249,838,938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298,809,829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45,155,784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28,184,163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Escrow proceeds receivable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2,086,145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2,494,582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dividends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255,670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5,502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267,541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2,332,410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207,769</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spacing w:after="0"/>
              <w:rPr>
                <w:sz w:val="18"/>
                <w:szCs w:val="18"/>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299,544,127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330,219,554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2,142,052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490,687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incentive fees, net of waiver of incentive fees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4,660,472</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Accrued management fees, net of waiver of management fees</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415,056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Payable for securities purchased</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44,742,449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89,480,103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885,566</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38,710,596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38,434,511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85,595,097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134,841,395</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213,949,030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195,378,159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Common stock, par value $0.01 per share (100,000,000 authorized; 19,041,519 and 19,762,647 issued and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190,415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197,626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Paid-in capital in excess of par</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189,155,021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192,322,399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investment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(23,116,027)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(16,228,294)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Accumulated net realized gain/(loss) on investments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3,606,136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(7,691,365)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unrealized appreciation of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44,113,485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26,777,793</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213,949,030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195,378,159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Asset Value Per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340" w:type="dxa"/>
            <w:vAlign w:val="bottom"/>
          </w:tcPr>
          <w:p>
            <w:pPr>
              <w:spacing w:after="0"/>
              <w:rPr>
                <w:sz w:val="20"/>
                <w:szCs w:val="20"/>
                <w:color w:val="auto"/>
              </w:rPr>
            </w:pPr>
            <w:r>
              <w:rPr>
                <w:rFonts w:ascii="Arial" w:cs="Arial" w:eastAsia="Arial" w:hAnsi="Arial"/>
                <w:sz w:val="11"/>
                <w:szCs w:val="11"/>
                <w:color w:val="auto"/>
              </w:rPr>
              <w:t>__________________________________________________</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-4984750</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-6013450</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balance references a related-party transaction. Refer to “Note 3—Related-Party Arrangements” for more detail.</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September 30, 2019 and December 31, 2018, the 4.75% Convertible Senior Notes due March 28, 2023 had a face value of $40,000,000. Refer to “Note 10—Debt Capital Activities” for a reconciliation of the carrying value to the face value.</w:t>
      </w:r>
    </w:p>
    <w:p>
      <w:pPr>
        <w:ind w:left="340" w:hanging="332"/>
        <w:spacing w:after="0" w:line="25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balance includes a right of use asset and corresponding operating lease liability, respectively. Refer to "Note 7—Commitments and Contingencies—O</w:t>
      </w:r>
      <w:r>
        <w:rPr>
          <w:rFonts w:ascii="Arial" w:cs="Arial" w:eastAsia="Arial" w:hAnsi="Arial"/>
          <w:sz w:val="16"/>
          <w:szCs w:val="16"/>
          <w:i w:val="1"/>
          <w:iCs w:val="1"/>
          <w:color w:val="auto"/>
        </w:rPr>
        <w:t>perating Leases</w:t>
      </w:r>
      <w:r>
        <w:rPr>
          <w:rFonts w:ascii="Arial" w:cs="Arial" w:eastAsia="Arial" w:hAnsi="Arial"/>
          <w:sz w:val="16"/>
          <w:szCs w:val="16"/>
          <w:color w:val="auto"/>
        </w:rPr>
        <w:t xml:space="preserve"> </w:t>
      </w:r>
      <w:r>
        <w:rPr>
          <w:rFonts w:ascii="Arial" w:cs="Arial" w:eastAsia="Arial" w:hAnsi="Arial"/>
          <w:sz w:val="16"/>
          <w:szCs w:val="16"/>
          <w:i w:val="1"/>
          <w:iCs w:val="1"/>
          <w:color w:val="auto"/>
        </w:rPr>
        <w:t>and Related Deposits</w:t>
      </w:r>
      <w:r>
        <w:rPr>
          <w:rFonts w:ascii="Arial" w:cs="Arial" w:eastAsia="Arial" w:hAnsi="Arial"/>
          <w:sz w:val="16"/>
          <w:szCs w:val="16"/>
          <w:color w:val="auto"/>
        </w:rPr>
        <w:t>" for more detail.</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Non-controlled/non-affiliate investments: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174,922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Non-controlled/affiliate investments: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521,685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41,153</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Dividend income</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350,000</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1,087,760</w:t>
            </w:r>
          </w:p>
        </w:tc>
      </w:tr>
      <w:tr>
        <w:trPr>
          <w:trHeight w:val="231"/>
        </w:trPr>
        <w:tc>
          <w:tcPr>
            <w:tcW w:w="562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1,345,090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848,723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3,954,732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Incentive fees/(Reversal of incentive fee accrual)</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804,520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(4,660,472)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4,863,939</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355,599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306,084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1,176,857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Directors’ fees</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99,620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272,120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258,750</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4,179,093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1,218,875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Compensation expense</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3,070,409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3,702,517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1,311,534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1,795,885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3,925,292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34,666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142,264</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512,792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756,994</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5,082,430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4,556,625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7,983,161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16,297,703</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5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Management fee waiver</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(892,421)</w:t>
            </w:r>
          </w:p>
        </w:tc>
      </w:tr>
      <w:tr>
        <w:trPr>
          <w:trHeight w:val="257"/>
        </w:trPr>
        <w:tc>
          <w:tcPr>
            <w:tcW w:w="5620" w:type="dxa"/>
            <w:vAlign w:val="bottom"/>
          </w:tcPr>
          <w:p>
            <w:pPr>
              <w:ind w:left="280"/>
              <w:spacing w:after="0"/>
              <w:rPr>
                <w:sz w:val="20"/>
                <w:szCs w:val="20"/>
                <w:color w:val="auto"/>
              </w:rPr>
            </w:pPr>
            <w:r>
              <w:rPr>
                <w:rFonts w:ascii="Arial" w:cs="Arial" w:eastAsia="Arial" w:hAnsi="Arial"/>
                <w:sz w:val="16"/>
                <w:szCs w:val="16"/>
                <w:color w:val="auto"/>
              </w:rPr>
              <w:t>Incentive fee waiver</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(5,000,000)</w:t>
            </w:r>
          </w:p>
        </w:tc>
      </w:tr>
      <w:tr>
        <w:trPr>
          <w:trHeight w:val="230"/>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 net of waiver of management and incentive fees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5,082,430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4,154,551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7,983,161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10,405,282</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b w:val="1"/>
                <w:bCs w:val="1"/>
                <w:color w:val="auto"/>
              </w:rPr>
              <w:t>Net Investment Loss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(4,702,204)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(3,908,199)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(6,887,733)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(9,317,522)</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Realized Gains/(Losses)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1,772,961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(10,119,771)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23,632,332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(7,532,483)</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(12,334,831)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Gain/(Loss) on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1,772,961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(10,119,771)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11,297,501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(7,533,163)</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w w:val="94"/>
              </w:rPr>
              <w:t>Realized loss on partial repurchase of 5.25% Convertible Senior Notes due 2018</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(397,846)</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(7,998,030)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16,245,474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2,279,117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36,655,159</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11,264,416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(2,350,413)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19,067,052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(10,979,378)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4,924,309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247,314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(4,896,043)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6,472,584</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8,190,695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14,142,375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16,450,126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32,148,365</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Benefit from taxes on unrealized depreciation of investments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214,404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885,566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1,225,275</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5,261,452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328,810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21,745,460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16,125,108</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w w:val="99"/>
              </w:rPr>
              <w:t>Net Change in Net Assets Resulting from Operations per Common Share: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0.72</w:t>
            </w:r>
          </w:p>
        </w:tc>
      </w:tr>
      <w:tr>
        <w:trPr>
          <w:trHeight w:val="21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19,472,785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20,462,626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19,650,651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20,858,192</w:t>
            </w:r>
          </w:p>
        </w:tc>
      </w:tr>
      <w:tr>
        <w:trPr>
          <w:trHeight w:val="296"/>
        </w:trPr>
        <w:tc>
          <w:tcPr>
            <w:tcW w:w="5620" w:type="dxa"/>
            <w:vAlign w:val="bottom"/>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23,204,129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20,462,626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23,381,995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27,728,434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-3305175</wp:posOffset>
            </wp:positionV>
            <wp:extent cx="3559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-6057900</wp:posOffset>
            </wp:positionV>
            <wp:extent cx="3559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16" w:lineRule="auto"/>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pacing w:after="0" w:line="1" w:lineRule="exact"/>
        <w:rPr>
          <w:rFonts w:ascii="Arial" w:cs="Arial" w:eastAsia="Arial" w:hAnsi="Arial"/>
          <w:sz w:val="14"/>
          <w:szCs w:val="14"/>
          <w:color w:val="auto"/>
        </w:rPr>
      </w:pPr>
    </w:p>
    <w:p>
      <w:pPr>
        <w:jc w:val="both"/>
        <w:ind w:left="340" w:hanging="332"/>
        <w:spacing w:after="0" w:line="271"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the three months ended September 30, 2018, 7,173,218 potentially dilutive common shares were excluded from the weighted-average common shares outstanding for diluted net change in net assets resulting from operations per common share because the effect of these shares would have been anti-dilutive. For three and nine months ended September 30, 2019 and the nine months ended September 30, 2018, 0 potentially dilutive common shares were excluded from the weighted-average common shares outstanding for diluted net change in net assets resulting from operations per common share. Refer to “Note 6—Net Change in Net Assets Resulting from Operations per Common Share—Basic and Diluted” for further detail.</w:t>
      </w:r>
    </w:p>
    <w:p>
      <w:pPr>
        <w:sectPr>
          <w:pgSz w:w="11900" w:h="16838" w:orient="portrait"/>
          <w:cols w:equalWidth="0" w:num="1">
            <w:col w:w="11420"/>
          </w:cols>
          <w:pgMar w:left="240" w:top="122" w:right="239" w:bottom="7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746" w:gutter="0" w:footer="0" w:header="0"/>
          <w:type w:val="continuous"/>
        </w:sectPr>
      </w:pPr>
    </w:p>
    <w:bookmarkStart w:id="4" w:name="page5"/>
    <w:bookmarkEnd w:id="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2018</w:t>
            </w:r>
          </w:p>
        </w:tc>
      </w:tr>
      <w:tr>
        <w:trPr>
          <w:trHeight w:val="23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 at Beginning of Year</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195,378,159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204,762,866</w:t>
            </w:r>
          </w:p>
        </w:tc>
      </w:tr>
      <w:tr>
        <w:trPr>
          <w:trHeight w:val="230"/>
        </w:trPr>
        <w:tc>
          <w:tcPr>
            <w:tcW w:w="7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investment gain</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619,702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7,473</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realized loss on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(4,065,693)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(776,725)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4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(397,846)</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 of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20,699,751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8,133,394</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Provision for taxes on unrealized appreciation of investments</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(94,147)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17,159,613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6,966,296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(1,241,428)</w:t>
            </w:r>
          </w:p>
        </w:tc>
      </w:tr>
      <w:tr>
        <w:trPr>
          <w:trHeight w:val="217"/>
        </w:trPr>
        <w:tc>
          <w:tcPr>
            <w:tcW w:w="7440" w:type="dxa"/>
            <w:vAlign w:val="bottom"/>
            <w:tcBorders>
              <w:top w:val="single" w:sz="8" w:color="CCEEFF"/>
            </w:tcBorders>
          </w:tcPr>
          <w:p>
            <w:pPr>
              <w:ind w:left="280"/>
              <w:spacing w:after="0"/>
              <w:rPr>
                <w:sz w:val="20"/>
                <w:szCs w:val="20"/>
                <w:color w:val="auto"/>
              </w:rPr>
            </w:pPr>
            <w:r>
              <w:rPr>
                <w:rFonts w:ascii="Arial" w:cs="Arial" w:eastAsia="Arial" w:hAnsi="Arial"/>
                <w:sz w:val="16"/>
                <w:szCs w:val="16"/>
                <w:b w:val="1"/>
                <w:bCs w:val="1"/>
                <w:color w:val="auto"/>
              </w:rPr>
              <w:t>Net Change in Net Assets Resulting from Capital Transactions</w:t>
            </w: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(1,241,428)</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Net Assets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17,159,613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5,724,868</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Assets at March 31</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212,537,772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210,487,734</w:t>
            </w:r>
          </w:p>
        </w:tc>
      </w:tr>
      <w:tr>
        <w:trPr>
          <w:trHeight w:val="176"/>
        </w:trPr>
        <w:tc>
          <w:tcPr>
            <w:tcW w:w="7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loss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(2,805,231)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(5,416,796)</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realized gain on investments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13,590,233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3,363,333</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(12,440,320)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9,872,595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Benefit from taxes on unrealized depreciation of investments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979,713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1,010,871</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(675,605)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8,830,003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(737,119)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(2,169,124)</w:t>
            </w:r>
          </w:p>
        </w:tc>
      </w:tr>
      <w:tr>
        <w:trPr>
          <w:trHeight w:val="217"/>
        </w:trPr>
        <w:tc>
          <w:tcPr>
            <w:tcW w:w="7440" w:type="dxa"/>
            <w:vAlign w:val="bottom"/>
            <w:tcBorders>
              <w:top w:val="single" w:sz="8" w:color="CCEEFF"/>
            </w:tcBorders>
          </w:tcPr>
          <w:p>
            <w:pPr>
              <w:ind w:left="280"/>
              <w:spacing w:after="0"/>
              <w:rPr>
                <w:sz w:val="20"/>
                <w:szCs w:val="20"/>
                <w:color w:val="auto"/>
              </w:rPr>
            </w:pPr>
            <w:r>
              <w:rPr>
                <w:rFonts w:ascii="Arial" w:cs="Arial" w:eastAsia="Arial" w:hAnsi="Arial"/>
                <w:sz w:val="16"/>
                <w:szCs w:val="16"/>
                <w:b w:val="1"/>
                <w:bCs w:val="1"/>
                <w:color w:val="auto"/>
              </w:rPr>
              <w:t>Net Decrease in Net Assets Resulting from Capital Transactions</w:t>
            </w: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(737,119)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(2,169,124)</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Net Assets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(1,412,724)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6,660,879</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Assets at June 30</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211,125,048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217,148,613</w:t>
            </w:r>
          </w:p>
        </w:tc>
      </w:tr>
      <w:tr>
        <w:trPr>
          <w:trHeight w:val="217"/>
        </w:trPr>
        <w:tc>
          <w:tcPr>
            <w:tcW w:w="7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loss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(4,702,204)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(3,908,199)</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1,772,961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(10,119,771)</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 of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8,190,695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14,142,375</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Benefit from taxes on unrealized depreciation of investments</w:t>
            </w:r>
          </w:p>
        </w:tc>
        <w:tc>
          <w:tcPr>
            <w:tcW w:w="4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214,404</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5,261,452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328,810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1,449,121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(3,886,591)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(4,074,059)</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Decrease in Net Assets Resulting from Capital Transactions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(4,074,059)</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Change in Net Assets</w:t>
            </w: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2,823,982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(3,745,249)</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 at September 30</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213,949,030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213,403,364</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7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Share Activity</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Shares outstanding at beginning of year</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19,762,647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21,246,345</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issued</w:t>
            </w: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Shares repurchased</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(721,128)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(1,071,390)</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Shares Outstanding at End of Period</w:t>
            </w:r>
          </w:p>
        </w:tc>
        <w:tc>
          <w:tcPr>
            <w:tcW w:w="4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19,041,519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20,174,955</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-1208405</wp:posOffset>
            </wp:positionV>
            <wp:extent cx="4716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-3601085</wp:posOffset>
            </wp:positionV>
            <wp:extent cx="4716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-5624830</wp:posOffset>
            </wp:positionV>
            <wp:extent cx="4716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80" w:type="dxa"/>
            <w:vAlign w:val="bottom"/>
            <w:tcBorders>
              <w:bottom w:val="single" w:sz="8" w:color="CCEEFF"/>
            </w:tcBorders>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6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r>
      <w:tr>
        <w:trPr>
          <w:trHeight w:val="236"/>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Net change in net assets resulting from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21,745,460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16,125,108</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0"/>
        </w:trPr>
        <w:tc>
          <w:tcPr>
            <w:tcW w:w="6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Adjustments to reconcile net change in net assets resulting from operations to net cash provided by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9"/>
        </w:trPr>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Net realized (gain)/loss on investments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(11,297,501)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7,533,163</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(16,450,126)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(32,148,365)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Change in deferred tax liability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(885,566)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(1,568,789)</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discount on 5.25% Convertible Senior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492,170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276,084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188,091</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51,636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(25,909)</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Write-off of deferred offering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267,541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325,248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1,449,121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Paid-in-kind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(383,980)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(254,881)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Adjustments to escrow proceeds receivable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26,221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Purchases of investments in: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Portfolio investments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(25,309,145)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(6,676,590)</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 Treasury bills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(249,933,583)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(299,911,885)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Portfolio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52,322,735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34,892,791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3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U.S. Treasury bills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300,000,000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300,000,000</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Due from controlled investments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840</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(2,124,641)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Interest and dividends receivable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130,322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(275,542)</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Escrow proceeds receivable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408,437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(2,038,825)</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(231,610)</w:t>
            </w:r>
          </w:p>
        </w:tc>
        <w:tc>
          <w:tcPr>
            <w:tcW w:w="20" w:type="dxa"/>
            <w:vAlign w:val="bottom"/>
            <w:shd w:val="clear" w:color="auto" w:fill="CCEEFF"/>
          </w:tcPr>
          <w:p>
            <w:pPr>
              <w:spacing w:after="0"/>
              <w:rPr>
                <w:sz w:val="23"/>
                <w:szCs w:val="23"/>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Payable for securities purchased</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(44,737,654)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91,551</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1,651,365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(4,660,472)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(136,061)</w:t>
            </w:r>
          </w:p>
        </w:tc>
        <w:tc>
          <w:tcPr>
            <w:tcW w:w="20" w:type="dxa"/>
            <w:vAlign w:val="bottom"/>
          </w:tcPr>
          <w:p>
            <w:pPr>
              <w:spacing w:after="0"/>
              <w:rPr>
                <w:sz w:val="23"/>
                <w:szCs w:val="23"/>
                <w:color w:val="auto"/>
              </w:rPr>
            </w:pP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(415,056)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(110,109)</w:t>
            </w:r>
          </w:p>
        </w:tc>
        <w:tc>
          <w:tcPr>
            <w:tcW w:w="20" w:type="dxa"/>
            <w:vAlign w:val="bottom"/>
            <w:shd w:val="clear" w:color="auto" w:fill="CCEEFF"/>
          </w:tcPr>
          <w:p>
            <w:pPr>
              <w:spacing w:after="0"/>
              <w:rPr>
                <w:sz w:val="23"/>
                <w:szCs w:val="23"/>
                <w:color w:val="auto"/>
              </w:rPr>
            </w:pPr>
          </w:p>
        </w:tc>
      </w:tr>
      <w:tr>
        <w:trPr>
          <w:trHeight w:val="237"/>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Accrued interest payable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(1,056,563)</w:t>
            </w:r>
          </w:p>
        </w:tc>
        <w:tc>
          <w:tcPr>
            <w:tcW w:w="20" w:type="dxa"/>
            <w:vAlign w:val="bottom"/>
          </w:tcPr>
          <w:p>
            <w:pPr>
              <w:spacing w:after="0"/>
              <w:rPr>
                <w:sz w:val="20"/>
                <w:szCs w:val="20"/>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21,595,331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15,169,308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17"/>
        </w:trPr>
        <w:tc>
          <w:tcPr>
            <w:tcW w:w="6980" w:type="dxa"/>
            <w:vAlign w:val="bottom"/>
            <w:tcBorders>
              <w:top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Proceeds from the issuance of 4.75% Convertible Senior Notes due 2023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Deferred debt issuance costs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(1,846,620)</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(4,623,710)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(7,484,610)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Repayment of 5.25% Convertible Senior Notes due 2018</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(69,272,565)</w:t>
            </w:r>
          </w:p>
        </w:tc>
        <w:tc>
          <w:tcPr>
            <w:tcW w:w="20" w:type="dxa"/>
            <w:vAlign w:val="bottom"/>
          </w:tcPr>
          <w:p>
            <w:pPr>
              <w:spacing w:after="0"/>
              <w:rPr>
                <w:sz w:val="20"/>
                <w:szCs w:val="20"/>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Realized loss on repurchase of 5.25% Convertible Senior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397,846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Deferred offering costs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(178,910)</w:t>
            </w:r>
          </w:p>
        </w:tc>
        <w:tc>
          <w:tcPr>
            <w:tcW w:w="20" w:type="dxa"/>
            <w:vAlign w:val="bottom"/>
          </w:tcPr>
          <w:p>
            <w:pPr>
              <w:spacing w:after="0"/>
              <w:rPr>
                <w:sz w:val="20"/>
                <w:szCs w:val="20"/>
                <w:color w:val="auto"/>
              </w:rPr>
            </w:pPr>
          </w:p>
        </w:tc>
      </w:tr>
      <w:tr>
        <w:trPr>
          <w:trHeight w:val="33"/>
        </w:trPr>
        <w:tc>
          <w:tcPr>
            <w:tcW w:w="3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(4,623,710)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(38,384,859)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17"/>
        </w:trPr>
        <w:tc>
          <w:tcPr>
            <w:tcW w:w="6980" w:type="dxa"/>
            <w:vAlign w:val="bottom"/>
            <w:tcBorders>
              <w:top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Total Increase/(Decrease) in Cash Balance</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16,971,621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(23,215,550)</w:t>
            </w:r>
          </w:p>
        </w:tc>
        <w:tc>
          <w:tcPr>
            <w:tcW w:w="20" w:type="dxa"/>
            <w:vAlign w:val="bottom"/>
            <w:tcBorders>
              <w:top w:val="single" w:sz="8" w:color="auto"/>
            </w:tcBorders>
          </w:tcPr>
          <w:p>
            <w:pPr>
              <w:spacing w:after="0"/>
              <w:rPr>
                <w:sz w:val="18"/>
                <w:szCs w:val="18"/>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Balance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28,184,163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59,838,600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17"/>
        </w:trPr>
        <w:tc>
          <w:tcPr>
            <w:tcW w:w="6980" w:type="dxa"/>
            <w:vAlign w:val="bottom"/>
            <w:tcBorders>
              <w:top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Balance at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45,155,784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36,623,050</w:t>
            </w:r>
          </w:p>
        </w:tc>
        <w:tc>
          <w:tcPr>
            <w:tcW w:w="20" w:type="dxa"/>
            <w:vAlign w:val="bottom"/>
            <w:tcBorders>
              <w:top w:val="single" w:sz="8" w:color="auto"/>
            </w:tcBorders>
          </w:tcPr>
          <w:p>
            <w:pPr>
              <w:spacing w:after="0"/>
              <w:rPr>
                <w:sz w:val="18"/>
                <w:szCs w:val="18"/>
                <w:color w:val="auto"/>
              </w:rPr>
            </w:pPr>
          </w:p>
        </w:tc>
      </w:tr>
      <w:tr>
        <w:trPr>
          <w:trHeight w:val="33"/>
        </w:trPr>
        <w:tc>
          <w:tcPr>
            <w:tcW w:w="3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380" w:type="dxa"/>
            <w:vAlign w:val="bottom"/>
          </w:tcPr>
          <w:p>
            <w:pPr>
              <w:spacing w:after="0"/>
              <w:rPr>
                <w:sz w:val="15"/>
                <w:szCs w:val="15"/>
                <w:color w:val="auto"/>
              </w:rPr>
            </w:pPr>
          </w:p>
        </w:tc>
        <w:tc>
          <w:tcPr>
            <w:tcW w:w="7500" w:type="dxa"/>
            <w:vAlign w:val="bottom"/>
            <w:gridSpan w:val="3"/>
          </w:tcPr>
          <w:p>
            <w:pPr>
              <w:ind w:left="3240"/>
              <w:spacing w:after="0"/>
              <w:rPr>
                <w:sz w:val="20"/>
                <w:szCs w:val="20"/>
                <w:color w:val="auto"/>
              </w:rPr>
            </w:pPr>
            <w:r>
              <w:rPr>
                <w:rFonts w:ascii="Arial" w:cs="Arial" w:eastAsia="Arial" w:hAnsi="Arial"/>
                <w:sz w:val="14"/>
                <w:szCs w:val="14"/>
                <w:i w:val="1"/>
                <w:iCs w:val="1"/>
                <w:color w:val="auto"/>
                <w:w w:val="92"/>
              </w:rPr>
              <w:t>See accompanying notes to condensed consolidated financial statements.</w:t>
            </w: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8"/>
        </w:trPr>
        <w:tc>
          <w:tcPr>
            <w:tcW w:w="3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40" w:type="dxa"/>
            <w:vAlign w:val="bottom"/>
            <w:gridSpan w:val="7"/>
          </w:tcPr>
          <w:p>
            <w:pPr>
              <w:ind w:left="3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8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r>
      <w:tr>
        <w:trPr>
          <w:trHeight w:val="236"/>
        </w:trPr>
        <w:tc>
          <w:tcPr>
            <w:tcW w:w="38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8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2,007,872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4,080,817</w:t>
            </w:r>
          </w:p>
        </w:tc>
        <w:tc>
          <w:tcPr>
            <w:tcW w:w="20" w:type="dxa"/>
            <w:vAlign w:val="bottom"/>
          </w:tcPr>
          <w:p>
            <w:pPr>
              <w:spacing w:after="0"/>
              <w:rPr>
                <w:sz w:val="20"/>
                <w:szCs w:val="20"/>
                <w:color w:val="auto"/>
              </w:rPr>
            </w:pPr>
          </w:p>
        </w:tc>
      </w:tr>
      <w:tr>
        <w:trPr>
          <w:trHeight w:val="270"/>
        </w:trPr>
        <w:tc>
          <w:tcPr>
            <w:tcW w:w="380" w:type="dxa"/>
            <w:vAlign w:val="bottom"/>
          </w:tcPr>
          <w:p>
            <w:pPr>
              <w:spacing w:after="0"/>
              <w:rPr>
                <w:sz w:val="23"/>
                <w:szCs w:val="23"/>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Taxes paid</w:t>
            </w:r>
          </w:p>
        </w:tc>
        <w:tc>
          <w:tcPr>
            <w:tcW w:w="9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34,666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492,303</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-2190750</wp:posOffset>
            </wp:positionV>
            <wp:extent cx="4425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-3220085</wp:posOffset>
            </wp:positionV>
            <wp:extent cx="4425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-149860</wp:posOffset>
            </wp:positionV>
            <wp:extent cx="699770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17145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-492760</wp:posOffset>
            </wp:positionV>
            <wp:extent cx="4339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ectPr>
          <w:pgSz w:w="11900" w:h="16838" w:orient="portrait"/>
          <w:cols w:equalWidth="0" w:num="1">
            <w:col w:w="11420"/>
          </w:cols>
          <w:pgMar w:left="240" w:top="121"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68" w:right="1440" w:bottom="1440" w:gutter="0" w:footer="0" w:header="0"/>
        </w:sectPr>
      </w:pPr>
    </w:p>
    <w:bookmarkStart w:id="7" w:name="page8"/>
    <w:bookmarkEnd w:id="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420"/>
        <w:spacing w:after="0" w:line="266"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September 30,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1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Date of Initial</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18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100" w:type="dxa"/>
            <w:vAlign w:val="bottom"/>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100" w:type="dxa"/>
            <w:vAlign w:val="bottom"/>
            <w:tcBorders>
              <w:top w:val="single" w:sz="8" w:color="auto"/>
            </w:tcBorders>
            <w:gridSpan w:val="16"/>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14,519,519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34,768,769</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Palo Alto,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Data Analysis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16,189,935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30,369,609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Redwood City,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9/18/2014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15,974,104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16"/>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8"/>
                <w:szCs w:val="18"/>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 Class A</w:t>
            </w:r>
            <w:r>
              <w:rPr>
                <w:rFonts w:ascii="Arial" w:cs="Arial" w:eastAsia="Arial" w:hAnsi="Arial"/>
                <w:sz w:val="8"/>
                <w:szCs w:val="8"/>
                <w:color w:val="auto"/>
              </w:rPr>
              <w:t>(3)(7)</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3/21/2014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304,829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4,296,894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12,449,216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Social Networking</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9/27/2018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580,360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10,006,578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11,124,195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Micromobility</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41,237,113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10,006,800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10,491,783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Scottsdale, AZ</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D 8%</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E-Transcript Exchange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10/1/2012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4,000,982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9,249,630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7,601,668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1,093,939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8,695,607</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29"/>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On-Demand Commerce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7/29/2015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4,000,280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5,785,270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51"/>
        </w:trPr>
        <w:tc>
          <w:tcPr>
            <w:tcW w:w="310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10/16/2014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1,002,440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2,752,022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5,002,720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8,537,292</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23"/>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Marina Del Rey,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7,525,788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Convertible Promissory Note 5%, Due 1/31/2021</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8/12/2019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280,000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281,190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570,171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1,283,005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8,095,959</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29"/>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Treehouse Real Estate Investment Trust,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Los Angeles,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Cannabis REIT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Education Software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Seattle, WA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Peer-to-Peer Pet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2,506,119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1,078,061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Computer Software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789,491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Chicago, IL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3/30/2012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226,642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30"/>
        </w:trPr>
        <w:tc>
          <w:tcPr>
            <w:tcW w:w="3100" w:type="dxa"/>
            <w:vAlign w:val="bottom"/>
            <w:gridSpan w:val="16"/>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9"/>
                <w:szCs w:val="19"/>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Cambridge, MA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16"/>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Business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5/13/2012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517,917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16"/>
          </w:tcPr>
          <w:p>
            <w:pPr>
              <w:ind w:left="40"/>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(4)</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3/3/2016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2,270,458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2,270,858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0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8,421,364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7"/>
        </w:trPr>
        <w:tc>
          <w:tcPr>
            <w:tcW w:w="4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gridSpan w:val="15"/>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94,863,935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161,350,359</w:t>
            </w:r>
          </w:p>
        </w:tc>
        <w:tc>
          <w:tcPr>
            <w:tcW w:w="10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4356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-2933065</wp:posOffset>
            </wp:positionV>
            <wp:extent cx="4356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-3653790</wp:posOffset>
            </wp:positionV>
            <wp:extent cx="4356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-4356735</wp:posOffset>
            </wp:positionV>
            <wp:extent cx="4356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1960"/>
        <w:spacing w:after="0" w:line="275"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 continued September 30,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Date of Initial</w:t>
            </w:r>
          </w:p>
        </w:tc>
        <w:tc>
          <w:tcPr>
            <w:tcW w:w="16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Shares/</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100" w:type="dxa"/>
            <w:vAlign w:val="bottom"/>
            <w:gridSpan w:val="9"/>
            <w:vMerge w:val="continue"/>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Principal</w:t>
            </w: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100" w:type="dxa"/>
            <w:vAlign w:val="bottom"/>
            <w:tcBorders>
              <w:top w:val="single" w:sz="8" w:color="auto"/>
            </w:tcBorders>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tcBorders>
              <w:top w:val="single" w:sz="8" w:color="CCEEFF"/>
            </w:tcBorders>
            <w:shd w:val="clear" w:color="auto" w:fill="CCEEFF"/>
          </w:tcPr>
          <w:p>
            <w:pPr>
              <w:spacing w:after="0"/>
              <w:rPr>
                <w:sz w:val="23"/>
                <w:szCs w:val="23"/>
                <w:color w:val="auto"/>
              </w:rPr>
            </w:pPr>
          </w:p>
        </w:tc>
        <w:tc>
          <w:tcPr>
            <w:tcW w:w="2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00" w:type="dxa"/>
            <w:vAlign w:val="bottom"/>
            <w:gridSpan w:val="9"/>
          </w:tcPr>
          <w:p>
            <w:pPr>
              <w:ind w:left="40"/>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tcPr>
          <w:p>
            <w:pPr>
              <w:spacing w:after="0"/>
              <w:rPr>
                <w:sz w:val="19"/>
                <w:szCs w:val="19"/>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C-2 6%</w:t>
            </w:r>
            <w:r>
              <w:rPr>
                <w:rFonts w:ascii="Arial" w:cs="Arial" w:eastAsia="Arial" w:hAnsi="Arial"/>
                <w:sz w:val="8"/>
                <w:szCs w:val="8"/>
                <w:color w:val="auto"/>
              </w:rPr>
              <w:t>(8)</w:t>
            </w:r>
          </w:p>
        </w:tc>
        <w:tc>
          <w:tcPr>
            <w:tcW w:w="120" w:type="dxa"/>
            <w:vAlign w:val="bottom"/>
            <w:shd w:val="clear" w:color="auto" w:fill="CCEEFF"/>
          </w:tcPr>
          <w:p>
            <w:pPr>
              <w:spacing w:after="0"/>
              <w:rPr>
                <w:sz w:val="23"/>
                <w:szCs w:val="23"/>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683,482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3,156,106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w w:val="99"/>
              </w:rPr>
              <w:t>Common Warrants, Strike Price $0.01, Expiration</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Date 4/9/2028</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4/9/2018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295,565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1,362,555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276"/>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10/3/2014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922,509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5,001,420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A 6%</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12/11/2013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1,090,909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5,037,476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84"/>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Seed 6%</w:t>
            </w: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2,308,843</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9"/>
              </w:rPr>
              <w:t>10,945,024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16,866,400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29"/>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GreenAcreage Real Estate Corp.</w:t>
            </w: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New York, NY</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Cannabis REIT</w:t>
            </w: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8/12/2019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7,501,530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7,500,000</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36"/>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12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San Mateo, CA</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8"/>
                <w:szCs w:val="8"/>
                <w:color w:val="auto"/>
              </w:rPr>
              <w:t>(10)</w:t>
            </w:r>
          </w:p>
        </w:tc>
        <w:tc>
          <w:tcPr>
            <w:tcW w:w="120" w:type="dxa"/>
            <w:vAlign w:val="bottom"/>
          </w:tcPr>
          <w:p>
            <w:pPr>
              <w:spacing w:after="0"/>
              <w:rPr>
                <w:sz w:val="22"/>
                <w:szCs w:val="2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Global Innovation Platform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8/23/2019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3,772,217</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4"/>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w w:val="96"/>
              </w:rPr>
              <w:t>Convertible Promissory Note 8% Due 8/23/2024***</w:t>
            </w: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2/17/2016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1,010,198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1,028,838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2"/>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w w:val="97"/>
              </w:rPr>
              <w:t>Preferred Warrants Series A-3, Strike Price $1.33,</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Expiration Date 4/4/2021</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187,500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24,375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3"/>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w w:val="97"/>
              </w:rPr>
              <w:t>Preferred Warrants Series A-4, Strike Price $1.33,</w:t>
            </w:r>
          </w:p>
        </w:tc>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Expiration Date 10/6/2021</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10/6/2014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w w:val="97"/>
              </w:rPr>
              <w:t>Preferred Warrants Series A-4, Strike Price $1.33,</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Expiration Date 7/18/2021</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67,500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3"/>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Warrants Series B, Strike Price $2.31,</w:t>
            </w:r>
          </w:p>
        </w:tc>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Expiration Date 11/29/2021</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Preferred Warrant Series B, Strike Price $2.31,</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Expiration Date 5/29/2022</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5/29/2017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Warrant Series B, Strike Price $2.31,</w:t>
            </w:r>
          </w:p>
        </w:tc>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Expiration Date 12/31/2023</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0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9,763,076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5,024,290</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29"/>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Burlingame, CA</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A-1</w:t>
            </w:r>
          </w:p>
        </w:tc>
        <w:tc>
          <w:tcPr>
            <w:tcW w:w="120" w:type="dxa"/>
            <w:vAlign w:val="bottom"/>
          </w:tcPr>
          <w:p>
            <w:pPr>
              <w:spacing w:after="0"/>
              <w:rPr>
                <w:sz w:val="22"/>
                <w:szCs w:val="2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Education Media Platform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11/12/2015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378,788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248,587</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0"/>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2/28/2014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494,365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261,676</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1,002,161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510,263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29"/>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Philadelphia, PA</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w w:val="98"/>
              </w:rPr>
              <w:t>Senior Subordinated Convertible Promissory Note</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10% Due 2/14/2020***</w:t>
            </w:r>
            <w:r>
              <w:rPr>
                <w:rFonts w:ascii="Arial" w:cs="Arial" w:eastAsia="Arial" w:hAnsi="Arial"/>
                <w:sz w:val="8"/>
                <w:szCs w:val="8"/>
                <w:color w:val="auto"/>
              </w:rPr>
              <w:t>(6)</w:t>
            </w:r>
          </w:p>
        </w:tc>
        <w:tc>
          <w:tcPr>
            <w:tcW w:w="120" w:type="dxa"/>
            <w:vAlign w:val="bottom"/>
          </w:tcPr>
          <w:p>
            <w:pPr>
              <w:spacing w:after="0"/>
              <w:rPr>
                <w:sz w:val="16"/>
                <w:szCs w:val="16"/>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11/26/2014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1,360,489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1,362,249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340,492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76"/>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Convertible preferred shares, Series D 6%</w:t>
            </w: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5/31/2013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Convertible preferred shares, Series C 8%</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3/29/2012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615,763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Warrants Series D, Strike Price $4.59,</w:t>
            </w:r>
          </w:p>
        </w:tc>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Expiration Date 2/14/2020</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5/31/2013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4,146,933</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340,492</w:t>
            </w:r>
          </w:p>
        </w:tc>
        <w:tc>
          <w:tcPr>
            <w:tcW w:w="1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29"/>
        </w:trPr>
        <w:tc>
          <w:tcPr>
            <w:tcW w:w="31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C</w:t>
            </w:r>
          </w:p>
        </w:tc>
        <w:tc>
          <w:tcPr>
            <w:tcW w:w="120" w:type="dxa"/>
            <w:vAlign w:val="bottom"/>
          </w:tcPr>
          <w:p>
            <w:pPr>
              <w:spacing w:after="0"/>
              <w:rPr>
                <w:sz w:val="22"/>
                <w:szCs w:val="22"/>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7/2/2012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318,979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2/28/2012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49,505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60" w:type="dxa"/>
            <w:vAlign w:val="bottom"/>
            <w:gridSpan w:val="8"/>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2,217,653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100" w:type="dxa"/>
            <w:vAlign w:val="bottom"/>
            <w:tcBorders>
              <w:top w:val="single" w:sz="8" w:color="CCEEFF"/>
            </w:tcBorders>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22"/>
                <w:szCs w:val="22"/>
                <w:color w:val="auto"/>
              </w:rPr>
            </w:pP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11/22/2013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1,135,944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9"/>
              </w:rPr>
              <w:t>12,000,006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060" w:type="dxa"/>
            <w:vAlign w:val="bottom"/>
            <w:gridSpan w:val="8"/>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w w:val="99"/>
              </w:rPr>
              <w:t>47,576,383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30,241,445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4425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-6012180</wp:posOffset>
            </wp:positionV>
            <wp:extent cx="3567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1960"/>
        <w:spacing w:after="0" w:line="275"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 continued September 30, 2019</w:t>
      </w:r>
    </w:p>
    <w:p>
      <w:pPr>
        <w:spacing w:after="0" w:line="3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Date of Initial</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1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4"/>
                <w:szCs w:val="14"/>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16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160" w:type="dxa"/>
            <w:vAlign w:val="bottom"/>
            <w:gridSpan w:val="6"/>
          </w:tcPr>
          <w:p>
            <w:pPr>
              <w:ind w:left="2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Scottsdale, AZ</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Preferred shares, Series C 8%</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Interactive Learning</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4,000,787</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4,593,188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3160" w:type="dxa"/>
            <w:vAlign w:val="bottom"/>
            <w:gridSpan w:val="6"/>
          </w:tcPr>
          <w:p>
            <w:pPr>
              <w:ind w:left="20"/>
              <w:spacing w:after="0"/>
              <w:rPr>
                <w:sz w:val="20"/>
                <w:szCs w:val="20"/>
                <w:color w:val="auto"/>
              </w:rPr>
            </w:pPr>
            <w:r>
              <w:rPr>
                <w:rFonts w:ascii="Arial" w:cs="Arial" w:eastAsia="Arial" w:hAnsi="Arial"/>
                <w:sz w:val="14"/>
                <w:szCs w:val="14"/>
                <w:color w:val="auto"/>
              </w:rPr>
              <w:t>Preferred shares, Series B 8%</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12/16/2011</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2,019,687</w:t>
            </w:r>
          </w:p>
        </w:tc>
        <w:tc>
          <w:tcPr>
            <w:tcW w:w="12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2,699,990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31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Preferred shares, Series A 8%</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78,258</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gridSpan w:val="5"/>
          </w:tcPr>
          <w:p>
            <w:pPr>
              <w:ind w:left="14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6,130,474</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7,371,436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8"/>
        </w:trPr>
        <w:tc>
          <w:tcPr>
            <w:tcW w:w="31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SPBRX, INC. (f/k/a GSV Sustainability</w:t>
            </w:r>
          </w:p>
        </w:tc>
        <w:tc>
          <w:tcPr>
            <w:tcW w:w="2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Cupertino, CA</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Partners, Inc.)</w:t>
            </w:r>
          </w:p>
        </w:tc>
        <w:tc>
          <w:tcPr>
            <w:tcW w:w="152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14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160" w:type="dxa"/>
            <w:vAlign w:val="bottom"/>
            <w:gridSpan w:val="6"/>
          </w:tcPr>
          <w:p>
            <w:pPr>
              <w:ind w:left="2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(9)</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Clean Technology</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14,300,000</w:t>
            </w:r>
          </w:p>
        </w:tc>
        <w:tc>
          <w:tcPr>
            <w:tcW w:w="1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7,151,412</w:t>
            </w:r>
          </w:p>
        </w:tc>
        <w:tc>
          <w:tcPr>
            <w:tcW w:w="12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880,198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70"/>
        </w:trPr>
        <w:tc>
          <w:tcPr>
            <w:tcW w:w="31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Common shares</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gridSpan w:val="5"/>
          </w:tcPr>
          <w:p>
            <w:pPr>
              <w:ind w:left="14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7,161,412</w:t>
            </w:r>
          </w:p>
        </w:tc>
        <w:tc>
          <w:tcPr>
            <w:tcW w:w="12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880,198</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Controlled</w:t>
            </w:r>
          </w:p>
        </w:tc>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13,291,886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8,251,634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3.86%</w:t>
            </w:r>
          </w:p>
        </w:tc>
      </w:tr>
      <w:tr>
        <w:trPr>
          <w:trHeight w:val="303"/>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3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155,732,204</w:t>
            </w:r>
          </w:p>
        </w:tc>
        <w:tc>
          <w:tcPr>
            <w:tcW w:w="12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199,843,438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93.41%</w:t>
            </w:r>
          </w:p>
        </w:tc>
      </w:tr>
      <w:tr>
        <w:trPr>
          <w:trHeight w:val="290"/>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0"/>
        </w:trPr>
        <w:tc>
          <w:tcPr>
            <w:tcW w:w="3160" w:type="dxa"/>
            <w:vAlign w:val="bottom"/>
            <w:gridSpan w:val="3"/>
          </w:tcPr>
          <w:p>
            <w:pPr>
              <w:ind w:left="20"/>
              <w:spacing w:after="0"/>
              <w:rPr>
                <w:sz w:val="20"/>
                <w:szCs w:val="20"/>
                <w:color w:val="auto"/>
              </w:rPr>
            </w:pPr>
            <w:r>
              <w:rPr>
                <w:rFonts w:ascii="Arial" w:cs="Arial" w:eastAsia="Arial" w:hAnsi="Arial"/>
                <w:sz w:val="14"/>
                <w:szCs w:val="14"/>
                <w:b w:val="1"/>
                <w:bCs w:val="1"/>
                <w:color w:val="auto"/>
              </w:rPr>
              <w:t>U.S. Treasury</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4"/>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U.S. Treasury bill, 0%, due 10/3/2019***</w:t>
            </w:r>
            <w:r>
              <w:rPr>
                <w:rFonts w:ascii="Arial" w:cs="Arial" w:eastAsia="Arial" w:hAnsi="Arial"/>
                <w:sz w:val="8"/>
                <w:szCs w:val="8"/>
                <w:color w:val="auto"/>
              </w:rPr>
              <w:t>(3)</w:t>
            </w:r>
          </w:p>
        </w:tc>
        <w:tc>
          <w:tcPr>
            <w:tcW w:w="33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9/27/2019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9"/>
              </w:rPr>
              <w:t>50,000,000</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49,993,250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49,995,500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w:t>
            </w:r>
          </w:p>
        </w:tc>
      </w:tr>
      <w:tr>
        <w:trPr>
          <w:trHeight w:val="284"/>
        </w:trPr>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300" w:type="dxa"/>
            <w:vAlign w:val="bottom"/>
            <w:tcBorders>
              <w:bottom w:val="single" w:sz="8" w:color="CCEEFF"/>
            </w:tcBorders>
          </w:tcPr>
          <w:p>
            <w:pPr>
              <w:spacing w:after="0"/>
              <w:rPr>
                <w:sz w:val="24"/>
                <w:szCs w:val="24"/>
                <w:color w:val="auto"/>
              </w:rPr>
            </w:pPr>
          </w:p>
        </w:tc>
        <w:tc>
          <w:tcPr>
            <w:tcW w:w="33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INVESTMENTS</w:t>
            </w:r>
          </w:p>
        </w:tc>
        <w:tc>
          <w:tcPr>
            <w:tcW w:w="3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205,725,454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249,838,938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760" w:type="dxa"/>
            <w:vAlign w:val="bottom"/>
            <w:gridSpan w:val="4"/>
          </w:tcPr>
          <w:p>
            <w:pPr>
              <w:jc w:val="right"/>
              <w:ind w:right="200"/>
              <w:spacing w:after="0"/>
              <w:rPr>
                <w:sz w:val="20"/>
                <w:szCs w:val="20"/>
                <w:color w:val="auto"/>
              </w:rPr>
            </w:pPr>
            <w:r>
              <w:rPr>
                <w:rFonts w:ascii="Arial" w:cs="Arial" w:eastAsia="Arial" w:hAnsi="Arial"/>
                <w:sz w:val="14"/>
                <w:szCs w:val="14"/>
                <w:i w:val="1"/>
                <w:iCs w:val="1"/>
                <w:color w:val="auto"/>
                <w:w w:val="98"/>
              </w:rPr>
              <w:t>See accompanying notes to condensed consolidated financial statements.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-1507490</wp:posOffset>
            </wp:positionV>
            <wp:extent cx="1929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both"/>
        <w:ind w:left="500" w:hanging="492"/>
        <w:spacing w:after="0" w:line="292"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22" w:lineRule="exact"/>
        <w:rPr>
          <w:sz w:val="20"/>
          <w:szCs w:val="20"/>
          <w:color w:val="auto"/>
        </w:rPr>
      </w:pPr>
    </w:p>
    <w:p>
      <w:pPr>
        <w:ind w:left="500" w:hanging="492"/>
        <w:spacing w:after="0" w:line="25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assets that Sutter Rock Capital Corp. believes do not represent “qualifying assets” under Section 55(a) of the Investment Company Act of 1940, as amended (the “1940 Act”). Of the Company’s total investments as of September 30, 2019, 4.98% of its total investments are non-qualifying assets.</w:t>
      </w: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80" w:lineRule="exact"/>
        <w:rPr>
          <w:sz w:val="20"/>
          <w:szCs w:val="20"/>
          <w:color w:val="auto"/>
        </w:rPr>
      </w:pPr>
    </w:p>
    <w:p>
      <w:pPr>
        <w:jc w:val="both"/>
        <w:ind w:left="500" w:hanging="492"/>
        <w:spacing w:after="0" w:line="25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1960"/>
        <w:spacing w:after="0" w:line="275"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 continued September 30, 2019</w:t>
      </w:r>
    </w:p>
    <w:p>
      <w:pPr>
        <w:spacing w:after="0" w:line="398" w:lineRule="exact"/>
        <w:rPr>
          <w:sz w:val="20"/>
          <w:szCs w:val="20"/>
          <w:color w:val="auto"/>
        </w:rPr>
      </w:pPr>
    </w:p>
    <w:p>
      <w:pPr>
        <w:jc w:val="both"/>
        <w:ind w:left="500" w:hanging="492"/>
        <w:spacing w:after="0" w:line="278"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6" w:lineRule="exact"/>
        <w:rPr>
          <w:rFonts w:ascii="Arial" w:cs="Arial" w:eastAsia="Arial" w:hAnsi="Arial"/>
          <w:sz w:val="15"/>
          <w:szCs w:val="15"/>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September 30, 2019,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Sutter Rock Capital Corp.’s investments in StormWind, LLC are held through Sutter Rock Capital Corp.'s wholly owned subsidiary, GSVC SW Holdings, Inc.</w:t>
      </w:r>
    </w:p>
    <w:p>
      <w:pPr>
        <w:spacing w:after="0" w:line="205" w:lineRule="exact"/>
        <w:rPr>
          <w:rFonts w:ascii="Arial" w:cs="Arial" w:eastAsia="Arial" w:hAnsi="Arial"/>
          <w:sz w:val="15"/>
          <w:szCs w:val="15"/>
          <w:color w:val="auto"/>
        </w:rPr>
      </w:pPr>
    </w:p>
    <w:p>
      <w:pPr>
        <w:ind w:left="500" w:right="2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w:t>
      </w:r>
    </w:p>
    <w:p>
      <w:pPr>
        <w:spacing w:after="0" w:line="145"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March 29, 2019, Lyft, Inc. priced its initial public offering for 32,500,000 Class A common shares at a price of $72.00 per share. Sutter Rock Capital Corp.'s 176,266 Series D preferred shares and 128,563 Series E preferred shares of Lyft, Inc. automatically converted to Class A common shares immediately prior to the close of the offering. As of August 19, 2019 Sutter Rock Capital Corp.'s shares of common stock in Lyft, Inc. were no longer restricted. At September 30, 2019, Sutter Rock Capital Corp. valued is common shares of Lyft, Inc. based on its September 30, 2019 closing price.</w:t>
      </w:r>
    </w:p>
    <w:p>
      <w:pPr>
        <w:spacing w:after="0" w:line="160"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September 11, 2019, Sutter Rock Capital Corp. agreed to convert its 5% Convertible Promissory Note due 12/31/2018 to Ozy Media, Inc. and all related accrued interest, into 683,482 shares of Ozy Media, Inc.'s Series C-2 preferred shares.</w:t>
      </w:r>
    </w:p>
    <w:p>
      <w:pPr>
        <w:spacing w:after="0" w:line="145"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Sutter Rock Capital Corp. do not entitle Sutter Rock Capital Corp. to a preferred dividend rate. During the three months ended September 30, 2019, SPBRX, INC. declared, and Sutter Rock Capital Corp. received, an aggregate of $0 in cash distributions. Sutter Rock Capital Corp. does not anticipate that SPBRX, INC. will pay distributions on a quarterly or regular basis or become a predictable distributor of distributions.</w:t>
      </w:r>
    </w:p>
    <w:p>
      <w:pPr>
        <w:spacing w:after="0" w:line="160" w:lineRule="exact"/>
        <w:rPr>
          <w:rFonts w:ascii="Arial" w:cs="Arial" w:eastAsia="Arial" w:hAnsi="Arial"/>
          <w:sz w:val="16"/>
          <w:szCs w:val="16"/>
          <w:color w:val="auto"/>
        </w:rPr>
      </w:pPr>
    </w:p>
    <w:p>
      <w:pPr>
        <w:jc w:val="both"/>
        <w:ind w:left="500" w:hanging="492"/>
        <w:spacing w:after="0" w:line="270"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 August 23, 2019, Sutter Rock Capital Corp. amended the structure of its investment in NestGSV, Inc. (d/b/a GSV Labs, Inc.). As part of the agreement, Sutter Rock’s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 As part of the agreement, previously accrued interest under Sutter Rock Capital Corp.’s 12% Convertible Promissory Note due 12/31/2019 will be capitalized into the principal of the extended note, and the interest on the note is reduced from 12% to 8%. The Convertible Promissory Note’s maturity was extended to August 23, 2024. Under the amended structure, Sutter Rock Capital Corp.’s fully diluted ownership in the company decreased from 50.0% to 8.5%. As such, Sutter Rock Capital Corp.'s investments in NestGSV, Inc. (d/b/a GSV Labs, Inc.) have been recategorized from controlled investments to non-controlled/affiliated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16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2980" w:type="dxa"/>
            <w:vAlign w:val="bottom"/>
            <w:gridSpan w:val="18"/>
            <w:vMerge w:val="continue"/>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2980" w:type="dxa"/>
            <w:vAlign w:val="bottom"/>
            <w:tcBorders>
              <w:top w:val="single" w:sz="8" w:color="auto"/>
            </w:tcBorders>
            <w:gridSpan w:val="18"/>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Data Analysis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34,053,394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(3)(7)</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On-Demand Music Streaming</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8/6/2012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235,360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26,713,360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23,111,889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Dropbox, Inc.</w:t>
            </w: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(3)(8)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Cloud Computing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11/15/2011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874,990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13,656,926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17,876,046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Lyft,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Transportation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3/11/2015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128,563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6,583,483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Preferred shares, Series D</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3/21/2014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176,266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1,792,749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9,026,269</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15,609,752</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29"/>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9/18/2014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14,106,625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Social Networking</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9/27/2018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10,006,578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10,097,442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5,943,577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(13)</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855,327</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2,383,703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6,798,904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29"/>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D 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E-Transcript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6,151,161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7/29/2015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10/16/2014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2,091,436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6,091,436</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29"/>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3,511,661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Knewton,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2,021,690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7"/>
        </w:trPr>
        <w:tc>
          <w:tcPr>
            <w:tcW w:w="2980" w:type="dxa"/>
            <w:vAlign w:val="bottom"/>
            <w:gridSpan w:val="18"/>
          </w:tcPr>
          <w:p>
            <w:pPr>
              <w:ind w:left="40"/>
              <w:spacing w:after="0" w:line="157" w:lineRule="exact"/>
              <w:rPr>
                <w:sz w:val="20"/>
                <w:szCs w:val="20"/>
                <w:color w:val="auto"/>
              </w:rPr>
            </w:pPr>
            <w:r>
              <w:rPr>
                <w:rFonts w:ascii="Arial" w:cs="Arial" w:eastAsia="Arial" w:hAnsi="Arial"/>
                <w:sz w:val="14"/>
                <w:szCs w:val="14"/>
                <w:color w:val="auto"/>
              </w:rPr>
              <w:t>Convertible Promissory Note 8% Due</w:t>
            </w: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w w:val="97"/>
              </w:rPr>
              <w:t>12/31/2019</w:t>
            </w:r>
            <w:r>
              <w:rPr>
                <w:rFonts w:ascii="Arial" w:cs="Arial" w:eastAsia="Arial" w:hAnsi="Arial"/>
                <w:sz w:val="8"/>
                <w:szCs w:val="8"/>
                <w:color w:val="auto"/>
                <w:w w:val="97"/>
              </w:rPr>
              <w:t>(12)</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7/23/2018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134,405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134,405</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940" w:type="dxa"/>
            <w:vAlign w:val="bottom"/>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5,135,212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2,156,095</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23"/>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Education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Marina Del Rey,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Financial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999,975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309,310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789,492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Chicago, IL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1,436,404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980" w:type="dxa"/>
            <w:vAlign w:val="bottom"/>
            <w:gridSpan w:val="18"/>
          </w:tcPr>
          <w:p>
            <w:pPr>
              <w:ind w:left="40"/>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9"/>
                <w:szCs w:val="19"/>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Cambridge, MA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gridSpan w:val="18"/>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4"/>
                <w:szCs w:val="24"/>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517,917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6,150,506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2980" w:type="dxa"/>
            <w:vAlign w:val="bottom"/>
            <w:tcBorders>
              <w:bottom w:val="single" w:sz="8" w:color="CCEEFF"/>
            </w:tcBorders>
            <w:gridSpan w:val="18"/>
          </w:tcPr>
          <w:p>
            <w:pPr>
              <w:ind w:left="40"/>
              <w:spacing w:after="0"/>
              <w:rPr>
                <w:sz w:val="20"/>
                <w:szCs w:val="20"/>
                <w:color w:val="auto"/>
              </w:rPr>
            </w:pPr>
            <w:r>
              <w:rPr>
                <w:rFonts w:ascii="Arial" w:cs="Arial" w:eastAsia="Arial" w:hAnsi="Arial"/>
                <w:sz w:val="14"/>
                <w:szCs w:val="14"/>
                <w:color w:val="auto"/>
              </w:rPr>
              <w:t>Promissory Note 1.49% Due 11/9/2021</w:t>
            </w:r>
            <w:r>
              <w:rPr>
                <w:rFonts w:ascii="Arial" w:cs="Arial" w:eastAsia="Arial" w:hAnsi="Arial"/>
                <w:sz w:val="8"/>
                <w:szCs w:val="8"/>
                <w:color w:val="auto"/>
              </w:rPr>
              <w:t>(4)</w:t>
            </w:r>
          </w:p>
        </w:tc>
        <w:tc>
          <w:tcPr>
            <w:tcW w:w="12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3/3/2016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2,270,458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2,270,858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2940" w:type="dxa"/>
            <w:vAlign w:val="bottom"/>
            <w:gridSpan w:val="1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8,421,364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940" w:type="dxa"/>
            <w:vAlign w:val="bottom"/>
            <w:gridSpan w:val="17"/>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5"/>
              </w:rPr>
              <w:t>105,869,607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170,067,233</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499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-2572385</wp:posOffset>
            </wp:positionV>
            <wp:extent cx="499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-3669665</wp:posOffset>
            </wp:positionV>
            <wp:extent cx="4999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-4716145</wp:posOffset>
            </wp:positionV>
            <wp:extent cx="499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-6122670</wp:posOffset>
            </wp:positionV>
            <wp:extent cx="4999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1" w:right="239" w:bottom="678"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678" w:gutter="0" w:footer="0" w:header="0"/>
          <w:type w:val="continuous"/>
        </w:sectPr>
      </w:pPr>
    </w:p>
    <w:bookmarkStart w:id="12" w:name="page13"/>
    <w:bookmarkEnd w:id="1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4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180" w:type="dxa"/>
            <w:vAlign w:val="bottom"/>
          </w:tcPr>
          <w:p>
            <w:pPr>
              <w:spacing w:after="0"/>
              <w:rPr>
                <w:sz w:val="14"/>
                <w:szCs w:val="14"/>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200" w:type="dxa"/>
            <w:vAlign w:val="bottom"/>
            <w:gridSpan w:val="9"/>
            <w:vMerge w:val="continue"/>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3200" w:type="dxa"/>
            <w:vAlign w:val="bottom"/>
            <w:tcBorders>
              <w:top w:val="single" w:sz="8" w:color="auto"/>
            </w:tcBorders>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40" w:type="dxa"/>
            <w:vAlign w:val="bottom"/>
            <w:tcBorders>
              <w:top w:val="single" w:sz="8" w:color="CCEEFF"/>
            </w:tcBorders>
            <w:shd w:val="clear" w:color="auto" w:fill="CCEEFF"/>
          </w:tcPr>
          <w:p>
            <w:pPr>
              <w:spacing w:after="0"/>
              <w:rPr>
                <w:sz w:val="23"/>
                <w:szCs w:val="23"/>
                <w:color w:val="auto"/>
              </w:rPr>
            </w:pPr>
          </w:p>
        </w:tc>
        <w:tc>
          <w:tcPr>
            <w:tcW w:w="1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00" w:type="dxa"/>
            <w:vAlign w:val="bottom"/>
            <w:gridSpan w:val="9"/>
          </w:tcPr>
          <w:p>
            <w:pPr>
              <w:ind w:left="40"/>
              <w:spacing w:after="0"/>
              <w:rPr>
                <w:sz w:val="20"/>
                <w:szCs w:val="20"/>
                <w:color w:val="auto"/>
              </w:rPr>
            </w:pPr>
            <w:r>
              <w:rPr>
                <w:rFonts w:ascii="Arial" w:cs="Arial" w:eastAsia="Arial" w:hAnsi="Arial"/>
                <w:sz w:val="14"/>
                <w:szCs w:val="14"/>
                <w:b w:val="1"/>
                <w:bCs w:val="1"/>
                <w:color w:val="auto"/>
              </w:rPr>
              <w:t>Ozy Media, Inc.</w:t>
            </w:r>
          </w:p>
        </w:tc>
        <w:tc>
          <w:tcPr>
            <w:tcW w:w="140" w:type="dxa"/>
            <w:vAlign w:val="bottom"/>
          </w:tcPr>
          <w:p>
            <w:pPr>
              <w:spacing w:after="0"/>
              <w:rPr>
                <w:sz w:val="19"/>
                <w:szCs w:val="19"/>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w w:val="98"/>
              </w:rPr>
              <w:t>Convertible Promissory Note 5% Due 12/31/2018</w:t>
            </w:r>
            <w:r>
              <w:rPr>
                <w:rFonts w:ascii="Arial" w:cs="Arial" w:eastAsia="Arial" w:hAnsi="Arial"/>
                <w:sz w:val="8"/>
                <w:szCs w:val="8"/>
                <w:color w:val="auto"/>
                <w:w w:val="98"/>
              </w:rPr>
              <w:t>(11)</w:t>
            </w:r>
          </w:p>
        </w:tc>
        <w:tc>
          <w:tcPr>
            <w:tcW w:w="1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Digital Media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8/31/2016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2,102,384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3,153,575</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B 6%</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10/3/2014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922,509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 6%</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12/11/2013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1,090,909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Seed 6%</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11/2/2012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Common Warrants, Strike Price $0.01, Expiration</w:t>
            </w:r>
          </w:p>
        </w:tc>
        <w:tc>
          <w:tcPr>
            <w:tcW w:w="1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Date 4/9/2028</w:t>
            </w:r>
            <w:r>
              <w:rPr>
                <w:rFonts w:ascii="Arial" w:cs="Arial" w:eastAsia="Arial" w:hAnsi="Arial"/>
                <w:sz w:val="8"/>
                <w:szCs w:val="8"/>
                <w:color w:val="auto"/>
              </w:rPr>
              <w:t>(11)</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4/9/2018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295,565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10,633,230</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3,153,575</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29"/>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CUX, Inc. (d/b/a CorpU)</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Philadelphia, PA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Senior Subordinated Convertible Promissory Note</w:t>
            </w: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10% Due 2/14/2020***</w:t>
            </w:r>
            <w:r>
              <w:rPr>
                <w:rFonts w:ascii="Arial" w:cs="Arial" w:eastAsia="Arial" w:hAnsi="Arial"/>
                <w:sz w:val="8"/>
                <w:szCs w:val="8"/>
                <w:color w:val="auto"/>
              </w:rPr>
              <w:t>(6)</w:t>
            </w:r>
          </w:p>
        </w:tc>
        <w:tc>
          <w:tcPr>
            <w:tcW w:w="140" w:type="dxa"/>
            <w:vAlign w:val="bottom"/>
          </w:tcPr>
          <w:p>
            <w:pPr>
              <w:spacing w:after="0"/>
              <w:rPr>
                <w:sz w:val="16"/>
                <w:szCs w:val="16"/>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Corporate Education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11/26/2014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1,360,489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1,361,969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1,360,489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76"/>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Convertible preferred shares, Series D 6%</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878,005</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Convertible preferred shares, Series C 8%</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Warrants Series D, Strike Price $4.59,</w:t>
            </w:r>
          </w:p>
        </w:tc>
        <w:tc>
          <w:tcPr>
            <w:tcW w:w="1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Expiration Date 2/14/2020</w:t>
            </w:r>
            <w:r>
              <w:rPr>
                <w:rFonts w:ascii="Arial" w:cs="Arial" w:eastAsia="Arial" w:hAnsi="Arial"/>
                <w:sz w:val="8"/>
                <w:szCs w:val="8"/>
                <w:color w:val="auto"/>
              </w:rPr>
              <w:t>(9)</w:t>
            </w: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19,946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4,146,653</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2,258,440</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29"/>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EdSurge, Inc.</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Burlingame,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A-1</w:t>
            </w:r>
          </w:p>
        </w:tc>
        <w:tc>
          <w:tcPr>
            <w:tcW w:w="140" w:type="dxa"/>
            <w:vAlign w:val="bottom"/>
          </w:tcPr>
          <w:p>
            <w:pPr>
              <w:spacing w:after="0"/>
              <w:rPr>
                <w:sz w:val="22"/>
                <w:szCs w:val="22"/>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Education Media Platform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11/12/2015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378,788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501,360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2/28/2014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500,801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269,848</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1,002,161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519,848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29"/>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Maven Research, Inc.</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C</w:t>
            </w:r>
          </w:p>
        </w:tc>
        <w:tc>
          <w:tcPr>
            <w:tcW w:w="140" w:type="dxa"/>
            <w:vAlign w:val="bottom"/>
          </w:tcPr>
          <w:p>
            <w:pPr>
              <w:spacing w:after="0"/>
              <w:rPr>
                <w:sz w:val="22"/>
                <w:szCs w:val="2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Knowledge Networks</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7/2/2012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B</w:t>
            </w:r>
          </w:p>
        </w:tc>
        <w:tc>
          <w:tcPr>
            <w:tcW w:w="140" w:type="dxa"/>
            <w:vAlign w:val="bottom"/>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2/28/2012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200" w:type="dxa"/>
            <w:vAlign w:val="bottom"/>
            <w:tcBorders>
              <w:top w:val="single" w:sz="8" w:color="CCEEFF"/>
            </w:tcBorders>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Curious.com, Inc.</w:t>
            </w:r>
          </w:p>
        </w:tc>
        <w:tc>
          <w:tcPr>
            <w:tcW w:w="14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Menlo Park, CA</w:t>
            </w: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(15)</w:t>
            </w:r>
          </w:p>
        </w:tc>
        <w:tc>
          <w:tcPr>
            <w:tcW w:w="140" w:type="dxa"/>
            <w:vAlign w:val="bottom"/>
          </w:tcPr>
          <w:p>
            <w:pPr>
              <w:spacing w:after="0"/>
              <w:rPr>
                <w:sz w:val="22"/>
                <w:szCs w:val="22"/>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Online Education</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11/22/2013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1,135,944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Declara, Inc.</w:t>
            </w:r>
          </w:p>
        </w:tc>
        <w:tc>
          <w:tcPr>
            <w:tcW w:w="1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Palo Alto, CA</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00" w:type="dxa"/>
            <w:vAlign w:val="bottom"/>
            <w:gridSpan w:val="9"/>
          </w:tcPr>
          <w:p>
            <w:pPr>
              <w:ind w:left="40"/>
              <w:spacing w:after="0"/>
              <w:rPr>
                <w:sz w:val="20"/>
                <w:szCs w:val="20"/>
                <w:color w:val="auto"/>
              </w:rPr>
            </w:pPr>
            <w:r>
              <w:rPr>
                <w:rFonts w:ascii="Arial" w:cs="Arial" w:eastAsia="Arial" w:hAnsi="Arial"/>
                <w:sz w:val="14"/>
                <w:szCs w:val="14"/>
                <w:color w:val="auto"/>
                <w:w w:val="95"/>
              </w:rPr>
              <w:t>Convertible Promissory Note 12% Due 4/30/2018</w:t>
            </w:r>
            <w:r>
              <w:rPr>
                <w:rFonts w:ascii="Arial" w:cs="Arial" w:eastAsia="Arial" w:hAnsi="Arial"/>
                <w:sz w:val="8"/>
                <w:szCs w:val="8"/>
                <w:color w:val="auto"/>
                <w:w w:val="95"/>
              </w:rPr>
              <w:t>(4)(10)</w:t>
            </w:r>
          </w:p>
        </w:tc>
        <w:tc>
          <w:tcPr>
            <w:tcW w:w="140" w:type="dxa"/>
            <w:vAlign w:val="bottom"/>
          </w:tcPr>
          <w:p>
            <w:pPr>
              <w:spacing w:after="0"/>
              <w:rPr>
                <w:sz w:val="21"/>
                <w:szCs w:val="21"/>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Social Cognitive Learning</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12/30/2015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2,327,727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2,334,152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A 8%</w:t>
            </w: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4/17/2014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12,334,151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64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9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9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160" w:type="dxa"/>
            <w:vAlign w:val="bottom"/>
            <w:gridSpan w:val="8"/>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42,333,854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5,931,863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303"/>
        </w:trPr>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00" w:type="dxa"/>
            <w:vAlign w:val="bottom"/>
            <w:gridSpan w:val="9"/>
          </w:tcPr>
          <w:p>
            <w:pPr>
              <w:ind w:left="40"/>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color w:val="auto"/>
              </w:rPr>
              <w:t>(2)</w:t>
            </w: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1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Scottsdale, AZ</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00" w:type="dxa"/>
            <w:vAlign w:val="bottom"/>
            <w:gridSpan w:val="9"/>
          </w:tcPr>
          <w:p>
            <w:pPr>
              <w:ind w:left="40"/>
              <w:spacing w:after="0"/>
              <w:rPr>
                <w:sz w:val="20"/>
                <w:szCs w:val="20"/>
                <w:color w:val="auto"/>
              </w:rPr>
            </w:pPr>
            <w:r>
              <w:rPr>
                <w:rFonts w:ascii="Arial" w:cs="Arial" w:eastAsia="Arial" w:hAnsi="Arial"/>
                <w:sz w:val="14"/>
                <w:szCs w:val="14"/>
                <w:color w:val="auto"/>
              </w:rPr>
              <w:t>Preferred shares, Series C 8%</w:t>
            </w:r>
          </w:p>
        </w:tc>
        <w:tc>
          <w:tcPr>
            <w:tcW w:w="140" w:type="dxa"/>
            <w:vAlign w:val="bottom"/>
          </w:tcPr>
          <w:p>
            <w:pPr>
              <w:spacing w:after="0"/>
              <w:rPr>
                <w:sz w:val="21"/>
                <w:szCs w:val="21"/>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Interactive Learning</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1/7/2014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7,194,971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90"/>
        </w:trPr>
        <w:tc>
          <w:tcPr>
            <w:tcW w:w="320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Preferred shares, Series B 8%</w:t>
            </w:r>
          </w:p>
        </w:tc>
        <w:tc>
          <w:tcPr>
            <w:tcW w:w="1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12/16/2011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5,770,328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51"/>
        </w:trPr>
        <w:tc>
          <w:tcPr>
            <w:tcW w:w="320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color w:val="auto"/>
              </w:rPr>
              <w:t>Preferred shares, Series A 8%</w:t>
            </w:r>
          </w:p>
        </w:tc>
        <w:tc>
          <w:tcPr>
            <w:tcW w:w="14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2/25/2014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421,525</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8"/>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6,130,474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13,386,824</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4210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4142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49225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-5641975</wp:posOffset>
            </wp:positionV>
            <wp:extent cx="33445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vMerge w:val="restart"/>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Date of Initial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NestGSV, Inc. (d/b/a GSV Labs, Inc.)</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San Mateo, CA</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Convertible Promissory Note 12% Due 12/31/2019***</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Global Innovation</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6"/>
              </w:rPr>
              <w:t>2/17/2016</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936,525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951,436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936,525</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0.48 %</w:t>
            </w:r>
          </w:p>
        </w:tc>
        <w:tc>
          <w:tcPr>
            <w:tcW w:w="0" w:type="dxa"/>
            <w:vAlign w:val="bottom"/>
          </w:tcPr>
          <w:p>
            <w:pPr>
              <w:spacing w:after="0"/>
              <w:rPr>
                <w:sz w:val="1"/>
                <w:szCs w:val="1"/>
                <w:color w:val="auto"/>
              </w:rPr>
            </w:pPr>
          </w:p>
        </w:tc>
      </w:tr>
      <w:tr>
        <w:trPr>
          <w:trHeight w:val="162"/>
        </w:trPr>
        <w:tc>
          <w:tcPr>
            <w:tcW w:w="320" w:type="dxa"/>
            <w:vAlign w:val="bottom"/>
            <w:gridSpan w:val="2"/>
          </w:tcPr>
          <w:p>
            <w:pPr>
              <w:ind w:left="40"/>
              <w:spacing w:after="0"/>
              <w:rPr>
                <w:sz w:val="20"/>
                <w:szCs w:val="20"/>
                <w:color w:val="auto"/>
              </w:rPr>
            </w:pPr>
            <w:r>
              <w:rPr>
                <w:rFonts w:ascii="Arial" w:cs="Arial" w:eastAsia="Arial" w:hAnsi="Arial"/>
                <w:sz w:val="9"/>
                <w:szCs w:val="9"/>
                <w:color w:val="auto"/>
              </w:rPr>
              <w:t>(14)</w:t>
            </w:r>
          </w:p>
        </w:tc>
        <w:tc>
          <w:tcPr>
            <w:tcW w:w="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Platform</w:t>
            </w:r>
          </w:p>
        </w:tc>
        <w:tc>
          <w:tcPr>
            <w:tcW w:w="12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A-4</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10/6/2014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3,720,424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4,904,498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4,960,553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251"/>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A-3</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1,561,625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2,005,730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1,735,134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0.89 %</w:t>
            </w:r>
          </w:p>
        </w:tc>
        <w:tc>
          <w:tcPr>
            <w:tcW w:w="0" w:type="dxa"/>
            <w:vAlign w:val="bottom"/>
          </w:tcPr>
          <w:p>
            <w:pPr>
              <w:spacing w:after="0"/>
              <w:rPr>
                <w:sz w:val="1"/>
                <w:szCs w:val="1"/>
                <w:color w:val="auto"/>
              </w:rPr>
            </w:pPr>
          </w:p>
        </w:tc>
      </w:tr>
      <w:tr>
        <w:trPr>
          <w:trHeight w:val="276"/>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shares, Series A-2</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7/15/2013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0" w:type="dxa"/>
            <w:vAlign w:val="bottom"/>
          </w:tcPr>
          <w:p>
            <w:pPr>
              <w:spacing w:after="0"/>
              <w:rPr>
                <w:sz w:val="1"/>
                <w:szCs w:val="1"/>
                <w:color w:val="auto"/>
              </w:rPr>
            </w:pPr>
          </w:p>
        </w:tc>
      </w:tr>
      <w:tr>
        <w:trPr>
          <w:trHeight w:val="264"/>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Preferred shares, Series A-1</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5/25/2012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1,021,778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499,999</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0.26 %</w:t>
            </w:r>
          </w:p>
        </w:tc>
        <w:tc>
          <w:tcPr>
            <w:tcW w:w="0" w:type="dxa"/>
            <w:vAlign w:val="bottom"/>
          </w:tcPr>
          <w:p>
            <w:pPr>
              <w:spacing w:after="0"/>
              <w:rPr>
                <w:sz w:val="1"/>
                <w:szCs w:val="1"/>
                <w:color w:val="auto"/>
              </w:rPr>
            </w:pPr>
          </w:p>
        </w:tc>
      </w:tr>
      <w:tr>
        <w:trPr>
          <w:trHeight w:val="276"/>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7/1/2014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344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Warrants Series A-3, Strike Price $1.33,</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Expiration Date 4/4/2021</w:t>
            </w:r>
            <w:r>
              <w:rPr>
                <w:rFonts w:ascii="Arial" w:cs="Arial" w:eastAsia="Arial" w:hAnsi="Arial"/>
                <w:sz w:val="8"/>
                <w:szCs w:val="8"/>
                <w:color w:val="auto"/>
              </w:rPr>
              <w:t>(14)</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187,500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26,250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0.01 %</w:t>
            </w:r>
          </w:p>
        </w:tc>
        <w:tc>
          <w:tcPr>
            <w:tcW w:w="0" w:type="dxa"/>
            <w:vAlign w:val="bottom"/>
          </w:tcPr>
          <w:p>
            <w:pPr>
              <w:spacing w:after="0"/>
              <w:rPr>
                <w:sz w:val="1"/>
                <w:szCs w:val="1"/>
                <w:color w:val="auto"/>
              </w:rPr>
            </w:pPr>
          </w:p>
        </w:tc>
      </w:tr>
      <w:tr>
        <w:trPr>
          <w:trHeight w:val="163"/>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Warrants Series A-4, Strike Price $1.33,</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Expiration Date 10/6/2021</w:t>
            </w:r>
            <w:r>
              <w:rPr>
                <w:rFonts w:ascii="Arial" w:cs="Arial" w:eastAsia="Arial" w:hAnsi="Arial"/>
                <w:sz w:val="8"/>
                <w:szCs w:val="8"/>
                <w:color w:val="auto"/>
              </w:rPr>
              <w:t>(14)</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10/6/2014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145,000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0.07 %</w:t>
            </w:r>
          </w:p>
        </w:tc>
        <w:tc>
          <w:tcPr>
            <w:tcW w:w="0" w:type="dxa"/>
            <w:vAlign w:val="bottom"/>
          </w:tcPr>
          <w:p>
            <w:pPr>
              <w:spacing w:after="0"/>
              <w:rPr>
                <w:sz w:val="1"/>
                <w:szCs w:val="1"/>
                <w:color w:val="auto"/>
              </w:rPr>
            </w:pPr>
          </w:p>
        </w:tc>
      </w:tr>
      <w:tr>
        <w:trPr>
          <w:trHeight w:val="157"/>
        </w:trPr>
        <w:tc>
          <w:tcPr>
            <w:tcW w:w="344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Warrants Series A-4, Strike Price $1.33,</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Expiration Date 7/18/2021</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r>
        <w:trPr>
          <w:trHeight w:val="163"/>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Warrants Series B, Strike Price $2.31,</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Expiration Date 11/29/2021</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157"/>
        </w:trPr>
        <w:tc>
          <w:tcPr>
            <w:tcW w:w="344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Preferred Warrant Series B, Strike Price $2.31,</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Expiration Date 5/29/2022</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5/29/2017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163"/>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Preferred Warrant Series B–Strike Price $2.31,</w:t>
            </w: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Expiration Date 12/31/2023</w:t>
            </w:r>
            <w:r>
              <w:rPr>
                <w:rFonts w:ascii="Arial" w:cs="Arial" w:eastAsia="Arial" w:hAnsi="Arial"/>
                <w:sz w:val="8"/>
                <w:szCs w:val="8"/>
                <w:color w:val="auto"/>
              </w:rPr>
              <w:t>(14)</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0.00 %</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40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9,669,056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8,679,711</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4.44 %</w:t>
            </w:r>
          </w:p>
        </w:tc>
        <w:tc>
          <w:tcPr>
            <w:tcW w:w="0" w:type="dxa"/>
            <w:vAlign w:val="bottom"/>
          </w:tcPr>
          <w:p>
            <w:pPr>
              <w:spacing w:after="0"/>
              <w:rPr>
                <w:sz w:val="1"/>
                <w:szCs w:val="1"/>
                <w:color w:val="auto"/>
              </w:rPr>
            </w:pPr>
          </w:p>
        </w:tc>
      </w:tr>
      <w:tr>
        <w:trPr>
          <w:trHeight w:val="148"/>
        </w:trPr>
        <w:tc>
          <w:tcPr>
            <w:tcW w:w="344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4"/>
                <w:szCs w:val="14"/>
                <w:b w:val="1"/>
                <w:bCs w:val="1"/>
                <w:color w:val="auto"/>
              </w:rPr>
              <w:t>SPBRX, INC. (f/k/a GSV Sustainability Partners,</w:t>
            </w:r>
          </w:p>
        </w:tc>
        <w:tc>
          <w:tcPr>
            <w:tcW w:w="15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3"/>
              </w:rPr>
              <w:t>Woodside, CA</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Inc.)</w:t>
            </w:r>
          </w:p>
        </w:tc>
        <w:tc>
          <w:tcPr>
            <w:tcW w:w="274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3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58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440" w:type="dxa"/>
            <w:vAlign w:val="bottom"/>
            <w:gridSpan w:val="7"/>
          </w:tcPr>
          <w:p>
            <w:pPr>
              <w:ind w:left="4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(16)</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Clean Technology</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14,300,000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750,198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270"/>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00" w:type="dxa"/>
            <w:vAlign w:val="bottom"/>
            <w:tcBorders>
              <w:bottom w:val="single" w:sz="8" w:color="CCEEFF"/>
            </w:tcBorders>
            <w:gridSpan w:val="6"/>
          </w:tcPr>
          <w:p>
            <w:pPr>
              <w:ind w:left="14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750,198</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00" w:type="dxa"/>
            <w:vAlign w:val="bottom"/>
            <w:gridSpan w:val="6"/>
          </w:tcPr>
          <w:p>
            <w:pPr>
              <w:ind w:left="140"/>
              <w:spacing w:after="0"/>
              <w:rPr>
                <w:sz w:val="20"/>
                <w:szCs w:val="20"/>
                <w:color w:val="auto"/>
              </w:rPr>
            </w:pPr>
            <w:r>
              <w:rPr>
                <w:rFonts w:ascii="Arial" w:cs="Arial" w:eastAsia="Arial" w:hAnsi="Arial"/>
                <w:sz w:val="14"/>
                <w:szCs w:val="14"/>
                <w:b w:val="1"/>
                <w:bCs w:val="1"/>
                <w:color w:val="auto"/>
              </w:rPr>
              <w:t>Total Controlled</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22,960,942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22,816,733</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11.68 %</w:t>
            </w:r>
          </w:p>
        </w:tc>
        <w:tc>
          <w:tcPr>
            <w:tcW w:w="0" w:type="dxa"/>
            <w:vAlign w:val="bottom"/>
          </w:tcPr>
          <w:p>
            <w:pPr>
              <w:spacing w:after="0"/>
              <w:rPr>
                <w:sz w:val="1"/>
                <w:szCs w:val="1"/>
                <w:color w:val="auto"/>
              </w:rPr>
            </w:pPr>
          </w:p>
        </w:tc>
      </w:tr>
      <w:tr>
        <w:trPr>
          <w:trHeight w:val="344"/>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400" w:type="dxa"/>
            <w:vAlign w:val="bottom"/>
            <w:gridSpan w:val="6"/>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171,164,403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198,815,829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101.76 %</w:t>
            </w:r>
          </w:p>
        </w:tc>
        <w:tc>
          <w:tcPr>
            <w:tcW w:w="0" w:type="dxa"/>
            <w:vAlign w:val="bottom"/>
          </w:tcPr>
          <w:p>
            <w:pPr>
              <w:spacing w:after="0"/>
              <w:rPr>
                <w:sz w:val="1"/>
                <w:szCs w:val="1"/>
                <w:color w:val="auto"/>
              </w:rPr>
            </w:pPr>
          </w:p>
        </w:tc>
      </w:tr>
      <w:tr>
        <w:trPr>
          <w:trHeight w:val="330"/>
        </w:trPr>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gridSpan w:val="7"/>
          </w:tcPr>
          <w:p>
            <w:pPr>
              <w:ind w:left="40"/>
              <w:spacing w:after="0"/>
              <w:rPr>
                <w:sz w:val="20"/>
                <w:szCs w:val="20"/>
                <w:color w:val="auto"/>
              </w:rPr>
            </w:pPr>
            <w:r>
              <w:rPr>
                <w:rFonts w:ascii="Arial" w:cs="Arial" w:eastAsia="Arial" w:hAnsi="Arial"/>
                <w:sz w:val="14"/>
                <w:szCs w:val="14"/>
                <w:b w:val="1"/>
                <w:bCs w:val="1"/>
                <w:color w:val="auto"/>
              </w:rPr>
              <w:t>U.S. Treasury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U.S. Treasury bills, 0%, due 1/3/2019***</w:t>
            </w:r>
            <w:r>
              <w:rPr>
                <w:rFonts w:ascii="Arial" w:cs="Arial" w:eastAsia="Arial" w:hAnsi="Arial"/>
                <w:sz w:val="8"/>
                <w:szCs w:val="8"/>
                <w:color w:val="auto"/>
              </w:rPr>
              <w:t>(3)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12/27/2018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99,982,067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99,994,000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51.18 %</w:t>
            </w:r>
          </w:p>
        </w:tc>
        <w:tc>
          <w:tcPr>
            <w:tcW w:w="0" w:type="dxa"/>
            <w:vAlign w:val="bottom"/>
          </w:tcPr>
          <w:p>
            <w:pPr>
              <w:spacing w:after="0"/>
              <w:rPr>
                <w:sz w:val="1"/>
                <w:szCs w:val="1"/>
                <w:color w:val="auto"/>
              </w:rPr>
            </w:pPr>
          </w:p>
        </w:tc>
      </w:tr>
      <w:tr>
        <w:trPr>
          <w:trHeight w:val="324"/>
        </w:trPr>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TOTAL INVESTMENTS</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271,146,470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298,809,829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152.94 %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2109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7" w:lineRule="exact"/>
        <w:rPr>
          <w:sz w:val="20"/>
          <w:szCs w:val="20"/>
          <w:color w:val="auto"/>
        </w:rPr>
      </w:pPr>
    </w:p>
    <w:p>
      <w:pPr>
        <w:jc w:val="both"/>
        <w:ind w:left="500" w:hanging="492"/>
        <w:spacing w:after="0" w:line="313"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22" w:lineRule="exact"/>
        <w:rPr>
          <w:sz w:val="20"/>
          <w:szCs w:val="20"/>
          <w:color w:val="auto"/>
        </w:rPr>
      </w:pPr>
    </w:p>
    <w:p>
      <w:pPr>
        <w:ind w:left="500" w:right="20" w:hanging="492"/>
        <w:spacing w:after="0" w:line="25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investments as of December 31, 2018, 14.92% of its total investments are non-qualifying assets.</w:t>
      </w: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 is income-producing.</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5" w:lineRule="exact"/>
        <w:rPr>
          <w:sz w:val="20"/>
          <w:szCs w:val="20"/>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0"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December 31, 2018,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GSV Capital Corp.’s investments in StormWind, LLC are held through GSV Capital Corp.'s wholly owned subsidiary, GSVC SW Holdings, Inc.</w:t>
      </w:r>
    </w:p>
    <w:p>
      <w:pPr>
        <w:spacing w:after="0" w:line="194"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6" w:lineRule="exact"/>
        <w:rPr>
          <w:rFonts w:ascii="Arial" w:cs="Arial" w:eastAsia="Arial" w:hAnsi="Arial"/>
          <w:sz w:val="15"/>
          <w:szCs w:val="15"/>
          <w:color w:val="auto"/>
        </w:rPr>
      </w:pPr>
    </w:p>
    <w:p>
      <w:pPr>
        <w:jc w:val="both"/>
        <w:ind w:left="500" w:hanging="492"/>
        <w:spacing w:after="0" w:line="253"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 At December 31, 2018, GSV Capital Corp. valued its common shares of Spotify Technology S.A. based on its December 31, 2018 closing price.</w:t>
      </w:r>
    </w:p>
    <w:p>
      <w:pPr>
        <w:spacing w:after="0" w:line="164" w:lineRule="exact"/>
        <w:rPr>
          <w:rFonts w:ascii="Arial" w:cs="Arial" w:eastAsia="Arial" w:hAnsi="Arial"/>
          <w:sz w:val="16"/>
          <w:szCs w:val="16"/>
          <w:color w:val="auto"/>
        </w:rPr>
      </w:pPr>
    </w:p>
    <w:p>
      <w:pPr>
        <w:jc w:val="both"/>
        <w:ind w:left="500" w:hanging="492"/>
        <w:spacing w:after="0" w:line="253"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As of August 23, 2018 GSV Capital Corp.'s shares of common stock in Dropbox, Inc. were no longer restricted. At December 31, 2018, GSV Capital Corp. valued its common shares of Dropbox, Inc. based on its December 31, 2018 closing price.</w:t>
      </w:r>
    </w:p>
    <w:p>
      <w:pPr>
        <w:spacing w:after="0" w:line="164"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55" w:lineRule="exact"/>
        <w:rPr>
          <w:rFonts w:ascii="Arial" w:cs="Arial" w:eastAsia="Arial" w:hAnsi="Arial"/>
          <w:sz w:val="16"/>
          <w:szCs w:val="16"/>
          <w:color w:val="auto"/>
        </w:rPr>
      </w:pPr>
    </w:p>
    <w:p>
      <w:pPr>
        <w:jc w:val="both"/>
        <w:ind w:left="500" w:hanging="492"/>
        <w:spacing w:after="0" w:line="277"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8"/>
          <w:szCs w:val="18"/>
          <w:color w:val="auto"/>
        </w:rPr>
        <w:t>Effe</w:t>
      </w:r>
      <w:r>
        <w:rPr>
          <w:rFonts w:ascii="Arial" w:cs="Arial" w:eastAsia="Arial" w:hAnsi="Arial"/>
          <w:sz w:val="16"/>
          <w:szCs w:val="16"/>
          <w:color w:val="auto"/>
        </w:rPr>
        <w:t>ctive April 9, 2018, the term of Ozy Media Inc.'s notes were extended through the issuance of a new convertible promissory note, which extended the maturity date</w:t>
      </w:r>
      <w:r>
        <w:rPr>
          <w:rFonts w:ascii="Arial" w:cs="Arial" w:eastAsia="Arial" w:hAnsi="Arial"/>
          <w:sz w:val="18"/>
          <w:szCs w:val="18"/>
          <w:color w:val="auto"/>
        </w:rPr>
        <w:t xml:space="preserve"> </w:t>
      </w:r>
      <w:r>
        <w:rPr>
          <w:rFonts w:ascii="Arial" w:cs="Arial" w:eastAsia="Arial" w:hAnsi="Arial"/>
          <w:sz w:val="16"/>
          <w:szCs w:val="16"/>
          <w:color w:val="auto"/>
        </w:rPr>
        <w:t>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December 31, 2018, Ozy Media Inc.'s obligations under its financing arrangements with the Company became past due.</w:t>
      </w:r>
    </w:p>
    <w:p>
      <w:pPr>
        <w:spacing w:after="0" w:line="15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July 23, 2018, Knewton, Inc. issued an 8% unsecured convertible promissory amount with a principal amount of $134,405 and a maturity date of December 31, 2019 to GSV Capital Corp.</w:t>
      </w:r>
    </w:p>
    <w:p>
      <w:pPr>
        <w:spacing w:after="0" w:line="145"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June 15, 2018 GSV Capital Corp. exercised its 770,934 warrants to purchase shares of SharesPost, Inc.'s common stock, with a $0.13 strike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188" w:lineRule="exact"/>
        <w:rPr>
          <w:sz w:val="20"/>
          <w:szCs w:val="20"/>
          <w:color w:val="auto"/>
        </w:rPr>
      </w:pPr>
    </w:p>
    <w:p>
      <w:pPr>
        <w:jc w:val="both"/>
        <w:ind w:left="500" w:hanging="492"/>
        <w:spacing w:after="0" w:line="272"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0" w:lineRule="exact"/>
        <w:rPr>
          <w:rFonts w:ascii="Arial" w:cs="Arial" w:eastAsia="Arial" w:hAnsi="Arial"/>
          <w:sz w:val="15"/>
          <w:szCs w:val="15"/>
          <w:color w:val="auto"/>
        </w:rPr>
      </w:pPr>
    </w:p>
    <w:p>
      <w:pPr>
        <w:ind w:left="500" w:right="20" w:hanging="492"/>
        <w:spacing w:after="0" w:line="310"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21" w:lineRule="exact"/>
        <w:rPr>
          <w:rFonts w:ascii="Arial" w:cs="Arial" w:eastAsia="Arial" w:hAnsi="Arial"/>
          <w:sz w:val="15"/>
          <w:szCs w:val="15"/>
          <w:color w:val="auto"/>
        </w:rPr>
      </w:pPr>
    </w:p>
    <w:p>
      <w:pPr>
        <w:jc w:val="both"/>
        <w:ind w:left="500" w:hanging="492"/>
        <w:spacing w:after="0" w:line="286"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Sutter Rock Capital Corp. (the “Company” or “Sutter Rock Capital”), formerly known as GSV Capital Corp. and formed in September 2010 as a Maryland corporation, is an internally-managed, non-diversified closed-end management investment company. The Company has elected to be regulated as a business development company (or "BDC") under the Investment Company Act of 1940, as amended (the “1940 Act”).</w:t>
      </w:r>
    </w:p>
    <w:p>
      <w:pPr>
        <w:spacing w:after="0" w:line="181"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On and effective March 12, 2019, our Board of Directors approved internalizing our operating structure (the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78"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181"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The table below displays the Company’s subsidiaries as of September 30, 2019,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7"/>
          <w:szCs w:val="17"/>
          <w:i w:val="1"/>
          <w:iCs w:val="1"/>
          <w:color w:val="auto"/>
        </w:rPr>
        <w:t>Basis of Consolidation</w:t>
      </w:r>
      <w:r>
        <w:rPr>
          <w:rFonts w:ascii="Arial" w:cs="Arial" w:eastAsia="Arial" w:hAnsi="Arial"/>
          <w:sz w:val="17"/>
          <w:szCs w:val="17"/>
          <w:color w:val="auto"/>
        </w:rPr>
        <w:t>” below for further detail.</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Formation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GCL</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below are referred to collectively, as the “GSVC Holdings”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AE Holdings, Inc. (“GAE”)</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AV Holdings, Inc. (“GAV”)</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NG Holdings, Inc. (“GNG”)</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SW Holdings, Inc. (“GSW”)</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WS Holdings, Inc. (“GWS”)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GSVC SVDS Holdings, Inc. (“SVDS”)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17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2019. The interim unaudited condensed consolidated financial statements and notes hereto should be read in conjunction with the audited consolidated financial statements and notes thereto contained in the Company’s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wholly-owned subsidiaries. All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0" w:lineRule="exact"/>
        <w:rPr>
          <w:sz w:val="20"/>
          <w:szCs w:val="20"/>
          <w:color w:val="auto"/>
        </w:rPr>
      </w:pPr>
    </w:p>
    <w:p>
      <w:pPr>
        <w:jc w:val="both"/>
        <w:ind w:right="20" w:firstLine="351"/>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jc w:val="both"/>
        <w:ind w:firstLine="351"/>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jc w:val="both"/>
        <w:ind w:firstLine="351"/>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6"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7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3"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81"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26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21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93"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jc w:val="both"/>
        <w:ind w:right="20" w:firstLine="351"/>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5"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78"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September 30, 2019 and December 31, 2018, for details regarding the nature and composition of the Company’s investment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During the year ended December 31, 2018, the Company completed the sale of its investments in General Assembly Space, Inc., Lytro, Inc., SugarCRM, Inc., and DreamBox Learning, Inc. During the nine months ended September 30, 2019, the Company completed the sale of its investment in Knewton, Inc. A portion of the proceeds from the sale of these portfolio investments and those sold in prior years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Any remaining escrow proceeds balances from these transactions reasonably expected to be received are reflected on the Condensed Consolidated Statement of Assets and Liabilities as escrow proceeds receivable. At September 30, 2019 and December 31, 2018, the Company had $2,086,145 and $2,494,582, respectively, in escrow proceeds receivable. During the nine months ended September 30, 2019, the Company received escrow proceeds from the sales of SugarCRM, Inc., DreamBox Learning, Inc., Gilt Groupe Holdings, Inc., Lytro, Inc., and JAMF Holdings,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September 30, 2019 and December 31, 2018, the Company had deferred financing costs of $5,502 and $267,541, respectively, on the Condensed Consolidated Statements of Assets and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facility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267,541</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Financing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267,541</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Company accounts for its operating leases as prescribed by ASC 842,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been discounted using the rate implicit in the lease. Refer to “Note 7—Commitments and Contingencies—</w:t>
      </w:r>
      <w:r>
        <w:rPr>
          <w:rFonts w:ascii="Arial" w:cs="Arial" w:eastAsia="Arial" w:hAnsi="Arial"/>
          <w:sz w:val="18"/>
          <w:szCs w:val="18"/>
          <w:i w:val="1"/>
          <w:iCs w:val="1"/>
          <w:color w:val="auto"/>
        </w:rPr>
        <w:t>Operating Leases and Related Deposits</w:t>
      </w:r>
      <w:r>
        <w:rPr>
          <w:rFonts w:ascii="Arial" w:cs="Arial" w:eastAsia="Arial" w:hAnsi="Arial"/>
          <w:sz w:val="18"/>
          <w:szCs w:val="18"/>
          <w:color w:val="auto"/>
        </w:rPr>
        <w:t>” for further detail.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 —Stock-Based Compensation” for further detail.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September 30, 2019 and December 31, 2018, the Company had no escrow deposits.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71"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excise tax rate. The annual effective excise tax rate is determined by dividing the estimated annual excise tax by the estimated annual taxable income.</w:t>
      </w:r>
    </w:p>
    <w:p>
      <w:pPr>
        <w:spacing w:after="0" w:line="170"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65"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 xml:space="preserve">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 xml:space="preserve">In February 2019, the FASB issued ASU 2019-07, </w:t>
      </w:r>
      <w:r>
        <w:rPr>
          <w:rFonts w:ascii="Arial" w:cs="Arial" w:eastAsia="Arial" w:hAnsi="Arial"/>
          <w:sz w:val="18"/>
          <w:szCs w:val="18"/>
          <w:i w:val="1"/>
          <w:iCs w:val="1"/>
          <w:color w:val="auto"/>
        </w:rPr>
        <w:t>Codification Updates to SEC Sections</w:t>
      </w:r>
      <w:r>
        <w:rPr>
          <w:rFonts w:ascii="Arial" w:cs="Arial" w:eastAsia="Arial" w:hAnsi="Arial"/>
          <w:sz w:val="18"/>
          <w:szCs w:val="18"/>
          <w:color w:val="auto"/>
        </w:rPr>
        <w:t>, which amends various SEC paragraphs pursuant to the issuance of recent SEC Final Rule Releases. The guidance requires interim financial statements to provide the information required by SEC for the current and comparative year-to-date periods, with subtotals for each interim period. The guidance in ASU 2019-07, and the related amendments, are effective upon issuance. The Company adopted ASU 2019-07 and amended the presentation of the Condensed Consolidated Statements of Changes in Net Assets beginning June 30, 2019.</w:t>
      </w:r>
    </w:p>
    <w:p>
      <w:pPr>
        <w:spacing w:after="0" w:line="188"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In July 2017, the FASB issued ASU 2017-13 which addressed the application of ASU 2014-9,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it relates to adoption period for entities not otherwise required to adopt the new revenue recognition standard, but whose financial statements or financial information are included in another entity’s filing with the Securities and Exchange Commission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ASU 2017-13, which did not have a material impact on the Company's condensed consolidated financial statements.</w:t>
      </w:r>
    </w:p>
    <w:p>
      <w:pPr>
        <w:spacing w:after="0" w:line="16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on the balance sheet a right-of-use asset, representing its right to use the underlying asset for the lease term, and a lease liability for all leases with terms greater than 12 months. The guidance is effective for annual periods beginning after December 15, 2018, and interim periods therein. The Company adopted ASU 2016-02 in connection with its operating lease beginning June 3,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August 2018, the FASB issued ASU 2018-13, which changes the fair value measurement disclosure requirements of </w:t>
      </w:r>
      <w:r>
        <w:rPr>
          <w:rFonts w:ascii="Arial" w:cs="Arial" w:eastAsia="Arial" w:hAnsi="Arial"/>
          <w:sz w:val="17"/>
          <w:szCs w:val="17"/>
          <w:i w:val="1"/>
          <w:iCs w:val="1"/>
          <w:color w:val="auto"/>
        </w:rPr>
        <w:t>FASB ASC 820,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guidance is effective for all entities for interim and annual periods beginning after December 15, 2019. Early adoption is permitted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or modified disclosure requirements upon issuance of the guidance. The Company did not early adopt the eliminated and modified disclosure requirements during the three and nine months ended September 30, 2019, but plans to adopt the guidance upon its effective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Internalization of Company’s Operating Structure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accounting implications and related controls associated with the Internalization continue to be analyzed and updated for fiscal year 2019.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Investment Advisory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Investment Advisory Agreement was terminated by mutual agreement of GSV Asset Management and us in connection with our Internalization.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fees or incentives fees payable to GSV Asset Management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Administration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Administration Agreement was terminated by mutual agreement of GSV Capital Service Company and us in connection with our Internalization.</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Administration Agreement has been terminated, there will be no costs incurred by GSV Capital Service Company going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Director and Reduction of Number of Directors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9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124"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For the three and nine months ended September 30, 2019, the Company incurred $208,333 and $459,229, respectively, of consulting expense related to the Consulting Agreement, as reflected on the Condensed Consolidated Statements of Operations. As of September 30, 2019, the Company recorded $540,771 of prepaid expense related to the Consulting Agreement on the Condensed Consolidated Statements of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Trademark License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81"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For the three and nine months ended September 30, 2019, the Company incurred $208,333 and $459,229, respectively, of licensing expense, as included in other expenses on the Condensed Consolidated Statements of Operations. As of September 30, 2019, the Company recorded $540,771 of prepaid expense related to the Amended and Restated Trademark License Agreement on the Condensed Consolidated Statements of Assets and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12, 2019, in connection with the Company's Internalization, the Investment Advisory Agreement was terminated in accordance with its terms.</w:t>
      </w:r>
    </w:p>
    <w:p>
      <w:pPr>
        <w:spacing w:after="0" w:line="248"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66"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terms of the Investment Advisory Agreement, GSV Asset Management was paid a base management fee of 2.00% of gross assets, which is the Company’s total assets reflected on its Condensed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6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GSV Asset Management earned $0 and $1,345,090 in management fees for the three months ended September 30, 2019 and 2018, respectively, and waived $0 and $402,074 in management fees for the three months ended September 30, 2019 and 2018, respectively. For the nine months ended September 30, 2019 and 2018, GSV Asset Management earned $848,723 and $3,954,732 in management fees, respectively, and waived $0 and $892,421 in management fees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the Investment Advisory Agreement has been terminated, there will be no base management fee payable to GSV Asset Management going forward.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78"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Company was required to accrue incentive fees for all periods as if the Company had fully liquidated its entire investment portfolio at the fair value stated on the Condensed Consolidated Statements of Assets and Liabilities as of September 30, 2019 and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171"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For the three and nine months ended September 30, 2019, the Company reversed previously accrued incentive fees of $0 and $4,660,472 due to the termination of the Investment Advisory Agreement. For the three and nine months ended September 30, 2018, the Company accrued incentive fees of $804,520 and $4,863,939, respectively. Pursuant to the Waiver Agreement,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February 2, 2018, GSV Asset Management forfeited $5.0 million of the accrued incentive fees. As the Investment Advisory Agreement has been terminated, there will be no incentive fee payable to GSV Asset Management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 In addition to the changes to the fee structure, GSV Asset Management also agreed to a one-time forfeiture of $5.0 million of previously accrued but unpaid incentive fees.</w:t>
      </w:r>
    </w:p>
    <w:p>
      <w:pPr>
        <w:spacing w:after="0" w:line="188"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Pursuant to the Waiver Agreement, effective February 1, 2018, the base management fee was reduced to 1.75% of the Company’s gross assets. The base management fee was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matured on September 15, 2018 (the "5.25% Convertible Senior Notes due 2018"), the Company was previously carrying a larger cash balance than it would in the ordinary course of its business. As a result, under the Waiver Agreement, GSV Asset Management agreed to waive its base management fee on any cash balances effective February 1, 2018 until the 5.25% Convertible Senior Notes due 2018 matured on September 15, 2018, at which time the Company repaid the remaining outstanding aggregate principal amount of the 5.25% Convertible Senior Notes due 2018, including accrued but unpaid interest. As a result, as of and after September 15, 2018, the Company paid GSV Asset Management a 1.75% base management fee on its cash balances.</w:t>
      </w:r>
    </w:p>
    <w:p>
      <w:pPr>
        <w:spacing w:after="0" w:line="167"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182"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181" w:lineRule="exact"/>
        <w:rPr>
          <w:sz w:val="20"/>
          <w:szCs w:val="20"/>
          <w:color w:val="auto"/>
        </w:rPr>
      </w:pPr>
    </w:p>
    <w:p>
      <w:pPr>
        <w:jc w:val="both"/>
        <w:ind w:right="20" w:firstLine="351"/>
        <w:spacing w:after="0" w:line="308" w:lineRule="auto"/>
        <w:rPr>
          <w:sz w:val="20"/>
          <w:szCs w:val="20"/>
          <w:color w:val="auto"/>
        </w:rPr>
      </w:pPr>
      <w:r>
        <w:rPr>
          <w:rFonts w:ascii="Arial" w:cs="Arial" w:eastAsia="Arial" w:hAnsi="Arial"/>
          <w:sz w:val="17"/>
          <w:szCs w:val="17"/>
          <w:color w:val="auto"/>
        </w:rPr>
        <w:t>As of each of September 30, 2019 and December 31, 2018, there were no receivables owed to the Company by GSV Asset Management. As the Investment Advisory Agreement has been terminated, there will be no receivables owed to the Company by GSV Asset Management going forward.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12, 2019, in connection with the Company's Internalization, the Administration Agreement was terminated in accordance with its terms.</w:t>
      </w:r>
    </w:p>
    <w:p>
      <w:pPr>
        <w:spacing w:after="0" w:line="23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 There were $0 and $306,084 in such costs incurred under the Administration Agreement for the three and nine months ended September 30, 2019, respectively. For the three and nine months ended September 30, 2018, the Company accrued incentive fees of $355,599 and $1,176,857, respectively. As the Administration Agreement has been terminated, there will be no costs incurred by GSV Capital Service Company going forward.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w:t>
      </w:r>
    </w:p>
    <w:p>
      <w:pPr>
        <w:spacing w:after="0" w:line="187"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Mark Moe, who is the brother of Michael Moe, the former Chairman of the Company’s Board of Directors, serves as Vice President of Business Development, Global Expansion for NestGSV, Inc. (d/b/a GSV Labs, Inc.), one of the Company’s portfolio companies. Ron Johnson, the Chief Executive Officer of Enjoy Technology, Inc., one of the Company’s portfolio companies, is the brother-in-law of the Company’s former President, Mark Flynn. As of September 30, 2019, the fair values of the Company’s investments in NestGSV, Inc. and Enjoy Technology, Inc. were $5,024,290 and $8,537,292, respectively.</w:t>
      </w:r>
    </w:p>
    <w:p>
      <w:pPr>
        <w:spacing w:after="0" w:line="18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8"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At September 30, 2019, the Company had 48 positions in 25 portfolio companies. As of December 31, 2018, the Company had 55 positions in 26 portfolio companies.</w:t>
      </w:r>
    </w:p>
    <w:p>
      <w:pPr>
        <w:spacing w:after="0" w:line="171"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following tables summarize the composition of the Company’s investment portfolio by security type at cost and fair value as of September 30, 2019 and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4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30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63,425,065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58,892,446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48,424,535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48,517,824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74,302,225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121,204,268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89,715,085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99,856,159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4,943,135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1,920,861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9,156,012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5,584,994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8,764,885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5,376,647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209,761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267,446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151,435,310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187,394,222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147,505,393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154,226,423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Portfolio Companies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4,296,894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12,449,216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23,659,010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44,589,406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155,732,204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199,843,438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171,164,403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198,815,829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5"/>
        </w:trPr>
        <w:tc>
          <w:tcPr>
            <w:tcW w:w="19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49,993,250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49,995,500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99,982,067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205,725,454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249,838,938</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271,146,470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298,809,829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geographic and industrial compositions of the Company’s portfolio at fair value as of September 30, 2019 and December 31, 2018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As of September 30, 2019</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As of December 31, 2018</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4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Portfolio</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Portfolio</w:t>
            </w:r>
          </w:p>
        </w:tc>
        <w:tc>
          <w:tcPr>
            <w:tcW w:w="1460" w:type="dxa"/>
            <w:vAlign w:val="bottom"/>
          </w:tcPr>
          <w:p>
            <w:pPr>
              <w:jc w:val="right"/>
              <w:ind w:right="335"/>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50"/>
        </w:trPr>
        <w:tc>
          <w:tcPr>
            <w:tcW w:w="1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Region</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West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191,776,304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167,687,933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Mid-west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226,642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Northeast</w:t>
            </w: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7,840,492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4,414,536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26,713,360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7"/>
        </w:trPr>
        <w:tc>
          <w:tcPr>
            <w:tcW w:w="17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199,843,438</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198,815,829</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As of September 30, 2019</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 of December 31, 2018</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5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520" w:type="dxa"/>
            <w:vAlign w:val="bottom"/>
          </w:tcPr>
          <w:p>
            <w:pPr>
              <w:jc w:val="right"/>
              <w:ind w:right="354"/>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50"/>
        </w:trPr>
        <w:tc>
          <w:tcPr>
            <w:tcW w:w="1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Industry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Education Technology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71,004,187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64,480,375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Marketplaces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37,580,643</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33,892,561</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0"/>
        </w:trPr>
        <w:tc>
          <w:tcPr>
            <w:tcW w:w="1880" w:type="dxa"/>
            <w:vAlign w:val="bottom"/>
          </w:tcPr>
          <w:p>
            <w:pPr>
              <w:ind w:left="40"/>
              <w:spacing w:after="0" w:line="270" w:lineRule="exact"/>
              <w:rPr>
                <w:sz w:val="20"/>
                <w:szCs w:val="20"/>
                <w:color w:val="auto"/>
              </w:rPr>
            </w:pPr>
            <w:r>
              <w:rPr>
                <w:rFonts w:ascii="Arial" w:cs="Arial" w:eastAsia="Arial" w:hAnsi="Arial"/>
                <w:sz w:val="18"/>
                <w:szCs w:val="18"/>
                <w:color w:val="auto"/>
                <w:w w:val="95"/>
              </w:rPr>
              <w:t>Financial Technology</w:t>
            </w:r>
            <w:r>
              <w:rPr>
                <w:rFonts w:ascii="Arial" w:cs="Arial" w:eastAsia="Arial" w:hAnsi="Arial"/>
                <w:sz w:val="25"/>
                <w:szCs w:val="25"/>
                <w:color w:val="auto"/>
                <w:w w:val="95"/>
                <w:vertAlign w:val="superscript"/>
              </w:rPr>
              <w:t>(1)</w:t>
            </w:r>
          </w:p>
        </w:tc>
        <w:tc>
          <w:tcPr>
            <w:tcW w:w="2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31,791,565</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7,798,878</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Big Data/Cloud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30,369,609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51,929,440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Social/Mobile</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28,217,236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39,964,377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Sustainability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880,198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750,198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199,843,438</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198,815,829</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ectPr>
          <w:pgSz w:w="11900" w:h="16838" w:orient="portrait"/>
          <w:cols w:equalWidth="0" w:num="1">
            <w:col w:w="11420"/>
          </w:cols>
          <w:pgMar w:left="240" w:top="121" w:right="239" w:bottom="1440" w:gutter="0" w:footer="0" w:header="0"/>
        </w:sect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1418590</wp:posOffset>
            </wp:positionV>
            <wp:extent cx="232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23241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Marketplaces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232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23241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2324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4853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Corporate Education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Education Media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Education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E-Transcript Exchange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4853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Cloud Computing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Data Analysis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Social Cognitive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48539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Global Innovation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On-Demand Commerce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On-Demand Transportation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48539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Online Marketplace Finance</w:t>
      </w:r>
      <w:r>
        <w:rPr>
          <w:rFonts w:ascii="Arial" w:cs="Arial" w:eastAsia="Arial" w:hAnsi="Arial"/>
          <w:sz w:val="22"/>
          <w:szCs w:val="22"/>
          <w:color w:val="auto"/>
          <w:vertAlign w:val="superscript"/>
        </w:rPr>
        <w:t>(1)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48539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On-Demand Music Streaming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31750</wp:posOffset>
            </wp:positionV>
            <wp:extent cx="48539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00" w:lineRule="exact"/>
        <w:rPr>
          <w:sz w:val="20"/>
          <w:szCs w:val="20"/>
          <w:color w:val="auto"/>
        </w:rPr>
      </w:pPr>
    </w:p>
    <w:p>
      <w:pPr>
        <w:sectPr>
          <w:pgSz w:w="11900" w:h="16838" w:orient="portrait"/>
          <w:cols w:equalWidth="0" w:num="2">
            <w:col w:w="3080" w:space="720"/>
            <w:col w:w="76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2" w:lineRule="exact"/>
        <w:rPr>
          <w:sz w:val="20"/>
          <w:szCs w:val="20"/>
          <w:color w:val="auto"/>
        </w:rPr>
      </w:pPr>
    </w:p>
    <w:p>
      <w:pPr>
        <w:ind w:left="660" w:hanging="652"/>
        <w:spacing w:after="0" w:line="310"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During the quarter ended June 30, 2019, the Company reclassified the industry theme for "Online Marketplace Finance" and "Financial Services" industries from "Marketplaces" to "Financial Technology". The industrial classifications as of December 31, 2018 were also updated to reflect this change.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September 30, 2019 and December 31, 2018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September 30, 2019</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58,892,446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58,892,446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121,204,268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121,204,268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1,920,861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1,920,861</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5,376,647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5,376,647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187,394,222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187,394,222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12,449,216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12,449,216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12,449,216</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187,394,222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199,843,438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49,995,500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49,995,500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62,444,716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187,394,222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249,838,938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December 31, 2018</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48,517,824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48,517,824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99,856,159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99,856,159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5,584,994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5,584,994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267,446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154,226,423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44,589,406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44,589,406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44,589,406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154,226,423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198,815,829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144,583,406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154,226,423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298,809,829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jc w:val="both"/>
        <w:ind w:right="20" w:firstLine="351"/>
        <w:spacing w:after="0" w:line="254" w:lineRule="auto"/>
        <w:rPr>
          <w:sz w:val="20"/>
          <w:szCs w:val="20"/>
          <w:color w:val="auto"/>
        </w:rPr>
      </w:pPr>
      <w:r>
        <w:rPr>
          <w:rFonts w:ascii="Arial" w:cs="Arial" w:eastAsia="Arial" w:hAnsi="Arial"/>
          <w:sz w:val="18"/>
          <w:szCs w:val="18"/>
          <w:color w:val="auto"/>
        </w:rPr>
        <w:t xml:space="preserve">In accordance with FASB ASC 820, the tables below provide quantitative information about the Company’s fair value measurements of its Level 3 assets as of September 30, 2019 and December 31, 2018.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2019 and December 31, 2018.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8"/>
          <w:szCs w:val="18"/>
          <w:i w:val="1"/>
          <w:iCs w:val="1"/>
          <w:color w:val="auto"/>
        </w:rPr>
        <w:t>Investments at Fair Value</w:t>
      </w:r>
      <w:r>
        <w:rPr>
          <w:rFonts w:ascii="Arial" w:cs="Arial" w:eastAsia="Arial" w:hAnsi="Arial"/>
          <w:sz w:val="18"/>
          <w:szCs w:val="18"/>
          <w:color w:val="auto"/>
        </w:rPr>
        <w:t>” for more detail.</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September 30, 2019</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680" w:type="dxa"/>
            <w:vAlign w:val="bottom"/>
            <w:tcBorders>
              <w:top w:val="single" w:sz="8" w:color="auto"/>
              <w:left w:val="single" w:sz="8" w:color="auto"/>
              <w:right w:val="single" w:sz="8" w:color="auto"/>
            </w:tcBorders>
          </w:tcPr>
          <w:p>
            <w:pPr>
              <w:spacing w:after="0"/>
              <w:rPr>
                <w:sz w:val="14"/>
                <w:szCs w:val="14"/>
                <w:color w:val="auto"/>
              </w:rPr>
            </w:pPr>
          </w:p>
        </w:tc>
        <w:tc>
          <w:tcPr>
            <w:tcW w:w="196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6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Asset</w:t>
            </w:r>
          </w:p>
        </w:tc>
        <w:tc>
          <w:tcPr>
            <w:tcW w:w="1960" w:type="dxa"/>
            <w:vAlign w:val="bottom"/>
            <w:tcBorders>
              <w:right w:val="single" w:sz="8" w:color="auto"/>
            </w:tcBorders>
            <w:vMerge w:val="restart"/>
          </w:tcPr>
          <w:p>
            <w:pPr>
              <w:ind w:left="640"/>
              <w:spacing w:after="0" w:line="149" w:lineRule="exact"/>
              <w:rPr>
                <w:sz w:val="20"/>
                <w:szCs w:val="20"/>
                <w:color w:val="auto"/>
              </w:rPr>
            </w:pPr>
            <w:r>
              <w:rPr>
                <w:rFonts w:ascii="Arial" w:cs="Arial" w:eastAsia="Arial" w:hAnsi="Arial"/>
                <w:sz w:val="14"/>
                <w:szCs w:val="14"/>
                <w:b w:val="1"/>
                <w:bCs w:val="1"/>
                <w:color w:val="auto"/>
              </w:rPr>
              <w:t>Fair Value</w:t>
            </w:r>
          </w:p>
        </w:tc>
        <w:tc>
          <w:tcPr>
            <w:tcW w:w="19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r>
              <w:rPr>
                <w:rFonts w:ascii="Arial" w:cs="Arial" w:eastAsia="Arial" w:hAnsi="Arial"/>
                <w:sz w:val="8"/>
                <w:szCs w:val="8"/>
                <w:b w:val="1"/>
                <w:bCs w:val="1"/>
                <w:color w:val="auto"/>
                <w:w w:val="93"/>
              </w:rPr>
              <w:t>(2)</w:t>
            </w:r>
          </w:p>
        </w:tc>
        <w:tc>
          <w:tcPr>
            <w:tcW w:w="1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05"/>
        </w:trPr>
        <w:tc>
          <w:tcPr>
            <w:tcW w:w="368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68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9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1.34x - 2.74x (2.42x)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$58,892,446</w:t>
            </w: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6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80" w:type="dxa"/>
            <w:vAlign w:val="bottom"/>
            <w:tcBorders>
              <w:left w:val="single" w:sz="8" w:color="auto"/>
              <w:right w:val="single" w:sz="8" w:color="auto"/>
            </w:tcBorders>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(12.0%)</w:t>
            </w:r>
          </w:p>
        </w:tc>
        <w:tc>
          <w:tcPr>
            <w:tcW w:w="0" w:type="dxa"/>
            <w:vAlign w:val="bottom"/>
          </w:tcPr>
          <w:p>
            <w:pPr>
              <w:spacing w:after="0"/>
              <w:rPr>
                <w:sz w:val="1"/>
                <w:szCs w:val="1"/>
                <w:color w:val="auto"/>
              </w:rPr>
            </w:pP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2.73x - 3.89x (3.06x)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continue"/>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Precedent</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$121,204,268</w:t>
            </w: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12.0% (12.0%)</w:t>
            </w: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1.00x - 1.99x (1.72x)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6.45x (6.45x)</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1.34x - 1.58x (1.46x)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$1,920,861</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Term to expiration</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0.38 - 8.55 (5.7)</w:t>
            </w:r>
          </w:p>
        </w:tc>
        <w:tc>
          <w:tcPr>
            <w:tcW w:w="0" w:type="dxa"/>
            <w:vAlign w:val="bottom"/>
          </w:tcPr>
          <w:p>
            <w:pPr>
              <w:spacing w:after="0"/>
              <w:rPr>
                <w:sz w:val="1"/>
                <w:szCs w:val="1"/>
                <w:color w:val="auto"/>
              </w:rPr>
            </w:pPr>
          </w:p>
        </w:tc>
      </w:tr>
      <w:tr>
        <w:trPr>
          <w:trHeight w:val="122"/>
        </w:trPr>
        <w:tc>
          <w:tcPr>
            <w:tcW w:w="3680" w:type="dxa"/>
            <w:vAlign w:val="bottom"/>
            <w:tcBorders>
              <w:left w:val="single" w:sz="8" w:color="auto"/>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(Years)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Options</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$5,376,647</w:t>
            </w: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8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30.0%-48.0% (36.0%)</w:t>
            </w:r>
          </w:p>
        </w:tc>
        <w:tc>
          <w:tcPr>
            <w:tcW w:w="0" w:type="dxa"/>
            <w:vAlign w:val="bottom"/>
          </w:tcPr>
          <w:p>
            <w:pPr>
              <w:spacing w:after="0"/>
              <w:rPr>
                <w:sz w:val="1"/>
                <w:szCs w:val="1"/>
                <w:color w:val="auto"/>
              </w:rPr>
            </w:pPr>
          </w:p>
        </w:tc>
      </w:tr>
      <w:tr>
        <w:trPr>
          <w:trHeight w:val="108"/>
        </w:trPr>
        <w:tc>
          <w:tcPr>
            <w:tcW w:w="368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 (12.0%)</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21" w:lineRule="exact"/>
        <w:rPr>
          <w:sz w:val="20"/>
          <w:szCs w:val="20"/>
          <w:color w:val="auto"/>
        </w:rPr>
      </w:pPr>
    </w:p>
    <w:p>
      <w:pPr>
        <w:jc w:val="both"/>
        <w:ind w:left="660" w:right="20" w:hanging="652"/>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September 30,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6"/>
          <w:szCs w:val="16"/>
          <w:i w:val="1"/>
          <w:iCs w:val="1"/>
          <w:color w:val="auto"/>
        </w:rPr>
        <w:t>Investments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for more detail.</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122"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pacing w:after="0" w:line="350" w:lineRule="exact"/>
        <w:rPr>
          <w:sz w:val="20"/>
          <w:szCs w:val="20"/>
          <w:color w:val="auto"/>
        </w:rPr>
      </w:pPr>
    </w:p>
    <w:p>
      <w:pPr>
        <w:jc w:val="both"/>
        <w:ind w:left="660" w:right="20" w:hanging="652"/>
        <w:spacing w:after="0" w:line="268"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2018</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Borders>
              <w:right w:val="single" w:sz="8" w:color="auto"/>
            </w:tcBorders>
          </w:tcPr>
          <w:p>
            <w:pPr>
              <w:spacing w:after="0"/>
              <w:rPr>
                <w:sz w:val="14"/>
                <w:szCs w:val="14"/>
                <w:color w:val="auto"/>
              </w:rPr>
            </w:pPr>
          </w:p>
        </w:tc>
        <w:tc>
          <w:tcPr>
            <w:tcW w:w="2860" w:type="dxa"/>
            <w:vAlign w:val="bottom"/>
            <w:tcBorders>
              <w:top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Arial" w:cs="Arial" w:eastAsia="Arial" w:hAnsi="Arial"/>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Unobservable Inputs</w:t>
            </w:r>
            <w:r>
              <w:rPr>
                <w:rFonts w:ascii="Arial" w:cs="Arial" w:eastAsia="Arial" w:hAnsi="Arial"/>
                <w:sz w:val="8"/>
                <w:szCs w:val="8"/>
                <w:b w:val="1"/>
                <w:bCs w:val="1"/>
                <w:color w:val="auto"/>
                <w:w w:val="94"/>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86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05"/>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auto"/>
            </w:tcBorders>
          </w:tcPr>
          <w:p>
            <w:pPr>
              <w:spacing w:after="0"/>
              <w:rPr>
                <w:sz w:val="7"/>
                <w:szCs w:val="7"/>
                <w:color w:val="auto"/>
              </w:rPr>
            </w:pPr>
          </w:p>
        </w:tc>
        <w:tc>
          <w:tcPr>
            <w:tcW w:w="28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1.26x - 4.95x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(4.04x)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$48,517,824</w:t>
            </w: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vMerge w:val="continue"/>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860" w:type="dxa"/>
            <w:vAlign w:val="bottom"/>
            <w:tcBorders>
              <w:right w:val="single" w:sz="8" w:color="auto"/>
            </w:tcBorders>
            <w:vMerge w:val="continue"/>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500" w:type="dxa"/>
            <w:vAlign w:val="bottom"/>
            <w:tcBorders>
              <w:right w:val="single" w:sz="8" w:color="auto"/>
            </w:tcBorders>
            <w:vMerge w:val="continue"/>
          </w:tcPr>
          <w:p>
            <w:pPr>
              <w:spacing w:after="0"/>
              <w:rPr>
                <w:sz w:val="14"/>
                <w:szCs w:val="14"/>
                <w:color w:val="auto"/>
              </w:rPr>
            </w:pPr>
          </w:p>
        </w:tc>
        <w:tc>
          <w:tcPr>
            <w:tcW w:w="2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2.60x - 3.07x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(2.69x)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8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2.20x - 4.15x</w:t>
            </w:r>
          </w:p>
        </w:tc>
        <w:tc>
          <w:tcPr>
            <w:tcW w:w="0" w:type="dxa"/>
            <w:vAlign w:val="bottom"/>
          </w:tcPr>
          <w:p>
            <w:pPr>
              <w:spacing w:after="0"/>
              <w:rPr>
                <w:sz w:val="1"/>
                <w:szCs w:val="1"/>
                <w:color w:val="auto"/>
              </w:rPr>
            </w:pPr>
          </w:p>
        </w:tc>
      </w:tr>
      <w:tr>
        <w:trPr>
          <w:trHeight w:val="134"/>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(3.39x)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vMerge w:val="continue"/>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$99,856,159</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82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18"/>
                <w:szCs w:val="18"/>
                <w:color w:val="auto"/>
                <w:w w:val="87"/>
              </w:rPr>
              <w:t>Cash Flow</w:t>
            </w:r>
            <w:r>
              <w:rPr>
                <w:rFonts w:ascii="Arial" w:cs="Arial" w:eastAsia="Arial" w:hAnsi="Arial"/>
                <w:sz w:val="25"/>
                <w:szCs w:val="25"/>
                <w:color w:val="auto"/>
                <w:w w:val="87"/>
                <w:vertAlign w:val="superscript"/>
              </w:rPr>
              <w:t>(2)</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1.09x - 5.40x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(3.18x)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1.26x - 2.40x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(2.30x)</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$5,584,994</w:t>
            </w:r>
          </w:p>
        </w:tc>
        <w:tc>
          <w:tcPr>
            <w:tcW w:w="2060" w:type="dxa"/>
            <w:vAlign w:val="bottom"/>
            <w:tcBorders>
              <w:right w:val="single" w:sz="8" w:color="auto"/>
            </w:tcBorders>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1.31x - 5.40x</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PWERM</w:t>
            </w: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(1.91x)</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Liquidation value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Term to expiration (Years)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1.1-9.3 (2.6)</w:t>
            </w: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vMerge w:val="restart"/>
          </w:tcPr>
          <w:p>
            <w:pPr>
              <w:spacing w:after="0"/>
              <w:rPr>
                <w:sz w:val="2"/>
                <w:szCs w:val="2"/>
                <w:color w:val="auto"/>
              </w:rPr>
            </w:pP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$267,446</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Borders>
              <w:right w:val="single" w:sz="8" w:color="auto"/>
            </w:tcBorders>
            <w:vMerge w:val="continue"/>
          </w:tcPr>
          <w:p>
            <w:pPr>
              <w:spacing w:after="0"/>
              <w:rPr>
                <w:sz w:val="19"/>
                <w:szCs w:val="19"/>
                <w:color w:val="auto"/>
              </w:rPr>
            </w:pPr>
          </w:p>
        </w:tc>
        <w:tc>
          <w:tcPr>
            <w:tcW w:w="2860" w:type="dxa"/>
            <w:vAlign w:val="bottom"/>
            <w:tcBorders>
              <w:right w:val="single" w:sz="8" w:color="auto"/>
            </w:tcBorders>
            <w:vMerge w:val="continue"/>
          </w:tcPr>
          <w:p>
            <w:pPr>
              <w:spacing w:after="0"/>
              <w:rPr>
                <w:sz w:val="19"/>
                <w:szCs w:val="19"/>
                <w:color w:val="auto"/>
              </w:rPr>
            </w:pPr>
          </w:p>
        </w:tc>
        <w:tc>
          <w:tcPr>
            <w:tcW w:w="1820" w:type="dxa"/>
            <w:vAlign w:val="bottom"/>
            <w:tcBorders>
              <w:right w:val="single" w:sz="8" w:color="auto"/>
            </w:tcBorders>
            <w:vMerge w:val="continue"/>
          </w:tcPr>
          <w:p>
            <w:pPr>
              <w:spacing w:after="0"/>
              <w:rPr>
                <w:sz w:val="19"/>
                <w:szCs w:val="19"/>
                <w:color w:val="auto"/>
              </w:rPr>
            </w:pPr>
          </w:p>
        </w:tc>
        <w:tc>
          <w:tcPr>
            <w:tcW w:w="2060" w:type="dxa"/>
            <w:vAlign w:val="bottom"/>
            <w:tcBorders>
              <w:right w:val="single" w:sz="8" w:color="auto"/>
            </w:tcBorders>
            <w:vMerge w:val="continue"/>
          </w:tcPr>
          <w:p>
            <w:pPr>
              <w:spacing w:after="0"/>
              <w:rPr>
                <w:sz w:val="19"/>
                <w:szCs w:val="1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Volatility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28.1%-37.1%</w:t>
            </w: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(29.0%)</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860" w:type="dxa"/>
            <w:vAlign w:val="bottom"/>
          </w:tcPr>
          <w:p>
            <w:pPr>
              <w:jc w:val="right"/>
              <w:ind w:right="652"/>
              <w:spacing w:after="0"/>
              <w:rPr>
                <w:sz w:val="20"/>
                <w:szCs w:val="20"/>
                <w:color w:val="auto"/>
              </w:rPr>
            </w:pPr>
            <w:r>
              <w:rPr>
                <w:rFonts w:ascii="Arial" w:cs="Arial" w:eastAsia="Arial" w:hAnsi="Arial"/>
                <w:sz w:val="18"/>
                <w:szCs w:val="18"/>
                <w:color w:val="auto"/>
                <w:w w:val="87"/>
              </w:rPr>
              <w:t>________________________</w:t>
            </w:r>
          </w:p>
        </w:tc>
        <w:tc>
          <w:tcPr>
            <w:tcW w:w="1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660" w:right="20" w:hanging="652"/>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December 31,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6"/>
          <w:szCs w:val="16"/>
          <w:i w:val="1"/>
          <w:iCs w:val="1"/>
          <w:color w:val="auto"/>
        </w:rPr>
        <w:t>Investments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for more detail.</w:t>
      </w:r>
    </w:p>
    <w:p>
      <w:pPr>
        <w:spacing w:after="0" w:line="83" w:lineRule="exact"/>
        <w:rPr>
          <w:rFonts w:ascii="Arial" w:cs="Arial" w:eastAsia="Arial" w:hAnsi="Arial"/>
          <w:sz w:val="16"/>
          <w:szCs w:val="16"/>
          <w:color w:val="auto"/>
        </w:rPr>
      </w:pPr>
    </w:p>
    <w:p>
      <w:pPr>
        <w:jc w:val="both"/>
        <w:ind w:left="660" w:right="20" w:hanging="652"/>
        <w:spacing w:after="0" w:line="26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121" w:right="2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377" w:lineRule="exact"/>
        <w:rPr>
          <w:sz w:val="20"/>
          <w:szCs w:val="20"/>
          <w:color w:val="auto"/>
        </w:rPr>
      </w:pPr>
    </w:p>
    <w:p>
      <w:pPr>
        <w:jc w:val="both"/>
        <w:ind w:left="660"/>
        <w:spacing w:after="0" w:line="339" w:lineRule="auto"/>
        <w:rPr>
          <w:sz w:val="20"/>
          <w:szCs w:val="20"/>
          <w:color w:val="auto"/>
        </w:rPr>
      </w:pPr>
      <w:r>
        <w:rPr>
          <w:rFonts w:ascii="Arial" w:cs="Arial" w:eastAsia="Arial" w:hAnsi="Arial"/>
          <w:sz w:val="16"/>
          <w:szCs w:val="16"/>
          <w:color w:val="auto"/>
        </w:rPr>
        <w:t>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w:t>
      </w:r>
      <w:r>
        <w:rPr>
          <w:rFonts w:ascii="Arial" w:cs="Arial" w:eastAsia="Arial" w:hAnsi="Arial"/>
          <w:sz w:val="16"/>
          <w:szCs w:val="16"/>
          <w:color w:val="auto"/>
        </w:rPr>
        <w:t>” for more detail.</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nine months ended September 30, 2019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2019</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48,517,824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99,856,159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5,584,994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15,001,530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10,319,154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355,822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25,693,124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Sales/Maturity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(6,435,123)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(2,102,384)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8,538,507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(14,999,998)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(2,418,534)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(17,418,532)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(4,625,908)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54,411,764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548,746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(3,445,924)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46,888,678</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September 30, 2019</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58,892,446</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121,204,268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1,920,861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5,376,647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187,394,222</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(4,626,908)</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34,054,259</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(735,025)</w:t>
            </w: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(3,445,924)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25,246,402</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September 30, 2019</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2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nine months ended September 30, 2019, the Company’s portfolio investments had the following corporate actions which are reflected above:</w:t>
      </w: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Lyft, Inc.</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Ozy Media,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NestGSV, Inc (d/b/a GSV Labs,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520"/>
        <w:spacing w:after="0"/>
        <w:rPr>
          <w:sz w:val="20"/>
          <w:szCs w:val="20"/>
          <w:color w:val="auto"/>
        </w:rPr>
      </w:pPr>
      <w:r>
        <w:rPr>
          <w:rFonts w:ascii="Arial" w:cs="Arial" w:eastAsia="Arial" w:hAnsi="Arial"/>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37465</wp:posOffset>
            </wp:positionV>
            <wp:extent cx="724662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Preferred shares, Series 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Preferred shares, Series E</w:t>
      </w:r>
    </w:p>
    <w:p>
      <w:pPr>
        <w:spacing w:after="0" w:line="80" w:lineRule="exact"/>
        <w:rPr>
          <w:sz w:val="20"/>
          <w:szCs w:val="20"/>
          <w:color w:val="auto"/>
        </w:rPr>
      </w:pPr>
    </w:p>
    <w:p>
      <w:pPr>
        <w:jc w:val="center"/>
        <w:ind w:right="1520"/>
        <w:spacing w:after="0"/>
        <w:rPr>
          <w:sz w:val="20"/>
          <w:szCs w:val="20"/>
          <w:color w:val="auto"/>
        </w:rPr>
      </w:pPr>
      <w:r>
        <w:rPr>
          <w:rFonts w:ascii="Arial" w:cs="Arial" w:eastAsia="Arial" w:hAnsi="Arial"/>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58420</wp:posOffset>
            </wp:positionV>
            <wp:extent cx="7246620" cy="934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34720"/>
                    </a:xfrm>
                    <a:prstGeom prst="rect">
                      <a:avLst/>
                    </a:prstGeom>
                    <a:noFill/>
                  </pic:spPr>
                </pic:pic>
              </a:graphicData>
            </a:graphic>
          </wp:anchor>
        </w:drawing>
      </w:r>
    </w:p>
    <w:p>
      <w:pPr>
        <w:spacing w:after="0" w:line="89"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Common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A-1</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A-3</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Conversion to</w:t>
      </w:r>
    </w:p>
    <w:p>
      <w:pPr>
        <w:spacing w:after="0" w:line="185"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Public Common Shares (Level 2)</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Preferred shares, Series C-2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Derivative Security</w:t>
      </w:r>
    </w:p>
    <w:p>
      <w:pPr>
        <w:spacing w:after="0" w:line="383" w:lineRule="exact"/>
        <w:rPr>
          <w:sz w:val="20"/>
          <w:szCs w:val="20"/>
          <w:color w:val="auto"/>
        </w:rPr>
      </w:pPr>
    </w:p>
    <w:p>
      <w:pPr>
        <w:sectPr>
          <w:pgSz w:w="11900" w:h="16838" w:orient="portrait"/>
          <w:cols w:equalWidth="0" w:num="3">
            <w:col w:w="3720" w:space="720"/>
            <w:col w:w="3420" w:space="720"/>
            <w:col w:w="28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2018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 2018</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4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Fair Value as of December 31, 2017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4,916,578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212,428,493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Transfers out of Level 3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(41,707,506)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(7,734,804)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(49,442,310)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10,108,434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1,044,531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11,185,789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Sales/Maturity of investments </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(6,910,798)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(16,958,428)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(722,776)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(24,592,002)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(1,567,122)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(10,458,567)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(12,026,369)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5,537,205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(5,514,077)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30,660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30,660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(3,766,485)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20,266,036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321,761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16,642,162</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December 31,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48,517,824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99,856,159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5,584,994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267,446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(12,412,555)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10,061,576</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317,201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(2,189,799)</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December 31, 2018</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2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year ended December 31, 2018, the Company’s portfolio investments had the following corporate actions which are reflected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Portfolio Company</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Transfer from</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Transfer to</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10"/>
        </w:trPr>
        <w:tc>
          <w:tcPr>
            <w:tcW w:w="6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Preferred shares, Series A-1 &amp;</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Public Common Shares (Level</w:t>
            </w:r>
          </w:p>
        </w:tc>
      </w:tr>
      <w:tr>
        <w:trPr>
          <w:trHeight w:val="22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Dropbox, Inc.</w:t>
            </w:r>
          </w:p>
        </w:tc>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shd w:val="clear" w:color="auto" w:fill="CCEEFF"/>
              </w:rPr>
              <w:t>2)</w:t>
            </w:r>
          </w:p>
        </w:tc>
      </w:tr>
      <w:tr>
        <w:trPr>
          <w:trHeight w:val="220"/>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Public Common Shares (Level</w:t>
            </w:r>
          </w:p>
        </w:tc>
      </w:tr>
      <w:tr>
        <w:trPr>
          <w:trHeight w:val="206"/>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Spotify Technology S.A.</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Common shares</w:t>
            </w:r>
          </w:p>
        </w:tc>
        <w:tc>
          <w:tcPr>
            <w:tcW w:w="2160" w:type="dxa"/>
            <w:vAlign w:val="bottom"/>
          </w:tcPr>
          <w:p>
            <w:pPr>
              <w:jc w:val="right"/>
              <w:ind w:right="939"/>
              <w:spacing w:after="0"/>
              <w:rPr>
                <w:sz w:val="20"/>
                <w:szCs w:val="20"/>
                <w:color w:val="auto"/>
              </w:rPr>
            </w:pPr>
            <w:r>
              <w:rPr>
                <w:rFonts w:ascii="Arial" w:cs="Arial" w:eastAsia="Arial" w:hAnsi="Arial"/>
                <w:sz w:val="16"/>
                <w:szCs w:val="16"/>
                <w:color w:val="auto"/>
              </w:rPr>
              <w:t>1)</w:t>
            </w: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Curious.com, Inc.</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Preferred shares, Series B</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shd w:val="clear" w:color="auto" w:fill="CCEEFF"/>
              </w:rPr>
              <w:t>Common shares</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SharesPost, Inc.</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Common warrants</w:t>
            </w:r>
          </w:p>
        </w:tc>
        <w:tc>
          <w:tcPr>
            <w:tcW w:w="216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-913130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-913130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11" w:lineRule="exact"/>
        <w:rPr>
          <w:sz w:val="20"/>
          <w:szCs w:val="20"/>
          <w:color w:val="auto"/>
        </w:rPr>
      </w:pPr>
    </w:p>
    <w:p>
      <w:pPr>
        <w:ind w:right="2300" w:firstLine="8"/>
        <w:spacing w:after="0" w:line="275" w:lineRule="auto"/>
        <w:tabs>
          <w:tab w:leader="none" w:pos="3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of investments includes escrow proceeds receivable of approximately $2.5 million from the sale of the Company’s investments in General Assembly Space, Inc., Lytro, Inc., SugarCRM, Inc., and DreamBox Learning, Inc.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Transactions during the nine months ended September 30, 2019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Purchases,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September</w:t>
            </w:r>
          </w:p>
        </w:tc>
        <w:tc>
          <w:tcPr>
            <w:tcW w:w="120" w:type="dxa"/>
            <w:vAlign w:val="bottom"/>
          </w:tcPr>
          <w:p>
            <w:pPr>
              <w:spacing w:after="0"/>
              <w:rPr>
                <w:sz w:val="12"/>
                <w:szCs w:val="12"/>
                <w:color w:val="auto"/>
              </w:rPr>
            </w:pPr>
          </w:p>
        </w:tc>
        <w:tc>
          <w:tcPr>
            <w:tcW w:w="7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Action</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20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CONTROLLED</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9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tcBorders>
              <w:left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5"/>
              </w:rPr>
              <w:t>Preferred Stock</w:t>
            </w:r>
          </w:p>
        </w:tc>
        <w:tc>
          <w:tcPr>
            <w:tcW w:w="980" w:type="dxa"/>
            <w:vAlign w:val="bottom"/>
            <w:tcBorders>
              <w:top w:val="single" w:sz="8" w:color="CCEEFF"/>
            </w:tcBorders>
            <w:gridSpan w:val="2"/>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SPBRX, INC. (f/k/a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Sustainability Partners,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Inc.)–Preferred shares,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Class A***</w:t>
            </w:r>
            <w:r>
              <w:rPr>
                <w:rFonts w:ascii="Arial" w:cs="Arial" w:eastAsia="Arial" w:hAnsi="Arial"/>
                <w:sz w:val="21"/>
                <w:szCs w:val="21"/>
                <w:color w:val="auto"/>
                <w:vertAlign w:val="superscript"/>
              </w:rPr>
              <w:t>(3)</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w w:val="92"/>
              </w:rPr>
              <w:t>14,300,000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750,198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130,000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880,198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50"/>
        </w:trPr>
        <w:tc>
          <w:tcPr>
            <w:tcW w:w="220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ind w:left="280"/>
              <w:spacing w:after="0"/>
              <w:rPr>
                <w:sz w:val="20"/>
                <w:szCs w:val="20"/>
                <w:color w:val="auto"/>
              </w:rPr>
            </w:pPr>
            <w:r>
              <w:rPr>
                <w:rFonts w:ascii="Arial" w:cs="Arial" w:eastAsia="Arial" w:hAnsi="Arial"/>
                <w:sz w:val="16"/>
                <w:szCs w:val="16"/>
                <w:color w:val="auto"/>
                <w:w w:val="98"/>
              </w:rPr>
              <w:t>Labs, Inc.)–Preferred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 xml:space="preserve">Series A-4 </w:t>
            </w:r>
            <w:r>
              <w:rPr>
                <w:rFonts w:ascii="Arial" w:cs="Arial" w:eastAsia="Arial" w:hAnsi="Arial"/>
                <w:sz w:val="21"/>
                <w:szCs w:val="21"/>
                <w:color w:val="auto"/>
                <w:vertAlign w:val="superscript"/>
              </w:rPr>
              <w:t>(7)</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4,960,553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(4,904,500)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(56,055)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8"/>
              </w:rPr>
              <w:t>Labs, Inc.)–Preferred stock</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Series A-3 </w:t>
            </w:r>
            <w:r>
              <w:rPr>
                <w:rFonts w:ascii="Arial" w:cs="Arial" w:eastAsia="Arial" w:hAnsi="Arial"/>
                <w:sz w:val="21"/>
                <w:szCs w:val="21"/>
                <w:color w:val="auto"/>
                <w:vertAlign w:val="superscript"/>
              </w:rPr>
              <w:t>(7)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1,735,134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(2,005,730)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270,596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ind w:left="280"/>
              <w:spacing w:after="0"/>
              <w:rPr>
                <w:sz w:val="20"/>
                <w:szCs w:val="20"/>
                <w:color w:val="auto"/>
              </w:rPr>
            </w:pPr>
            <w:r>
              <w:rPr>
                <w:rFonts w:ascii="Arial" w:cs="Arial" w:eastAsia="Arial" w:hAnsi="Arial"/>
                <w:sz w:val="16"/>
                <w:szCs w:val="16"/>
                <w:color w:val="auto"/>
                <w:w w:val="98"/>
              </w:rPr>
              <w:t>Labs, Inc.)–Preferred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 xml:space="preserve">Series A-2 </w:t>
            </w:r>
            <w:r>
              <w:rPr>
                <w:rFonts w:ascii="Arial" w:cs="Arial" w:eastAsia="Arial" w:hAnsi="Arial"/>
                <w:sz w:val="21"/>
                <w:szCs w:val="21"/>
                <w:color w:val="auto"/>
                <w:vertAlign w:val="superscript"/>
              </w:rPr>
              <w:t>(7)</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305,500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8"/>
              </w:rPr>
              <w:t>Labs, Inc.)–Preferred stock</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0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Series A-1 </w:t>
            </w:r>
            <w:r>
              <w:rPr>
                <w:rFonts w:ascii="Arial" w:cs="Arial" w:eastAsia="Arial" w:hAnsi="Arial"/>
                <w:sz w:val="21"/>
                <w:szCs w:val="21"/>
                <w:color w:val="auto"/>
                <w:vertAlign w:val="superscript"/>
              </w:rPr>
              <w:t>(7)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499,999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(1,021,780)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521,779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200" w:type="dxa"/>
            <w:vAlign w:val="bottom"/>
            <w:gridSpan w:val="3"/>
          </w:tcPr>
          <w:p>
            <w:pPr>
              <w:ind w:left="180"/>
              <w:spacing w:after="0"/>
              <w:rPr>
                <w:sz w:val="20"/>
                <w:szCs w:val="20"/>
                <w:color w:val="auto"/>
              </w:rPr>
            </w:pPr>
            <w:r>
              <w:rPr>
                <w:rFonts w:ascii="Arial" w:cs="Arial" w:eastAsia="Arial" w:hAnsi="Arial"/>
                <w:sz w:val="16"/>
                <w:szCs w:val="16"/>
                <w:i w:val="1"/>
                <w:iCs w:val="1"/>
                <w:color w:val="auto"/>
              </w:rPr>
              <w:t>Total Global Innovation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gridSpan w:val="3"/>
          </w:tcPr>
          <w:p>
            <w:pPr>
              <w:ind w:left="180"/>
              <w:spacing w:after="0"/>
              <w:rPr>
                <w:sz w:val="20"/>
                <w:szCs w:val="20"/>
                <w:color w:val="auto"/>
              </w:rPr>
            </w:pPr>
            <w:r>
              <w:rPr>
                <w:rFonts w:ascii="Arial" w:cs="Arial" w:eastAsia="Arial" w:hAnsi="Arial"/>
                <w:sz w:val="16"/>
                <w:szCs w:val="16"/>
                <w:i w:val="1"/>
                <w:iCs w:val="1"/>
                <w:color w:val="auto"/>
              </w:rPr>
              <w:t>Platform</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7,495,686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(8,537,506)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1,041,820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StormWind, LLC–</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Preferred shares, Series C</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2,779,134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7,194,971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(2,601,783)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4,593,188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20"/>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StormWind, LLC–</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shares, Series B</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Borders>
              <w:left w:val="single" w:sz="8" w:color="CCEEFF"/>
              <w:right w:val="single" w:sz="8" w:color="CCEEFF"/>
            </w:tcBorders>
            <w:shd w:val="clear" w:color="auto" w:fill="CCEEFF"/>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3,279,629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5,770,328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(3,070,338)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2"/>
              </w:rPr>
              <w:t>2,699,990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20"/>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StormWind, LLC–</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gridSpan w:val="3"/>
          </w:tcPr>
          <w:p>
            <w:pPr>
              <w:ind w:left="280"/>
              <w:spacing w:after="0"/>
              <w:rPr>
                <w:sz w:val="20"/>
                <w:szCs w:val="20"/>
                <w:color w:val="auto"/>
              </w:rPr>
            </w:pPr>
            <w:r>
              <w:rPr>
                <w:rFonts w:ascii="Arial" w:cs="Arial" w:eastAsia="Arial" w:hAnsi="Arial"/>
                <w:sz w:val="16"/>
                <w:szCs w:val="16"/>
                <w:color w:val="auto"/>
              </w:rPr>
              <w:t>Preferred shares, Series A</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Borders>
              <w:bottom w:val="single" w:sz="8" w:color="CCEEFF"/>
            </w:tcBorders>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w:t>
            </w: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366,666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421,525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(343,267)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78,258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4"/>
        </w:trPr>
        <w:tc>
          <w:tcPr>
            <w:tcW w:w="220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13,386,824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(6,015,388)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7,371,436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37"/>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w w:val="89"/>
              </w:rPr>
              <w:t>21,632,708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5"/>
              </w:rPr>
              <w:t>(8,537,510)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0"/>
              </w:rPr>
              <w:t>(4,843,568)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8,251,634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0" w:type="dxa"/>
            <w:vAlign w:val="bottom"/>
            <w:gridSpan w:val="3"/>
          </w:tcPr>
          <w:p>
            <w:pPr>
              <w:ind w:left="180"/>
              <w:spacing w:after="0"/>
              <w:rPr>
                <w:sz w:val="20"/>
                <w:szCs w:val="20"/>
                <w:color w:val="auto"/>
              </w:rPr>
            </w:pPr>
            <w:r>
              <w:rPr>
                <w:rFonts w:ascii="Arial" w:cs="Arial" w:eastAsia="Arial" w:hAnsi="Arial"/>
                <w:sz w:val="16"/>
                <w:szCs w:val="16"/>
                <w:i w:val="1"/>
                <w:iCs w:val="1"/>
                <w:color w:val="auto"/>
              </w:rPr>
              <w:t>Clean Technology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SPBRX, INC. (f/k/a GSV</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Sustainability Partners,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Inc.)–Common shares</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20" w:type="dxa"/>
            <w:vAlign w:val="bottom"/>
            <w:tcBorders>
              <w:left w:val="single" w:sz="8" w:color="CCEEFF"/>
              <w:right w:val="single" w:sz="8" w:color="CCEEFF"/>
            </w:tcBorders>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-5882640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Principal/</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September</w:t>
            </w: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Quantity</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Action</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Arial" w:cs="Arial" w:eastAsia="Arial" w:hAnsi="Arial"/>
                <w:sz w:val="14"/>
                <w:szCs w:val="14"/>
                <w:b w:val="1"/>
                <w:bCs w:val="1"/>
                <w:color w:val="auto"/>
              </w:rPr>
              <w:t>30, 2019</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NestGSV, Inc. (d/b/a GSV</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2"/>
              </w:rPr>
              <w:t>Labs, Inc.)–Common shares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8"/>
        </w:trPr>
        <w:tc>
          <w:tcPr>
            <w:tcW w:w="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4"/>
          </w:tcPr>
          <w:p>
            <w:pPr>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CONTROLLED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200,000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21,632,708</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(8,538,506)</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(4,842,568)</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2"/>
              </w:rPr>
              <w:t>8,251,634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3.86%</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120" w:type="dxa"/>
            <w:vAlign w:val="bottom"/>
            <w:tcBorders>
              <w:top w:val="single" w:sz="8" w:color="CCEEFF"/>
              <w:bottom w:val="single" w:sz="8" w:color="CCEEFF"/>
            </w:tcBorders>
            <w:gridSpan w:val="4"/>
            <w:vMerge w:val="restart"/>
          </w:tcPr>
          <w:p>
            <w:pPr>
              <w:spacing w:after="0" w:line="183" w:lineRule="exact"/>
              <w:rPr>
                <w:sz w:val="20"/>
                <w:szCs w:val="20"/>
                <w:color w:val="auto"/>
              </w:rPr>
            </w:pPr>
            <w:r>
              <w:rPr>
                <w:rFonts w:ascii="Arial" w:cs="Arial" w:eastAsia="Arial" w:hAnsi="Arial"/>
                <w:sz w:val="16"/>
                <w:szCs w:val="16"/>
                <w:b w:val="1"/>
                <w:bCs w:val="1"/>
                <w:color w:val="auto"/>
              </w:rPr>
              <w:t>NON-</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vMerge w:val="continue"/>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120" w:type="dxa"/>
            <w:vAlign w:val="bottom"/>
            <w:gridSpan w:val="4"/>
          </w:tcPr>
          <w:p>
            <w:pPr>
              <w:spacing w:after="0" w:line="183" w:lineRule="exact"/>
              <w:rPr>
                <w:sz w:val="20"/>
                <w:szCs w:val="20"/>
                <w:color w:val="auto"/>
              </w:rPr>
            </w:pPr>
            <w:r>
              <w:rPr>
                <w:rFonts w:ascii="Arial" w:cs="Arial" w:eastAsia="Arial" w:hAnsi="Arial"/>
                <w:sz w:val="16"/>
                <w:szCs w:val="16"/>
                <w:b w:val="1"/>
                <w:bCs w:val="1"/>
                <w:color w:val="auto"/>
              </w:rPr>
              <w:t>CONTROLLED/AFFILIATE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60" w:type="dxa"/>
            <w:vAlign w:val="bottom"/>
            <w:tcBorders>
              <w:top w:val="single" w:sz="8" w:color="auto"/>
            </w:tcBorders>
            <w:gridSpan w:val="3"/>
          </w:tcPr>
          <w:p>
            <w:pPr>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CUX, Inc. (d/b/a CorpU)–</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Senior Subordinated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Convertible Promissory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Note 10% Due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00" w:type="dxa"/>
            <w:vAlign w:val="bottom"/>
            <w:gridSpan w:val="4"/>
            <w:shd w:val="clear" w:color="auto" w:fill="CCEEFF"/>
          </w:tcPr>
          <w:p>
            <w:pPr>
              <w:ind w:left="280"/>
              <w:spacing w:after="0" w:line="239" w:lineRule="exact"/>
              <w:rPr>
                <w:sz w:val="20"/>
                <w:szCs w:val="20"/>
                <w:color w:val="auto"/>
              </w:rPr>
            </w:pPr>
            <w:r>
              <w:rPr>
                <w:rFonts w:ascii="Arial" w:cs="Arial" w:eastAsia="Arial" w:hAnsi="Arial"/>
                <w:sz w:val="16"/>
                <w:szCs w:val="16"/>
                <w:color w:val="auto"/>
              </w:rPr>
              <w:t>2/14/2020***</w:t>
            </w:r>
            <w:r>
              <w:rPr>
                <w:rFonts w:ascii="Arial" w:cs="Arial" w:eastAsia="Arial" w:hAnsi="Arial"/>
                <w:sz w:val="21"/>
                <w:szCs w:val="21"/>
                <w:color w:val="auto"/>
                <w:vertAlign w:val="superscript"/>
              </w:rPr>
              <w:t>(5)</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7"/>
              </w:rPr>
              <w:t>1,360,489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101,757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1,360,489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(1,020,277)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340,492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Ozy Media, Inc.–</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Convertible Promissory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Note 5% Due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00" w:type="dxa"/>
            <w:vAlign w:val="bottom"/>
            <w:gridSpan w:val="4"/>
            <w:shd w:val="clear" w:color="auto" w:fill="CCEEFF"/>
          </w:tcPr>
          <w:p>
            <w:pPr>
              <w:ind w:left="280"/>
              <w:spacing w:after="0" w:line="239" w:lineRule="exact"/>
              <w:rPr>
                <w:sz w:val="20"/>
                <w:szCs w:val="20"/>
                <w:color w:val="auto"/>
              </w:rPr>
            </w:pPr>
            <w:r>
              <w:rPr>
                <w:rFonts w:ascii="Arial" w:cs="Arial" w:eastAsia="Arial" w:hAnsi="Arial"/>
                <w:sz w:val="16"/>
                <w:szCs w:val="16"/>
                <w:color w:val="auto"/>
              </w:rPr>
              <w:t>12/31/2018***</w:t>
            </w:r>
            <w:r>
              <w:rPr>
                <w:rFonts w:ascii="Arial" w:cs="Arial" w:eastAsia="Arial" w:hAnsi="Arial"/>
                <w:sz w:val="21"/>
                <w:szCs w:val="21"/>
                <w:color w:val="auto"/>
                <w:vertAlign w:val="superscript"/>
              </w:rPr>
              <w:t>(6)</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72,864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3,153,575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(2,102,384)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(1,051,191)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Declara, Inc.–Convertible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8"/>
              </w:rPr>
              <w:t>Promissory Note 12% Due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4/30/2018</w:t>
            </w:r>
          </w:p>
        </w:tc>
        <w:tc>
          <w:tcPr>
            <w:tcW w:w="8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(2,334,832)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2,334,152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120" w:type="dxa"/>
            <w:vAlign w:val="bottom"/>
            <w:gridSpan w:val="4"/>
            <w:shd w:val="clear" w:color="auto" w:fill="CCEEFF"/>
          </w:tcPr>
          <w:p>
            <w:pPr>
              <w:ind w:left="280"/>
              <w:spacing w:after="0"/>
              <w:rPr>
                <w:sz w:val="20"/>
                <w:szCs w:val="20"/>
                <w:color w:val="auto"/>
              </w:rPr>
            </w:pPr>
            <w:r>
              <w:rPr>
                <w:rFonts w:ascii="Arial" w:cs="Arial" w:eastAsia="Arial" w:hAnsi="Arial"/>
                <w:sz w:val="16"/>
                <w:szCs w:val="16"/>
                <w:color w:val="auto"/>
                <w:w w:val="98"/>
              </w:rPr>
              <w:t>NestGSV, Inc. (d/b/a GSV</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Labs, Inc.) –Convertible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Promissory Note 8% Due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(7)</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7"/>
              </w:rPr>
              <w:t>1,010,198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85,621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936,525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77,402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2"/>
              </w:rPr>
              <w:t>1,010,198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i w:val="1"/>
                <w:iCs w:val="1"/>
                <w:color w:val="auto"/>
              </w:rPr>
              <w:t>Total Global Innovation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i w:val="1"/>
                <w:iCs w:val="1"/>
                <w:color w:val="auto"/>
              </w:rPr>
              <w:t>Platform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85,621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936,525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77,402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1,010,198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260,242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5,450,589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(2,102,384)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(2,334,832)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258,955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1,350,690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4"/>
          </w:tcPr>
          <w:p>
            <w:pPr>
              <w:ind w:left="14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20" w:type="dxa"/>
            <w:vAlign w:val="bottom"/>
            <w:gridSpan w:val="4"/>
          </w:tcPr>
          <w:p>
            <w:pPr>
              <w:ind w:left="240"/>
              <w:spacing w:after="0"/>
              <w:rPr>
                <w:sz w:val="20"/>
                <w:szCs w:val="20"/>
                <w:color w:val="auto"/>
              </w:rPr>
            </w:pPr>
            <w:r>
              <w:rPr>
                <w:rFonts w:ascii="Arial" w:cs="Arial" w:eastAsia="Arial" w:hAnsi="Arial"/>
                <w:sz w:val="16"/>
                <w:szCs w:val="16"/>
                <w:color w:val="auto"/>
              </w:rPr>
              <w:t>CUX, Inc. (d/b/a CorpU)–</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gridSpan w:val="4"/>
          </w:tcPr>
          <w:p>
            <w:pPr>
              <w:ind w:left="240"/>
              <w:spacing w:after="0"/>
              <w:rPr>
                <w:sz w:val="20"/>
                <w:szCs w:val="20"/>
                <w:color w:val="auto"/>
              </w:rPr>
            </w:pPr>
            <w:r>
              <w:rPr>
                <w:rFonts w:ascii="Arial" w:cs="Arial" w:eastAsia="Arial" w:hAnsi="Arial"/>
                <w:sz w:val="16"/>
                <w:szCs w:val="16"/>
                <w:color w:val="auto"/>
              </w:rPr>
              <w:t>Convertible preferred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4"/>
          </w:tcPr>
          <w:p>
            <w:pPr>
              <w:ind w:left="240"/>
              <w:spacing w:after="0"/>
              <w:rPr>
                <w:sz w:val="20"/>
                <w:szCs w:val="20"/>
                <w:color w:val="auto"/>
              </w:rPr>
            </w:pPr>
            <w:r>
              <w:rPr>
                <w:rFonts w:ascii="Arial" w:cs="Arial" w:eastAsia="Arial" w:hAnsi="Arial"/>
                <w:sz w:val="16"/>
                <w:szCs w:val="16"/>
                <w:color w:val="auto"/>
              </w:rPr>
              <w:t>shares, Series D 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169,033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878,005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(878,005)</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Fair Value at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Principal/</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2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Company/Investment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Quantity</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78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Action</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Gains/(Losses)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0" w:type="dxa"/>
            <w:vAlign w:val="bottom"/>
          </w:tcPr>
          <w:p>
            <w:pPr>
              <w:spacing w:after="0"/>
              <w:rPr>
                <w:sz w:val="16"/>
                <w:szCs w:val="16"/>
                <w:color w:val="auto"/>
              </w:rPr>
            </w:pPr>
          </w:p>
        </w:tc>
        <w:tc>
          <w:tcPr>
            <w:tcW w:w="840" w:type="dxa"/>
            <w:vAlign w:val="bottom"/>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1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CUX, Inc. (d/b/a CorpU) -</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Convertible preferred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shares, Series C 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615,763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240" w:type="dxa"/>
            <w:vAlign w:val="bottom"/>
            <w:tcBorders>
              <w:top w:val="single" w:sz="8" w:color="CCEEFF"/>
            </w:tcBorders>
            <w:gridSpan w:val="2"/>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80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878,005</w:t>
            </w: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(878,005)</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Declara, Inc.–Preferred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shares, Series A 8%</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(9,999,999)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9,999,999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EdSurge, Inc.–Preferred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shares, Series A-1</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378,788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248,587</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EdSurge, Inc.–Preferred</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shares, Series A</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269,848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261,676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214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Education Media</w:t>
            </w:r>
          </w:p>
        </w:tc>
        <w:tc>
          <w:tcPr>
            <w:tcW w:w="10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180"/>
              <w:spacing w:after="0"/>
              <w:rPr>
                <w:sz w:val="20"/>
                <w:szCs w:val="20"/>
                <w:color w:val="auto"/>
              </w:rPr>
            </w:pPr>
            <w:r>
              <w:rPr>
                <w:rFonts w:ascii="Arial" w:cs="Arial" w:eastAsia="Arial" w:hAnsi="Arial"/>
                <w:sz w:val="16"/>
                <w:szCs w:val="16"/>
                <w:i w:val="1"/>
                <w:iCs w:val="1"/>
                <w:color w:val="auto"/>
              </w:rPr>
              <w:t>Platform</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519,848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510,263</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Maven Research, Inc.–</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Preferred shares, Series C</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318,979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Maven Research, Inc.–</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Preferred shares, Series B</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24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8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 xml:space="preserve">shares, Series C 6% </w:t>
            </w:r>
            <w:r>
              <w:rPr>
                <w:rFonts w:ascii="Arial" w:cs="Arial" w:eastAsia="Arial" w:hAnsi="Arial"/>
                <w:sz w:val="21"/>
                <w:szCs w:val="21"/>
                <w:color w:val="auto"/>
                <w:vertAlign w:val="superscript"/>
              </w:rPr>
              <w:t>(6)</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683,482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2,102,384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311,794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741,928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3,156,106</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0"/>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B 6%</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5,001,420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5,001,420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shares, Series A 6%</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w w:val="92"/>
              </w:rPr>
              <w:t>1,090,909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5,037,476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5,037,476</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Seed 6%</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2,308,843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2,308,843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1"/>
        </w:trPr>
        <w:tc>
          <w:tcPr>
            <w:tcW w:w="224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2,102,384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311,794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7"/>
              </w:rPr>
              <w:t>13,089,667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15,503,845</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1,397,853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2,102,384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311,794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(9,999,999)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22,202,076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16,014,108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37"/>
        </w:trPr>
        <w:tc>
          <w:tcPr>
            <w:tcW w:w="224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CUX, Inc. (d/b/a CorpU) –</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Preferred warrants,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Series D, Strike Price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$4.59, Expiration Date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280"/>
              <w:spacing w:after="0"/>
              <w:rPr>
                <w:sz w:val="20"/>
                <w:szCs w:val="20"/>
                <w:color w:val="auto"/>
              </w:rPr>
            </w:pPr>
            <w:r>
              <w:rPr>
                <w:rFonts w:ascii="Arial" w:cs="Arial" w:eastAsia="Arial" w:hAnsi="Arial"/>
                <w:sz w:val="16"/>
                <w:szCs w:val="16"/>
                <w:color w:val="auto"/>
              </w:rPr>
              <w:t>2/14/2020</w:t>
            </w:r>
          </w:p>
        </w:tc>
        <w:tc>
          <w:tcPr>
            <w:tcW w:w="1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16,903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19,946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(19,946)</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-5758180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Purchases,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100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6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Principal/</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Unrealized</w:t>
            </w: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w:t>
            </w:r>
          </w:p>
        </w:tc>
        <w:tc>
          <w:tcPr>
            <w:tcW w:w="120" w:type="dxa"/>
            <w:vAlign w:val="bottom"/>
          </w:tcPr>
          <w:p>
            <w:pPr>
              <w:spacing w:after="0"/>
              <w:rPr>
                <w:sz w:val="12"/>
                <w:szCs w:val="12"/>
                <w:color w:val="auto"/>
              </w:rPr>
            </w:pPr>
          </w:p>
        </w:tc>
        <w:tc>
          <w:tcPr>
            <w:tcW w:w="76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Action</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OzyMedia, Inc.–Common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w w:val="97"/>
              </w:rPr>
              <w:t>Warrants, Strike Price $0.01,</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Expiration Date 4/9/2028</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295,565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1,362,555</w:t>
            </w: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1,362,555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NestGSV, Inc. (d/b/a GSV</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Warrant Series A-3, Strike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Price $1.33, Expiration Date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tcPr>
          <w:p>
            <w:pPr>
              <w:ind w:left="280"/>
              <w:spacing w:after="0" w:line="239" w:lineRule="exact"/>
              <w:rPr>
                <w:sz w:val="20"/>
                <w:szCs w:val="20"/>
                <w:color w:val="auto"/>
              </w:rPr>
            </w:pPr>
            <w:r>
              <w:rPr>
                <w:rFonts w:ascii="Arial" w:cs="Arial" w:eastAsia="Arial" w:hAnsi="Arial"/>
                <w:sz w:val="16"/>
                <w:szCs w:val="16"/>
                <w:color w:val="auto"/>
              </w:rPr>
              <w:t>4/4/2021</w:t>
            </w:r>
            <w:r>
              <w:rPr>
                <w:rFonts w:ascii="Arial" w:cs="Arial" w:eastAsia="Arial" w:hAnsi="Arial"/>
                <w:sz w:val="21"/>
                <w:szCs w:val="21"/>
                <w:color w:val="auto"/>
                <w:vertAlign w:val="superscript"/>
              </w:rPr>
              <w:t>(7)</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187,500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26,250</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24,375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 Series A-4, Strike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Price $1.33, Expiration Date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10/6/2021</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145,000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0"/>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NestGSV, Inc. (d/b/a GSV</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Warrant Series A-4, Strike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Price $1.33, Expiration Date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tcPr>
          <w:p>
            <w:pPr>
              <w:ind w:left="280"/>
              <w:spacing w:after="0" w:line="239" w:lineRule="exact"/>
              <w:rPr>
                <w:sz w:val="20"/>
                <w:szCs w:val="20"/>
                <w:color w:val="auto"/>
              </w:rPr>
            </w:pPr>
            <w:r>
              <w:rPr>
                <w:rFonts w:ascii="Arial" w:cs="Arial" w:eastAsia="Arial" w:hAnsi="Arial"/>
                <w:sz w:val="16"/>
                <w:szCs w:val="16"/>
                <w:color w:val="auto"/>
              </w:rPr>
              <w:t>7/18/2021</w:t>
            </w:r>
            <w:r>
              <w:rPr>
                <w:rFonts w:ascii="Arial" w:cs="Arial" w:eastAsia="Arial" w:hAnsi="Arial"/>
                <w:sz w:val="21"/>
                <w:szCs w:val="21"/>
                <w:color w:val="auto"/>
                <w:vertAlign w:val="superscript"/>
              </w:rPr>
              <w:t>(7)</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67,500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 Series B, Strike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Price $2.31, Expiration Date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11/29/2021 </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NestGSV, Inc. (d/b/a GSV</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Warrant Series B, Strike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Price $2.31, Expiration Date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tcPr>
          <w:p>
            <w:pPr>
              <w:ind w:left="280"/>
              <w:spacing w:after="0" w:line="239" w:lineRule="exact"/>
              <w:rPr>
                <w:sz w:val="20"/>
                <w:szCs w:val="20"/>
                <w:color w:val="auto"/>
              </w:rPr>
            </w:pPr>
            <w:r>
              <w:rPr>
                <w:rFonts w:ascii="Arial" w:cs="Arial" w:eastAsia="Arial" w:hAnsi="Arial"/>
                <w:sz w:val="16"/>
                <w:szCs w:val="16"/>
                <w:color w:val="auto"/>
              </w:rPr>
              <w:t>5/29/2022</w:t>
            </w:r>
            <w:r>
              <w:rPr>
                <w:rFonts w:ascii="Arial" w:cs="Arial" w:eastAsia="Arial" w:hAnsi="Arial"/>
                <w:sz w:val="21"/>
                <w:szCs w:val="21"/>
                <w:color w:val="auto"/>
                <w:vertAlign w:val="superscript"/>
              </w:rPr>
              <w:t>(7)</w:t>
            </w:r>
          </w:p>
        </w:tc>
        <w:tc>
          <w:tcPr>
            <w:tcW w:w="1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 Series B, Strike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Price $2.31, Expiration Date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8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12/31/2023</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0"/>
        </w:trPr>
        <w:tc>
          <w:tcPr>
            <w:tcW w:w="2300" w:type="dxa"/>
            <w:vAlign w:val="bottom"/>
            <w:gridSpan w:val="2"/>
          </w:tcPr>
          <w:p>
            <w:pPr>
              <w:ind w:left="280"/>
              <w:spacing w:after="0"/>
              <w:rPr>
                <w:sz w:val="20"/>
                <w:szCs w:val="20"/>
                <w:color w:val="auto"/>
              </w:rPr>
            </w:pPr>
            <w:r>
              <w:rPr>
                <w:rFonts w:ascii="Arial" w:cs="Arial" w:eastAsia="Arial" w:hAnsi="Arial"/>
                <w:sz w:val="16"/>
                <w:szCs w:val="16"/>
                <w:color w:val="auto"/>
              </w:rPr>
              <w:t>Derivative Security,</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gridSpan w:val="2"/>
          </w:tcPr>
          <w:p>
            <w:pPr>
              <w:ind w:left="280"/>
              <w:spacing w:after="0" w:line="239" w:lineRule="exact"/>
              <w:rPr>
                <w:sz w:val="20"/>
                <w:szCs w:val="20"/>
                <w:color w:val="auto"/>
              </w:rPr>
            </w:pPr>
            <w:r>
              <w:rPr>
                <w:rFonts w:ascii="Arial" w:cs="Arial" w:eastAsia="Arial" w:hAnsi="Arial"/>
                <w:sz w:val="16"/>
                <w:szCs w:val="16"/>
                <w:color w:val="auto"/>
                <w:w w:val="98"/>
              </w:rPr>
              <w:t>Expiration Date 8/23/2024</w:t>
            </w:r>
            <w:r>
              <w:rPr>
                <w:rFonts w:ascii="Arial" w:cs="Arial" w:eastAsia="Arial" w:hAnsi="Arial"/>
                <w:sz w:val="21"/>
                <w:szCs w:val="21"/>
                <w:color w:val="auto"/>
                <w:w w:val="98"/>
                <w:vertAlign w:val="superscript"/>
              </w:rPr>
              <w:t>(7)</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8,538,506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(4,782,907)</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3,772,217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0"/>
        </w:trPr>
        <w:tc>
          <w:tcPr>
            <w:tcW w:w="23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Platform</w:t>
            </w: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247,500</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8,538,506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16,618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(4,788,532)</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4,014,092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Options</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  267,446</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  8,538,506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16,618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w w:val="92"/>
              </w:rPr>
              <w:t>$(3,445,923)</w:t>
            </w: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w w:val="89"/>
              </w:rPr>
              <w:t>$ 5,376,647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300" w:type="dxa"/>
            <w:vAlign w:val="bottom"/>
            <w:gridSpan w:val="2"/>
          </w:tcPr>
          <w:p>
            <w:pPr>
              <w:ind w:left="180"/>
              <w:spacing w:after="0"/>
              <w:rPr>
                <w:sz w:val="20"/>
                <w:szCs w:val="20"/>
                <w:color w:val="auto"/>
              </w:rPr>
            </w:pPr>
            <w:r>
              <w:rPr>
                <w:rFonts w:ascii="Arial" w:cs="Arial" w:eastAsia="Arial" w:hAnsi="Arial"/>
                <w:sz w:val="16"/>
                <w:szCs w:val="16"/>
                <w:i w:val="1"/>
                <w:iCs w:val="1"/>
                <w:color w:val="auto"/>
              </w:rPr>
              <w:t>Online Education</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-801370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-801370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-801370</wp:posOffset>
            </wp:positionV>
            <wp:extent cx="5746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-5329555</wp:posOffset>
            </wp:positionV>
            <wp:extent cx="13804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-5938520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December</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2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Pr>
          <w:p>
            <w:pPr>
              <w:jc w:val="right"/>
              <w:ind w:right="143"/>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Action</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1"/>
              </w:rPr>
              <w:t>Gains/(Losses)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2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Curious.com, Inc.–Common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92"/>
              </w:rPr>
              <w:t>1,135,944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260" w:type="dxa"/>
            <w:vAlign w:val="bottom"/>
            <w:gridSpan w:val="2"/>
          </w:tcPr>
          <w:p>
            <w:pPr>
              <w:ind w:left="180"/>
              <w:spacing w:after="0"/>
              <w:rPr>
                <w:sz w:val="20"/>
                <w:szCs w:val="20"/>
                <w:color w:val="auto"/>
              </w:rPr>
            </w:pPr>
            <w:r>
              <w:rPr>
                <w:rFonts w:ascii="Arial" w:cs="Arial" w:eastAsia="Arial" w:hAnsi="Arial"/>
                <w:sz w:val="16"/>
                <w:szCs w:val="16"/>
                <w:i w:val="1"/>
                <w:iCs w:val="1"/>
                <w:color w:val="auto"/>
              </w:rPr>
              <w:t>Cannabis REIT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GreenAcreage Real Estate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Corp. -Common shares</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375,000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7,501,530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8"/>
              </w:rPr>
              <w:t>7,500,000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7"/>
        </w:trPr>
        <w:tc>
          <w:tcPr>
            <w:tcW w:w="22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Common Stock</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7,501,530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w w:val="98"/>
              </w:rPr>
              <w:t>7,500,000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260,242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89"/>
              </w:rPr>
              <w:t>7,115,888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8,538,506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7,908,304</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(12,334,831)</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19,013,578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7"/>
              </w:rPr>
              <w:t>30,241,445</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14.14%</w:t>
            </w:r>
          </w:p>
        </w:tc>
        <w:tc>
          <w:tcPr>
            <w:tcW w:w="0" w:type="dxa"/>
            <w:vAlign w:val="bottom"/>
          </w:tcPr>
          <w:p>
            <w:pPr>
              <w:spacing w:after="0"/>
              <w:rPr>
                <w:sz w:val="1"/>
                <w:szCs w:val="1"/>
                <w:color w:val="auto"/>
              </w:rPr>
            </w:pPr>
          </w:p>
        </w:tc>
      </w:tr>
      <w:tr>
        <w:trPr>
          <w:trHeight w:val="270"/>
        </w:trPr>
        <w:tc>
          <w:tcPr>
            <w:tcW w:w="216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6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vMerge w:val="continue"/>
            <w:shd w:val="clear" w:color="auto" w:fill="CCEEFF"/>
          </w:tcPr>
          <w:p>
            <w:pPr>
              <w:spacing w:after="0"/>
              <w:rPr>
                <w:sz w:val="23"/>
                <w:szCs w:val="23"/>
                <w:color w:val="auto"/>
              </w:rPr>
            </w:pPr>
          </w:p>
        </w:tc>
        <w:tc>
          <w:tcPr>
            <w:tcW w:w="86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-1388745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jc w:val="both"/>
        <w:ind w:left="340" w:hanging="332"/>
        <w:spacing w:after="0" w:line="301"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 Investment is income-producing.</w:t>
      </w:r>
    </w:p>
    <w:p>
      <w:pPr>
        <w:spacing w:after="0" w:line="194" w:lineRule="exact"/>
        <w:rPr>
          <w:sz w:val="20"/>
          <w:szCs w:val="20"/>
          <w:color w:val="auto"/>
        </w:rPr>
      </w:pPr>
    </w:p>
    <w:p>
      <w:pPr>
        <w:jc w:val="both"/>
        <w:ind w:left="500" w:hanging="492"/>
        <w:spacing w:after="0" w:line="26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56"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6"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Sutter Rock Capital Corp. do not entitle Sutter Rock Capital Corp. to a preferred dividend rate. During the three months ended September 30, 2019, SPBRX, INC. declared, and Sutter Rock Capital Corp. received, an aggregate of $0 in cash distributions. Sutter Rock Capital Corp. does not anticipate that SPBRX, INC. will pay distributions on a quarterly or regular basis or become a predictable distributor of distributions.</w:t>
      </w:r>
    </w:p>
    <w:p>
      <w:pPr>
        <w:spacing w:after="0" w:line="160" w:lineRule="exact"/>
        <w:rPr>
          <w:rFonts w:ascii="Arial" w:cs="Arial" w:eastAsia="Arial" w:hAnsi="Arial"/>
          <w:sz w:val="16"/>
          <w:szCs w:val="16"/>
          <w:color w:val="auto"/>
        </w:rPr>
      </w:pPr>
    </w:p>
    <w:p>
      <w:pPr>
        <w:ind w:left="500" w:hanging="492"/>
        <w:spacing w:after="0"/>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Sutter Rock Capital Corp.’s investments in StormWind, LLC are held through Sutter Rock Capital Corp.'s wholly owned subsidiary, GSVC SW Holdings, Inc.</w:t>
      </w:r>
    </w:p>
    <w:p>
      <w:pPr>
        <w:spacing w:after="0" w:line="205" w:lineRule="exact"/>
        <w:rPr>
          <w:rFonts w:ascii="Arial" w:cs="Arial" w:eastAsia="Arial" w:hAnsi="Arial"/>
          <w:sz w:val="15"/>
          <w:szCs w:val="15"/>
          <w:color w:val="auto"/>
        </w:rPr>
      </w:pPr>
    </w:p>
    <w:p>
      <w:pPr>
        <w:ind w:left="500" w:right="20" w:hanging="492"/>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42" w:lineRule="exact"/>
        <w:rPr>
          <w:sz w:val="20"/>
          <w:szCs w:val="20"/>
          <w:color w:val="auto"/>
        </w:rPr>
      </w:pPr>
    </w:p>
    <w:p>
      <w:pPr>
        <w:ind w:left="500" w:right="20" w:hanging="492"/>
        <w:spacing w:after="0" w:line="275"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September 11, 2019, Sutter Rock Capital Corp. agreed to convert its 5% Convertible Promissory Note due 12/31/2018 to Ozy Media, Inc. and all related accrued interest, into 683,482 shares of Ozy Media, Inc.'s Series C-2 preferred shares.</w:t>
      </w:r>
    </w:p>
    <w:p>
      <w:pPr>
        <w:spacing w:after="0" w:line="145" w:lineRule="exact"/>
        <w:rPr>
          <w:rFonts w:ascii="Arial" w:cs="Arial" w:eastAsia="Arial" w:hAnsi="Arial"/>
          <w:sz w:val="16"/>
          <w:szCs w:val="16"/>
          <w:color w:val="auto"/>
        </w:rPr>
      </w:pPr>
    </w:p>
    <w:p>
      <w:pPr>
        <w:jc w:val="both"/>
        <w:ind w:left="500" w:hanging="492"/>
        <w:spacing w:after="0" w:line="270"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August 23, 2019, Sutter Rock Capital Corp. amended the structure of its investment in NestGSV, Inc. (d/b/a GSV Labs, Inc.). As part of the agreement, Sutter Rock’s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 As part of the agreement, previously accrued interest under Sutter Rock Capital Corp.’s 12% Convertible Promissory Note due 12/31/2019 will be capitalized into the principal of the extended note, and the interest on the note is reduced from 12% to 8%. The Convertible Promissory Note’s maturity was extended to August 23, 2024. Under the amended structure, Sutter Rock Capital Corp.’s fully diluted ownership in the company decreased from 50.0% to 8.5%. As such, Sutter Rock Capital Corp.'s investments in NestGSV, Inc. (d/b/a GSV Labs, Inc.) have been recategorized from controlled investments to non-controlled/affiliated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Transactions during the year ended December 31, 2018 involving the Company’s controlled investments and non-controlled/affiliate investments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8"/>
              </w:rPr>
              <w:t>Quantity</w:t>
            </w:r>
          </w:p>
        </w:tc>
        <w:tc>
          <w:tcPr>
            <w:tcW w:w="100" w:type="dxa"/>
            <w:vAlign w:val="bottom"/>
            <w:tcBorders>
              <w:bottom w:val="single" w:sz="8" w:color="BFE4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BFE4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BFE4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BFE4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2"/>
        </w:trPr>
        <w:tc>
          <w:tcPr>
            <w:tcW w:w="2880" w:type="dxa"/>
            <w:vAlign w:val="bottom"/>
            <w:gridSpan w:val="4"/>
            <w:shd w:val="clear" w:color="auto" w:fill="BFE4FF"/>
          </w:tcPr>
          <w:p>
            <w:pPr>
              <w:ind w:left="40"/>
              <w:spacing w:after="0" w:line="202" w:lineRule="exact"/>
              <w:rPr>
                <w:sz w:val="20"/>
                <w:szCs w:val="20"/>
                <w:color w:val="auto"/>
              </w:rPr>
            </w:pPr>
            <w:r>
              <w:rPr>
                <w:rFonts w:ascii="Arial" w:cs="Arial" w:eastAsia="Arial" w:hAnsi="Arial"/>
                <w:sz w:val="16"/>
                <w:szCs w:val="16"/>
                <w:b w:val="1"/>
                <w:bCs w:val="1"/>
                <w:color w:val="auto"/>
              </w:rPr>
              <w:t>CONTROLLED INVESTMENTS*</w:t>
            </w:r>
            <w:r>
              <w:rPr>
                <w:rFonts w:ascii="Arial" w:cs="Arial" w:eastAsia="Arial" w:hAnsi="Arial"/>
                <w:sz w:val="21"/>
                <w:szCs w:val="21"/>
                <w:b w:val="1"/>
                <w:bCs w:val="1"/>
                <w:color w:val="auto"/>
                <w:vertAlign w:val="superscript"/>
              </w:rPr>
              <w:t>(2)</w:t>
            </w:r>
          </w:p>
        </w:tc>
        <w:tc>
          <w:tcPr>
            <w:tcW w:w="100" w:type="dxa"/>
            <w:vAlign w:val="bottom"/>
            <w:shd w:val="clear" w:color="auto" w:fill="BFE4FF"/>
          </w:tcPr>
          <w:p>
            <w:pPr>
              <w:spacing w:after="0"/>
              <w:rPr>
                <w:sz w:val="17"/>
                <w:szCs w:val="17"/>
                <w:color w:val="auto"/>
              </w:rPr>
            </w:pPr>
          </w:p>
        </w:tc>
        <w:tc>
          <w:tcPr>
            <w:tcW w:w="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8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2360" w:type="dxa"/>
            <w:vAlign w:val="bottom"/>
            <w:tcBorders>
              <w:top w:val="single" w:sz="8" w:color="auto"/>
            </w:tcBorders>
            <w:shd w:val="clear" w:color="auto" w:fill="BFE4FF"/>
          </w:tcPr>
          <w:p>
            <w:pPr>
              <w:spacing w:after="0"/>
              <w:rPr>
                <w:sz w:val="4"/>
                <w:szCs w:val="4"/>
                <w:color w:val="auto"/>
              </w:rPr>
            </w:pPr>
          </w:p>
        </w:tc>
        <w:tc>
          <w:tcPr>
            <w:tcW w:w="3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7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6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78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68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40" w:type="dxa"/>
            <w:vAlign w:val="bottom"/>
            <w:tcBorders>
              <w:top w:val="single" w:sz="8" w:color="BFE4FF"/>
            </w:tcBorders>
            <w:shd w:val="clear" w:color="auto" w:fill="BFE4FF"/>
          </w:tcPr>
          <w:p>
            <w:pPr>
              <w:spacing w:after="0"/>
              <w:rPr>
                <w:sz w:val="4"/>
                <w:szCs w:val="4"/>
                <w:color w:val="auto"/>
              </w:rPr>
            </w:pPr>
          </w:p>
        </w:tc>
        <w:tc>
          <w:tcPr>
            <w:tcW w:w="80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8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76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40" w:type="dxa"/>
            <w:vAlign w:val="bottom"/>
            <w:gridSpan w:val="3"/>
          </w:tcPr>
          <w:p>
            <w:pPr>
              <w:ind w:left="400"/>
              <w:spacing w:after="0"/>
              <w:rPr>
                <w:sz w:val="20"/>
                <w:szCs w:val="20"/>
                <w:color w:val="auto"/>
              </w:rPr>
            </w:pPr>
            <w:r>
              <w:rPr>
                <w:rFonts w:ascii="Arial" w:cs="Arial" w:eastAsia="Arial" w:hAnsi="Arial"/>
                <w:sz w:val="16"/>
                <w:szCs w:val="16"/>
                <w:color w:val="auto"/>
                <w:w w:val="99"/>
              </w:rPr>
              <w:t>Inc.)–Convertible Promissory Note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400"/>
              <w:spacing w:after="0" w:line="239" w:lineRule="exact"/>
              <w:rPr>
                <w:sz w:val="20"/>
                <w:szCs w:val="20"/>
                <w:color w:val="auto"/>
              </w:rPr>
            </w:pPr>
            <w:r>
              <w:rPr>
                <w:rFonts w:ascii="Arial" w:cs="Arial" w:eastAsia="Arial" w:hAnsi="Arial"/>
                <w:sz w:val="16"/>
                <w:szCs w:val="16"/>
                <w:color w:val="auto"/>
              </w:rPr>
              <w:t>12% Due 12/31/2019***</w:t>
            </w:r>
            <w:r>
              <w:rPr>
                <w:rFonts w:ascii="Arial" w:cs="Arial" w:eastAsia="Arial" w:hAnsi="Arial"/>
                <w:sz w:val="21"/>
                <w:szCs w:val="21"/>
                <w:color w:val="auto"/>
                <w:vertAlign w:val="superscript"/>
              </w:rPr>
              <w:t>(10)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936,525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57,466</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560,199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392,437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(16,111)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936,525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20"/>
        </w:trPr>
        <w:tc>
          <w:tcPr>
            <w:tcW w:w="40" w:type="dxa"/>
            <w:vAlign w:val="bottom"/>
            <w:shd w:val="clear" w:color="auto" w:fill="BFE4FF"/>
          </w:tcPr>
          <w:p>
            <w:pPr>
              <w:spacing w:after="0"/>
              <w:rPr>
                <w:sz w:val="19"/>
                <w:szCs w:val="19"/>
                <w:color w:val="auto"/>
              </w:rPr>
            </w:pPr>
          </w:p>
        </w:tc>
        <w:tc>
          <w:tcPr>
            <w:tcW w:w="2840" w:type="dxa"/>
            <w:vAlign w:val="bottom"/>
            <w:gridSpan w:val="3"/>
            <w:shd w:val="clear" w:color="auto" w:fill="BFE4FF"/>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BFE4FF"/>
          </w:tcPr>
          <w:p>
            <w:pPr>
              <w:spacing w:after="0"/>
              <w:rPr>
                <w:sz w:val="17"/>
                <w:szCs w:val="17"/>
                <w:color w:val="auto"/>
              </w:rPr>
            </w:pPr>
          </w:p>
        </w:tc>
        <w:tc>
          <w:tcPr>
            <w:tcW w:w="2840" w:type="dxa"/>
            <w:vAlign w:val="bottom"/>
            <w:gridSpan w:val="3"/>
            <w:shd w:val="clear" w:color="auto" w:fill="BFE4FF"/>
          </w:tcPr>
          <w:p>
            <w:pPr>
              <w:ind w:left="400"/>
              <w:spacing w:after="0"/>
              <w:rPr>
                <w:sz w:val="20"/>
                <w:szCs w:val="20"/>
                <w:color w:val="auto"/>
              </w:rPr>
            </w:pPr>
            <w:r>
              <w:rPr>
                <w:rFonts w:ascii="Arial" w:cs="Arial" w:eastAsia="Arial" w:hAnsi="Arial"/>
                <w:sz w:val="16"/>
                <w:szCs w:val="16"/>
                <w:color w:val="auto"/>
              </w:rPr>
              <w:t>Inc.)–Unsecured Promissory Note</w:t>
            </w:r>
          </w:p>
        </w:tc>
        <w:tc>
          <w:tcPr>
            <w:tcW w:w="100" w:type="dxa"/>
            <w:vAlign w:val="bottom"/>
            <w:shd w:val="clear" w:color="auto" w:fill="BFE4FF"/>
          </w:tcPr>
          <w:p>
            <w:pPr>
              <w:spacing w:after="0"/>
              <w:rPr>
                <w:sz w:val="17"/>
                <w:szCs w:val="17"/>
                <w:color w:val="auto"/>
              </w:rPr>
            </w:pPr>
          </w:p>
        </w:tc>
        <w:tc>
          <w:tcPr>
            <w:tcW w:w="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8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68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8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BFE4FF"/>
          </w:tcPr>
          <w:p>
            <w:pPr>
              <w:spacing w:after="0"/>
              <w:rPr>
                <w:sz w:val="20"/>
                <w:szCs w:val="20"/>
                <w:color w:val="auto"/>
              </w:rPr>
            </w:pPr>
          </w:p>
        </w:tc>
        <w:tc>
          <w:tcPr>
            <w:tcW w:w="2840" w:type="dxa"/>
            <w:vAlign w:val="bottom"/>
            <w:gridSpan w:val="3"/>
            <w:shd w:val="clear" w:color="auto" w:fill="BFE4FF"/>
          </w:tcPr>
          <w:p>
            <w:pPr>
              <w:ind w:left="400"/>
              <w:spacing w:after="0" w:line="239" w:lineRule="exact"/>
              <w:rPr>
                <w:sz w:val="20"/>
                <w:szCs w:val="20"/>
                <w:color w:val="auto"/>
              </w:rPr>
            </w:pPr>
            <w:r>
              <w:rPr>
                <w:rFonts w:ascii="Arial" w:cs="Arial" w:eastAsia="Arial" w:hAnsi="Arial"/>
                <w:sz w:val="16"/>
                <w:szCs w:val="16"/>
                <w:color w:val="auto"/>
              </w:rPr>
              <w:t>12% Due 1/15/2018***</w:t>
            </w:r>
            <w:r>
              <w:rPr>
                <w:rFonts w:ascii="Arial" w:cs="Arial" w:eastAsia="Arial" w:hAnsi="Arial"/>
                <w:sz w:val="21"/>
                <w:szCs w:val="21"/>
                <w:color w:val="auto"/>
                <w:vertAlign w:val="superscript"/>
              </w:rPr>
              <w:t>(8)</w:t>
            </w:r>
          </w:p>
        </w:tc>
        <w:tc>
          <w:tcPr>
            <w:tcW w:w="100" w:type="dxa"/>
            <w:vAlign w:val="bottom"/>
            <w:shd w:val="clear" w:color="auto" w:fill="BFE4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0"/>
                <w:szCs w:val="20"/>
                <w:color w:val="auto"/>
              </w:rPr>
            </w:pPr>
          </w:p>
        </w:tc>
        <w:tc>
          <w:tcPr>
            <w:tcW w:w="66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2,369</w:t>
            </w:r>
          </w:p>
        </w:tc>
        <w:tc>
          <w:tcPr>
            <w:tcW w:w="12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0"/>
                <w:szCs w:val="20"/>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800" w:type="dxa"/>
            <w:vAlign w:val="bottom"/>
            <w:shd w:val="clear" w:color="auto" w:fill="BFE4FF"/>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82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0"/>
                <w:szCs w:val="20"/>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i w:val="1"/>
                <w:iCs w:val="1"/>
                <w:color w:val="auto"/>
              </w:rPr>
              <w:t>Total Global Innovation Platform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59,835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92"/>
              </w:rPr>
              <w:t>1,152,328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392,437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936,525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BFE4FF"/>
            </w:tcBorders>
            <w:gridSpan w:val="4"/>
            <w:shd w:val="clear" w:color="auto" w:fill="BFE4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59,835</w:t>
            </w: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BFE4FF"/>
            </w:tcBorders>
            <w:shd w:val="clear" w:color="auto" w:fill="BFE4FF"/>
          </w:tcPr>
          <w:p>
            <w:pPr>
              <w:jc w:val="right"/>
              <w:ind w:right="1"/>
              <w:spacing w:after="0"/>
              <w:rPr>
                <w:sz w:val="20"/>
                <w:szCs w:val="20"/>
                <w:color w:val="auto"/>
              </w:rPr>
            </w:pPr>
            <w:r>
              <w:rPr>
                <w:rFonts w:ascii="Arial" w:cs="Arial" w:eastAsia="Arial" w:hAnsi="Arial"/>
                <w:sz w:val="16"/>
                <w:szCs w:val="16"/>
                <w:color w:val="auto"/>
                <w:w w:val="92"/>
              </w:rPr>
              <w:t>1,152,328</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392,437</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7"/>
              </w:rPr>
              <w:t>(592,129)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E4FF"/>
            </w:tcBorders>
            <w:shd w:val="clear" w:color="auto" w:fill="BFE4FF"/>
          </w:tcPr>
          <w:p>
            <w:pPr>
              <w:jc w:val="right"/>
              <w:ind w:right="60"/>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(15,431)</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936,525</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6"/>
                <w:szCs w:val="16"/>
                <w:i w:val="1"/>
                <w:iCs w:val="1"/>
                <w:color w:val="auto"/>
              </w:rPr>
              <w:t>Clean Technology</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SPBRX, INC. (f/k/a GSV</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Sustainability Partners, Inc.)–</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Preferred shares, Class A***</w:t>
            </w:r>
            <w:r>
              <w:rPr>
                <w:rFonts w:ascii="Arial" w:cs="Arial" w:eastAsia="Arial" w:hAnsi="Arial"/>
                <w:sz w:val="21"/>
                <w:szCs w:val="21"/>
                <w:color w:val="auto"/>
                <w:vertAlign w:val="superscript"/>
              </w:rPr>
              <w:t>(12)</w:t>
            </w:r>
          </w:p>
        </w:tc>
        <w:tc>
          <w:tcPr>
            <w:tcW w:w="820" w:type="dxa"/>
            <w:vAlign w:val="bottom"/>
            <w:gridSpan w:val="2"/>
          </w:tcPr>
          <w:p>
            <w:pPr>
              <w:ind w:left="20"/>
              <w:spacing w:after="0"/>
              <w:rPr>
                <w:sz w:val="20"/>
                <w:szCs w:val="20"/>
                <w:color w:val="auto"/>
              </w:rPr>
            </w:pPr>
            <w:r>
              <w:rPr>
                <w:rFonts w:ascii="Arial" w:cs="Arial" w:eastAsia="Arial" w:hAnsi="Arial"/>
                <w:sz w:val="16"/>
                <w:szCs w:val="16"/>
                <w:color w:val="auto"/>
                <w:w w:val="97"/>
              </w:rPr>
              <w:t>14,300,000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w w:val="93"/>
              </w:rPr>
              <w:t>625,000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1,069,862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(319,664)</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750,198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A-4</w:t>
            </w:r>
          </w:p>
        </w:tc>
        <w:tc>
          <w:tcPr>
            <w:tcW w:w="820" w:type="dxa"/>
            <w:vAlign w:val="bottom"/>
            <w:gridSpan w:val="2"/>
          </w:tcPr>
          <w:p>
            <w:pPr>
              <w:jc w:val="right"/>
              <w:ind w:right="2"/>
              <w:spacing w:after="0"/>
              <w:rPr>
                <w:sz w:val="20"/>
                <w:szCs w:val="20"/>
                <w:color w:val="auto"/>
              </w:rPr>
            </w:pPr>
            <w:r>
              <w:rPr>
                <w:rFonts w:ascii="Arial" w:cs="Arial" w:eastAsia="Arial" w:hAnsi="Arial"/>
                <w:sz w:val="16"/>
                <w:szCs w:val="16"/>
                <w:color w:val="auto"/>
              </w:rPr>
              <w:t>3,720,424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5,390,842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4,960,553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BFE4FF"/>
          </w:tcPr>
          <w:p>
            <w:pPr>
              <w:spacing w:after="0"/>
              <w:rPr>
                <w:sz w:val="19"/>
                <w:szCs w:val="19"/>
                <w:color w:val="auto"/>
              </w:rPr>
            </w:pPr>
          </w:p>
        </w:tc>
        <w:tc>
          <w:tcPr>
            <w:tcW w:w="2840" w:type="dxa"/>
            <w:vAlign w:val="bottom"/>
            <w:gridSpan w:val="3"/>
            <w:shd w:val="clear" w:color="auto" w:fill="BFE4FF"/>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BFE4FF"/>
            </w:tcBorders>
            <w:shd w:val="clear" w:color="auto" w:fill="BFE4FF"/>
          </w:tcPr>
          <w:p>
            <w:pPr>
              <w:spacing w:after="0"/>
              <w:rPr>
                <w:sz w:val="19"/>
                <w:szCs w:val="19"/>
                <w:color w:val="auto"/>
              </w:rPr>
            </w:pPr>
          </w:p>
        </w:tc>
        <w:tc>
          <w:tcPr>
            <w:tcW w:w="2840" w:type="dxa"/>
            <w:vAlign w:val="bottom"/>
            <w:tcBorders>
              <w:bottom w:val="single" w:sz="8" w:color="BFE4FF"/>
            </w:tcBorders>
            <w:gridSpan w:val="3"/>
            <w:shd w:val="clear" w:color="auto" w:fill="BFE4FF"/>
          </w:tcPr>
          <w:p>
            <w:pPr>
              <w:ind w:left="240"/>
              <w:spacing w:after="0"/>
              <w:rPr>
                <w:sz w:val="20"/>
                <w:szCs w:val="20"/>
                <w:color w:val="auto"/>
              </w:rPr>
            </w:pPr>
            <w:r>
              <w:rPr>
                <w:rFonts w:ascii="Arial" w:cs="Arial" w:eastAsia="Arial" w:hAnsi="Arial"/>
                <w:sz w:val="16"/>
                <w:szCs w:val="16"/>
                <w:color w:val="auto"/>
              </w:rPr>
              <w:t>Inc.)–Preferred stock Series A-3</w:t>
            </w:r>
          </w:p>
        </w:tc>
        <w:tc>
          <w:tcPr>
            <w:tcW w:w="820" w:type="dxa"/>
            <w:vAlign w:val="bottom"/>
            <w:tcBorders>
              <w:bottom w:val="single" w:sz="8" w:color="BFE4FF"/>
            </w:tcBorders>
            <w:gridSpan w:val="2"/>
            <w:shd w:val="clear" w:color="auto" w:fill="BFE4FF"/>
          </w:tcPr>
          <w:p>
            <w:pPr>
              <w:jc w:val="right"/>
              <w:ind w:right="2"/>
              <w:spacing w:after="0"/>
              <w:rPr>
                <w:sz w:val="20"/>
                <w:szCs w:val="20"/>
                <w:color w:val="auto"/>
              </w:rPr>
            </w:pPr>
            <w:r>
              <w:rPr>
                <w:rFonts w:ascii="Arial" w:cs="Arial" w:eastAsia="Arial" w:hAnsi="Arial"/>
                <w:sz w:val="16"/>
                <w:szCs w:val="16"/>
                <w:color w:val="auto"/>
              </w:rPr>
              <w:t>1,561,625</w:t>
            </w: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7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19"/>
                <w:szCs w:val="19"/>
                <w:color w:val="auto"/>
              </w:rPr>
            </w:pPr>
          </w:p>
        </w:tc>
        <w:tc>
          <w:tcPr>
            <w:tcW w:w="760" w:type="dxa"/>
            <w:vAlign w:val="bottom"/>
            <w:tcBorders>
              <w:bottom w:val="single" w:sz="8" w:color="BFE4FF"/>
            </w:tcBorders>
            <w:shd w:val="clear" w:color="auto" w:fill="BFE4FF"/>
          </w:tcPr>
          <w:p>
            <w:pPr>
              <w:jc w:val="right"/>
              <w:ind w:right="1"/>
              <w:spacing w:after="0"/>
              <w:rPr>
                <w:sz w:val="20"/>
                <w:szCs w:val="20"/>
                <w:color w:val="auto"/>
              </w:rPr>
            </w:pPr>
            <w:r>
              <w:rPr>
                <w:rFonts w:ascii="Arial" w:cs="Arial" w:eastAsia="Arial" w:hAnsi="Arial"/>
                <w:sz w:val="16"/>
                <w:szCs w:val="16"/>
                <w:color w:val="auto"/>
                <w:w w:val="92"/>
              </w:rPr>
              <w:t>1,885,644</w:t>
            </w: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8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19"/>
                <w:szCs w:val="19"/>
                <w:color w:val="auto"/>
              </w:rPr>
            </w:pPr>
          </w:p>
        </w:tc>
        <w:tc>
          <w:tcPr>
            <w:tcW w:w="8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19"/>
                <w:szCs w:val="19"/>
                <w:color w:val="auto"/>
              </w:rPr>
            </w:pPr>
          </w:p>
        </w:tc>
        <w:tc>
          <w:tcPr>
            <w:tcW w:w="90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19"/>
                <w:szCs w:val="19"/>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(150,510)</w:t>
            </w:r>
          </w:p>
        </w:tc>
        <w:tc>
          <w:tcPr>
            <w:tcW w:w="10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76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w w:val="89"/>
              </w:rPr>
              <w:t>1,735,134</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Inc.)–Preferred stock Series A-2</w:t>
            </w:r>
          </w:p>
        </w:tc>
        <w:tc>
          <w:tcPr>
            <w:tcW w:w="10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450,001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326,022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300,000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BFE4FF"/>
          </w:tcPr>
          <w:p>
            <w:pPr>
              <w:spacing w:after="0"/>
              <w:rPr>
                <w:sz w:val="19"/>
                <w:szCs w:val="19"/>
                <w:color w:val="auto"/>
              </w:rPr>
            </w:pPr>
          </w:p>
        </w:tc>
        <w:tc>
          <w:tcPr>
            <w:tcW w:w="2840" w:type="dxa"/>
            <w:vAlign w:val="bottom"/>
            <w:gridSpan w:val="3"/>
            <w:shd w:val="clear" w:color="auto" w:fill="BFE4FF"/>
          </w:tcPr>
          <w:p>
            <w:pPr>
              <w:ind w:left="240"/>
              <w:spacing w:after="0"/>
              <w:rPr>
                <w:sz w:val="20"/>
                <w:szCs w:val="20"/>
                <w:color w:val="auto"/>
              </w:rPr>
            </w:pPr>
            <w:r>
              <w:rPr>
                <w:rFonts w:ascii="Arial" w:cs="Arial" w:eastAsia="Arial" w:hAnsi="Arial"/>
                <w:sz w:val="16"/>
                <w:szCs w:val="16"/>
                <w:color w:val="auto"/>
              </w:rPr>
              <w:t>NestGSV, Inc. (d/b/a GSV Labs,</w:t>
            </w:r>
          </w:p>
        </w:tc>
        <w:tc>
          <w:tcPr>
            <w:tcW w:w="10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BFE4FF"/>
            </w:tcBorders>
            <w:shd w:val="clear" w:color="auto" w:fill="BFE4FF"/>
          </w:tcPr>
          <w:p>
            <w:pPr>
              <w:spacing w:after="0"/>
              <w:rPr>
                <w:sz w:val="20"/>
                <w:szCs w:val="20"/>
                <w:color w:val="auto"/>
              </w:rPr>
            </w:pPr>
          </w:p>
        </w:tc>
        <w:tc>
          <w:tcPr>
            <w:tcW w:w="2840" w:type="dxa"/>
            <w:vAlign w:val="bottom"/>
            <w:tcBorders>
              <w:bottom w:val="single" w:sz="8" w:color="BFE4FF"/>
            </w:tcBorders>
            <w:gridSpan w:val="3"/>
            <w:shd w:val="clear" w:color="auto" w:fill="BFE4FF"/>
          </w:tcPr>
          <w:p>
            <w:pPr>
              <w:ind w:left="240"/>
              <w:spacing w:after="0"/>
              <w:rPr>
                <w:sz w:val="20"/>
                <w:szCs w:val="20"/>
                <w:color w:val="auto"/>
              </w:rPr>
            </w:pPr>
            <w:r>
              <w:rPr>
                <w:rFonts w:ascii="Arial" w:cs="Arial" w:eastAsia="Arial" w:hAnsi="Arial"/>
                <w:sz w:val="16"/>
                <w:szCs w:val="16"/>
                <w:color w:val="auto"/>
              </w:rPr>
              <w:t>Inc.)–Preferred stock Series A-1</w:t>
            </w:r>
          </w:p>
        </w:tc>
        <w:tc>
          <w:tcPr>
            <w:tcW w:w="820" w:type="dxa"/>
            <w:vAlign w:val="bottom"/>
            <w:tcBorders>
              <w:bottom w:val="single" w:sz="8" w:color="BFE4FF"/>
            </w:tcBorders>
            <w:gridSpan w:val="2"/>
            <w:shd w:val="clear" w:color="auto" w:fill="BFE4FF"/>
          </w:tcPr>
          <w:p>
            <w:pPr>
              <w:jc w:val="right"/>
              <w:ind w:right="2"/>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shd w:val="clear" w:color="auto" w:fill="BFE4FF"/>
          </w:tcPr>
          <w:p>
            <w:pPr>
              <w:spacing w:after="0"/>
              <w:rPr>
                <w:sz w:val="20"/>
                <w:szCs w:val="20"/>
                <w:color w:val="auto"/>
              </w:rPr>
            </w:pPr>
          </w:p>
        </w:tc>
        <w:tc>
          <w:tcPr>
            <w:tcW w:w="760" w:type="dxa"/>
            <w:vAlign w:val="bottom"/>
            <w:tcBorders>
              <w:bottom w:val="single" w:sz="8" w:color="BFE4FF"/>
            </w:tcBorders>
            <w:shd w:val="clear" w:color="auto" w:fill="BFE4FF"/>
          </w:tcPr>
          <w:p>
            <w:pPr>
              <w:jc w:val="right"/>
              <w:ind w:right="1"/>
              <w:spacing w:after="0"/>
              <w:rPr>
                <w:sz w:val="20"/>
                <w:szCs w:val="20"/>
                <w:color w:val="auto"/>
              </w:rPr>
            </w:pPr>
            <w:r>
              <w:rPr>
                <w:rFonts w:ascii="Arial" w:cs="Arial" w:eastAsia="Arial" w:hAnsi="Arial"/>
                <w:sz w:val="16"/>
                <w:szCs w:val="16"/>
                <w:color w:val="auto"/>
              </w:rPr>
              <w:t>543,370</w:t>
            </w: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0"/>
                <w:szCs w:val="20"/>
                <w:color w:val="auto"/>
              </w:rPr>
            </w:pPr>
          </w:p>
        </w:tc>
        <w:tc>
          <w:tcPr>
            <w:tcW w:w="8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0"/>
                <w:szCs w:val="20"/>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(43,371)</w:t>
            </w: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76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499,999</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840" w:type="dxa"/>
            <w:vAlign w:val="bottom"/>
            <w:gridSpan w:val="3"/>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92"/>
              </w:rPr>
              <w:t>8,145,878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(650,192)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7,495,686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10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40" w:type="dxa"/>
            <w:vAlign w:val="bottom"/>
            <w:gridSpan w:val="3"/>
          </w:tcPr>
          <w:p>
            <w:pPr>
              <w:ind w:left="240"/>
              <w:spacing w:after="0" w:line="239" w:lineRule="exact"/>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(3)</w:t>
            </w:r>
          </w:p>
        </w:tc>
        <w:tc>
          <w:tcPr>
            <w:tcW w:w="820" w:type="dxa"/>
            <w:vAlign w:val="bottom"/>
            <w:gridSpan w:val="2"/>
          </w:tcPr>
          <w:p>
            <w:pPr>
              <w:jc w:val="right"/>
              <w:ind w:right="2"/>
              <w:spacing w:after="0"/>
              <w:rPr>
                <w:sz w:val="20"/>
                <w:szCs w:val="20"/>
                <w:color w:val="auto"/>
              </w:rPr>
            </w:pPr>
            <w:r>
              <w:rPr>
                <w:rFonts w:ascii="Arial" w:cs="Arial" w:eastAsia="Arial" w:hAnsi="Arial"/>
                <w:sz w:val="16"/>
                <w:szCs w:val="16"/>
                <w:color w:val="auto"/>
              </w:rPr>
              <w:t>2,779,134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7,223,904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7,194,971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0"/>
        </w:trPr>
        <w:tc>
          <w:tcPr>
            <w:tcW w:w="40" w:type="dxa"/>
            <w:vAlign w:val="bottom"/>
            <w:shd w:val="clear" w:color="auto" w:fill="BFE4FF"/>
          </w:tcPr>
          <w:p>
            <w:pPr>
              <w:spacing w:after="0"/>
              <w:rPr>
                <w:sz w:val="19"/>
                <w:szCs w:val="19"/>
                <w:color w:val="auto"/>
              </w:rPr>
            </w:pPr>
          </w:p>
        </w:tc>
        <w:tc>
          <w:tcPr>
            <w:tcW w:w="2840" w:type="dxa"/>
            <w:vAlign w:val="bottom"/>
            <w:gridSpan w:val="3"/>
            <w:shd w:val="clear" w:color="auto" w:fill="BFE4FF"/>
          </w:tcPr>
          <w:p>
            <w:pPr>
              <w:ind w:left="240"/>
              <w:spacing w:after="0"/>
              <w:rPr>
                <w:sz w:val="20"/>
                <w:szCs w:val="20"/>
                <w:color w:val="auto"/>
              </w:rPr>
            </w:pPr>
            <w:r>
              <w:rPr>
                <w:rFonts w:ascii="Arial" w:cs="Arial" w:eastAsia="Arial" w:hAnsi="Arial"/>
                <w:sz w:val="16"/>
                <w:szCs w:val="16"/>
                <w:color w:val="auto"/>
              </w:rPr>
              <w:t>StormWind, LLC–Preferred shares,</w:t>
            </w:r>
          </w:p>
        </w:tc>
        <w:tc>
          <w:tcPr>
            <w:tcW w:w="100" w:type="dxa"/>
            <w:vAlign w:val="bottom"/>
            <w:shd w:val="clear" w:color="auto" w:fill="BFE4FF"/>
          </w:tcPr>
          <w:p>
            <w:pPr>
              <w:spacing w:after="0"/>
              <w:rPr>
                <w:sz w:val="19"/>
                <w:szCs w:val="19"/>
                <w:color w:val="auto"/>
              </w:rPr>
            </w:pPr>
          </w:p>
        </w:tc>
        <w:tc>
          <w:tcPr>
            <w:tcW w:w="7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6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8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8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BFE4FF"/>
          </w:tcPr>
          <w:p>
            <w:pPr>
              <w:spacing w:after="0"/>
              <w:rPr>
                <w:sz w:val="20"/>
                <w:szCs w:val="20"/>
                <w:color w:val="auto"/>
              </w:rPr>
            </w:pPr>
          </w:p>
        </w:tc>
        <w:tc>
          <w:tcPr>
            <w:tcW w:w="2840" w:type="dxa"/>
            <w:vAlign w:val="bottom"/>
            <w:gridSpan w:val="3"/>
            <w:shd w:val="clear" w:color="auto" w:fill="BFE4FF"/>
          </w:tcPr>
          <w:p>
            <w:pPr>
              <w:ind w:left="240"/>
              <w:spacing w:after="0" w:line="239" w:lineRule="exact"/>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(3)</w:t>
            </w:r>
          </w:p>
        </w:tc>
        <w:tc>
          <w:tcPr>
            <w:tcW w:w="820" w:type="dxa"/>
            <w:vAlign w:val="bottom"/>
            <w:gridSpan w:val="2"/>
            <w:shd w:val="clear" w:color="auto" w:fill="BFE4FF"/>
          </w:tcPr>
          <w:p>
            <w:pPr>
              <w:jc w:val="right"/>
              <w:ind w:right="2"/>
              <w:spacing w:after="0"/>
              <w:rPr>
                <w:sz w:val="20"/>
                <w:szCs w:val="20"/>
                <w:color w:val="auto"/>
              </w:rPr>
            </w:pPr>
            <w:r>
              <w:rPr>
                <w:rFonts w:ascii="Arial" w:cs="Arial" w:eastAsia="Arial" w:hAnsi="Arial"/>
                <w:sz w:val="16"/>
                <w:szCs w:val="16"/>
                <w:color w:val="auto"/>
              </w:rPr>
              <w:t>3,279,629</w:t>
            </w: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
              <w:spacing w:after="0"/>
              <w:rPr>
                <w:sz w:val="20"/>
                <w:szCs w:val="20"/>
                <w:color w:val="auto"/>
              </w:rPr>
            </w:pPr>
            <w:r>
              <w:rPr>
                <w:rFonts w:ascii="Arial" w:cs="Arial" w:eastAsia="Arial" w:hAnsi="Arial"/>
                <w:sz w:val="16"/>
                <w:szCs w:val="16"/>
                <w:color w:val="auto"/>
                <w:w w:val="92"/>
              </w:rPr>
              <w:t>5,804,472</w:t>
            </w: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880" w:type="dxa"/>
            <w:vAlign w:val="bottom"/>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0"/>
                <w:szCs w:val="20"/>
                <w:color w:val="auto"/>
              </w:rPr>
            </w:pPr>
          </w:p>
        </w:tc>
        <w:tc>
          <w:tcPr>
            <w:tcW w:w="80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BFE4FF"/>
          </w:tcPr>
          <w:p>
            <w:pPr>
              <w:spacing w:after="0"/>
              <w:rPr>
                <w:sz w:val="20"/>
                <w:szCs w:val="20"/>
                <w:color w:val="auto"/>
              </w:rPr>
            </w:pPr>
          </w:p>
        </w:tc>
        <w:tc>
          <w:tcPr>
            <w:tcW w:w="900" w:type="dxa"/>
            <w:vAlign w:val="bottom"/>
            <w:gridSpan w:val="2"/>
            <w:shd w:val="clear" w:color="auto" w:fill="BFE4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20"/>
                <w:szCs w:val="20"/>
                <w:color w:val="auto"/>
              </w:rPr>
            </w:pPr>
          </w:p>
        </w:tc>
        <w:tc>
          <w:tcPr>
            <w:tcW w:w="8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(34,144)</w:t>
            </w:r>
          </w:p>
        </w:tc>
        <w:tc>
          <w:tcPr>
            <w:tcW w:w="1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21"/>
              <w:spacing w:after="0"/>
              <w:rPr>
                <w:sz w:val="20"/>
                <w:szCs w:val="20"/>
                <w:color w:val="auto"/>
              </w:rPr>
            </w:pPr>
            <w:r>
              <w:rPr>
                <w:rFonts w:ascii="Arial" w:cs="Arial" w:eastAsia="Arial" w:hAnsi="Arial"/>
                <w:sz w:val="16"/>
                <w:szCs w:val="16"/>
                <w:color w:val="auto"/>
                <w:w w:val="89"/>
              </w:rPr>
              <w:t>5,770,328</w:t>
            </w:r>
          </w:p>
        </w:tc>
        <w:tc>
          <w:tcPr>
            <w:tcW w:w="880" w:type="dxa"/>
            <w:vAlign w:val="bottom"/>
            <w:gridSpan w:val="2"/>
            <w:shd w:val="clear" w:color="auto" w:fill="BFE4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840" w:type="dxa"/>
            <w:vAlign w:val="bottom"/>
            <w:gridSpan w:val="3"/>
          </w:tcPr>
          <w:p>
            <w:pPr>
              <w:ind w:left="240"/>
              <w:spacing w:after="0"/>
              <w:rPr>
                <w:sz w:val="20"/>
                <w:szCs w:val="20"/>
                <w:color w:val="auto"/>
              </w:rPr>
            </w:pPr>
            <w:r>
              <w:rPr>
                <w:rFonts w:ascii="Arial" w:cs="Arial" w:eastAsia="Arial" w:hAnsi="Arial"/>
                <w:sz w:val="16"/>
                <w:szCs w:val="16"/>
                <w:color w:val="auto"/>
              </w:rPr>
              <w:t>StormWind, LLC–Preferred shares,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BFE4FF"/>
            </w:tcBorders>
          </w:tcPr>
          <w:p>
            <w:pPr>
              <w:spacing w:after="0"/>
              <w:rPr>
                <w:sz w:val="20"/>
                <w:szCs w:val="20"/>
                <w:color w:val="auto"/>
              </w:rPr>
            </w:pPr>
          </w:p>
        </w:tc>
        <w:tc>
          <w:tcPr>
            <w:tcW w:w="2840" w:type="dxa"/>
            <w:vAlign w:val="bottom"/>
            <w:tcBorders>
              <w:bottom w:val="single" w:sz="8" w:color="BFE4FF"/>
            </w:tcBorders>
            <w:gridSpan w:val="3"/>
          </w:tcPr>
          <w:p>
            <w:pPr>
              <w:ind w:left="240"/>
              <w:spacing w:after="0" w:line="239"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(3)</w:t>
            </w:r>
          </w:p>
        </w:tc>
        <w:tc>
          <w:tcPr>
            <w:tcW w:w="100" w:type="dxa"/>
            <w:vAlign w:val="bottom"/>
            <w:tcBorders>
              <w:bottom w:val="single" w:sz="8" w:color="BFE4FF"/>
            </w:tcBorders>
          </w:tcPr>
          <w:p>
            <w:pPr>
              <w:spacing w:after="0"/>
              <w:rPr>
                <w:sz w:val="20"/>
                <w:szCs w:val="20"/>
                <w:color w:val="auto"/>
              </w:rPr>
            </w:pPr>
          </w:p>
        </w:tc>
        <w:tc>
          <w:tcPr>
            <w:tcW w:w="720" w:type="dxa"/>
            <w:vAlign w:val="bottom"/>
            <w:tcBorders>
              <w:bottom w:val="single" w:sz="8" w:color="BFE4FF"/>
            </w:tcBorders>
          </w:tcPr>
          <w:p>
            <w:pPr>
              <w:jc w:val="right"/>
              <w:ind w:right="2"/>
              <w:spacing w:after="0"/>
              <w:rPr>
                <w:sz w:val="20"/>
                <w:szCs w:val="20"/>
                <w:color w:val="auto"/>
              </w:rPr>
            </w:pPr>
            <w:r>
              <w:rPr>
                <w:rFonts w:ascii="Arial" w:cs="Arial" w:eastAsia="Arial" w:hAnsi="Arial"/>
                <w:sz w:val="16"/>
                <w:szCs w:val="16"/>
                <w:color w:val="auto"/>
              </w:rPr>
              <w:t>366,666</w:t>
            </w:r>
          </w:p>
        </w:tc>
        <w:tc>
          <w:tcPr>
            <w:tcW w:w="100" w:type="dxa"/>
            <w:vAlign w:val="bottom"/>
            <w:tcBorders>
              <w:bottom w:val="single" w:sz="8" w:color="BFE4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425,342</w:t>
            </w:r>
          </w:p>
        </w:tc>
        <w:tc>
          <w:tcPr>
            <w:tcW w:w="100" w:type="dxa"/>
            <w:vAlign w:val="bottom"/>
            <w:tcBorders>
              <w:bottom w:val="single" w:sz="8" w:color="BFE4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FE4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w:t>
            </w:r>
          </w:p>
        </w:tc>
        <w:tc>
          <w:tcPr>
            <w:tcW w:w="100" w:type="dxa"/>
            <w:vAlign w:val="bottom"/>
            <w:tcBorders>
              <w:bottom w:val="single" w:sz="8" w:color="BFE4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421,525</w:t>
            </w:r>
          </w:p>
        </w:tc>
        <w:tc>
          <w:tcPr>
            <w:tcW w:w="880" w:type="dxa"/>
            <w:vAlign w:val="bottom"/>
            <w:tcBorders>
              <w:bottom w:val="single" w:sz="8" w:color="BFE4FF"/>
            </w:tcBorders>
            <w:gridSpan w:val="2"/>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0"/>
        </w:trPr>
        <w:tc>
          <w:tcPr>
            <w:tcW w:w="40" w:type="dxa"/>
            <w:vAlign w:val="bottom"/>
            <w:tcBorders>
              <w:bottom w:val="single" w:sz="8" w:color="BFE4FF"/>
            </w:tcBorders>
            <w:shd w:val="clear" w:color="auto" w:fill="BFE4FF"/>
          </w:tcPr>
          <w:p>
            <w:pPr>
              <w:spacing w:after="0"/>
              <w:rPr>
                <w:sz w:val="20"/>
                <w:szCs w:val="20"/>
                <w:color w:val="auto"/>
              </w:rPr>
            </w:pPr>
          </w:p>
        </w:tc>
        <w:tc>
          <w:tcPr>
            <w:tcW w:w="284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6"/>
                <w:szCs w:val="16"/>
                <w:i w:val="1"/>
                <w:iCs w:val="1"/>
                <w:color w:val="auto"/>
              </w:rPr>
              <w:t>Total Interactive Learning</w:t>
            </w:r>
          </w:p>
        </w:tc>
        <w:tc>
          <w:tcPr>
            <w:tcW w:w="100" w:type="dxa"/>
            <w:vAlign w:val="bottom"/>
            <w:tcBorders>
              <w:bottom w:val="single" w:sz="8" w:color="BFE4FF"/>
            </w:tcBorders>
            <w:shd w:val="clear" w:color="auto" w:fill="BFE4FF"/>
          </w:tcPr>
          <w:p>
            <w:pPr>
              <w:spacing w:after="0"/>
              <w:rPr>
                <w:sz w:val="20"/>
                <w:szCs w:val="20"/>
                <w:color w:val="auto"/>
              </w:rPr>
            </w:pPr>
          </w:p>
        </w:tc>
        <w:tc>
          <w:tcPr>
            <w:tcW w:w="7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7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FE4FF"/>
            </w:tcBorders>
            <w:gridSpan w:val="2"/>
            <w:shd w:val="clear" w:color="auto" w:fill="BFE4FF"/>
          </w:tcPr>
          <w:p>
            <w:pPr>
              <w:jc w:val="right"/>
              <w:ind w:right="1"/>
              <w:spacing w:after="0"/>
              <w:rPr>
                <w:sz w:val="20"/>
                <w:szCs w:val="20"/>
                <w:color w:val="auto"/>
              </w:rPr>
            </w:pPr>
            <w:r>
              <w:rPr>
                <w:rFonts w:ascii="Arial" w:cs="Arial" w:eastAsia="Arial" w:hAnsi="Arial"/>
                <w:sz w:val="16"/>
                <w:szCs w:val="16"/>
                <w:color w:val="auto"/>
                <w:w w:val="94"/>
              </w:rPr>
              <w:t>13,453,718</w:t>
            </w: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0"/>
                <w:szCs w:val="20"/>
                <w:color w:val="auto"/>
              </w:rPr>
            </w:pPr>
          </w:p>
        </w:tc>
        <w:tc>
          <w:tcPr>
            <w:tcW w:w="8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shd w:val="clear" w:color="auto" w:fill="BFE4FF"/>
          </w:tcPr>
          <w:p>
            <w:pPr>
              <w:spacing w:after="0"/>
              <w:rPr>
                <w:sz w:val="20"/>
                <w:szCs w:val="20"/>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(66,894)</w:t>
            </w:r>
          </w:p>
        </w:tc>
        <w:tc>
          <w:tcPr>
            <w:tcW w:w="10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gridSpan w:val="2"/>
            <w:shd w:val="clear" w:color="auto" w:fill="BFE4FF"/>
          </w:tcPr>
          <w:p>
            <w:pPr>
              <w:jc w:val="right"/>
              <w:ind w:right="21"/>
              <w:spacing w:after="0"/>
              <w:rPr>
                <w:sz w:val="20"/>
                <w:szCs w:val="20"/>
                <w:color w:val="auto"/>
              </w:rPr>
            </w:pPr>
            <w:r>
              <w:rPr>
                <w:rFonts w:ascii="Arial" w:cs="Arial" w:eastAsia="Arial" w:hAnsi="Arial"/>
                <w:sz w:val="16"/>
                <w:szCs w:val="16"/>
                <w:color w:val="auto"/>
                <w:w w:val="94"/>
              </w:rPr>
              <w:t>13,386,824</w:t>
            </w:r>
          </w:p>
        </w:tc>
        <w:tc>
          <w:tcPr>
            <w:tcW w:w="88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37"/>
        </w:trPr>
        <w:tc>
          <w:tcPr>
            <w:tcW w:w="288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w w:val="93"/>
              </w:rPr>
              <w:t>625,000</w:t>
            </w:r>
          </w:p>
        </w:tc>
        <w:tc>
          <w:tcPr>
            <w:tcW w:w="12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w w:val="94"/>
              </w:rPr>
              <w:t>22,669,458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(1,036,750)</w:t>
            </w:r>
          </w:p>
        </w:tc>
        <w:tc>
          <w:tcPr>
            <w:tcW w:w="10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6"/>
                <w:szCs w:val="16"/>
                <w:color w:val="auto"/>
                <w:w w:val="94"/>
              </w:rPr>
              <w:t>21,632,708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-5355590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Type/Industry/Portfolio</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Pr>
          <w:p>
            <w:pPr>
              <w:spacing w:after="0"/>
              <w:rPr>
                <w:sz w:val="16"/>
                <w:szCs w:val="16"/>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Gains/(Losses)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64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Warrants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4"/>
              </w:rPr>
              <w:t>Inc.)–Preferred Warrant Series A-3,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7"/>
              </w:rPr>
              <w:t>Strike Price $1.33, Expiration Date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4/4/2021</w:t>
            </w:r>
            <w:r>
              <w:rPr>
                <w:rFonts w:ascii="Arial" w:cs="Arial" w:eastAsia="Arial" w:hAnsi="Arial"/>
                <w:sz w:val="21"/>
                <w:szCs w:val="21"/>
                <w:color w:val="auto"/>
                <w:vertAlign w:val="superscript"/>
              </w:rPr>
              <w:t>(10)</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187,500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24,375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w w:val="94"/>
              </w:rPr>
              <w:t>Inc.)–Preferred Warrant Series A-4,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w w:val="97"/>
              </w:rPr>
              <w:t>Strike Price $1.33, Expiration Date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gridSpan w:val="2"/>
          </w:tcPr>
          <w:p>
            <w:pPr>
              <w:ind w:left="280"/>
              <w:spacing w:after="0" w:line="239" w:lineRule="exact"/>
              <w:rPr>
                <w:sz w:val="20"/>
                <w:szCs w:val="20"/>
                <w:color w:val="auto"/>
              </w:rPr>
            </w:pPr>
            <w:r>
              <w:rPr>
                <w:rFonts w:ascii="Arial" w:cs="Arial" w:eastAsia="Arial" w:hAnsi="Arial"/>
                <w:sz w:val="16"/>
                <w:szCs w:val="16"/>
                <w:color w:val="auto"/>
                <w:w w:val="95"/>
              </w:rPr>
              <w:t>10/6/2021</w:t>
            </w:r>
            <w:r>
              <w:rPr>
                <w:rFonts w:ascii="Arial" w:cs="Arial" w:eastAsia="Arial" w:hAnsi="Arial"/>
                <w:sz w:val="21"/>
                <w:szCs w:val="21"/>
                <w:color w:val="auto"/>
                <w:w w:val="95"/>
                <w:vertAlign w:val="superscript"/>
              </w:rPr>
              <w:t>(10)</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4"/>
              </w:rPr>
              <w:t>Inc.)–Preferred Warrant Series A-4,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7"/>
              </w:rPr>
              <w:t>Strike Price $1.33, Expiration Date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7/18/2021</w:t>
            </w:r>
          </w:p>
        </w:tc>
        <w:tc>
          <w:tcPr>
            <w:tcW w:w="1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rPr>
              <w:t>Inc.)–Preferred Warrant Series B,</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w w:val="97"/>
              </w:rPr>
              <w:t>Strike Price $2.31, Expiration Date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gridSpan w:val="2"/>
          </w:tcPr>
          <w:p>
            <w:pPr>
              <w:ind w:left="280"/>
              <w:spacing w:after="0"/>
              <w:rPr>
                <w:sz w:val="20"/>
                <w:szCs w:val="20"/>
                <w:color w:val="auto"/>
              </w:rPr>
            </w:pPr>
            <w:r>
              <w:rPr>
                <w:rFonts w:ascii="Arial" w:cs="Arial" w:eastAsia="Arial" w:hAnsi="Arial"/>
                <w:sz w:val="16"/>
                <w:szCs w:val="16"/>
                <w:color w:val="auto"/>
              </w:rPr>
              <w:t>11/29/2021</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8"/>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Inc.)–Preferred Warrant Series B,</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7"/>
              </w:rPr>
              <w:t>Strike Price $2.31, Expiration Date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5/29/2022</w:t>
            </w:r>
          </w:p>
        </w:tc>
        <w:tc>
          <w:tcPr>
            <w:tcW w:w="1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rPr>
              <w:t>Inc.)–Preferred Warrant Series B,</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640" w:type="dxa"/>
            <w:vAlign w:val="bottom"/>
            <w:gridSpan w:val="3"/>
          </w:tcPr>
          <w:p>
            <w:pPr>
              <w:ind w:left="240"/>
              <w:spacing w:after="0"/>
              <w:rPr>
                <w:sz w:val="20"/>
                <w:szCs w:val="20"/>
                <w:color w:val="auto"/>
              </w:rPr>
            </w:pPr>
            <w:r>
              <w:rPr>
                <w:rFonts w:ascii="Arial" w:cs="Arial" w:eastAsia="Arial" w:hAnsi="Arial"/>
                <w:sz w:val="16"/>
                <w:szCs w:val="16"/>
                <w:color w:val="auto"/>
                <w:w w:val="97"/>
              </w:rPr>
              <w:t>Strike Price $2.31, Expiration Date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20" w:type="dxa"/>
            <w:vAlign w:val="bottom"/>
            <w:tcBorders>
              <w:bottom w:val="single" w:sz="8" w:color="CCEEFF"/>
            </w:tcBorders>
            <w:gridSpan w:val="2"/>
          </w:tcPr>
          <w:p>
            <w:pPr>
              <w:ind w:left="280"/>
              <w:spacing w:after="0" w:line="239" w:lineRule="exact"/>
              <w:rPr>
                <w:sz w:val="20"/>
                <w:szCs w:val="20"/>
                <w:color w:val="auto"/>
              </w:rPr>
            </w:pPr>
            <w:r>
              <w:rPr>
                <w:rFonts w:ascii="Arial" w:cs="Arial" w:eastAsia="Arial" w:hAnsi="Arial"/>
                <w:sz w:val="16"/>
                <w:szCs w:val="16"/>
                <w:color w:val="auto"/>
                <w:w w:val="87"/>
              </w:rPr>
              <w:t>12/31/2023</w:t>
            </w:r>
            <w:r>
              <w:rPr>
                <w:rFonts w:ascii="Arial" w:cs="Arial" w:eastAsia="Arial" w:hAnsi="Arial"/>
                <w:sz w:val="21"/>
                <w:szCs w:val="21"/>
                <w:color w:val="auto"/>
                <w:w w:val="87"/>
                <w:vertAlign w:val="superscript"/>
              </w:rPr>
              <w:t>(10)</w:t>
            </w:r>
          </w:p>
        </w:tc>
        <w:tc>
          <w:tcPr>
            <w:tcW w:w="1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5,080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385,375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247,500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6"/>
                <w:szCs w:val="16"/>
                <w:b w:val="1"/>
                <w:bCs w:val="1"/>
                <w:color w:val="auto"/>
              </w:rPr>
              <w:t>Total Warrants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385,375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(142,955)</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247,500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Arial" w:cs="Arial" w:eastAsia="Arial" w:hAnsi="Arial"/>
                <w:sz w:val="16"/>
                <w:szCs w:val="16"/>
                <w:i w:val="1"/>
                <w:iCs w:val="1"/>
                <w:color w:val="auto"/>
              </w:rPr>
              <w:t>Clean Technology</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SPBRX, INC. (f/k/a GSV</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Common shares</w:t>
            </w: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NestGSV, Inc. (d/b/a GSV Labs,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Inc.)–Common shares</w:t>
            </w:r>
          </w:p>
        </w:tc>
        <w:tc>
          <w:tcPr>
            <w:tcW w:w="9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6"/>
                <w:szCs w:val="16"/>
                <w:b w:val="1"/>
                <w:bCs w:val="1"/>
                <w:color w:val="auto"/>
              </w:rPr>
              <w:t>Total Common Stock</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684,835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24,207,161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397,517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(592,129)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(1,195,135)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22,816,733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11.68%</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NON-CONTROLLED/AFFILIATE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64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40" w:type="dxa"/>
            <w:vAlign w:val="bottom"/>
            <w:gridSpan w:val="3"/>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CUX, Inc. (d/b/a CorpU)–Senior</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Promissory Note 10% Due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2/14/2020***</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$1,360,489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104,256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1,259,712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102,257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1,360,489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Sales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7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Ozy Media, Inc.–Convertible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Promissory Note 5% Due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Pr>
          <w:p>
            <w:pPr>
              <w:ind w:left="280"/>
              <w:spacing w:after="0" w:line="239" w:lineRule="exact"/>
              <w:rPr>
                <w:sz w:val="20"/>
                <w:szCs w:val="20"/>
                <w:color w:val="auto"/>
              </w:rPr>
            </w:pPr>
            <w:r>
              <w:rPr>
                <w:rFonts w:ascii="Arial" w:cs="Arial" w:eastAsia="Arial" w:hAnsi="Arial"/>
                <w:sz w:val="16"/>
                <w:szCs w:val="16"/>
                <w:color w:val="auto"/>
              </w:rPr>
              <w:t>12/31/2018</w:t>
            </w:r>
            <w:r>
              <w:rPr>
                <w:rFonts w:ascii="Arial" w:cs="Arial" w:eastAsia="Arial" w:hAnsi="Arial"/>
                <w:sz w:val="21"/>
                <w:szCs w:val="21"/>
                <w:color w:val="auto"/>
                <w:vertAlign w:val="superscript"/>
              </w:rPr>
              <w:t>(7)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2,102,384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w w:val="93"/>
              </w:rPr>
              <w:t>268,104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1,067,639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133,031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(30,647)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1,983,552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w w:val="89"/>
              </w:rPr>
              <w:t>3,153,575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20"/>
        </w:trPr>
        <w:tc>
          <w:tcPr>
            <w:tcW w:w="2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 Media, Inc.–Promissory Note</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10% Due 2/12/2018***</w:t>
            </w:r>
            <w:r>
              <w:rPr>
                <w:rFonts w:ascii="Arial" w:cs="Arial" w:eastAsia="Arial" w:hAnsi="Arial"/>
                <w:sz w:val="21"/>
                <w:szCs w:val="21"/>
                <w:color w:val="auto"/>
                <w:vertAlign w:val="superscript"/>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2,384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(100,000)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86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w w:val="93"/>
              </w:rPr>
              <w:t>270,488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1,067,639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233,031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(130,647)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5"/>
              </w:rPr>
              <w:t>1,983,552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w w:val="89"/>
              </w:rPr>
              <w:t>3,153,575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Declara, Inc.–Convertible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Promissory Note 12% Due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Pr>
          <w:p>
            <w:pPr>
              <w:ind w:left="280"/>
              <w:spacing w:after="0" w:line="239" w:lineRule="exact"/>
              <w:rPr>
                <w:sz w:val="20"/>
                <w:szCs w:val="20"/>
                <w:color w:val="auto"/>
              </w:rPr>
            </w:pPr>
            <w:r>
              <w:rPr>
                <w:rFonts w:ascii="Arial" w:cs="Arial" w:eastAsia="Arial" w:hAnsi="Arial"/>
                <w:sz w:val="16"/>
                <w:szCs w:val="16"/>
                <w:color w:val="auto"/>
              </w:rPr>
              <w:t>4/30/2018</w:t>
            </w:r>
            <w:r>
              <w:rPr>
                <w:rFonts w:ascii="Arial" w:cs="Arial" w:eastAsia="Arial" w:hAnsi="Arial"/>
                <w:sz w:val="21"/>
                <w:szCs w:val="21"/>
                <w:color w:val="auto"/>
                <w:vertAlign w:val="superscript"/>
              </w:rPr>
              <w:t>(6)(9)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2,327,727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w w:val="93"/>
              </w:rPr>
              <w:t>207,069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1,120,329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212,254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(1,332,583)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3"/>
              </w:rPr>
              <w:t>581,813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3,447,680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(130,647)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4,514,064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CUX, Inc. (d/b/a CorpU)–</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Convertible preferred shares,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Series D 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169,033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989,489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(111,484)</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878,005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CUX, Inc. (d/b/a CorpU)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C 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860" w:type="dxa"/>
            <w:vAlign w:val="bottom"/>
            <w:tcBorders>
              <w:top w:val="single" w:sz="8" w:color="CCEEFF"/>
            </w:tcBorders>
            <w:gridSpan w:val="2"/>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1,469,673</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(591,668)</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878,005</w:t>
            </w:r>
          </w:p>
        </w:tc>
        <w:tc>
          <w:tcPr>
            <w:tcW w:w="88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Declara, Inc.–Preferred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Series A 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2"/>
              </w:rPr>
              <w:t>10,716,390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382,678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EdSurge, Inc.–Preferred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Series A-1</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378,788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EdSurge, Inc.–Preferred shares,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Series A</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581,917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(312,069)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269,848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1"/>
        </w:trPr>
        <w:tc>
          <w:tcPr>
            <w:tcW w:w="274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Education Media Platform</w:t>
            </w:r>
          </w:p>
        </w:tc>
        <w:tc>
          <w:tcPr>
            <w:tcW w:w="120" w:type="dxa"/>
            <w:vAlign w:val="bottom"/>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1,081,917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(562,069)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519,848</w:t>
            </w:r>
          </w:p>
        </w:tc>
        <w:tc>
          <w:tcPr>
            <w:tcW w:w="88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Maven Research, Inc.–Preferred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shares, Series C</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501,240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Maven Research, Inc.–Preferred</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shares, Series B</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49,505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B 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2,367,022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(2,367,022)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OzyMedia, Inc.–Preferred shares,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2"/>
          </w:tcPr>
          <w:p>
            <w:pPr>
              <w:ind w:left="280"/>
              <w:spacing w:after="0"/>
              <w:rPr>
                <w:sz w:val="20"/>
                <w:szCs w:val="20"/>
                <w:color w:val="auto"/>
              </w:rPr>
            </w:pPr>
            <w:r>
              <w:rPr>
                <w:rFonts w:ascii="Arial" w:cs="Arial" w:eastAsia="Arial" w:hAnsi="Arial"/>
                <w:sz w:val="16"/>
                <w:szCs w:val="16"/>
                <w:color w:val="auto"/>
              </w:rPr>
              <w:t>Series A 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1,090,909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1,419,810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(1,419,810)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 shares,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Series Seed 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(236,635)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86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4,023,467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(4,023,467)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7,508,975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(6,111,122)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1,397,854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33"/>
        </w:trPr>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Principal/</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Credited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8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Company/Investment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Quantity</w:t>
            </w: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3"/>
        </w:trPr>
        <w:tc>
          <w:tcPr>
            <w:tcW w:w="2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Warrants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gridSpan w:val="2"/>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CUX, Inc. (d/b/a CorpU) –Preferred</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warrants, Series D,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4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$4.59, Expiration Date 2/14/2020</w:t>
            </w:r>
            <w:r>
              <w:rPr>
                <w:rFonts w:ascii="Arial" w:cs="Arial" w:eastAsia="Arial" w:hAnsi="Arial"/>
                <w:sz w:val="21"/>
                <w:szCs w:val="21"/>
                <w:color w:val="auto"/>
                <w:vertAlign w:val="superscript"/>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17,580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19,946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284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8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OzyMedia, Inc.–Common Warrants,</w:t>
            </w: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Strike Price $0.01, Expiration Date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4/9/2028</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295,565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30,647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Warrants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30,647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(13,067)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19,946</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180"/>
              <w:spacing w:after="0"/>
              <w:rPr>
                <w:sz w:val="20"/>
                <w:szCs w:val="20"/>
                <w:color w:val="auto"/>
              </w:rPr>
            </w:pPr>
            <w:r>
              <w:rPr>
                <w:rFonts w:ascii="Arial" w:cs="Arial" w:eastAsia="Arial" w:hAnsi="Arial"/>
                <w:sz w:val="16"/>
                <w:szCs w:val="16"/>
                <w:i w:val="1"/>
                <w:iCs w:val="1"/>
                <w:color w:val="auto"/>
              </w:rPr>
              <w:t>Online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Curious.com, Inc.–Common</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4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1,135,944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5,514,077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(5,514,077)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Common Stock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5,514,077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7"/>
              </w:rPr>
              <w:t>(5,514,077)</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93"/>
              </w:rPr>
              <w:t>581,813</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16,473,098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578,189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(130,647)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ind w:left="440"/>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8"/>
              </w:rPr>
              <w:t>(10,988,777)</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5,931,863</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3.04%</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6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7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68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vMerge w:val="continue"/>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8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76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-1868805</wp:posOffset>
            </wp:positionV>
            <wp:extent cx="17322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____________________</w:t>
      </w:r>
    </w:p>
    <w:p>
      <w:pPr>
        <w:spacing w:after="0" w:line="26" w:lineRule="exact"/>
        <w:rPr>
          <w:sz w:val="20"/>
          <w:szCs w:val="20"/>
          <w:color w:val="auto"/>
        </w:rPr>
      </w:pPr>
    </w:p>
    <w:p>
      <w:pPr>
        <w:jc w:val="both"/>
        <w:ind w:left="340" w:hanging="332"/>
        <w:spacing w:after="0" w:line="30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14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1940 Act.</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94" w:lineRule="exact"/>
        <w:rPr>
          <w:sz w:val="20"/>
          <w:szCs w:val="20"/>
          <w:color w:val="auto"/>
        </w:rPr>
      </w:pPr>
    </w:p>
    <w:p>
      <w:pPr>
        <w:jc w:val="both"/>
        <w:ind w:left="50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56"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6"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GSV Capital Corp.’s investments in StormWind, LLC are held through GSV Capital Corp.'s wholly owned subsidiary, GSVC SW Holdings, Inc.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42" w:lineRule="exact"/>
        <w:rPr>
          <w:sz w:val="20"/>
          <w:szCs w:val="20"/>
          <w:color w:val="auto"/>
        </w:rPr>
      </w:pPr>
    </w:p>
    <w:p>
      <w:pPr>
        <w:jc w:val="both"/>
        <w:ind w:left="500" w:hanging="492"/>
        <w:spacing w:after="0" w:line="278"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6" w:lineRule="exact"/>
        <w:rPr>
          <w:rFonts w:ascii="Arial" w:cs="Arial" w:eastAsia="Arial" w:hAnsi="Arial"/>
          <w:sz w:val="15"/>
          <w:szCs w:val="15"/>
          <w:color w:val="auto"/>
        </w:rPr>
      </w:pPr>
    </w:p>
    <w:p>
      <w:pPr>
        <w:jc w:val="both"/>
        <w:ind w:left="500" w:hanging="492"/>
        <w:spacing w:after="0" w:line="256"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60"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60" w:lineRule="exact"/>
        <w:rPr>
          <w:rFonts w:ascii="Arial" w:cs="Arial" w:eastAsia="Arial" w:hAnsi="Arial"/>
          <w:sz w:val="16"/>
          <w:szCs w:val="16"/>
          <w:color w:val="auto"/>
        </w:rPr>
      </w:pPr>
    </w:p>
    <w:p>
      <w:pPr>
        <w:jc w:val="both"/>
        <w:ind w:left="500" w:hanging="492"/>
        <w:spacing w:after="0" w:line="253"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 April 9, 2018, the term of Ozy Media Inc.'s notes were extended through the issuance of a new convertible promissory note, which extended the maturity date 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the year-ended December 31, 2018, Ozy Media Inc.'s obligations under its financing arrangements with the Company became past due.</w:t>
      </w:r>
    </w:p>
    <w:p>
      <w:pPr>
        <w:spacing w:after="0" w:line="164"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January 12, 2018, the unsecured promissory note to NestGSV, Inc. (d/b/a GSV Labs, Inc.) was repaid, with interest.</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December 31, 2018, the investments noted had been placed on non-accrual status.</w:t>
      </w:r>
    </w:p>
    <w:p>
      <w:pPr>
        <w:spacing w:after="0" w:line="194" w:lineRule="exact"/>
        <w:rPr>
          <w:rFonts w:ascii="Arial" w:cs="Arial" w:eastAsia="Arial" w:hAnsi="Arial"/>
          <w:sz w:val="16"/>
          <w:szCs w:val="16"/>
          <w:color w:val="auto"/>
        </w:rPr>
      </w:pPr>
    </w:p>
    <w:p>
      <w:pPr>
        <w:jc w:val="both"/>
        <w:ind w:left="500" w:hanging="492"/>
        <w:spacing w:after="0" w:line="272"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0" w:lineRule="exact"/>
        <w:rPr>
          <w:rFonts w:ascii="Arial" w:cs="Arial" w:eastAsia="Arial" w:hAnsi="Arial"/>
          <w:sz w:val="15"/>
          <w:szCs w:val="15"/>
          <w:color w:val="auto"/>
        </w:rPr>
      </w:pPr>
    </w:p>
    <w:p>
      <w:pPr>
        <w:ind w:left="500" w:right="20" w:hanging="492"/>
        <w:spacing w:after="0" w:line="310"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21" w:lineRule="exact"/>
        <w:rPr>
          <w:rFonts w:ascii="Arial" w:cs="Arial" w:eastAsia="Arial" w:hAnsi="Arial"/>
          <w:sz w:val="15"/>
          <w:szCs w:val="15"/>
          <w:color w:val="auto"/>
        </w:rPr>
      </w:pPr>
    </w:p>
    <w:p>
      <w:pPr>
        <w:jc w:val="both"/>
        <w:ind w:left="500" w:hanging="492"/>
        <w:spacing w:after="0" w:line="286"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29"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w:t>
      </w:r>
    </w:p>
    <w:p>
      <w:pPr>
        <w:spacing w:after="0" w:line="180"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8"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During the three and nine months ended September 30, 2019, the Company repurchased 605,327 and 721,128, respectively, of shares of the Company’s common stock pursuant to the Share Repurchase Program. As of September 30, 2019, the dollar value of shares that remained available to be purchased by the Company under the Share Repurchase Program was approximately $5.2 million.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new shares of the Company’s common stock were issued during the three and nine months ended September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and nine months ended September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0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4240" w:type="dxa"/>
            <w:vAlign w:val="bottom"/>
            <w:gridSpan w:val="4"/>
          </w:tcPr>
          <w:p>
            <w:pPr>
              <w:ind w:left="40"/>
              <w:spacing w:after="0"/>
              <w:rPr>
                <w:sz w:val="20"/>
                <w:szCs w:val="20"/>
                <w:color w:val="auto"/>
              </w:rPr>
            </w:pPr>
            <w:r>
              <w:rPr>
                <w:rFonts w:ascii="Arial" w:cs="Arial" w:eastAsia="Arial" w:hAnsi="Arial"/>
                <w:sz w:val="16"/>
                <w:szCs w:val="16"/>
                <w:b w:val="1"/>
                <w:bCs w:val="1"/>
                <w:color w:val="auto"/>
              </w:rPr>
              <w:t>Earnings per common share–basic:</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5,261,452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328,810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21,745,460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16,125,108</w:t>
            </w:r>
          </w:p>
        </w:tc>
        <w:tc>
          <w:tcPr>
            <w:tcW w:w="0" w:type="dxa"/>
            <w:vAlign w:val="bottom"/>
          </w:tcPr>
          <w:p>
            <w:pPr>
              <w:spacing w:after="0"/>
              <w:rPr>
                <w:sz w:val="1"/>
                <w:szCs w:val="1"/>
                <w:color w:val="auto"/>
              </w:rPr>
            </w:pP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6"/>
                <w:szCs w:val="16"/>
                <w:color w:val="auto"/>
              </w:rPr>
              <w:t>Weighted-average common shares–basic</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19,472,785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20,462,626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19,650,651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20,858,192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share–basic</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Earnings per common share–diluted:</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5,261,452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328,810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21,745,460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16,125,108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200" w:type="dxa"/>
            <w:vAlign w:val="bottom"/>
            <w:gridSpan w:val="3"/>
          </w:tcPr>
          <w:p>
            <w:pPr>
              <w:ind w:left="140"/>
              <w:spacing w:after="0"/>
              <w:rPr>
                <w:sz w:val="20"/>
                <w:szCs w:val="20"/>
                <w:color w:val="auto"/>
              </w:rPr>
            </w:pPr>
            <w:r>
              <w:rPr>
                <w:rFonts w:ascii="Arial" w:cs="Arial" w:eastAsia="Arial" w:hAnsi="Arial"/>
                <w:sz w:val="16"/>
                <w:szCs w:val="16"/>
                <w:color w:val="auto"/>
              </w:rPr>
              <w:t>Adjustment for interest and amortization on 5.25%</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200" w:type="dxa"/>
            <w:vAlign w:val="bottom"/>
            <w:gridSpan w:val="3"/>
          </w:tcPr>
          <w:p>
            <w:pPr>
              <w:ind w:left="220"/>
              <w:spacing w:after="0" w:line="239" w:lineRule="exact"/>
              <w:rPr>
                <w:sz w:val="20"/>
                <w:szCs w:val="20"/>
                <w:color w:val="auto"/>
              </w:rPr>
            </w:pPr>
            <w:r>
              <w:rPr>
                <w:rFonts w:ascii="Arial" w:cs="Arial" w:eastAsia="Arial" w:hAnsi="Arial"/>
                <w:sz w:val="16"/>
                <w:szCs w:val="16"/>
                <w:color w:val="auto"/>
              </w:rPr>
              <w:t>Convertible Senior Notes due 2018</w:t>
            </w:r>
            <w:r>
              <w:rPr>
                <w:rFonts w:ascii="Arial" w:cs="Arial" w:eastAsia="Arial" w:hAnsi="Arial"/>
                <w:sz w:val="21"/>
                <w:szCs w:val="21"/>
                <w:color w:val="auto"/>
                <w:vertAlign w:val="superscript"/>
              </w:rPr>
              <w:t>(1)</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2,559,682</w:t>
            </w: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Adjustment for interest and amortization on 4.75%</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4200" w:type="dxa"/>
            <w:vAlign w:val="bottom"/>
            <w:gridSpan w:val="3"/>
            <w:shd w:val="clear" w:color="auto" w:fill="CCEEFF"/>
          </w:tcPr>
          <w:p>
            <w:pPr>
              <w:ind w:left="220"/>
              <w:spacing w:after="0" w:line="239" w:lineRule="exact"/>
              <w:rPr>
                <w:sz w:val="20"/>
                <w:szCs w:val="20"/>
                <w:color w:val="auto"/>
              </w:rPr>
            </w:pPr>
            <w:r>
              <w:rPr>
                <w:rFonts w:ascii="Arial" w:cs="Arial" w:eastAsia="Arial" w:hAnsi="Arial"/>
                <w:sz w:val="16"/>
                <w:szCs w:val="16"/>
                <w:color w:val="auto"/>
              </w:rPr>
              <w:t>Convertible Senior Notes due 2023</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568,040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1,701,084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1,148,646</w:t>
            </w:r>
          </w:p>
        </w:tc>
        <w:tc>
          <w:tcPr>
            <w:tcW w:w="0" w:type="dxa"/>
            <w:vAlign w:val="bottom"/>
          </w:tcPr>
          <w:p>
            <w:pPr>
              <w:spacing w:after="0"/>
              <w:rPr>
                <w:sz w:val="1"/>
                <w:szCs w:val="1"/>
                <w:color w:val="auto"/>
              </w:rPr>
            </w:pPr>
          </w:p>
        </w:tc>
      </w:tr>
      <w:tr>
        <w:trPr>
          <w:trHeight w:val="217"/>
        </w:trPr>
        <w:tc>
          <w:tcPr>
            <w:tcW w:w="424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color w:val="auto"/>
                <w:w w:val="93"/>
              </w:rPr>
              <w:t>Net change in net assets resulting from operations, as adjusted</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5,829,492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328,810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23,446,544</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19,833,436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9"/>
              </w:rPr>
              <w:t>Adjustment for dilutive effect of 5.25% Convertible Senior</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4200" w:type="dxa"/>
            <w:vAlign w:val="bottom"/>
            <w:gridSpan w:val="3"/>
            <w:shd w:val="clear" w:color="auto" w:fill="CCEEFF"/>
          </w:tcPr>
          <w:p>
            <w:pPr>
              <w:ind w:left="220"/>
              <w:spacing w:after="0" w:line="239" w:lineRule="exact"/>
              <w:rPr>
                <w:sz w:val="20"/>
                <w:szCs w:val="20"/>
                <w:color w:val="auto"/>
              </w:rPr>
            </w:pPr>
            <w:r>
              <w:rPr>
                <w:rFonts w:ascii="Arial" w:cs="Arial" w:eastAsia="Arial" w:hAnsi="Arial"/>
                <w:sz w:val="16"/>
                <w:szCs w:val="16"/>
                <w:color w:val="auto"/>
              </w:rPr>
              <w:t>Notes due 2018</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4,314,340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200" w:type="dxa"/>
            <w:vAlign w:val="bottom"/>
            <w:gridSpan w:val="3"/>
          </w:tcPr>
          <w:p>
            <w:pPr>
              <w:ind w:left="140"/>
              <w:spacing w:after="0"/>
              <w:rPr>
                <w:sz w:val="20"/>
                <w:szCs w:val="20"/>
                <w:color w:val="auto"/>
              </w:rPr>
            </w:pPr>
            <w:r>
              <w:rPr>
                <w:rFonts w:ascii="Arial" w:cs="Arial" w:eastAsia="Arial" w:hAnsi="Arial"/>
                <w:sz w:val="16"/>
                <w:szCs w:val="16"/>
                <w:color w:val="auto"/>
                <w:w w:val="99"/>
              </w:rPr>
              <w:t>Adjustment for dilutive effect of 4.75% Convertible Senior</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200" w:type="dxa"/>
            <w:vAlign w:val="bottom"/>
            <w:gridSpan w:val="3"/>
          </w:tcPr>
          <w:p>
            <w:pPr>
              <w:ind w:left="220"/>
              <w:spacing w:after="0" w:line="239" w:lineRule="exact"/>
              <w:rPr>
                <w:sz w:val="20"/>
                <w:szCs w:val="20"/>
                <w:color w:val="auto"/>
              </w:rPr>
            </w:pPr>
            <w:r>
              <w:rPr>
                <w:rFonts w:ascii="Arial" w:cs="Arial" w:eastAsia="Arial" w:hAnsi="Arial"/>
                <w:sz w:val="16"/>
                <w:szCs w:val="16"/>
                <w:color w:val="auto"/>
              </w:rPr>
              <w:t>Notes due 2023</w:t>
            </w:r>
            <w:r>
              <w:rPr>
                <w:rFonts w:ascii="Arial" w:cs="Arial" w:eastAsia="Arial" w:hAnsi="Arial"/>
                <w:sz w:val="21"/>
                <w:szCs w:val="21"/>
                <w:color w:val="auto"/>
                <w:vertAlign w:val="superscript"/>
              </w:rPr>
              <w:t>(1)</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3,731,344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3,731,344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2,555,902</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23,204,129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20,462,626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23,381,995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27,728,434</w:t>
            </w:r>
          </w:p>
        </w:tc>
        <w:tc>
          <w:tcPr>
            <w:tcW w:w="0" w:type="dxa"/>
            <w:vAlign w:val="bottom"/>
          </w:tcPr>
          <w:p>
            <w:pPr>
              <w:spacing w:after="0"/>
              <w:rPr>
                <w:sz w:val="1"/>
                <w:szCs w:val="1"/>
                <w:color w:val="auto"/>
              </w:rPr>
            </w:pPr>
          </w:p>
        </w:tc>
      </w:tr>
      <w:tr>
        <w:trPr>
          <w:trHeight w:val="244"/>
        </w:trPr>
        <w:tc>
          <w:tcPr>
            <w:tcW w:w="424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b w:val="1"/>
                <w:bCs w:val="1"/>
                <w:color w:val="auto"/>
              </w:rPr>
              <w:t>Earnings per common share–diluted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140" w:type="dxa"/>
            <w:vAlign w:val="bottom"/>
            <w:vMerge w:val="restart"/>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60" w:hanging="674"/>
        <w:spacing w:after="0" w:line="238" w:lineRule="auto"/>
        <w:rPr>
          <w:sz w:val="20"/>
          <w:szCs w:val="20"/>
          <w:color w:val="auto"/>
        </w:rPr>
      </w:pPr>
      <w:r>
        <w:rPr>
          <w:rFonts w:ascii="Arial" w:cs="Arial" w:eastAsia="Arial" w:hAnsi="Arial"/>
          <w:sz w:val="16"/>
          <w:szCs w:val="16"/>
          <w:color w:val="auto"/>
        </w:rPr>
        <w:t>(1)</w:t>
      </w:r>
      <w:r>
        <w:rPr>
          <w:rFonts w:ascii="Arial" w:cs="Arial" w:eastAsia="Arial" w:hAnsi="Arial"/>
          <w:sz w:val="14"/>
          <w:szCs w:val="14"/>
          <w:color w:val="auto"/>
        </w:rPr>
        <w:t>For the three months ended September 30, 2018, 7,173,218 potentially dilutive common shares were excluded from the weighted-average common shares outstanding for diluted net increase in</w:t>
      </w:r>
      <w:r>
        <w:rPr>
          <w:rFonts w:ascii="Arial" w:cs="Arial" w:eastAsia="Arial" w:hAnsi="Arial"/>
          <w:sz w:val="16"/>
          <w:szCs w:val="16"/>
          <w:color w:val="auto"/>
        </w:rPr>
        <w:t xml:space="preserve"> </w:t>
      </w:r>
      <w:r>
        <w:rPr>
          <w:rFonts w:ascii="Arial" w:cs="Arial" w:eastAsia="Arial" w:hAnsi="Arial"/>
          <w:sz w:val="14"/>
          <w:szCs w:val="14"/>
          <w:color w:val="auto"/>
        </w:rPr>
        <w:t>net assets resulting from operations per common share because the effect of these shares would have been anti-dilutive.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September 30, 2019 and December 31, 2018, the Company had not entered into any investment agreements that required it to make a future investment in a portfolio company.</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25"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of September 30, 2019, the Company has booked a right of use asset and operating lease liability of $823,941 and $823,941, respectively, on the Condensed Consolidated Statements of Assets and Liabilities. As of September 30, 2019 and December 31, 2018, the Company recorded a security deposit of $16,574 and $0, respectively, of rental deposit on the Condensed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Statements of Assets and Liabilities. For the three and nine months ended September 30, 2019, the Company incurred $22,211 and $29,359, respectively, of operating lease expense. The amounts reflected on the Condensed Consolidated Statements of Assets and Liabilities have been discounted using the rate implicit in the lease. As of September 30, 2019, the remaining lease term was 4.8 years and the discount rate was 3.00%.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future minimum payments under the Company's operating lease as of September 30, 2019:</w:t>
      </w:r>
    </w:p>
    <w:p>
      <w:pPr>
        <w:spacing w:after="0" w:line="379"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153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42,890</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174,563</w:t>
            </w: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179,800</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185,194</w:t>
            </w: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113,604</w:t>
            </w:r>
          </w:p>
        </w:tc>
      </w:tr>
      <w:tr>
        <w:trPr>
          <w:trHeight w:val="27"/>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886,801</w:t>
            </w:r>
          </w:p>
        </w:tc>
      </w:tr>
      <w:tr>
        <w:trPr>
          <w:trHeight w:val="20"/>
        </w:trPr>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669"/>
        </w:trPr>
        <w:tc>
          <w:tcPr>
            <w:tcW w:w="2880" w:type="dxa"/>
            <w:vAlign w:val="bottom"/>
          </w:tcPr>
          <w:p>
            <w:pPr>
              <w:spacing w:after="0"/>
              <w:rPr>
                <w:sz w:val="24"/>
                <w:szCs w:val="24"/>
                <w:color w:val="auto"/>
              </w:rPr>
            </w:pPr>
          </w:p>
        </w:tc>
        <w:tc>
          <w:tcPr>
            <w:tcW w:w="1660" w:type="dxa"/>
            <w:vAlign w:val="bottom"/>
            <w:gridSpan w:val="2"/>
          </w:tcPr>
          <w:p>
            <w:pPr>
              <w:jc w:val="right"/>
              <w:ind w:right="670"/>
              <w:spacing w:after="0"/>
              <w:rPr>
                <w:sz w:val="20"/>
                <w:szCs w:val="20"/>
                <w:color w:val="auto"/>
              </w:rPr>
            </w:pPr>
            <w:r>
              <w:rPr>
                <w:rFonts w:ascii="Arial" w:cs="Arial" w:eastAsia="Arial" w:hAnsi="Arial"/>
                <w:sz w:val="18"/>
                <w:szCs w:val="18"/>
                <w:color w:val="auto"/>
              </w:rPr>
              <w:t>49</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-616585</wp:posOffset>
            </wp:positionV>
            <wp:extent cx="2332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-1654175</wp:posOffset>
            </wp:positionV>
            <wp:extent cx="23323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0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2018</w:t>
            </w: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Basic Share Data</w:t>
            </w: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asset value at beginning of the period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9.64</w:t>
            </w:r>
          </w:p>
        </w:tc>
      </w:tr>
      <w:tr>
        <w:trPr>
          <w:trHeight w:val="33"/>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loss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(0.35)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(0.45)</w:t>
            </w:r>
          </w:p>
        </w:tc>
      </w:tr>
      <w:tr>
        <w:trPr>
          <w:trHeight w:val="270"/>
        </w:trPr>
        <w:tc>
          <w:tcPr>
            <w:tcW w:w="406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(0.36)</w:t>
            </w:r>
          </w:p>
        </w:tc>
      </w:tr>
      <w:tr>
        <w:trPr>
          <w:trHeight w:val="220"/>
        </w:trPr>
        <w:tc>
          <w:tcPr>
            <w:tcW w:w="40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Realized loss on partial repurchase of 5.25% Convertible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9"/>
        </w:trPr>
        <w:tc>
          <w:tcPr>
            <w:tcW w:w="4060" w:type="dxa"/>
            <w:vAlign w:val="bottom"/>
            <w:shd w:val="clear" w:color="auto" w:fill="CCEEFF"/>
          </w:tcPr>
          <w:p>
            <w:pPr>
              <w:ind w:left="340"/>
              <w:spacing w:after="0" w:line="239" w:lineRule="exact"/>
              <w:rPr>
                <w:sz w:val="20"/>
                <w:szCs w:val="20"/>
                <w:color w:val="auto"/>
              </w:rPr>
            </w:pPr>
            <w:r>
              <w:rPr>
                <w:rFonts w:ascii="Arial" w:cs="Arial" w:eastAsia="Arial" w:hAnsi="Arial"/>
                <w:sz w:val="16"/>
                <w:szCs w:val="16"/>
                <w:color w:val="auto"/>
              </w:rPr>
              <w:t>Senior Notes due 2018</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r>
      <w:tr>
        <w:trPr>
          <w:trHeight w:val="270"/>
        </w:trPr>
        <w:tc>
          <w:tcPr>
            <w:tcW w:w="4060" w:type="dxa"/>
            <w:vAlign w:val="bottom"/>
          </w:tcPr>
          <w:p>
            <w:pPr>
              <w:ind w:left="180"/>
              <w:spacing w:after="0"/>
              <w:rPr>
                <w:sz w:val="20"/>
                <w:szCs w:val="20"/>
                <w:color w:val="auto"/>
              </w:rPr>
            </w:pPr>
            <w:r>
              <w:rPr>
                <w:rFonts w:ascii="Arial" w:cs="Arial" w:eastAsia="Arial" w:hAnsi="Arial"/>
                <w:sz w:val="16"/>
                <w:szCs w:val="16"/>
                <w:color w:val="auto"/>
                <w:w w:val="98"/>
              </w:rPr>
              <w:t>Net change in unrealized appreciation of investments</w:t>
            </w:r>
            <w:r>
              <w:rPr>
                <w:rFonts w:ascii="Arial" w:cs="Arial" w:eastAsia="Arial" w:hAnsi="Arial"/>
                <w:sz w:val="21"/>
                <w:szCs w:val="21"/>
                <w:color w:val="auto"/>
                <w:w w:val="98"/>
                <w:vertAlign w:val="superscript"/>
              </w:rPr>
              <w:t>(1)</w:t>
            </w:r>
          </w:p>
        </w:tc>
        <w:tc>
          <w:tcPr>
            <w:tcW w:w="400" w:type="dxa"/>
            <w:vAlign w:val="bottom"/>
          </w:tcPr>
          <w:p>
            <w:pPr>
              <w:spacing w:after="0"/>
              <w:rPr>
                <w:sz w:val="23"/>
                <w:szCs w:val="23"/>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1.54</w:t>
            </w:r>
          </w:p>
        </w:tc>
      </w:tr>
      <w:tr>
        <w:trPr>
          <w:trHeight w:val="220"/>
        </w:trPr>
        <w:tc>
          <w:tcPr>
            <w:tcW w:w="4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Benefits from taxes on unrealized depreciation of</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9"/>
        </w:trPr>
        <w:tc>
          <w:tcPr>
            <w:tcW w:w="4060" w:type="dxa"/>
            <w:vAlign w:val="bottom"/>
            <w:shd w:val="clear" w:color="auto" w:fill="CCEEFF"/>
          </w:tcPr>
          <w:p>
            <w:pPr>
              <w:ind w:left="180"/>
              <w:spacing w:after="0" w:line="239"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0.06</w:t>
            </w:r>
          </w:p>
        </w:tc>
      </w:tr>
      <w:tr>
        <w:trPr>
          <w:trHeight w:val="237"/>
        </w:trPr>
        <w:tc>
          <w:tcPr>
            <w:tcW w:w="406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4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0.17</w:t>
            </w:r>
          </w:p>
        </w:tc>
      </w:tr>
      <w:tr>
        <w:trPr>
          <w:trHeight w:val="33"/>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8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asset value at end of period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11.24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10.58</w:t>
            </w:r>
          </w:p>
        </w:tc>
      </w:tr>
      <w:tr>
        <w:trPr>
          <w:trHeight w:val="22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market value at end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0.73 %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19.54 %</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26.79 %</w:t>
            </w: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13.65 %</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9.75 %</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Shares outstanding at end of period</w:t>
            </w:r>
          </w:p>
        </w:tc>
        <w:tc>
          <w:tcPr>
            <w:tcW w:w="400" w:type="dxa"/>
            <w:vAlign w:val="bottom"/>
          </w:tcPr>
          <w:p>
            <w:pPr>
              <w:spacing w:after="0"/>
              <w:rPr>
                <w:sz w:val="20"/>
                <w:szCs w:val="20"/>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19,041,519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20,174,955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19,041,519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20,174,955</w:t>
            </w:r>
          </w:p>
        </w:tc>
      </w:tr>
      <w:tr>
        <w:trPr>
          <w:trHeight w:val="33"/>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Ratios/Supplemental Data:</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Net assets at end of period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40"/>
              <w:spacing w:after="0"/>
              <w:rPr>
                <w:sz w:val="20"/>
                <w:szCs w:val="20"/>
                <w:color w:val="auto"/>
              </w:rPr>
            </w:pPr>
            <w:r>
              <w:rPr>
                <w:rFonts w:ascii="Arial" w:cs="Arial" w:eastAsia="Arial" w:hAnsi="Arial"/>
                <w:sz w:val="16"/>
                <w:szCs w:val="16"/>
                <w:color w:val="auto"/>
              </w:rPr>
              <w:t>213,949,030</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213,403,364</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213,949,030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213,403,364</w:t>
            </w:r>
          </w:p>
        </w:tc>
      </w:tr>
      <w:tr>
        <w:trPr>
          <w:trHeight w:val="33"/>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net assets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215,020,159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214,704,044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207,111,511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210,108,076</w:t>
            </w:r>
          </w:p>
        </w:tc>
      </w:tr>
      <w:tr>
        <w:trPr>
          <w:trHeight w:val="270"/>
        </w:trPr>
        <w:tc>
          <w:tcPr>
            <w:tcW w:w="4060" w:type="dxa"/>
            <w:vAlign w:val="bottom"/>
          </w:tcPr>
          <w:p>
            <w:pPr>
              <w:ind w:left="40"/>
              <w:spacing w:after="0"/>
              <w:rPr>
                <w:sz w:val="20"/>
                <w:szCs w:val="20"/>
                <w:color w:val="auto"/>
              </w:rPr>
            </w:pPr>
            <w:r>
              <w:rPr>
                <w:rFonts w:ascii="Arial" w:cs="Arial" w:eastAsia="Arial" w:hAnsi="Arial"/>
                <w:sz w:val="16"/>
                <w:szCs w:val="16"/>
                <w:color w:val="auto"/>
                <w:w w:val="95"/>
              </w:rPr>
              <w:t>Ratio of gross operating expenses to average net assets</w:t>
            </w:r>
            <w:r>
              <w:rPr>
                <w:rFonts w:ascii="Arial" w:cs="Arial" w:eastAsia="Arial" w:hAnsi="Arial"/>
                <w:sz w:val="21"/>
                <w:szCs w:val="21"/>
                <w:color w:val="auto"/>
                <w:w w:val="95"/>
                <w:vertAlign w:val="superscript"/>
              </w:rPr>
              <w:t>(3)</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7.45 %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8.51 %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6.08 %</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10.18 %</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incentive fee waiver to average net assets</w:t>
            </w: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Ratio of management fee waiver to average net assets</w:t>
            </w:r>
          </w:p>
        </w:tc>
        <w:tc>
          <w:tcPr>
            <w:tcW w:w="400" w:type="dxa"/>
            <w:vAlign w:val="bottom"/>
          </w:tcPr>
          <w:p>
            <w:pPr>
              <w:spacing w:after="0"/>
              <w:rPr>
                <w:sz w:val="20"/>
                <w:szCs w:val="20"/>
                <w:color w:val="auto"/>
              </w:rPr>
            </w:pP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ind w:left="96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33"/>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income tax provision to average net assets</w:t>
            </w:r>
          </w:p>
        </w:tc>
        <w:tc>
          <w:tcPr>
            <w:tcW w:w="4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6"/>
                <w:szCs w:val="16"/>
                <w:color w:val="auto"/>
              </w:rPr>
              <w:t>— %</w:t>
            </w: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90"/>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9"/>
              </w:rPr>
              <w:t>Ratio of net operating expenses to average net assets</w:t>
            </w:r>
            <w:r>
              <w:rPr>
                <w:rFonts w:ascii="Arial" w:cs="Arial" w:eastAsia="Arial" w:hAnsi="Arial"/>
                <w:sz w:val="21"/>
                <w:szCs w:val="21"/>
                <w:color w:val="auto"/>
                <w:w w:val="99"/>
                <w:vertAlign w:val="superscript"/>
              </w:rPr>
              <w:t>(3)</w:t>
            </w:r>
          </w:p>
        </w:tc>
        <w:tc>
          <w:tcPr>
            <w:tcW w:w="4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7.45 %</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8.32 %</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5.65 %</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7.38 %</w:t>
            </w:r>
          </w:p>
        </w:tc>
      </w:tr>
      <w:tr>
        <w:trPr>
          <w:trHeight w:val="237"/>
        </w:trPr>
        <w:tc>
          <w:tcPr>
            <w:tcW w:w="406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Ratio of net investment loss to average net assets</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Portfolio Turnover Ratio</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3.08 %</w:t>
            </w:r>
          </w:p>
        </w:tc>
      </w:tr>
      <w:tr>
        <w:trPr>
          <w:trHeight w:val="240"/>
        </w:trPr>
        <w:tc>
          <w:tcPr>
            <w:tcW w:w="4060" w:type="dxa"/>
            <w:vAlign w:val="bottom"/>
          </w:tcPr>
          <w:p>
            <w:pPr>
              <w:spacing w:after="0"/>
              <w:rPr>
                <w:sz w:val="20"/>
                <w:szCs w:val="20"/>
                <w:color w:val="auto"/>
              </w:rPr>
            </w:pPr>
            <w:r>
              <w:rPr>
                <w:rFonts w:ascii="Arial" w:cs="Arial" w:eastAsia="Arial" w:hAnsi="Arial"/>
                <w:sz w:val="16"/>
                <w:szCs w:val="16"/>
                <w:b w:val="1"/>
                <w:bCs w:val="1"/>
                <w:color w:val="auto"/>
              </w:rPr>
              <w:t>__________________</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-842645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weighted-average number of shares outstanding for the relevant period.</w:t>
      </w:r>
    </w:p>
    <w:p>
      <w:pPr>
        <w:spacing w:after="0" w:line="5" w:lineRule="exact"/>
        <w:rPr>
          <w:rFonts w:ascii="Arial" w:cs="Arial" w:eastAsia="Arial" w:hAnsi="Arial"/>
          <w:sz w:val="16"/>
          <w:szCs w:val="16"/>
          <w:color w:val="auto"/>
        </w:rPr>
      </w:pPr>
    </w:p>
    <w:p>
      <w:pPr>
        <w:ind w:left="500" w:right="20" w:hanging="492"/>
        <w:spacing w:after="0" w:line="263" w:lineRule="auto"/>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jc w:val="both"/>
        <w:ind w:left="500" w:hanging="492"/>
        <w:spacing w:after="0" w:line="293"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Financial Highlights for periods of less than one year are annualized and the ratios of operating expenses to average net assets and net investment loss to average net assets are adjusted accordingly. Non-recurring expenses, including the $5.0 million accrued incentive fee forfeiture pursuant to the Waiver Agreement, are not annualized. For the three and nine months ended September 30, 2019, the Company excluded $0 and $(1,769,820) of non-recurring expenses and did not annualize the income tax provision. For three and nine months ended September 30, 2018, the Company excluded $0 and $352,667 of non-recurring expenses and did not annualize the incentive fee waiver.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2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92"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73" w:lineRule="exact"/>
        <w:rPr>
          <w:sz w:val="20"/>
          <w:szCs w:val="20"/>
          <w:color w:val="auto"/>
        </w:rPr>
      </w:pPr>
    </w:p>
    <w:p>
      <w:pPr>
        <w:jc w:val="both"/>
        <w:ind w:firstLine="351"/>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7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67"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As of September 30, 2019 and December 31, 2018, the Company recorded a deferred tax liability of approximately $0.0 million and $0.9 million, respectively, of which approximately $0.0 million and $0.9 million relate to the difference in the book and tax basis of certain equity investments and net tax operating losses held by the GSVC Holdings.</w:t>
      </w:r>
    </w:p>
    <w:p>
      <w:pPr>
        <w:spacing w:after="0" w:line="18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The Company and the GSVC Holdings identified their major tax jurisdictions as U.S. federal and California and may be subject to the taxing authorities’ examination for the tax years 2015–2018 and 2014–2018, respectively. Further, the Company and the GSVC Holdings accrue all interest and penalties related to uncertain tax positions as incurred. As of September 30, 2019, there were no material interest or penalties incurred related to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Convertible Senior Notes due 2018</w:t>
      </w:r>
    </w:p>
    <w:p>
      <w:pPr>
        <w:spacing w:after="0" w:line="229"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matured on September 15, 2018 (the "5.25% Convertible Senior Notes due 2018"), unless previously repurchased or converted in accordance with their terms. The Company does not have the right to redeem the 5.25% Convertible Senior Notes due 2018 prior to maturity.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8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were validly tendered and not validly withdrawn pursuant to the Tender Offer. On March 27, 2018, the Company repurchased an additional $14.2 million aggregate principal amount of the outstanding 5.25% Convertible Senior Notes due 2018. On September 15, 2018, we repaid the remaining outstanding aggregate principal amount of the 5.25% Convertible Senior Notes due 2018, including accrued but unpaid interest, and the 5.25% Convertible Senior Notes were no longer outstanding as of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81"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Statements of Assets and Liabilities.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4.75% Convertible Senior Notes due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(1,289,404)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(1,565,489)</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38,710,596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38,434,511</w:t>
            </w:r>
          </w:p>
        </w:tc>
      </w:tr>
      <w:tr>
        <w:trPr>
          <w:trHeight w:val="20"/>
        </w:trPr>
        <w:tc>
          <w:tcPr>
            <w:tcW w:w="8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As of September 30, 2019 the principal amount of the 4.75% Convertible Senior Notes due 2023 exceeded the value of the underlying shares multiplied by the per share closing price of the Company’s common stock.</w:t>
      </w:r>
    </w:p>
    <w:p>
      <w:pPr>
        <w:spacing w:after="0" w:line="170" w:lineRule="exact"/>
        <w:rPr>
          <w:sz w:val="20"/>
          <w:szCs w:val="20"/>
          <w:color w:val="auto"/>
        </w:rPr>
      </w:pPr>
    </w:p>
    <w:p>
      <w:pPr>
        <w:jc w:val="both"/>
        <w:ind w:firstLine="351"/>
        <w:spacing w:after="0" w:line="271" w:lineRule="auto"/>
        <w:rPr>
          <w:sz w:val="20"/>
          <w:szCs w:val="20"/>
          <w:color w:val="auto"/>
        </w:rPr>
      </w:pPr>
      <w:r>
        <w:rPr>
          <w:rFonts w:ascii="Arial" w:cs="Arial" w:eastAsia="Arial" w:hAnsi="Arial"/>
          <w:sz w:val="17"/>
          <w:szCs w:val="17"/>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in accordance to the agreement, the Company did not to incur any indebtedness other than certain permitted debt, including, without limitation, up to $12.0 million in borrowings under the then current Credit Facility.</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issuance of the 4.75% Convertible Senior Notes due 2023, the Company was required under the terms of the Credit Facility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181"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4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93"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Credit Facility was secured by substantially all of the Company’s property and assets. As of September 30, 2019, the Company had no borrowings outstanding under the Credit Facility, as the Credit Facility matured on May 31, 2019.</w:t>
      </w:r>
    </w:p>
    <w:p>
      <w:pPr>
        <w:spacing w:after="0" w:line="170"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For the three and nine months ended September 30, 2019, the Company had average borrowings outstanding under the Credit Facility of $0. For the year ended December 31, 2018, the Company had average borrowings outstanding of $0.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5, 2019, our Board of Directors adopted, and our stockholders approved, an equity-based incentive plan (“the 2019 Plan”), which authorizes equity awards to be granted for up to 1,976,264 shares of our common stock. Under the 2019 Plan, the exercise price of awards is set on the grant date and may not be less than the fair market value per share on such date, however, that in the case of an incentive stock option granted to an employee who, at the time of the grant of such option, owns stock representing more than ten percent (10%) of the voting power of all classes of stock of the Company or the Company’s present or future parent or subsidiary corporations, as defined in Section 424(e) or (f) of the Code, or other Affiliates the employees of which are eligible to receive incentive stock options under the Code (the “10% Shareholders”), the exercise price per share shall be no less than one hundred ten percent (110%) of the fair market value per share on the date of grant. The fair market value shall be the closing price of the shares on the Nasdaq Capital Market on the date of grant.</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17, 2019, stock options providing the right to purchase up to 1,125,000 shares were granted under the 2019 Plan with an exercise price equal to the market price of our common stock at the grant date. These stock options have a vesting period of 3 years with 1/3 vesting immediately on the grant date, 1/3 vesting on July 17, 2020, and the remaining 1/3 vesting on July 17, 2021.</w:t>
      </w:r>
    </w:p>
    <w:p>
      <w:pPr>
        <w:spacing w:after="0" w:line="32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6"/>
              </w:rPr>
              <w:t>Weighted-Average Exercise</w:t>
            </w:r>
          </w:p>
        </w:tc>
        <w:tc>
          <w:tcPr>
            <w:tcW w:w="174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Price</w:t>
            </w:r>
          </w:p>
        </w:tc>
        <w:tc>
          <w:tcPr>
            <w:tcW w:w="17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1,125,000</w:t>
            </w:r>
          </w:p>
        </w:tc>
        <w:tc>
          <w:tcPr>
            <w:tcW w:w="46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6.57</w:t>
            </w:r>
          </w:p>
        </w:tc>
        <w:tc>
          <w:tcPr>
            <w:tcW w:w="17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6.57</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Expired</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as of September 30, 2019</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6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6.57</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-1345565</wp:posOffset>
            </wp:positionV>
            <wp:extent cx="2383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8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time-based options granted on July 17, 2019, have a fair value of $3.86 per share. For the time-based options valued using the Black-Scholes option-pricing model, we used the following assumption inputs:</w:t>
      </w:r>
    </w:p>
    <w:p>
      <w:pPr>
        <w:spacing w:after="0" w:line="324"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Assumption Inputs</w:t>
            </w:r>
          </w:p>
        </w:tc>
        <w:tc>
          <w:tcPr>
            <w:tcW w:w="96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Amount as of July 17, 2019</w:t>
            </w: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to exercise (years)</w:t>
            </w:r>
          </w:p>
        </w:tc>
        <w:tc>
          <w:tcPr>
            <w:tcW w:w="47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10</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46.90%</w:t>
            </w:r>
          </w:p>
        </w:tc>
      </w:tr>
      <w:tr>
        <w:trPr>
          <w:trHeight w:val="27"/>
        </w:trPr>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21"/>
                <w:szCs w:val="21"/>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2680" w:type="dxa"/>
            <w:vAlign w:val="bottom"/>
          </w:tcPr>
          <w:p>
            <w:pPr>
              <w:spacing w:after="0"/>
              <w:rPr>
                <w:sz w:val="24"/>
                <w:szCs w:val="24"/>
                <w:color w:val="auto"/>
              </w:rPr>
            </w:pPr>
          </w:p>
        </w:tc>
        <w:tc>
          <w:tcPr>
            <w:tcW w:w="4720" w:type="dxa"/>
            <w:vAlign w:val="bottom"/>
            <w:gridSpan w:val="2"/>
          </w:tcPr>
          <w:p>
            <w:pPr>
              <w:jc w:val="right"/>
              <w:ind w:right="3539"/>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-985520</wp:posOffset>
            </wp:positionV>
            <wp:extent cx="23152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nine months ended September 30, 2019, we recognized the stock-based compensation expense of $1,449,121 and $1,449,121, and amount of cash received from the exercise of stock options was $0. As of September 30, 2019, there was $2,898,242 of total unrecognized compensation cost related to non-vested stock options granted under the 2019 Plan. The remaining cost is expected to be recognized over the remaining weighted-average vesting period of 1.30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October 1, 2019 through November 7, 2019, the Company sold investments of $13,280,517, net of transaction costs, as shown in the following table: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2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Shares Sold</w:t>
            </w:r>
          </w:p>
        </w:tc>
        <w:tc>
          <w:tcPr>
            <w:tcW w:w="100" w:type="dxa"/>
            <w:vAlign w:val="bottom"/>
            <w:vMerge w:val="restart"/>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 Net Share Price</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Proceeds</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Realized Gain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shd w:val="clear" w:color="auto" w:fill="CCEEFF"/>
              </w:rPr>
              <w:t>Various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6"/>
                <w:szCs w:val="16"/>
                <w:color w:val="auto"/>
              </w:rPr>
              <w:t>304,829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6"/>
                <w:szCs w:val="16"/>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6"/>
                <w:szCs w:val="16"/>
                <w:color w:val="auto"/>
              </w:rPr>
              <w:t>13,280,517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3"/>
              <w:spacing w:after="0"/>
              <w:rPr>
                <w:sz w:val="20"/>
                <w:szCs w:val="20"/>
                <w:color w:val="auto"/>
              </w:rPr>
            </w:pPr>
            <w:r>
              <w:rPr>
                <w:rFonts w:ascii="Arial" w:cs="Arial" w:eastAsia="Arial" w:hAnsi="Arial"/>
                <w:sz w:val="16"/>
                <w:szCs w:val="16"/>
                <w:color w:val="auto"/>
              </w:rPr>
              <w:t>8,994,623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jc w:val="right"/>
              <w:ind w:right="1799"/>
              <w:spacing w:after="0"/>
              <w:rPr>
                <w:sz w:val="20"/>
                <w:szCs w:val="20"/>
                <w:color w:val="auto"/>
              </w:rPr>
            </w:pPr>
            <w:r>
              <w:rPr>
                <w:rFonts w:ascii="Arial" w:cs="Arial" w:eastAsia="Arial" w:hAnsi="Arial"/>
                <w:sz w:val="16"/>
                <w:szCs w:val="16"/>
                <w:b w:val="1"/>
                <w:bCs w:val="1"/>
                <w:color w:val="auto"/>
                <w:w w:val="88"/>
              </w:rPr>
              <w:t>__________________</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November 7, 2019, we held 0 remaining shares of Lyft, Inc.</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October 1, 2019 through November 7, 2019, the Company did not purchase any investments.</w:t>
      </w:r>
    </w:p>
    <w:p>
      <w:pPr>
        <w:spacing w:after="0" w:line="225"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On November 5, 2019, the Company’s Board of Directors declared a dividend of $0.20 per share payable on December 12, 2019 to stockholders of record as of the close of business on December 2, 2019. The dividend will be paid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Modified Dutch Auction Tender Offer</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21, 2019, the Company commenced a modified “Dutch Auction” tender offer (the “Modified Dutch Auction Tender Offer”) to purchase for cash up to $10.0 million in shares of its common stock from its stockholders. In accordance with the terms of the Modified Dutch Auction Tender Offer, the Company intends to select the lowest price per share, not less than $6.00 per share and not greater than $8.00 per share, less any applicable withholding taxes and without interest, that will allow the Company to purchase that number of shares having an aggregate purchase price of $10.0 million. Upon the terms and subject to the conditions of the Modified Dutch Auction Tender Offer, if shares having an aggregate purchase price of less than $10.0 million are properly tendered and not properly withdrawn, the Company will purchase all shares properly tendered and not properly withdrawn. The Company expects to use available cash to fund any purchases of its shares of common stock in the Modified Dutch Auction Tender Offer and to pay for all related fees and expenses. The Modified Dutch Auction Tender Offer will expire at 5:00 P.M. ET, on November 20, 2019, unless extended by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5—Share Repurchase Program, Equity Offerings and Related Expenses” for additional information on the Share Repurchase Program.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54"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From October 1, 2019 through November 7, 2019, the Company repurchased an additional 28,000 shares under the Share Repurchase Program for an aggregate purchase price of $168,655.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September 30, 2019,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Income Statement Data for the Three Months Ended: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2018</w:t>
            </w:r>
          </w:p>
        </w:tc>
      </w:tr>
      <w:tr>
        <w:trPr>
          <w:trHeight w:val="236"/>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4,975,864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4,765,321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7560" w:type="dxa"/>
            <w:vAlign w:val="bottom"/>
            <w:gridSpan w:val="3"/>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4,452,240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3,062,327</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510,785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(3,089,840)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7560" w:type="dxa"/>
            <w:vAlign w:val="bottom"/>
            <w:gridSpan w:val="3"/>
          </w:tcPr>
          <w:p>
            <w:pPr>
              <w:ind w:left="4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510,785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(3,089,840)</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615"/>
        </w:trPr>
        <w:tc>
          <w:tcPr>
            <w:tcW w:w="40" w:type="dxa"/>
            <w:vAlign w:val="bottom"/>
          </w:tcPr>
          <w:p>
            <w:pPr>
              <w:spacing w:after="0"/>
              <w:rPr>
                <w:sz w:val="24"/>
                <w:szCs w:val="24"/>
                <w:color w:val="auto"/>
              </w:rPr>
            </w:pPr>
          </w:p>
        </w:tc>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Data for the Nine Months Ended:</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9"/>
              </w:rPr>
              <w:t>September 30, 2019</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September 30, 2018</w:t>
            </w:r>
          </w:p>
        </w:tc>
        <w:tc>
          <w:tcPr>
            <w:tcW w:w="20" w:type="dxa"/>
            <w:vAlign w:val="bottom"/>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16,528,849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10,525,124</w:t>
            </w:r>
          </w:p>
        </w:tc>
        <w:tc>
          <w:tcPr>
            <w:tcW w:w="2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752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0"/>
                <w:szCs w:val="20"/>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11,733,042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8,185,315</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(2,912,396)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(3,055,708)</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520" w:type="dxa"/>
            <w:vAlign w:val="bottom"/>
            <w:gridSpan w:val="2"/>
          </w:tcPr>
          <w:p>
            <w:pPr>
              <w:ind w:left="2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(2,912,396)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(3,055,708)</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shd w:val="clear" w:color="auto" w:fill="CCEEFF"/>
          </w:tcPr>
          <w:p>
            <w:pPr>
              <w:spacing w:after="0"/>
              <w:rPr>
                <w:sz w:val="20"/>
                <w:szCs w:val="20"/>
                <w:color w:val="auto"/>
              </w:rPr>
            </w:pPr>
          </w:p>
        </w:tc>
        <w:tc>
          <w:tcPr>
            <w:tcW w:w="18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jc w:val="both"/>
        <w:ind w:left="500" w:hanging="492"/>
        <w:spacing w:after="0" w:line="250"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August 23, 2019, Sutter Rock Capital Corp. amended the structure of its investment in NestGSV, Inc. (d/b/a GSV Labs, Inc.). Under the amended structure, Sutter Rock Capital Corp.’s fully diluted ownership in the company decreased from 50.0% to 8.5%. As such, Sutter Rock Capital Corp.'s investments in NestGSV, Inc. (d/b/a GSV Labs, Inc.) have been recategorized from controlled investments to non-controlled/affiliated investments and NestGSV, Inc. (d/b/a GSV Labs, Inc.) is no longer considered a significant subsidiary.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66"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6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11"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(or "BDC")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80"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We acquire our investments in portfolio companies through offerings of the prospective portfolio companies, transactions on secondary marketplaces for private companies and negotiations with selling stockholders.</w:t>
      </w:r>
    </w:p>
    <w:p>
      <w:pPr>
        <w:spacing w:after="0" w:line="170" w:lineRule="exact"/>
        <w:rPr>
          <w:sz w:val="20"/>
          <w:szCs w:val="20"/>
          <w:color w:val="auto"/>
        </w:rPr>
      </w:pPr>
    </w:p>
    <w:p>
      <w:pPr>
        <w:jc w:val="both"/>
        <w:ind w:firstLine="351"/>
        <w:spacing w:after="0" w:line="297" w:lineRule="auto"/>
        <w:rPr>
          <w:sz w:val="20"/>
          <w:szCs w:val="20"/>
          <w:color w:val="auto"/>
        </w:rPr>
      </w:pPr>
      <w:r>
        <w:rPr>
          <w:rFonts w:ascii="Arial" w:cs="Arial" w:eastAsia="Arial" w:hAnsi="Arial"/>
          <w:sz w:val="16"/>
          <w:szCs w:val="16"/>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Our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we evaluate have financial backing from top-tier venture capital funds or other financial or strategic sponsors.</w:t>
      </w:r>
    </w:p>
    <w:p>
      <w:pPr>
        <w:spacing w:after="0" w:line="158"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88"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us to focus our investments in companies and industries that are more likely to result in beneficial returns to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Internalization of Operating Structure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 As of such date, we entered into a Consulting Agreement with Michael T. Moe (the former Chairman of our Board of Directors and the Chief Executive Officer and Chief Investment Officer of GSV Asset Management), pursuant to which Mr. Moe provides certain services to us in connection with our transition to an internally managed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structure. We also entered into an Amended and Restated Trademark License Agreement (the "Amended and Restated Trademark License Agreement") with GSV Asset Management to continue to use the trade name “GSV”, and other state or unregistered “GSV” marks, including the trading symbol “GSVC.”</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Mr. Moe also resigned from our Board of Directors, and our Board of Directors reduced the number of directors that constitute our full Board of Directors to five directors from six directors in accordance with our bylaws.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10-Q discusses our business and operations as an internally-managed BDC during the period covered by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Rebranding to Sutter Rock Capital Corp.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Articles of Amendment</w:t>
      </w:r>
    </w:p>
    <w:p>
      <w:pPr>
        <w:spacing w:after="0" w:line="225"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6"/>
          <w:szCs w:val="16"/>
          <w:color w:val="auto"/>
        </w:rPr>
        <w:t>On and effective July 30, 2019, the Company changed its name to “Sutter Rock Capital Corp.” from “GSV Capital Corp” (the “Name Change”) by filing Articles of Amendment (the “Articles of Amendment”) to its Articles of Amendment and Restatement, as amended (the “Charter”), with the Department of Assessments and Taxation of the State of Maryland to effectuate the Name Change. In accordance with the Maryland General Corporation Law and the Charter, the Company’s Board of Directors approved the Name Change and the Articles of Amendment. Stockholder approval was not required.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Trading Symbol</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In connection with the Name Change, the trading symbol for the Company’s shares of common stock on the Nasdaq Capital Market changed to “SSSS” from “GSVC” effective August 1, 2019.</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225"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In connection with the Name Change, the Company’s Board of Directors also approved an amendment and restatement of the Company’s Bylaws (the “Amended and Restated Bylaws”) to reflect the Name Change. The Amended and Restated Bylaws became effective on July 30, 2019 and did not require stockholder approval.</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more information regarding the foregoing events, please refer to the Company’s current report on Form 8-K filed with the SEC on August 1,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Election of New Director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and effective July 17, 2019, the Company’s Board of Directors elected Lisa Westley as a director of the Company. Ms. Westley is not an “interested person” (as defined in Section 2(a)(19) of the 1940 Act) of the Company and will serve as one of the Company’s independent directors. She will serve as a director for a term expiring in 2020 and until her successor is duly elected and qualified.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Westley will be entitled to the applicable annual fee and other compensation pursuant to the Company’s director compensation arrangements, under terms consistent with those previously disclosed by the Company. There are no arrangements or understandings between Ms. Westley and any other persons pursuant to which Ms. Westley was elected as a director of the Company.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Number of Directors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Ms. Westley’s election as a director, the Board of Directors increased the number of directors that constitutes the full Board of Directors to five directors from four directors, effective July 17, 2019, in accordance with the Company’s bylaws. The Company had previously reduced the number of directors that constitutes the full Board of Directors to four directors from five directors, effective July 1, 2019, in connection with David S. Pottruck’s departure from the Board of Directors. For more information regarding Mr. Pottruck’s departure and such reduction in the number of directors, please refer to the Company’s current report on Form 8-K filed with the SEC on June 10,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Committee Composition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and effective July 31, 2019, the Company’s Board of Directors appointed Ms. Westley as Chair of the Board of Director’s Compensation Committee and as a member of the Audit Committee, the Nominating and Corporate Governance Committee, and the Valuation Committee. In connection with Ms. Westley’s appointment as Chair of the Compensation Committee, Ronald M. Lott, the former Chair of the Compensation Committee, was appointed as Chair of the Nominating and Corporate Governance Committee, effective July 31, 2019. As a result of the foregoing, the Board of Director’s committees are composed of the following individuals, each of whom is considered independent under the rules of the Nasdaq Capital Market and is not an “interested person” of the Company as that term is defined in Section 2(a)(19) of the 1940 Act.</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is comprised of Marc Mazur, Leonard A. Potter, Ronald M. Lott, and Lisa Westley. Mr. Mazur serves as Chair of the Audit Committee.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Nominating and Corporate Governance Committee is comprised of Marc Mazur, Leonard A. Potter, Ronald M. Lott, and Lisa Westley. Mr. Lott was appointed Chair of the Nominating and Corporate Governance Committee on July 31,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Valuation Committee is comprised of Marc Mazur, Leonard A. Potter, Ronald M. Lott, and Lisa Westley. Mr. Potter serves as Chair of the Valuation Committee.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is comprised of Marc Mazur, Leonard A. Potter, Ronald M. Lott, and Lisa Westley. Ms. Westley serves as Chair of the Compensation Committee.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Compensation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and effective July 31, 2019, the Company’s Board of Directors approved the following changes to director compensation: (i) the annual fee paid to independent directors increased to $100,000 from $80,000, (ii) the annual fee paid to the Chair of the Audit Committee increased to $15,000 from $10,000, and (iii) the annual fee paid to the chairs of the other committees of the Board of Directors increased to $10,000 from $5,000.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2019, of all of our portfolio investments, excluding U.S. Treasury bills, was $199,843,438.</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During nine months ended September 30, 2019, we funded investments in an aggregate amount of $25,280,000 (not including capitalized transaction costs) as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8"/>
              </w:rPr>
              <w:t>Gross Payments</w:t>
            </w:r>
          </w:p>
        </w:tc>
      </w:tr>
      <w:tr>
        <w:trPr>
          <w:trHeight w:val="23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Neutron Holdings, Inc. (d/b/a/ Lime)</w:t>
            </w:r>
          </w:p>
        </w:tc>
        <w:tc>
          <w:tcPr>
            <w:tcW w:w="5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Preferred shares, Series D</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1/25/2019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10,000,000</w:t>
            </w: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Aspiration Partners, Inc.</w:t>
            </w:r>
          </w:p>
        </w:tc>
        <w:tc>
          <w:tcPr>
            <w:tcW w:w="504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Convertible Promissory Note 5% 1/31/2021</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8/12/2019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280,000</w:t>
            </w: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GreenAcreage Real Estate Corp.</w:t>
            </w:r>
          </w:p>
        </w:tc>
        <w:tc>
          <w:tcPr>
            <w:tcW w:w="5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8/12/2019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7,500,000</w:t>
            </w: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Treehouse Real Estate Investment Trust, Inc.</w:t>
            </w:r>
          </w:p>
        </w:tc>
        <w:tc>
          <w:tcPr>
            <w:tcW w:w="50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9/11/2019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7,500,000</w:t>
            </w: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25,280,000</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2019, we capitalized fees of $29,145.</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2019, we sold investments in an amount of $52,322,735, net of transaction costs, and realized a net gain on investments of approximately $11,297,501 (including U.S. Treasury investments) as shown in following 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2"/>
        </w:trPr>
        <w:tc>
          <w:tcPr>
            <w:tcW w:w="47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vMerge w:val="restart"/>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12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Shares Sold</w:t>
            </w:r>
          </w:p>
        </w:tc>
        <w:tc>
          <w:tcPr>
            <w:tcW w:w="120" w:type="dxa"/>
            <w:vAlign w:val="bottom"/>
            <w:vMerge w:val="restart"/>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 Net Share</w:t>
            </w:r>
          </w:p>
        </w:tc>
        <w:tc>
          <w:tcPr>
            <w:tcW w:w="140" w:type="dxa"/>
            <w:vAlign w:val="bottom"/>
          </w:tcPr>
          <w:p>
            <w:pPr>
              <w:spacing w:after="0"/>
              <w:rPr>
                <w:sz w:val="24"/>
                <w:szCs w:val="24"/>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Net Proceeds</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2"/>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9"/>
              </w:rPr>
              <w:t>Gain/(Loss)</w:t>
            </w:r>
            <w:r>
              <w:rPr>
                <w:rFonts w:ascii="Arial" w:cs="Arial" w:eastAsia="Arial" w:hAnsi="Arial"/>
                <w:sz w:val="8"/>
                <w:szCs w:val="8"/>
                <w:b w:val="1"/>
                <w:bCs w:val="1"/>
                <w:color w:val="auto"/>
                <w:w w:val="99"/>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6"/>
                <w:szCs w:val="16"/>
                <w:color w:val="auto"/>
              </w:rPr>
              <w:t>Declara, Inc.</w:t>
            </w:r>
            <w:r>
              <w:rPr>
                <w:rFonts w:ascii="Arial" w:cs="Arial" w:eastAsia="Arial" w:hAnsi="Arial"/>
                <w:sz w:val="25"/>
                <w:szCs w:val="25"/>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3/11/2019</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line="270" w:lineRule="exact"/>
              <w:rPr>
                <w:sz w:val="20"/>
                <w:szCs w:val="20"/>
                <w:color w:val="auto"/>
              </w:rPr>
            </w:pPr>
            <w:r>
              <w:rPr>
                <w:rFonts w:ascii="Arial" w:cs="Arial" w:eastAsia="Arial" w:hAnsi="Arial"/>
                <w:sz w:val="16"/>
                <w:szCs w:val="16"/>
                <w:color w:val="auto"/>
              </w:rPr>
              <w:t>Spotify Technology S.A.</w:t>
            </w:r>
            <w:r>
              <w:rPr>
                <w:rFonts w:ascii="Arial" w:cs="Arial" w:eastAsia="Arial" w:hAnsi="Arial"/>
                <w:sz w:val="25"/>
                <w:szCs w:val="25"/>
                <w:color w:val="auto"/>
                <w:vertAlign w:val="superscript"/>
              </w:rPr>
              <w:t>(4)</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235,360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138.29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32,547,633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22,545,550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6"/>
                <w:szCs w:val="16"/>
                <w:color w:val="auto"/>
              </w:rPr>
              <w:t>Dropbox, Inc.</w:t>
            </w:r>
            <w:r>
              <w:rPr>
                <w:rFonts w:ascii="Arial" w:cs="Arial" w:eastAsia="Arial" w:hAnsi="Arial"/>
                <w:sz w:val="25"/>
                <w:szCs w:val="25"/>
                <w:color w:val="auto"/>
                <w:vertAlign w:val="superscript"/>
              </w:rPr>
              <w:t>(5)</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874,990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19,723,591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6,066,664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6"/>
                <w:szCs w:val="16"/>
                <w:color w:val="auto"/>
              </w:rPr>
              <w:t>Knewton, Inc.</w:t>
            </w:r>
            <w:r>
              <w:rPr>
                <w:rFonts w:ascii="Arial" w:cs="Arial" w:eastAsia="Arial" w:hAnsi="Arial"/>
                <w:sz w:val="25"/>
                <w:szCs w:val="25"/>
                <w:color w:val="auto"/>
                <w:vertAlign w:val="superscript"/>
              </w:rPr>
              <w:t>(6)</w:t>
            </w: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5/31/2019</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51,511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(5,083,701)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52,322,735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11,194,362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gain/(loss) incurred on the maturity of our U.S. Treasury investments.</w:t>
      </w:r>
    </w:p>
    <w:p>
      <w:pPr>
        <w:spacing w:after="0" w:line="5" w:lineRule="exact"/>
        <w:rPr>
          <w:rFonts w:ascii="Arial" w:cs="Arial" w:eastAsia="Arial" w:hAnsi="Arial"/>
          <w:sz w:val="16"/>
          <w:szCs w:val="16"/>
          <w:color w:val="auto"/>
        </w:rPr>
      </w:pPr>
    </w:p>
    <w:p>
      <w:pPr>
        <w:jc w:val="both"/>
        <w:ind w:left="500" w:hanging="492"/>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September 30, 2019, all remaining shares of Spotify Technology S.A. held by us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September 30, 2019, all remaining shares of Dropbox, Inc. held by us had been sold.</w:t>
      </w:r>
    </w:p>
    <w:p>
      <w:pPr>
        <w:spacing w:after="0" w:line="5" w:lineRule="exact"/>
        <w:rPr>
          <w:rFonts w:ascii="Arial" w:cs="Arial" w:eastAsia="Arial" w:hAnsi="Arial"/>
          <w:sz w:val="16"/>
          <w:szCs w:val="16"/>
          <w:color w:val="auto"/>
        </w:rPr>
      </w:pPr>
    </w:p>
    <w:p>
      <w:pPr>
        <w:ind w:left="500" w:hanging="492"/>
        <w:spacing w:after="0" w:line="257"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May 31, 2019, a sale of substantially all of the assets of Knewton, Inc. to Wiley Education was completed. As a result of the transaction, the Company expects to receive $51,511 with approximately $26,000 currently being held in escrow.</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2019, we did not write-off any investments.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During the nine months ended September 30, 2018, we funded investments in an aggregate amount of $6,661,416 (not including capitalized transaction costs) as shown in the following table:</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4"/>
              </w:rPr>
              <w:t>Gross Payments</w:t>
            </w:r>
          </w:p>
        </w:tc>
      </w:tr>
      <w:tr>
        <w:trPr>
          <w:trHeight w:val="25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r>
              <w:rPr>
                <w:rFonts w:ascii="Arial" w:cs="Arial" w:eastAsia="Arial" w:hAnsi="Arial"/>
                <w:sz w:val="21"/>
                <w:szCs w:val="21"/>
                <w:color w:val="auto"/>
                <w:vertAlign w:val="superscript"/>
              </w:rPr>
              <w:t>(1)</w:t>
            </w:r>
          </w:p>
        </w:tc>
        <w:tc>
          <w:tcPr>
            <w:tcW w:w="5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Promissory Note 10% Due 2/12/2018</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r>
      <w:tr>
        <w:trPr>
          <w:trHeight w:val="270"/>
        </w:trPr>
        <w:tc>
          <w:tcPr>
            <w:tcW w:w="1900" w:type="dxa"/>
            <w:vAlign w:val="bottom"/>
            <w:gridSpan w:val="2"/>
          </w:tcPr>
          <w:p>
            <w:pPr>
              <w:ind w:left="20"/>
              <w:spacing w:after="0"/>
              <w:rPr>
                <w:sz w:val="20"/>
                <w:szCs w:val="20"/>
                <w:color w:val="auto"/>
              </w:rPr>
            </w:pPr>
            <w:r>
              <w:rPr>
                <w:rFonts w:ascii="Arial" w:cs="Arial" w:eastAsia="Arial" w:hAnsi="Arial"/>
                <w:sz w:val="16"/>
                <w:szCs w:val="16"/>
                <w:color w:val="auto"/>
              </w:rPr>
              <w:t>SharesPost, Inc.</w:t>
            </w:r>
            <w:r>
              <w:rPr>
                <w:rFonts w:ascii="Arial" w:cs="Arial" w:eastAsia="Arial" w:hAnsi="Arial"/>
                <w:sz w:val="21"/>
                <w:szCs w:val="21"/>
                <w:color w:val="auto"/>
                <w:vertAlign w:val="superscript"/>
              </w:rPr>
              <w:t>(2)</w:t>
            </w:r>
          </w:p>
        </w:tc>
        <w:tc>
          <w:tcPr>
            <w:tcW w:w="55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6/15/2018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100,221</w:t>
            </w:r>
          </w:p>
        </w:tc>
      </w:tr>
      <w:tr>
        <w:trPr>
          <w:trHeight w:val="250"/>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Knewton, Inc.</w:t>
            </w:r>
          </w:p>
        </w:tc>
        <w:tc>
          <w:tcPr>
            <w:tcW w:w="5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Unsecured Convertible Promissory Note 8% due 12/31/2019</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7/23/2018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134,405</w:t>
            </w:r>
          </w:p>
        </w:tc>
      </w:tr>
      <w:tr>
        <w:trPr>
          <w:trHeight w:val="237"/>
        </w:trPr>
        <w:tc>
          <w:tcPr>
            <w:tcW w:w="1900" w:type="dxa"/>
            <w:vAlign w:val="bottom"/>
            <w:gridSpan w:val="2"/>
          </w:tcPr>
          <w:p>
            <w:pPr>
              <w:ind w:left="20"/>
              <w:spacing w:after="0"/>
              <w:rPr>
                <w:sz w:val="20"/>
                <w:szCs w:val="20"/>
                <w:color w:val="auto"/>
              </w:rPr>
            </w:pPr>
            <w:r>
              <w:rPr>
                <w:rFonts w:ascii="Arial" w:cs="Arial" w:eastAsia="Arial" w:hAnsi="Arial"/>
                <w:sz w:val="16"/>
                <w:szCs w:val="16"/>
                <w:color w:val="auto"/>
              </w:rPr>
              <w:t>Nextdoor.com, Inc.</w:t>
            </w:r>
          </w:p>
        </w:tc>
        <w:tc>
          <w:tcPr>
            <w:tcW w:w="55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9/27/2018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6,326,790</w:t>
            </w:r>
          </w:p>
        </w:tc>
      </w:tr>
      <w:tr>
        <w:trPr>
          <w:trHeight w:val="33"/>
        </w:trPr>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Total</w:t>
            </w:r>
          </w:p>
        </w:tc>
        <w:tc>
          <w:tcPr>
            <w:tcW w:w="5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6,661,416</w:t>
            </w: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500" w:right="60" w:hanging="492"/>
        <w:spacing w:after="0" w:line="281"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During the period, Ozy Media, Inc.’s obligations under its financing arrangements with us became past due. Effective April 9, 2018, the term of Ozy Media Inc.'s notes were extended through the issuance of a new convertible promissory note, which extended the maturity date of the existing notes to October 31, 2018, or December 31, 2018 if certain conditions are satisfied. Effective August 17, 2018, Ozy Media Inc. executed an additional debt amendment, which expanded its borrowing limit. In consideration for amending and restating the existing notes, we were issued warrants exercisable for 295,565 shares of Ozy Media Inc.'s common stock.</w:t>
      </w:r>
    </w:p>
    <w:p>
      <w:pPr>
        <w:spacing w:after="0" w:line="2" w:lineRule="exact"/>
        <w:rPr>
          <w:rFonts w:ascii="Arial" w:cs="Arial" w:eastAsia="Arial" w:hAnsi="Arial"/>
          <w:sz w:val="14"/>
          <w:szCs w:val="14"/>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June 15, 2018 we exercised our 770,934 warrants to purchase shares of SharesPost, Inc.'s common stock, with a $0.13 strike price.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2018, we capitalized fees of $15,174.</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nine months ended September 30, 2018, we sold investments or received repayments from portfolio companies in an amount of $32,395,839, net of transaction costs, and realized a net loss on investments of approximately $7,533,163 (including U.S. Treasury investments) as shown in following table: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2"/>
        </w:trPr>
        <w:tc>
          <w:tcPr>
            <w:tcW w:w="40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2"/>
        </w:trPr>
        <w:tc>
          <w:tcPr>
            <w:tcW w:w="620" w:type="dxa"/>
            <w:vAlign w:val="bottom"/>
          </w:tcPr>
          <w:p>
            <w:pPr>
              <w:spacing w:after="0"/>
              <w:rPr>
                <w:sz w:val="24"/>
                <w:szCs w:val="24"/>
                <w:color w:val="auto"/>
              </w:rPr>
            </w:pPr>
          </w:p>
        </w:tc>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vMerge w:val="restart"/>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Transaction</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Shares Sold</w:t>
            </w:r>
          </w:p>
        </w:tc>
        <w:tc>
          <w:tcPr>
            <w:tcW w:w="120" w:type="dxa"/>
            <w:vAlign w:val="bottom"/>
            <w:vMerge w:val="restart"/>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Net Share</w:t>
            </w:r>
          </w:p>
        </w:tc>
        <w:tc>
          <w:tcPr>
            <w:tcW w:w="180" w:type="dxa"/>
            <w:vAlign w:val="bottom"/>
          </w:tcPr>
          <w:p>
            <w:pPr>
              <w:spacing w:after="0"/>
              <w:rPr>
                <w:sz w:val="24"/>
                <w:szCs w:val="24"/>
                <w:color w:val="auto"/>
              </w:rPr>
            </w:pP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Net Proceeds</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2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3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Gain/(Loss)</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1/3/2018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9,018</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38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1/4/2018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152,799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43,327</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1/5/2018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172,139</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38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1/8/2018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267,905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76,837</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1/9/2018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619,356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175,598</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380" w:type="dxa"/>
            <w:vAlign w:val="bottom"/>
            <w:gridSpan w:val="2"/>
          </w:tcPr>
          <w:p>
            <w:pPr>
              <w:ind w:left="20"/>
              <w:spacing w:after="0"/>
              <w:rPr>
                <w:sz w:val="20"/>
                <w:szCs w:val="20"/>
                <w:color w:val="auto"/>
              </w:rPr>
            </w:pPr>
            <w:r>
              <w:rPr>
                <w:rFonts w:ascii="Arial" w:cs="Arial" w:eastAsia="Arial" w:hAnsi="Arial"/>
                <w:sz w:val="16"/>
                <w:szCs w:val="16"/>
                <w:color w:val="auto"/>
              </w:rPr>
              <w:t>Chegg, Inc.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2/13/2018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3,861,271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1,457,883</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2/20/2018</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3,905,530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1,503,045</w:t>
            </w:r>
          </w:p>
        </w:tc>
        <w:tc>
          <w:tcPr>
            <w:tcW w:w="0" w:type="dxa"/>
            <w:vAlign w:val="bottom"/>
          </w:tcPr>
          <w:p>
            <w:pPr>
              <w:spacing w:after="0"/>
              <w:rPr>
                <w:sz w:val="1"/>
                <w:szCs w:val="1"/>
                <w:color w:val="auto"/>
              </w:rPr>
            </w:pPr>
          </w:p>
        </w:tc>
      </w:tr>
      <w:tr>
        <w:trPr>
          <w:trHeight w:val="231"/>
        </w:trPr>
        <w:tc>
          <w:tcPr>
            <w:tcW w:w="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9,446,315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3,437,847</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r>
              <w:rPr>
                <w:rFonts w:ascii="Arial" w:cs="Arial" w:eastAsia="Arial" w:hAnsi="Arial"/>
                <w:sz w:val="21"/>
                <w:szCs w:val="21"/>
                <w:color w:val="auto"/>
                <w:vertAlign w:val="superscript"/>
              </w:rPr>
              <w:t>(3)</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1/12/2018</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592,129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380" w:type="dxa"/>
            <w:vAlign w:val="bottom"/>
            <w:gridSpan w:val="2"/>
          </w:tcPr>
          <w:p>
            <w:pPr>
              <w:ind w:left="20"/>
              <w:spacing w:after="0"/>
              <w:rPr>
                <w:sz w:val="20"/>
                <w:szCs w:val="20"/>
                <w:color w:val="auto"/>
              </w:rPr>
            </w:pPr>
            <w:r>
              <w:rPr>
                <w:rFonts w:ascii="Arial" w:cs="Arial" w:eastAsia="Arial" w:hAnsi="Arial"/>
                <w:sz w:val="16"/>
                <w:szCs w:val="16"/>
                <w:color w:val="auto"/>
              </w:rPr>
              <w:t>Avenues Global Holdings, LLC</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1/22/2018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10,014,270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5,923,795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(4,228,059)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(5)</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6/12/2018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7,820,191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3,331,890</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380" w:type="dxa"/>
            <w:vAlign w:val="bottom"/>
            <w:gridSpan w:val="2"/>
          </w:tcPr>
          <w:p>
            <w:pPr>
              <w:ind w:left="20"/>
              <w:spacing w:after="0"/>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(6)</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8/1/2018</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3,537,539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791,596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(9,711,762)</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(7)</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8/30/2018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1,897,933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2,645,183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(4,332,777)</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DreamBox Learning, Inc.</w:t>
            </w:r>
            <w:r>
              <w:rPr>
                <w:rFonts w:ascii="Arial" w:cs="Arial" w:eastAsia="Arial" w:hAnsi="Arial"/>
                <w:sz w:val="21"/>
                <w:szCs w:val="21"/>
                <w:color w:val="auto"/>
                <w:vertAlign w:val="superscript"/>
              </w:rPr>
              <w:t>(8)</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9/5/2018</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10,738,831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5,176,630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2,916,251</w:t>
            </w: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32,395,839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(8,587,290)</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-671195</wp:posOffset>
            </wp:positionV>
            <wp:extent cx="7715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-1014095</wp:posOffset>
            </wp:positionV>
            <wp:extent cx="46564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February 22, 2018, all remaining shares of Chegg, Inc. held by us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repayment of the 12% Unsecured Promissory Note Due 1/15/2018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gain/(loss) incurred on the maturity of our U.S. Treasury investments.</w:t>
      </w:r>
    </w:p>
    <w:p>
      <w:pPr>
        <w:spacing w:after="0" w:line="5" w:lineRule="exact"/>
        <w:rPr>
          <w:rFonts w:ascii="Arial" w:cs="Arial" w:eastAsia="Arial" w:hAnsi="Arial"/>
          <w:sz w:val="16"/>
          <w:szCs w:val="16"/>
          <w:color w:val="auto"/>
        </w:rPr>
      </w:pPr>
    </w:p>
    <w:p>
      <w:pPr>
        <w:ind w:left="500" w:right="2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April 16, 2018, Adecco Group, a Swiss staffing company, announced that it was acquiring technology education provider General Assembly Space, Inc. for $412.5 million, including debt financing. We have received approximately $7.8 million in net proceeds as a result of the transaction, with approximately $1.5 million of additional proceeds currently being held in escrow. We expect to receive the escrow in 2019.</w:t>
      </w:r>
    </w:p>
    <w:p>
      <w:pPr>
        <w:spacing w:after="0" w:line="1" w:lineRule="exact"/>
        <w:rPr>
          <w:rFonts w:ascii="Arial" w:cs="Arial" w:eastAsia="Arial" w:hAnsi="Arial"/>
          <w:sz w:val="16"/>
          <w:szCs w:val="16"/>
          <w:color w:val="auto"/>
        </w:rPr>
      </w:pPr>
    </w:p>
    <w:p>
      <w:pPr>
        <w:ind w:left="500" w:right="220" w:hanging="492"/>
        <w:spacing w:after="0" w:line="248"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March 27, 2018, Lytro, Inc. announced that it was preparing to wind down the company over an unspecified period of time. Google LLC acquired Lytro, Inc.’s intellectual property and certain other assets. As a result of the transaction, we have received $0.8 million in net proceeds and expects to receive approximately $0.4 million in additional proceeds currently held in escrow. We expect to receive the proceeds held in escrow in 2019.</w:t>
      </w:r>
    </w:p>
    <w:p>
      <w:pPr>
        <w:jc w:val="both"/>
        <w:ind w:left="500" w:right="220" w:hanging="492"/>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6"/>
          <w:szCs w:val="16"/>
          <w:color w:val="auto"/>
        </w:rPr>
        <w:t>On June 14, 2018, SugarCRM, Inc. entered into an agreement to be purchased by AKKR Candy Holdings, Inc. As a result of the transaction, we have received $2.6 million in net proceeds and expects to receive approximately $0.3 million in additional proceeds currently held in escrow. We expect to receive the proceeds held in escrow in 2019.</w:t>
      </w:r>
    </w:p>
    <w:p>
      <w:pPr>
        <w:spacing w:after="0" w:line="2" w:lineRule="exact"/>
        <w:rPr>
          <w:rFonts w:ascii="Arial" w:cs="Arial" w:eastAsia="Arial" w:hAnsi="Arial"/>
          <w:sz w:val="18"/>
          <w:szCs w:val="18"/>
          <w:color w:val="auto"/>
        </w:rPr>
      </w:pPr>
    </w:p>
    <w:p>
      <w:pPr>
        <w:jc w:val="both"/>
        <w:ind w:left="500" w:hanging="492"/>
        <w:spacing w:after="0" w:line="258"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July 18, 2018, DreamBox Learning, Inc. entered into a definitive agreement to be acquired by a wholly owned subsidiary of DreamBox Learning Holding, LLC, an entity owned by The Rise Fund Deneb, LP. As a result of the transaction, we have received $5.2 million in proceeds and expects to receive approximately $0.3 million in additional proceeds currently held in escrow. We expect to receive the proceeds held in escrow in 2019.</w:t>
      </w:r>
    </w:p>
    <w:p>
      <w:pPr>
        <w:spacing w:after="0" w:line="18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During the nine months ended September 30, 2018 we did not write-off any investments.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122" w:right="319" w:bottom="1440" w:gutter="0" w:footer="0" w:header="0"/>
        </w:sectPr>
      </w:pPr>
    </w:p>
    <w:bookmarkStart w:id="65" w:name="page66"/>
    <w:bookmarkEnd w:id="6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b w:val="1"/>
          <w:bCs w:val="1"/>
          <w:i w:val="1"/>
          <w:iCs w:val="1"/>
          <w:color w:val="auto"/>
        </w:rPr>
        <w:t>Comparison of the three and nine months ended September 30, 2019 and 2018</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and nine months ended September 30, 2019 and 2018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 Income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380,226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246,352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1,095,428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1,087,760</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380,226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246,352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895,428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737,760</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income</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350,000</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Net Operating Expenses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auto"/>
              </w:rPr>
              <w:t>5,082,430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4,154,551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7,983,161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10,405,282</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Incentive fee waiver</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(5,000,000)</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Management fee waiver</w:t>
            </w:r>
          </w:p>
        </w:tc>
        <w:tc>
          <w:tcPr>
            <w:tcW w:w="3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(402,074)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(892,421)</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Operating Expenses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5,082,430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4,556,625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7,983,161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16,297,703</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Management fees</w:t>
            </w:r>
          </w:p>
        </w:tc>
        <w:tc>
          <w:tcPr>
            <w:tcW w:w="3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1,345,090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848,723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3,954,732</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Incentive fees/(Reversal of incentive fee accrual)</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(4,660,472)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4,863,939</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Costs incurred under Administration Agreement</w:t>
            </w:r>
          </w:p>
        </w:tc>
        <w:tc>
          <w:tcPr>
            <w:tcW w:w="34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355,599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306,084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1,176,857</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Directors’ fees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258,750</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3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807,143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552,179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4,179,093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1,218,875</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3,070,409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3,702,517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591,512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1,311,534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1,795,885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3,925,292</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142,264</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Other expenses</w:t>
            </w:r>
          </w:p>
        </w:tc>
        <w:tc>
          <w:tcPr>
            <w:tcW w:w="3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512,792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107,688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1,504,545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756,994</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Investment Loss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(4,702,204)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(3,908,199)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(6,887,733)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(9,317,522)</w:t>
            </w: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p>
        </w:tc>
        <w:tc>
          <w:tcPr>
            <w:tcW w:w="3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1,772,961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(10,119,771)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11,297,501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(7,533,163)</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Realized loss on partial repurchase of 5.25% Convertible Senior</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Notes due 2018</w:t>
            </w:r>
          </w:p>
        </w:tc>
        <w:tc>
          <w:tcPr>
            <w:tcW w:w="3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(397,846)</w:t>
            </w:r>
          </w:p>
        </w:tc>
      </w:tr>
      <w:tr>
        <w:trPr>
          <w:trHeight w:val="237"/>
        </w:trPr>
        <w:tc>
          <w:tcPr>
            <w:tcW w:w="4460" w:type="dxa"/>
            <w:vAlign w:val="bottom"/>
          </w:tcPr>
          <w:p>
            <w:pPr>
              <w:ind w:left="120"/>
              <w:spacing w:after="0"/>
              <w:rPr>
                <w:sz w:val="20"/>
                <w:szCs w:val="20"/>
                <w:color w:val="auto"/>
              </w:rPr>
            </w:pPr>
            <w:r>
              <w:rPr>
                <w:rFonts w:ascii="Arial" w:cs="Arial" w:eastAsia="Arial" w:hAnsi="Arial"/>
                <w:sz w:val="16"/>
                <w:szCs w:val="16"/>
                <w:color w:val="auto"/>
              </w:rPr>
              <w:t>Net change in unrealized appreciation of investments</w:t>
            </w:r>
          </w:p>
        </w:tc>
        <w:tc>
          <w:tcPr>
            <w:tcW w:w="34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8,190,695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14,142,375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16,450,126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32,148,365</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from taxes on unrealized depreciation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1,225,275</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Net Increase in Net Assets Resulting from Operations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auto"/>
              </w:rPr>
              <w:t>5,261,452</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328,810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21,745,460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16,125,108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-3871595</wp:posOffset>
            </wp:positionV>
            <wp:extent cx="28301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Investment income increased to $380,226 for the three months ended September 30, 2019 from $246,352 for the three months ended September 30, 2018. The increase was due to increased interest income. The increase in interest income resulted from a higher cash balance during the three months ended September 30, 2019, relative to the three months ended September 30, 2018.</w:t>
      </w:r>
    </w:p>
    <w:p>
      <w:pPr>
        <w:spacing w:after="0" w:line="181"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Investment income increased to $1,095,428 for the nine months ended September 30, 2019 from $1,087,760 for the nine months ended September 30, 2018.The increase was due to increased interest income. The increase in interest income resulted from a higher cash balance during the nine months ended September 30, 2019, relative to the nine months ended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Total operating expenses, net of waiver of management and incentive fees, increased to $5,082,430 for the three months ended September 30, 2019, from $4,154,551 for the three months ended September 30, 2018. The increase was primarily due to compensation expense incurred in the three months ended September 30, 2019, as compared to the three months ended September 30, 2018. This increase was primarily offset by the removal of management fees net of waiver of management fees, incentive fee accrual and costs incurred under Administration Agreement due to the Internalization, and partially offset by a decrease in interest and credit facility expense for the three months ended September 30, 2019 due to the extinguishment of the Convertible Senior Notes due September 15, 2018 in the three months ended September 30, 2018.</w:t>
      </w:r>
    </w:p>
    <w:p>
      <w:pPr>
        <w:spacing w:after="0" w:line="178"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Total operating expenses, net of waiver of management and incentive fees, decreased to $7,983,161 for the nine months ended September 30, 2019, from $10,405,282 for the nine months ended September 30, 2018. The decrease was primarily due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removal of management fees net of waiver of management fees, incentive fee accrual, and costs incurred under Administration Agreement in relation to Internalization and the termination of the Investment Advisory Agreement in the nine months ended September 30, 2019, and partially due to a decrease in interest and credit facility expense due to the extinguishment of the Convertible Senior Notes due September 15, 2018, as compared to the nine months ended September 30, 2018. The decrease was offset by compensation expense incurred in the nine months ended September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25"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For the three months ended September 30, 2019, we recognized net investment loss of $4,702,204, compared to net investment loss of $3,908,199 for the three months ended September 30, 2018. The change between periods resulted from the increase in operating expenses, net of waiver of management fees, as discussed above, and an increase in total investment income between periods.</w:t>
      </w:r>
    </w:p>
    <w:p>
      <w:pPr>
        <w:spacing w:after="0" w:line="181"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For the nine months ended September 30, 2019, we recognized net investment loss of $6,887,733, compared to net investment loss of $9,317,522 for the nine months ended September 30, 2018. The change between periods resulted from the decrease in operating expenses, net of waiver of management and incentive fees, as discussed above, and an increase in total investment income between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Investments</w:t>
      </w:r>
    </w:p>
    <w:p>
      <w:pPr>
        <w:spacing w:after="0" w:line="225"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For the three months ended September 30, 2019, we recognized net realized gain on our investments of $1,772,961, compared to net realized loss of $10,119,771 for the three months ended September 30, 2018. The components of our net realized gains/losses on portfolio investments for the three months ended September 30, 2019 and 2018, excluding U.S. Treasury investments, are reflected in the tables above, under “—Portfolio and Investment Activity.”</w:t>
      </w:r>
    </w:p>
    <w:p>
      <w:pPr>
        <w:spacing w:after="0" w:line="147" w:lineRule="exact"/>
        <w:rPr>
          <w:sz w:val="20"/>
          <w:szCs w:val="20"/>
          <w:color w:val="auto"/>
        </w:rPr>
      </w:pPr>
    </w:p>
    <w:p>
      <w:pPr>
        <w:jc w:val="both"/>
        <w:ind w:firstLine="351"/>
        <w:spacing w:after="0" w:line="312" w:lineRule="auto"/>
        <w:rPr>
          <w:sz w:val="20"/>
          <w:szCs w:val="20"/>
          <w:color w:val="auto"/>
        </w:rPr>
      </w:pPr>
      <w:r>
        <w:rPr>
          <w:rFonts w:ascii="Arial" w:cs="Arial" w:eastAsia="Arial" w:hAnsi="Arial"/>
          <w:sz w:val="16"/>
          <w:szCs w:val="16"/>
          <w:color w:val="auto"/>
        </w:rPr>
        <w:t>For the nine months ended September 30, 2019, we recognized net realized gain on our investments of $11,297,501, compared to net realized loss of $7,533,163 for the nine months ended September 30, 2018. The components of our net realized gains/losses on portfolio investments for the nine months ended September 30, 2019 and 2018, excluding U.S. Treasury investments, are reflected in the tables above, under “—Portfolio and Investment Activity.”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For the three months ended September 30, 2019, we had a net change in unrealized depreciation of $8,190,695. For the three months ended September 30, 2018, we had a net change in unrealized appreciation of $14,142,375. The following tables summarize, by portfolio company, the significant changes in unrealized appreciation and/or depreciation of our investment portfolio for the three months ended September 30, 2019 and 2018.</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Appreciation/(Depreciation)</w:t>
            </w: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Appreciation/(Depreciation)</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2"/>
                <w:szCs w:val="12"/>
                <w:color w:val="auto"/>
              </w:rPr>
            </w:pPr>
          </w:p>
        </w:tc>
        <w:tc>
          <w:tcPr>
            <w:tcW w:w="352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Ended September 30, 2018</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Ozy Media, Inc.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15,923,894</w:t>
            </w:r>
          </w:p>
        </w:tc>
        <w:tc>
          <w:tcPr>
            <w:tcW w:w="12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9,528,386</w:t>
            </w:r>
          </w:p>
        </w:tc>
        <w:tc>
          <w:tcPr>
            <w:tcW w:w="0" w:type="dxa"/>
            <w:vAlign w:val="bottom"/>
          </w:tcPr>
          <w:p>
            <w:pPr>
              <w:spacing w:after="0"/>
              <w:rPr>
                <w:sz w:val="1"/>
                <w:szCs w:val="1"/>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Coursera, Inc.</w:t>
            </w:r>
          </w:p>
        </w:tc>
        <w:tc>
          <w:tcPr>
            <w:tcW w:w="100" w:type="dxa"/>
            <w:vAlign w:val="bottom"/>
          </w:tcPr>
          <w:p>
            <w:pPr>
              <w:spacing w:after="0"/>
              <w:rPr>
                <w:sz w:val="23"/>
                <w:szCs w:val="23"/>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4,134,653</w:t>
            </w:r>
          </w:p>
        </w:tc>
        <w:tc>
          <w:tcPr>
            <w:tcW w:w="1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3,899,110</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Aspiration Partners, Inc.</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1,781,970</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2,963,182</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Enjoy, Inc.</w:t>
            </w:r>
          </w:p>
        </w:tc>
        <w:tc>
          <w:tcPr>
            <w:tcW w:w="10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color w:val="auto"/>
              </w:rPr>
              <w:t>(1,179,097)</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100" w:type="dxa"/>
            <w:vAlign w:val="bottom"/>
          </w:tcPr>
          <w:p>
            <w:pPr>
              <w:spacing w:after="0"/>
              <w:rPr>
                <w:sz w:val="20"/>
                <w:szCs w:val="20"/>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2,280,277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 Place for Rover Inc. (f/k/a DogVacay, Inc.)</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(1,395,434)</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Enjoy, Inc.</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1,617,887</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Course Hero, Inc.</w:t>
            </w:r>
          </w:p>
        </w:tc>
        <w:tc>
          <w:tcPr>
            <w:tcW w:w="10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color w:val="auto"/>
              </w:rPr>
              <w:t>(2,795,495)</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100" w:type="dxa"/>
            <w:vAlign w:val="bottom"/>
          </w:tcPr>
          <w:p>
            <w:pPr>
              <w:spacing w:after="0"/>
              <w:rPr>
                <w:sz w:val="20"/>
                <w:szCs w:val="20"/>
                <w:color w:val="auto"/>
              </w:rPr>
            </w:pPr>
          </w:p>
        </w:tc>
        <w:tc>
          <w:tcPr>
            <w:tcW w:w="1700" w:type="dxa"/>
            <w:vAlign w:val="bottom"/>
          </w:tcPr>
          <w:p>
            <w:pPr>
              <w:jc w:val="right"/>
              <w:ind w:right="20"/>
              <w:spacing w:after="0"/>
              <w:rPr>
                <w:sz w:val="20"/>
                <w:szCs w:val="20"/>
                <w:color w:val="auto"/>
              </w:rPr>
            </w:pPr>
            <w:r>
              <w:rPr>
                <w:rFonts w:ascii="Arial" w:cs="Arial" w:eastAsia="Arial" w:hAnsi="Arial"/>
                <w:sz w:val="16"/>
                <w:szCs w:val="16"/>
                <w:color w:val="auto"/>
              </w:rPr>
              <w:t>1,192,014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(3,497,620)</w:t>
            </w:r>
          </w:p>
        </w:tc>
        <w:tc>
          <w:tcPr>
            <w:tcW w:w="1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1,112,032</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Lyft, Inc.</w:t>
            </w:r>
          </w:p>
        </w:tc>
        <w:tc>
          <w:tcPr>
            <w:tcW w:w="100" w:type="dxa"/>
            <w:vAlign w:val="bottom"/>
          </w:tcPr>
          <w:p>
            <w:pPr>
              <w:spacing w:after="0"/>
              <w:rPr>
                <w:sz w:val="20"/>
                <w:szCs w:val="20"/>
                <w:color w:val="auto"/>
              </w:rPr>
            </w:pPr>
          </w:p>
        </w:tc>
        <w:tc>
          <w:tcPr>
            <w:tcW w:w="1860" w:type="dxa"/>
            <w:vAlign w:val="bottom"/>
          </w:tcPr>
          <w:p>
            <w:pPr>
              <w:jc w:val="right"/>
              <w:ind w:right="1"/>
              <w:spacing w:after="0"/>
              <w:rPr>
                <w:sz w:val="20"/>
                <w:szCs w:val="20"/>
                <w:color w:val="auto"/>
              </w:rPr>
            </w:pPr>
            <w:r>
              <w:rPr>
                <w:rFonts w:ascii="Arial" w:cs="Arial" w:eastAsia="Arial" w:hAnsi="Arial"/>
                <w:sz w:val="16"/>
                <w:szCs w:val="16"/>
                <w:color w:val="auto"/>
              </w:rPr>
              <w:t>(6,579,582)</w:t>
            </w:r>
          </w:p>
        </w:tc>
        <w:tc>
          <w:tcPr>
            <w:tcW w:w="12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(2,054,477)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(2,205,441)</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DreamBox Learning, Inc.</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(3,424,488)</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1,797,406</w:t>
            </w:r>
          </w:p>
        </w:tc>
        <w:tc>
          <w:tcPr>
            <w:tcW w:w="1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(766,107)</w:t>
            </w:r>
          </w:p>
        </w:tc>
        <w:tc>
          <w:tcPr>
            <w:tcW w:w="0" w:type="dxa"/>
            <w:vAlign w:val="bottom"/>
          </w:tcPr>
          <w:p>
            <w:pPr>
              <w:spacing w:after="0"/>
              <w:rPr>
                <w:sz w:val="1"/>
                <w:szCs w:val="1"/>
                <w:color w:val="auto"/>
              </w:rPr>
            </w:pPr>
          </w:p>
        </w:tc>
      </w:tr>
      <w:tr>
        <w:trPr>
          <w:trHeight w:val="244"/>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8,190,695</w:t>
            </w:r>
          </w:p>
        </w:tc>
        <w:tc>
          <w:tcPr>
            <w:tcW w:w="1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14,142,375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63"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hanging="492"/>
        <w:spacing w:after="0" w:line="275"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September 30, 2019 and 2018.</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2019, we had a net change in unrealized appreciation of $16,450,126. For the nine months ended September 30, 2018, we had a net change in unrealized appreciation of $32,148,365. The following tables summarize, by portfolio company, the significant changes in unrealized appreciation and/or depreciation of our investment portfolio for the nine months ended September 30, 2019 and 2018.</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Net Change in Unrealized</w:t>
            </w: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8"/>
              </w:rPr>
              <w:t>Net Change in Unrealized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Appreciation/(Depreciation)</w:t>
            </w: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Appreciation/(Depreciation)</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For the Nine Months Ended</w:t>
            </w:r>
          </w:p>
        </w:tc>
        <w:tc>
          <w:tcPr>
            <w:tcW w:w="362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Portfolio Company</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2019</w:t>
            </w:r>
          </w:p>
        </w:tc>
        <w:tc>
          <w:tcPr>
            <w:tcW w:w="36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September 30, 2018</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13,401,030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11,831,081</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12,334,151</w:t>
            </w:r>
          </w:p>
        </w:tc>
        <w:tc>
          <w:tcPr>
            <w:tcW w:w="120" w:type="dxa"/>
            <w:vAlign w:val="bottom"/>
          </w:tcPr>
          <w:p>
            <w:pPr>
              <w:spacing w:after="0"/>
              <w:rPr>
                <w:sz w:val="23"/>
                <w:szCs w:val="23"/>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8,387,816</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11,656,879</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5,053,374</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1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6,814,794</w:t>
            </w: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5,600,285</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Parchment, Inc.</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3,098,469</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Lyft, Inc.</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4,571,494</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Knewton, Inc.</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2,979,116</w:t>
            </w:r>
          </w:p>
        </w:tc>
        <w:tc>
          <w:tcPr>
            <w:tcW w:w="120" w:type="dxa"/>
            <w:vAlign w:val="bottom"/>
          </w:tcPr>
          <w:p>
            <w:pPr>
              <w:spacing w:after="0"/>
              <w:rPr>
                <w:sz w:val="23"/>
                <w:szCs w:val="23"/>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Avenues Global Holdings, LLC</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4,243,435</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Enjoy, Inc.</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2,445,855</w:t>
            </w:r>
          </w:p>
        </w:tc>
        <w:tc>
          <w:tcPr>
            <w:tcW w:w="12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3,753,157</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SharesPost, Inc.</w:t>
            </w:r>
          </w:p>
        </w:tc>
        <w:tc>
          <w:tcPr>
            <w:tcW w:w="1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1,896,703</w:t>
            </w: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Course Hero, Inc.</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2,369,460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1,867,480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2,280,277</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Nextdoor.com, Inc.</w:t>
            </w:r>
          </w:p>
        </w:tc>
        <w:tc>
          <w:tcPr>
            <w:tcW w:w="1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1,026,754</w:t>
            </w: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StormWind, LLC</w:t>
            </w:r>
          </w:p>
        </w:tc>
        <w:tc>
          <w:tcPr>
            <w:tcW w:w="20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1,529,880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CUX, Inc. (d/b/a CorpU)</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(1,918,228)</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 Place for Rover Inc. (f/k/a DogVacay, Inc.)</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1,091,195</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A Place for Rover Inc. (f/k/a DogVacay, Inc.)</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(2,433,599)</w:t>
            </w: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(1,360,049)</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Lyft, Inc.</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(3,161,096)</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Declara Inc.</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(1,715,261)</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Palantir Technologies, Inc.</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(3,683,785)</w:t>
            </w: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(2,065,822)</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(3,749,441)</w:t>
            </w:r>
          </w:p>
        </w:tc>
        <w:tc>
          <w:tcPr>
            <w:tcW w:w="12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(2,151,532)</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(4,219,119)</w:t>
            </w:r>
          </w:p>
        </w:tc>
        <w:tc>
          <w:tcPr>
            <w:tcW w:w="120" w:type="dxa"/>
            <w:vAlign w:val="bottom"/>
          </w:tcPr>
          <w:p>
            <w:pPr>
              <w:spacing w:after="0"/>
              <w:rPr>
                <w:sz w:val="23"/>
                <w:szCs w:val="23"/>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(4,840,905)</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(6,015,388)</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Curious.com Inc.</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(5,514,077)</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(16,711,276)</w:t>
            </w:r>
          </w:p>
        </w:tc>
        <w:tc>
          <w:tcPr>
            <w:tcW w:w="1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6"/>
                <w:szCs w:val="16"/>
                <w:color w:val="auto"/>
              </w:rPr>
              <w:t>Other</w:t>
            </w:r>
            <w:r>
              <w:rPr>
                <w:rFonts w:ascii="Arial" w:cs="Arial" w:eastAsia="Arial" w:hAnsi="Arial"/>
                <w:sz w:val="25"/>
                <w:szCs w:val="25"/>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820,827</w:t>
            </w:r>
          </w:p>
        </w:tc>
        <w:tc>
          <w:tcPr>
            <w:tcW w:w="12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(915,444)</w:t>
            </w:r>
          </w:p>
        </w:tc>
        <w:tc>
          <w:tcPr>
            <w:tcW w:w="0" w:type="dxa"/>
            <w:vAlign w:val="bottom"/>
          </w:tcPr>
          <w:p>
            <w:pPr>
              <w:spacing w:after="0"/>
              <w:rPr>
                <w:sz w:val="1"/>
                <w:szCs w:val="1"/>
                <w:color w:val="auto"/>
              </w:rPr>
            </w:pPr>
          </w:p>
        </w:tc>
      </w:tr>
      <w:tr>
        <w:trPr>
          <w:trHeight w:val="284"/>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16,450,126</w:t>
            </w:r>
          </w:p>
        </w:tc>
        <w:tc>
          <w:tcPr>
            <w:tcW w:w="120" w:type="dxa"/>
            <w:vAlign w:val="bottom"/>
          </w:tcPr>
          <w:p>
            <w:pPr>
              <w:spacing w:after="0"/>
              <w:rPr>
                <w:sz w:val="24"/>
                <w:szCs w:val="24"/>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32,148,364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hanging="492"/>
        <w:spacing w:after="0" w:line="255"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spacing w:after="0" w:line="1" w:lineRule="exact"/>
        <w:rPr>
          <w:rFonts w:ascii="Arial" w:cs="Arial" w:eastAsia="Arial" w:hAnsi="Arial"/>
          <w:sz w:val="16"/>
          <w:szCs w:val="16"/>
          <w:color w:val="auto"/>
        </w:rPr>
      </w:pPr>
    </w:p>
    <w:p>
      <w:pPr>
        <w:ind w:left="500" w:hanging="492"/>
        <w:spacing w:after="0" w:line="257"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nine months ended September 30, 2019 and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Please refer to “Note 12—Subsequent Events” to our condensed consolidated financial statements as of September 30, 2019 for details regarding activity in our investment portfolio from October 1, 2019 through November 7, 2019.</w:t>
      </w:r>
    </w:p>
    <w:p>
      <w:pPr>
        <w:spacing w:after="0" w:line="170"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5, 2019, the Company’s Board of Directors declared a dividend of $0.20 per share payable on December 12, 2019 to stockholders of record as of the close of business on December 2, 2019. The dividend will be paid in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October 21, 2019, the Company commenced a modified “Dutch Auction” tender offer (the “Modified Dutch Auction Tender Offer”) to purchase for cash up to $10.0 million in shares of its common stock from its stockholders. In accordance with the terms of the Modified Dutch Auction Tender Offer, the Company intends to select the lowest price per share, not less than $6.00 per share and not greater than $8.00 per share, less any applicable withholding taxes and without interest, that will allow the Company to purchase that number of shares having an aggregate purchase price of $10.0 million. Upon the terms and subject to the conditions of the Modified Dutch Auction Tender Offer, if shares having an aggregate purchase price of less than $10.0 million are properly tendered and not properly withdrawn, the Company will purchase all shares properly tendered and not properly withdrawn. The Company expects to use available cash to fund any purchases of its shares of common stock in the Modified Dutch Auction Tender Offer and to pay for all related fees and expenses. The Modified Dutch Auction Tender Offer will expire at 5:00 P.M. ET, on November 20, 2019, unless extended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From October 1, 2019 through November 7, 2019, we repurchased an additional 28,000 shares under the Share Repurchase Program for an aggregate purchase price of $168,655.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Our liquidity and capital resources are generated primarily from the sales of our investments and advances from our $12.0 million Credit Facility. In addition, on March 28, 2018, we issued $40.0 million aggregate principal amount of 4.75% Convertible Senior Notes due 2023, as discussed further below and in “Note 10—Debt Capital Activities” to our condensed consolidated financial statements as of September 30, 2019.</w:t>
      </w:r>
    </w:p>
    <w:p>
      <w:pPr>
        <w:spacing w:after="0" w:line="166"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nine months ended September 30, 2019, our operating expenses were $7,983,161. For the nine months ended September 30, 2018, our operating expenses, net of any fee waivers, were $10,405,282.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9"/>
              </w:rPr>
              <w:t>September 30, 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45,155,784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28,184,163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Borrowing availability under the Credit Facility</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680" w:type="dxa"/>
            <w:vAlign w:val="bottom"/>
          </w:tcPr>
          <w:p>
            <w:pPr>
              <w:jc w:val="right"/>
              <w:ind w:right="40"/>
              <w:spacing w:after="0"/>
              <w:rPr>
                <w:sz w:val="20"/>
                <w:szCs w:val="20"/>
                <w:color w:val="auto"/>
              </w:rPr>
            </w:pPr>
            <w:r>
              <w:rPr>
                <w:rFonts w:ascii="Arial" w:cs="Arial" w:eastAsia="Arial" w:hAnsi="Arial"/>
                <w:sz w:val="16"/>
                <w:szCs w:val="16"/>
                <w:color w:val="auto"/>
              </w:rPr>
              <w:t>12,000,000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of publicly traded portfolio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12,449,216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44,589,406</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securities of publicly traded portfolio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12,449,216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44,589,406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Cash Reserves and Liquid Securities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57,605,000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84,773,569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500" w:hanging="492"/>
        <w:spacing w:after="0" w:line="246"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and other requirements under the Credit Facility as of September 30, 2019 and December 31, 2018. The Credit Facility matured on May 31, 2019. Refer to “Note 10—Debt Capital Activities” to our condensed consolidated financial statements as of September 30, 2019 for details.</w:t>
      </w:r>
    </w:p>
    <w:p>
      <w:pPr>
        <w:spacing w:after="0" w:line="1" w:lineRule="exact"/>
        <w:rPr>
          <w:rFonts w:ascii="Arial" w:cs="Arial" w:eastAsia="Arial" w:hAnsi="Arial"/>
          <w:sz w:val="16"/>
          <w:szCs w:val="16"/>
          <w:color w:val="auto"/>
        </w:rPr>
      </w:pPr>
    </w:p>
    <w:p>
      <w:pPr>
        <w:jc w:val="both"/>
        <w:ind w:left="500" w:hanging="492"/>
        <w:spacing w:after="0" w:line="328" w:lineRule="auto"/>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“Unrestricted securities” represents common stock of our publicly traded companies that are not subject to any restrictions upon sale. We may incur losses if we liquidate these positions to pay operating expenses or fund new investments. As of September 30, 2019, this balance represents our shares of common stock in Lyft, Inc.</w:t>
      </w:r>
    </w:p>
    <w:p>
      <w:pPr>
        <w:spacing w:after="0" w:line="13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the nine months ended September 30, 2019, cash increased to $45,155,784 from $28,184,163 at the beginning of the year. The increase in cash was primarily due to proceeds from the sale of our Spotify Technology S.A. and Dropbox, Inc. shares, offset by our investments in Neutron Holdings, Inc. (d/b/a Lime), Aspiration Partners, Inc., GreenAcreage Real Estate Corp., and Treehouse Real Estate Investment Trust, Inc., interest payments related to our 4.75% Convertible Senior Notes due 2023, and cash used for share repurchase.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20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22"/>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Credit Facility payable</w:t>
            </w:r>
            <w:r>
              <w:rPr>
                <w:rFonts w:ascii="Arial" w:cs="Arial" w:eastAsia="Arial" w:hAnsi="Arial"/>
                <w:sz w:val="21"/>
                <w:szCs w:val="21"/>
                <w:color w:val="auto"/>
                <w:vertAlign w:val="superscript"/>
              </w:rPr>
              <w:t>(2)(3)</w:t>
            </w: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(4)</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lease liability</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_______________________</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right="20" w:hanging="492"/>
        <w:spacing w:after="0" w:line="246"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“Payable for securities purchased” relates to the purchase of the U.S. Treasury bill on margin. This balance was subsequently repaid on October 3, 2019, when the $50.0 million United States Treasury bill matured and the $5.25 million margin deposit that we posted as collateral was returned.</w:t>
      </w: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Credit Facility matured on May 31, 2019.</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weighted-average interest rate incurred under the Credit Facility was 0.00% for the three and nine months ended September 30, 2019.</w:t>
      </w:r>
    </w:p>
    <w:p>
      <w:pPr>
        <w:spacing w:after="0" w:line="5" w:lineRule="exact"/>
        <w:rPr>
          <w:rFonts w:ascii="Arial" w:cs="Arial" w:eastAsia="Arial" w:hAnsi="Arial"/>
          <w:sz w:val="16"/>
          <w:szCs w:val="16"/>
          <w:color w:val="auto"/>
        </w:rPr>
      </w:pPr>
    </w:p>
    <w:p>
      <w:pPr>
        <w:ind w:left="500" w:right="20" w:hanging="492"/>
        <w:spacing w:after="0" w:line="290" w:lineRule="auto"/>
        <w:tabs>
          <w:tab w:leader="none" w:pos="5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balance shown for the "Convertible Senior Notes" reflects the principal balance payable to investors for the 4.75% Convertible Senior Notes due 2023 as of September 30, 2019. Refer to “Note 10—Debt Capital Activities” to our condensed consolidated financial statements as of September 30, 2019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During the nine months ended September 30, 2019, we repurchased 721,128 shares of our common stock pursuant to the Share Repurchase Program. As of September 30, 2019, the dollar value of shares that remained available to be purchased under the Share Repurchase Program was approximately $5.2 million.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more information on the Share Repurchase Program, see "Part II. 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September 30, 2019,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Loan Agreement, Western Alliance Bank had agreed to provide us with the $12.0 million Credit Facility, which, among other things, matured on May 31, 2019 and bore interest at a per annum rate equal to the prime rate plus 3.50%. In addition, the Loan Agreement required payment of a fee for unused amounts during the revolving period. Refer to “Note 10—Debt Capital Activities” to our condensed consolidated financial statements as of September 30, 2019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sales of our equity securities during the nine months ended September 30, 2019 or the year ended December 31, 2018.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5.25% Convertible Senior Notes due 2018 - Tender Offer, Repurchase, and Repayment</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December 15, 2017, we announced the commencement of a cash tender offer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tendered and not validly withdrawn pursuant to the Tender Offer. On March 27, 2018, we repurchased an additional $14.2 million aggregate principal amount of the outstanding 5.25% Convertible Senior Notes due 2018.</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 Refer to “Note 10—Debt Capital Activities” to our condensed consolidated financial statements as of September 30, 2019 for more information regarding the 5.25% Convertible Senior Notes due 2018.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$38.7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condensed consolidated financial statements as of September 30, 2019 for more information regarding the 4.75% Convertible Senior Notes due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timing and amount of our distributions, if any, will be determined by our Board of Directors and will be declared out of assets legally available for distribution. Subsequent to September 30, 2019, on November 5, 2019, our Board of Directors declared a dividend of $0.20 per share payable on December 12, 2019 to stockholders of record as of the close of business on December 2, 2019. Refer to “— Recent Developments” for more information.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lists the distributions, including dividends and returns of capital, if any, per share that we have declared since our formation through September 30, 2019. The table is divided by fiscal year according to record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Declared</w:t>
            </w:r>
          </w:p>
        </w:tc>
        <w:tc>
          <w:tcPr>
            <w:tcW w:w="2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Amount per Share</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gridSpan w:val="2"/>
          </w:tcPr>
          <w:p>
            <w:pPr>
              <w:ind w:left="200"/>
              <w:spacing w:after="0"/>
              <w:rPr>
                <w:sz w:val="20"/>
                <w:szCs w:val="20"/>
                <w:color w:val="auto"/>
              </w:rPr>
            </w:pPr>
            <w:r>
              <w:rPr>
                <w:rFonts w:ascii="Arial" w:cs="Arial" w:eastAsia="Arial" w:hAnsi="Arial"/>
                <w:sz w:val="16"/>
                <w:szCs w:val="16"/>
                <w:color w:val="auto"/>
              </w:rPr>
              <w:t>November 4, 2015</w:t>
            </w:r>
            <w:r>
              <w:rPr>
                <w:rFonts w:ascii="Arial" w:cs="Arial" w:eastAsia="Arial" w:hAnsi="Arial"/>
                <w:sz w:val="21"/>
                <w:szCs w:val="21"/>
                <w:color w:val="auto"/>
                <w:vertAlign w:val="superscript"/>
              </w:rPr>
              <w:t>(1)</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 16, 2015</w:t>
            </w:r>
          </w:p>
        </w:tc>
        <w:tc>
          <w:tcPr>
            <w:tcW w:w="2040" w:type="dxa"/>
            <w:vAlign w:val="bottom"/>
            <w:gridSpan w:val="2"/>
          </w:tcPr>
          <w:p>
            <w:pPr>
              <w:jc w:val="center"/>
              <w:spacing w:after="0"/>
              <w:rPr>
                <w:sz w:val="20"/>
                <w:szCs w:val="20"/>
                <w:color w:val="auto"/>
              </w:rPr>
            </w:pPr>
            <w:r>
              <w:rPr>
                <w:rFonts w:ascii="Arial" w:cs="Arial" w:eastAsia="Arial" w:hAnsi="Arial"/>
                <w:sz w:val="16"/>
                <w:szCs w:val="16"/>
                <w:color w:val="auto"/>
                <w:w w:val="91"/>
              </w:rPr>
              <w:t>December 31, 2015</w:t>
            </w:r>
          </w:p>
        </w:tc>
        <w:tc>
          <w:tcPr>
            <w:tcW w:w="6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2016:</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August 3, 2016</w:t>
            </w:r>
            <w:r>
              <w:rPr>
                <w:rFonts w:ascii="Arial" w:cs="Arial" w:eastAsia="Arial" w:hAnsi="Arial"/>
                <w:sz w:val="21"/>
                <w:szCs w:val="21"/>
                <w:color w:val="auto"/>
                <w:vertAlign w:val="superscript"/>
              </w:rPr>
              <w:t>(2)</w:t>
            </w:r>
          </w:p>
        </w:tc>
        <w:tc>
          <w:tcPr>
            <w:tcW w:w="21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August 16, 2016</w:t>
            </w:r>
          </w:p>
        </w:tc>
        <w:tc>
          <w:tcPr>
            <w:tcW w:w="20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w w:val="92"/>
              </w:rPr>
              <w:t>August 24, 2016</w:t>
            </w: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w:t>
      </w:r>
    </w:p>
    <w:p>
      <w:pPr>
        <w:spacing w:after="0" w:line="9" w:lineRule="exact"/>
        <w:rPr>
          <w:sz w:val="20"/>
          <w:szCs w:val="20"/>
          <w:color w:val="auto"/>
        </w:rPr>
      </w:pPr>
    </w:p>
    <w:p>
      <w:pPr>
        <w:jc w:val="both"/>
        <w:ind w:left="840" w:hanging="836"/>
        <w:spacing w:after="0" w:line="246" w:lineRule="auto"/>
        <w:rPr>
          <w:sz w:val="20"/>
          <w:szCs w:val="20"/>
          <w:color w:val="auto"/>
        </w:rPr>
      </w:pPr>
      <w:r>
        <w:rPr>
          <w:rFonts w:ascii="Arial" w:cs="Arial" w:eastAsia="Arial" w:hAnsi="Arial"/>
          <w:sz w:val="16"/>
          <w:szCs w:val="16"/>
          <w:color w:val="auto"/>
        </w:rPr>
        <w:t>(1)The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(2)Of the total distribution of $887,240 on August 24, 2016, $820,753 represented a distribution from realized gains and $66,487 represented a return of capital.</w:t>
      </w:r>
    </w:p>
    <w:p>
      <w:pPr>
        <w:spacing w:after="0" w:line="203"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distribution at least annually. The amount of realized capital gains available for distribution to stockholders will be impacted by our treatment as a RIC.</w:t>
      </w:r>
    </w:p>
    <w:p>
      <w:pPr>
        <w:spacing w:after="0" w:line="237"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who hold shares in the name of a broker or financial intermediary should contact the broker or financial intermediary regarding any election to receive distributions in cash.</w:t>
      </w:r>
    </w:p>
    <w:p>
      <w:pPr>
        <w:spacing w:after="0" w:line="18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2—Significant Accounting Policies—</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9—Income Taxes” to our condensed consolidated financial statements as of September 30, 2019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2019 for further detail regarding our critical accounting policies and recently issued or adopted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See “Note 3—Related-Party Arrangements” to our condensed consolidated financial statements as of September 30, 2019 for more information.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As of September 30, 2019, all of our debt investments and outstanding borrowings bore fixed rates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September 30, 2019 Condensed Consolidated Statement of Assets and Liabilities, the following table shows the various, incremental impact of changes in interest rates on our net income or loss related to the Credit Facility for the nine months ended September 30, 2019,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Basis Point Change</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1100" w:type="dxa"/>
            <w:vAlign w:val="bottom"/>
          </w:tcPr>
          <w:p>
            <w:pPr>
              <w:jc w:val="right"/>
              <w:ind w:right="41"/>
              <w:spacing w:after="0"/>
              <w:rPr>
                <w:sz w:val="20"/>
                <w:szCs w:val="20"/>
                <w:color w:val="auto"/>
              </w:rPr>
            </w:pPr>
            <w:r>
              <w:rPr>
                <w:rFonts w:ascii="Arial" w:cs="Arial" w:eastAsia="Arial" w:hAnsi="Arial"/>
                <w:sz w:val="14"/>
                <w:szCs w:val="14"/>
                <w:b w:val="1"/>
                <w:bCs w:val="1"/>
                <w:color w:val="auto"/>
              </w:rPr>
              <w:t>Interest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60" w:type="dxa"/>
            <w:vAlign w:val="bottom"/>
          </w:tcPr>
          <w:p>
            <w:pPr>
              <w:jc w:val="right"/>
              <w:ind w:right="54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8"/>
              </w:rPr>
              <w:t>Income/(Loss)</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Up 200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180,000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100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Down 300 Basis points</w:t>
            </w: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500" w:hanging="492"/>
        <w:spacing w:after="0" w:line="253"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Assumes we have borrowed $12.0 million under the Credit Facility for the nine months ended September 30, 2019. Our actual borrowings under the Credit Facility will vary based on our needs throughout the year. For the nine months ended September 30, 2019, our actual average borrowings under the Credit Facility were $0. The Credit Facility matured on May 31, 2019.</w:t>
      </w:r>
    </w:p>
    <w:p>
      <w:pPr>
        <w:spacing w:after="0" w:line="159"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As of September 30, 2019,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51"/>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2018, filed with the SEC on April 18, 2019, which could materially affect our business, financial condition and/or operating results. Although the risks described below and in our annual report on Form 10-K for the fiscal year ended December 31, 2018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nine months ended September 30, 2019, there have been no material changes to the risk factors discussed in "Item 1A. Risk Factors" of Part I of our annual report on Form 10-K for the fiscal year ended December 31, 2018.</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in connection with internalizing our operating structure, we may experience difficulty integrating these functions as a stand-alone entity, and we could have difficulty retaining our personnel, including those performing management, investment and general and administrative functions. These personnel have a great deal of know-how and experience.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these factors could have a material adverse effect on our results of operations, financial condition, and ability to pay distributions.</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122" w:right="1440" w:bottom="1440" w:gutter="0" w:footer="0" w:header="0"/>
        </w:sectPr>
      </w:pPr>
    </w:p>
    <w:bookmarkStart w:id="76" w:name="page77"/>
    <w:bookmarkEnd w:id="7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did not sell any equity securities during the period covered in this report that were not registered under the Securities Act of 1933, as amended.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the Company’s purchases of its common stock during the nine months ended September 30, 2019 is as follows: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4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4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Announced</w:t>
            </w:r>
          </w:p>
        </w:tc>
        <w:tc>
          <w:tcPr>
            <w:tcW w:w="14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Purchased</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through January 31, 2019</w:t>
            </w:r>
          </w:p>
        </w:tc>
        <w:tc>
          <w:tcPr>
            <w:tcW w:w="1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4,789,673</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February 1 through February 28, 2019</w:t>
            </w: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4,789,673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through March 31, 2019</w:t>
            </w:r>
          </w:p>
        </w:tc>
        <w:tc>
          <w:tcPr>
            <w:tcW w:w="1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4,789,673</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April 1 through April 30, 2019</w:t>
            </w: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4,789,673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through May 31, 2019</w:t>
            </w:r>
          </w:p>
        </w:tc>
        <w:tc>
          <w:tcPr>
            <w:tcW w:w="1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90,696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4,211,341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June 1 through June 30, 2019</w:t>
            </w: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60,105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4,052,555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through July 31, 2019</w:t>
            </w:r>
          </w:p>
        </w:tc>
        <w:tc>
          <w:tcPr>
            <w:tcW w:w="16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4,052,555</w:t>
            </w:r>
          </w:p>
        </w:tc>
        <w:tc>
          <w:tcPr>
            <w:tcW w:w="0" w:type="dxa"/>
            <w:vAlign w:val="bottom"/>
          </w:tcPr>
          <w:p>
            <w:pPr>
              <w:spacing w:after="0"/>
              <w:rPr>
                <w:sz w:val="1"/>
                <w:szCs w:val="1"/>
                <w:color w:val="auto"/>
              </w:rPr>
            </w:pPr>
          </w:p>
        </w:tc>
      </w:tr>
      <w:tr>
        <w:trPr>
          <w:trHeight w:val="243"/>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August 1 through August 31, 2019</w:t>
            </w:r>
          </w:p>
        </w:tc>
        <w:tc>
          <w:tcPr>
            <w:tcW w:w="1620" w:type="dxa"/>
            <w:vAlign w:val="bottom"/>
          </w:tcPr>
          <w:p>
            <w:pPr>
              <w:jc w:val="right"/>
              <w:ind w:right="55"/>
              <w:spacing w:after="0"/>
              <w:rPr>
                <w:sz w:val="20"/>
                <w:szCs w:val="20"/>
                <w:color w:val="auto"/>
              </w:rPr>
            </w:pPr>
            <w:r>
              <w:rPr>
                <w:rFonts w:ascii="Arial" w:cs="Arial" w:eastAsia="Arial" w:hAnsi="Arial"/>
                <w:sz w:val="18"/>
                <w:szCs w:val="18"/>
                <w:color w:val="auto"/>
              </w:rPr>
              <w:t>223,291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223,291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7,629,372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September 1 through September 30, 2019</w:t>
            </w:r>
            <w:r>
              <w:rPr>
                <w:rFonts w:ascii="Arial" w:cs="Arial" w:eastAsia="Arial" w:hAnsi="Arial"/>
                <w:sz w:val="25"/>
                <w:szCs w:val="25"/>
                <w:color w:val="auto"/>
                <w:vertAlign w:val="superscript"/>
              </w:rPr>
              <w:t>(3)</w:t>
            </w:r>
          </w:p>
        </w:tc>
        <w:tc>
          <w:tcPr>
            <w:tcW w:w="16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382,036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382,036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5,165,963</w:t>
            </w:r>
          </w:p>
        </w:tc>
        <w:tc>
          <w:tcPr>
            <w:tcW w:w="0" w:type="dxa"/>
            <w:vAlign w:val="bottom"/>
          </w:tcPr>
          <w:p>
            <w:pPr>
              <w:spacing w:after="0"/>
              <w:rPr>
                <w:sz w:val="1"/>
                <w:szCs w:val="1"/>
                <w:color w:val="auto"/>
              </w:rPr>
            </w:pPr>
          </w:p>
        </w:tc>
      </w:tr>
      <w:tr>
        <w:trPr>
          <w:trHeight w:val="25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756,128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721,128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nine months ended September 30, 2019, we repurchased 721,128 shares of our common stock pursuant to the Share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jc w:val="both"/>
        <w:ind w:left="500" w:hanging="492"/>
        <w:spacing w:after="0" w:line="282"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nine months ended September 30, 2019, the Company repurchased 605,327 and 721,128, respectively, of shares of the Company’s common stock pursuant to the Share Repurchase Program. As of September 30, 2019, the dollar value of shares that remained available to be purchased by the Company under the Share Repurchase Program was approximately $5.2 million.</w:t>
      </w:r>
    </w:p>
    <w:p>
      <w:pPr>
        <w:spacing w:after="0" w:line="2" w:lineRule="exact"/>
        <w:rPr>
          <w:rFonts w:ascii="Arial" w:cs="Arial" w:eastAsia="Arial" w:hAnsi="Arial"/>
          <w:sz w:val="14"/>
          <w:szCs w:val="14"/>
          <w:color w:val="auto"/>
        </w:rPr>
      </w:pPr>
    </w:p>
    <w:p>
      <w:pPr>
        <w:ind w:left="500" w:hanging="492"/>
        <w:spacing w:after="0" w:line="246"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ind w:left="500" w:hanging="492"/>
        <w:spacing w:after="0" w:line="257"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Subsequent to quarter-end, through November 7, 2019, the Company repurchased an additional 28,000 shares under the Share Repurchase Program for an aggregate purchase price of $168,655.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121" w:right="1440" w:bottom="1440" w:gutter="0" w:footer="0" w:header="0"/>
        </w:sectPr>
      </w:pPr>
    </w:p>
    <w:bookmarkStart w:id="78" w:name="page79"/>
    <w:bookmarkEnd w:id="7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85">
        <w:r>
          <w:rPr>
            <w:rFonts w:ascii="Arial" w:cs="Arial" w:eastAsia="Arial" w:hAnsi="Arial"/>
            <w:sz w:val="16"/>
            <w:szCs w:val="16"/>
            <w:u w:val="single" w:color="auto"/>
            <w:color w:val="0000FF"/>
          </w:rPr>
          <w:t>Articles of Amendment and Restatement</w:t>
        </w:r>
      </w:hyperlink>
      <w:r>
        <w:rPr>
          <w:rFonts w:ascii="Arial" w:cs="Arial" w:eastAsia="Arial" w:hAnsi="Arial"/>
          <w:sz w:val="22"/>
          <w:szCs w:val="22"/>
          <w:color w:val="000000"/>
          <w:vertAlign w:val="superscript"/>
        </w:rPr>
        <w:t>(1)</w:t>
      </w:r>
    </w:p>
    <w:p>
      <w:pPr>
        <w:spacing w:after="0" w:line="2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86">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(2)</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87">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(3)</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3.4</w:t>
      </w:r>
      <w:r>
        <w:rPr>
          <w:sz w:val="20"/>
          <w:szCs w:val="20"/>
          <w:color w:val="auto"/>
        </w:rPr>
        <w:tab/>
      </w:r>
      <w:hyperlink r:id="rId88">
        <w:r>
          <w:rPr>
            <w:rFonts w:ascii="Arial" w:cs="Arial" w:eastAsia="Arial" w:hAnsi="Arial"/>
            <w:sz w:val="16"/>
            <w:szCs w:val="16"/>
            <w:u w:val="single" w:color="auto"/>
            <w:color w:val="0000FF"/>
          </w:rPr>
          <w:t>Bylaws</w:t>
        </w:r>
      </w:hyperlink>
      <w:r>
        <w:rPr>
          <w:rFonts w:ascii="Arial" w:cs="Arial" w:eastAsia="Arial" w:hAnsi="Arial"/>
          <w:sz w:val="22"/>
          <w:szCs w:val="22"/>
          <w:color w:val="000000"/>
          <w:vertAlign w:val="superscript"/>
        </w:rPr>
        <w:t>(1)</w:t>
      </w:r>
    </w:p>
    <w:p>
      <w:pPr>
        <w:spacing w:after="0" w:line="17" w:lineRule="exact"/>
        <w:rPr>
          <w:sz w:val="20"/>
          <w:szCs w:val="20"/>
          <w:color w:val="auto"/>
        </w:rPr>
      </w:pPr>
    </w:p>
    <w:p>
      <w:pPr>
        <w:ind w:left="240"/>
        <w:spacing w:after="0"/>
        <w:tabs>
          <w:tab w:leader="none" w:pos="700" w:val="left"/>
        </w:tabs>
        <w:rPr>
          <w:rFonts w:ascii="Arial" w:cs="Arial" w:eastAsia="Arial" w:hAnsi="Arial"/>
          <w:sz w:val="15"/>
          <w:szCs w:val="15"/>
          <w:u w:val="single" w:color="auto"/>
          <w:color w:val="0000FF"/>
        </w:rPr>
      </w:pPr>
      <w:r>
        <w:rPr>
          <w:rFonts w:ascii="Arial" w:cs="Arial" w:eastAsia="Arial" w:hAnsi="Arial"/>
          <w:sz w:val="18"/>
          <w:szCs w:val="18"/>
          <w:color w:val="auto"/>
        </w:rPr>
        <w:t>3.5</w:t>
      </w:r>
      <w:r>
        <w:rPr>
          <w:sz w:val="20"/>
          <w:szCs w:val="20"/>
          <w:color w:val="auto"/>
        </w:rPr>
        <w:tab/>
      </w:r>
      <w:hyperlink r:id="rId89">
        <w:r>
          <w:rPr>
            <w:rFonts w:ascii="Arial" w:cs="Arial" w:eastAsia="Arial" w:hAnsi="Arial"/>
            <w:sz w:val="15"/>
            <w:szCs w:val="15"/>
            <w:u w:val="single" w:color="auto"/>
            <w:color w:val="0000FF"/>
          </w:rPr>
          <w:t>Amended and Restated Bylaws</w:t>
        </w:r>
      </w:hyperlink>
      <w:r>
        <w:rPr>
          <w:rFonts w:ascii="Arial" w:cs="Arial" w:eastAsia="Arial" w:hAnsi="Arial"/>
          <w:sz w:val="21"/>
          <w:szCs w:val="21"/>
          <w:color w:val="000000"/>
          <w:vertAlign w:val="superscript"/>
        </w:rPr>
        <w:t>(3)</w:t>
      </w:r>
    </w:p>
    <w:p>
      <w:pPr>
        <w:spacing w:after="0" w:line="29"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90">
        <w:r>
          <w:rPr>
            <w:rFonts w:ascii="Arial" w:cs="Arial" w:eastAsia="Arial" w:hAnsi="Arial"/>
            <w:sz w:val="16"/>
            <w:szCs w:val="16"/>
            <w:u w:val="single" w:color="auto"/>
            <w:color w:val="0000FF"/>
          </w:rPr>
          <w:t xml:space="preserve">Sutter Rock Capital Corp. 2019 Equity Incentive Plan </w:t>
        </w:r>
      </w:hyperlink>
      <w:r>
        <w:rPr>
          <w:rFonts w:ascii="Arial" w:cs="Arial" w:eastAsia="Arial" w:hAnsi="Arial"/>
          <w:sz w:val="22"/>
          <w:szCs w:val="22"/>
          <w:color w:val="000000"/>
          <w:vertAlign w:val="superscript"/>
        </w:rPr>
        <w:t>(4)</w:t>
      </w:r>
    </w:p>
    <w:p>
      <w:pPr>
        <w:spacing w:after="0" w:line="1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91">
        <w:r>
          <w:rPr>
            <w:rFonts w:ascii="Arial" w:cs="Arial" w:eastAsia="Arial" w:hAnsi="Arial"/>
            <w:sz w:val="16"/>
            <w:szCs w:val="16"/>
            <w:u w:val="single" w:color="auto"/>
            <w:color w:val="0000FF"/>
          </w:rPr>
          <w:t xml:space="preserve">Form of Sutter Rock Capital Corp. Non-Qualified Stock Option Award </w:t>
        </w:r>
      </w:hyperlink>
      <w:r>
        <w:rPr>
          <w:rFonts w:ascii="Arial" w:cs="Arial" w:eastAsia="Arial" w:hAnsi="Arial"/>
          <w:sz w:val="22"/>
          <w:szCs w:val="22"/>
          <w:color w:val="000000"/>
          <w:vertAlign w:val="superscript"/>
        </w:rPr>
        <w:t>(4)</w:t>
      </w:r>
    </w:p>
    <w:p>
      <w:pPr>
        <w:spacing w:after="0" w:line="2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81">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47"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82">
        <w:r>
          <w:rPr>
            <w:rFonts w:ascii="Arial" w:cs="Arial" w:eastAsia="Arial" w:hAnsi="Arial"/>
            <w:sz w:val="16"/>
            <w:szCs w:val="16"/>
            <w:u w:val="single" w:color="auto"/>
            <w:color w:val="0000FF"/>
          </w:rPr>
          <w:t>Certification of Chief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83">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84">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hanging="492"/>
        <w:spacing w:after="0" w:line="276"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21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Registration Statement on Form S-8 (File No. 333-233755) filed on September 13, 2019, and incorporated by reference herein.</w:t>
      </w:r>
    </w:p>
    <w:p>
      <w:pPr>
        <w:spacing w:after="0" w:line="170"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SUTTER ROCK CAPITAL CORP.</w:t>
      </w:r>
    </w:p>
    <w:p>
      <w:pPr>
        <w:spacing w:after="0" w:line="391" w:lineRule="exact"/>
        <w:rPr>
          <w:sz w:val="20"/>
          <w:szCs w:val="20"/>
          <w:color w:val="auto"/>
        </w:rPr>
      </w:pPr>
    </w:p>
    <w:p>
      <w:pPr>
        <w:ind w:left="40"/>
        <w:spacing w:after="0"/>
        <w:tabs>
          <w:tab w:leader="none" w:pos="700" w:val="left"/>
          <w:tab w:leader="none" w:pos="562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Mark D. Klein</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700" w:val="left"/>
          <w:tab w:leader="none" w:pos="562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Allison Green</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 Treasurer, and Corporate Secretary</w:t>
      </w:r>
    </w:p>
    <w:p>
      <w:pPr>
        <w:spacing w:after="0" w:line="7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600"/>
          </w:cols>
          <w:pgMar w:left="240" w:top="122" w:right="10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Sutter Rock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Sutter Rock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7th day of November,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31750</wp:posOffset>
            </wp:positionV>
            <wp:extent cx="14408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Sutter Rock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Sutter Rock Capital Corp.;</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4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7th day of November,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7068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September 30, 2019 (the “Report”) of Sutter Rock Capital Corp. (the “Registrant”), as filed with the 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Name: Mark D. Klein</w:t>
      </w:r>
    </w:p>
    <w:p>
      <w:pPr>
        <w:spacing w:after="0" w:line="6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for the quarter ended September 30, 2019 (the “Report”) of Sutter Rock Capital Corp. (the “Registrant”), as filed with the Securities and Exchange Commission on the date hereof, I, Allison Green, the Chief Financial Officer of the Registrant, hereby certify, to the best of my knowledge, that:</w:t>
      </w:r>
    </w:p>
    <w:p>
      <w:pPr>
        <w:spacing w:after="0" w:line="18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Name: Allison Green</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November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2"/>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4"/>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5"/>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2"/>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2"/>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6"/>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4"/>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85" Type="http://schemas.openxmlformats.org/officeDocument/2006/relationships/hyperlink" Target="http://www.sec.gov/Archives/edgar/data/1509470/000113379611000069/k216228_ex99-2a.htm" TargetMode="External"/><Relationship Id="rId86" Type="http://schemas.openxmlformats.org/officeDocument/2006/relationships/hyperlink" Target="http://www.sec.gov/Archives/edgar/data/1509470/000114420411033389/v224342_ex3-1.htm" TargetMode="External"/><Relationship Id="rId87" Type="http://schemas.openxmlformats.org/officeDocument/2006/relationships/hyperlink" Target="http://www.sec.gov/Archives/edgar/data/1509470/000114420419037014/tv526412_ex3-1.htm" TargetMode="External"/><Relationship Id="rId88" Type="http://schemas.openxmlformats.org/officeDocument/2006/relationships/hyperlink" Target="http://www.sec.gov/Archives/edgar/data/1509470/000113379611000069/k216228_ex99-2b.htm" TargetMode="External"/><Relationship Id="rId89" Type="http://schemas.openxmlformats.org/officeDocument/2006/relationships/hyperlink" Target="http://www.sec.gov/Archives/edgar/data/1509470/000114420419037014/tv526412_ex3-2.htm" TargetMode="External"/><Relationship Id="rId90" Type="http://schemas.openxmlformats.org/officeDocument/2006/relationships/hyperlink" Target="http://www.sec.gov/Archives/edgar/data/1509470/000114420419044579/tv528731_ex4-6.htm" TargetMode="External"/><Relationship Id="rId91" Type="http://schemas.openxmlformats.org/officeDocument/2006/relationships/hyperlink" Target="http://www.sec.gov/Archives/edgar/data/1509470/000114420419044579/tv528731_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2019-12-28T01:51:59Z</dcterms:created>
  <dcterms:modified xsi:type="dcterms:W3CDTF">2019-12-28T01:51:59Z</dcterms:modified>
</cp:coreProperties>
</file>