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LOTT RONALD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NEOSTELLAR CAPITAL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 FIFTH AVENUE,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Neostellar Capital Corp.</w:t>
              </w:r>
            </w:hyperlink>
            <w:r>
              <w:rPr/>
              <w:t xml:space="preserve"> [ </w:t>
            </w:r>
            <w:r>
              <w:rPr>
                <w:rFonts w:ascii="Times;serif" w:hAnsi="Times;serif"/>
                <w:color w:val="0000FF"/>
                <w:sz w:val="24"/>
                <w:shd w:fill="FFFFFF" w:val="clear"/>
              </w:rPr>
              <w:t>NSLR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9.96</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16,432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weighted-average price, rounded to the nearest hundredth. The Reporting Person undertakes to provide upon request by the staff of the Securities and Exchange Commission, Neostellar Capital Corp. (the "Company"), or a security holder of the Company,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of record by the Ronald M. Lott Family Trust dtd 3/9/1992 (the "Trust"), of which Mr. Lott is a trustee and beneficiary, and may be deemed to be beneficially owned by Mr. Lott. Mr. Lott disclaims beneficial ownership of the shares held by the Trust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Ronald Lott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003" TargetMode="External"/><Relationship Id="rId5" Type="http://schemas.openxmlformats.org/officeDocument/2006/relationships/hyperlink" Target="http://www.sec.gov/cgi-bin/browse-edgar?action=getcompany&amp;CIK=0001509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3659</Characters>
  <CharactersWithSpaces>4274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