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197485</wp:posOffset>
            </wp:positionH>
            <wp:positionV relativeFrom="page">
              <wp:posOffset>262255</wp:posOffset>
            </wp:positionV>
            <wp:extent cx="7153910"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910" cy="36195"/>
                    </a:xfrm>
                    <a:prstGeom prst="rect">
                      <a:avLst/>
                    </a:prstGeom>
                    <a:noFill/>
                  </pic:spPr>
                </pic:pic>
              </a:graphicData>
            </a:graphic>
          </wp:anchor>
        </w:drawing>
        <w:drawing>
          <wp:anchor simplePos="0" relativeHeight="251657728" behindDoc="1" locked="0" layoutInCell="0" allowOverlap="1">
            <wp:simplePos x="0" y="0"/>
            <wp:positionH relativeFrom="page">
              <wp:posOffset>197485</wp:posOffset>
            </wp:positionH>
            <wp:positionV relativeFrom="page">
              <wp:posOffset>306070</wp:posOffset>
            </wp:positionV>
            <wp:extent cx="7153910" cy="14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910" cy="14605"/>
                    </a:xfrm>
                    <a:prstGeom prst="rect">
                      <a:avLst/>
                    </a:prstGeom>
                    <a:noFill/>
                  </pic:spPr>
                </pic:pic>
              </a:graphicData>
            </a:graphic>
          </wp:anchor>
        </w:drawing>
        <w:t>UNITED STATES</w:t>
      </w:r>
    </w:p>
    <w:p>
      <w:pPr>
        <w:spacing w:after="0" w:line="32"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2683510</wp:posOffset>
            </wp:positionH>
            <wp:positionV relativeFrom="paragraph">
              <wp:posOffset>116205</wp:posOffset>
            </wp:positionV>
            <wp:extent cx="178689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6890" cy="6985"/>
                    </a:xfrm>
                    <a:prstGeom prst="rect">
                      <a:avLst/>
                    </a:prstGeom>
                    <a:noFill/>
                  </pic:spPr>
                </pic:pic>
              </a:graphicData>
            </a:graphic>
          </wp:anchor>
        </w:drawing>
      </w:r>
    </w:p>
    <w:p>
      <w:pPr>
        <w:spacing w:after="0" w:line="339"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2683510</wp:posOffset>
            </wp:positionH>
            <wp:positionV relativeFrom="paragraph">
              <wp:posOffset>139700</wp:posOffset>
            </wp:positionV>
            <wp:extent cx="178689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6890" cy="6985"/>
                    </a:xfrm>
                    <a:prstGeom prst="rect">
                      <a:avLst/>
                    </a:prstGeom>
                    <a:noFill/>
                  </pic:spPr>
                </pic:pic>
              </a:graphicData>
            </a:graphic>
          </wp:anchor>
        </w:drawing>
      </w:r>
    </w:p>
    <w:p>
      <w:pPr>
        <w:spacing w:after="0" w:line="386" w:lineRule="exact"/>
        <w:rPr>
          <w:sz w:val="24"/>
          <w:szCs w:val="24"/>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192" w:lineRule="exact"/>
        <w:rPr>
          <w:sz w:val="24"/>
          <w:szCs w:val="24"/>
          <w:color w:val="auto"/>
        </w:rPr>
      </w:pPr>
    </w:p>
    <w:p>
      <w:pPr>
        <w:ind w:left="3549" w:right="3380" w:hanging="3549"/>
        <w:spacing w:after="0" w:line="485" w:lineRule="auto"/>
        <w:tabs>
          <w:tab w:leader="none" w:pos="176"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 FOR THE QUARTERLY PERIOD ENDED September 30, 2024</w:t>
      </w:r>
    </w:p>
    <w:p>
      <w:pPr>
        <w:spacing w:after="0" w:line="32" w:lineRule="exact"/>
        <w:rPr>
          <w:sz w:val="24"/>
          <w:szCs w:val="24"/>
          <w:color w:val="auto"/>
        </w:rPr>
      </w:pPr>
    </w:p>
    <w:p>
      <w:pPr>
        <w:ind w:left="4189" w:right="3360" w:hanging="4189"/>
        <w:spacing w:after="0" w:line="547" w:lineRule="auto"/>
        <w:tabs>
          <w:tab w:leader="none" w:pos="171"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 COMMISSION FILE NUMBER: 814-00852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2683510</wp:posOffset>
            </wp:positionH>
            <wp:positionV relativeFrom="paragraph">
              <wp:posOffset>-24130</wp:posOffset>
            </wp:positionV>
            <wp:extent cx="178689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6890" cy="6985"/>
                    </a:xfrm>
                    <a:prstGeom prst="rect">
                      <a:avLst/>
                    </a:prstGeom>
                    <a:noFill/>
                  </pic:spPr>
                </pic:pic>
              </a:graphicData>
            </a:graphic>
          </wp:anchor>
        </w:drawing>
      </w:r>
    </w:p>
    <w:p>
      <w:pPr>
        <w:spacing w:after="0" w:line="106"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27"/>
          <w:szCs w:val="27"/>
          <w:b w:val="1"/>
          <w:bCs w:val="1"/>
          <w:color w:val="auto"/>
        </w:rPr>
        <w:t>SuRo Capital Corp.</w:t>
      </w:r>
    </w:p>
    <w:p>
      <w:pPr>
        <w:spacing w:after="0" w:line="39"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2683510</wp:posOffset>
            </wp:positionH>
            <wp:positionV relativeFrom="paragraph">
              <wp:posOffset>121285</wp:posOffset>
            </wp:positionV>
            <wp:extent cx="178689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6890" cy="6985"/>
                    </a:xfrm>
                    <a:prstGeom prst="rect">
                      <a:avLst/>
                    </a:prstGeom>
                    <a:noFill/>
                  </pic:spPr>
                </pic:pic>
              </a:graphicData>
            </a:graphic>
          </wp:anchor>
        </w:drawing>
      </w:r>
    </w:p>
    <w:p>
      <w:pPr>
        <w:spacing w:after="0" w:line="368" w:lineRule="exact"/>
        <w:rPr>
          <w:sz w:val="24"/>
          <w:szCs w:val="24"/>
          <w:color w:val="auto"/>
        </w:rPr>
      </w:pPr>
    </w:p>
    <w:tbl>
      <w:tblPr>
        <w:tblLayout w:type="fixed"/>
        <w:tblInd w:w="9" w:type="dxa"/>
        <w:tblCellMar>
          <w:top w:w="0" w:type="dxa"/>
          <w:left w:w="0" w:type="dxa"/>
          <w:bottom w:w="0" w:type="dxa"/>
          <w:right w:w="0" w:type="dxa"/>
        </w:tblCellMar>
      </w:tblPr>
      <w:tr>
        <w:trPr>
          <w:trHeight w:val="186"/>
        </w:trPr>
        <w:tc>
          <w:tcPr>
            <w:tcW w:w="4760" w:type="dxa"/>
            <w:vAlign w:val="bottom"/>
            <w:gridSpan w:val="3"/>
          </w:tcPr>
          <w:p>
            <w:pPr>
              <w:jc w:val="center"/>
              <w:ind w:left="784"/>
              <w:spacing w:after="0"/>
              <w:rPr>
                <w:sz w:val="20"/>
                <w:szCs w:val="20"/>
                <w:color w:val="auto"/>
              </w:rPr>
            </w:pPr>
            <w:r>
              <w:rPr>
                <w:rFonts w:ascii="Times New Roman" w:cs="Times New Roman" w:eastAsia="Times New Roman" w:hAnsi="Times New Roman"/>
                <w:sz w:val="15"/>
                <w:szCs w:val="15"/>
                <w:b w:val="1"/>
                <w:bCs w:val="1"/>
                <w:color w:val="auto"/>
              </w:rPr>
              <w:t>Maryland</w:t>
            </w: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980" w:type="dxa"/>
            <w:vAlign w:val="bottom"/>
          </w:tcPr>
          <w:p>
            <w:pPr>
              <w:jc w:val="right"/>
              <w:ind w:right="2364"/>
              <w:spacing w:after="0"/>
              <w:rPr>
                <w:sz w:val="20"/>
                <w:szCs w:val="20"/>
                <w:color w:val="auto"/>
              </w:rPr>
            </w:pPr>
            <w:r>
              <w:rPr>
                <w:rFonts w:ascii="Times New Roman" w:cs="Times New Roman" w:eastAsia="Times New Roman" w:hAnsi="Times New Roman"/>
                <w:sz w:val="15"/>
                <w:szCs w:val="15"/>
                <w:b w:val="1"/>
                <w:bCs w:val="1"/>
                <w:color w:val="auto"/>
              </w:rPr>
              <w:t>27-4443543</w:t>
            </w:r>
          </w:p>
        </w:tc>
      </w:tr>
      <w:tr>
        <w:trPr>
          <w:trHeight w:val="178"/>
        </w:trPr>
        <w:tc>
          <w:tcPr>
            <w:tcW w:w="4760" w:type="dxa"/>
            <w:vAlign w:val="bottom"/>
            <w:gridSpan w:val="3"/>
          </w:tcPr>
          <w:p>
            <w:pPr>
              <w:jc w:val="center"/>
              <w:ind w:left="784"/>
              <w:spacing w:after="0"/>
              <w:rPr>
                <w:sz w:val="20"/>
                <w:szCs w:val="20"/>
                <w:color w:val="auto"/>
              </w:rPr>
            </w:pPr>
            <w:r>
              <w:rPr>
                <w:rFonts w:ascii="Times New Roman" w:cs="Times New Roman" w:eastAsia="Times New Roman" w:hAnsi="Times New Roman"/>
                <w:sz w:val="15"/>
                <w:szCs w:val="15"/>
                <w:color w:val="auto"/>
              </w:rPr>
              <w:t>(State or other jurisdiction of incorporation or organization)</w:t>
            </w:r>
          </w:p>
        </w:tc>
        <w:tc>
          <w:tcPr>
            <w:tcW w:w="1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9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(I.R.S. Employer Identification No.)</w:t>
            </w:r>
          </w:p>
        </w:tc>
      </w:tr>
      <w:tr>
        <w:trPr>
          <w:trHeight w:val="186"/>
        </w:trPr>
        <w:tc>
          <w:tcPr>
            <w:tcW w:w="4760" w:type="dxa"/>
            <w:vAlign w:val="bottom"/>
            <w:gridSpan w:val="3"/>
          </w:tcPr>
          <w:p>
            <w:pPr>
              <w:jc w:val="center"/>
              <w:ind w:left="784"/>
              <w:spacing w:after="0"/>
              <w:rPr>
                <w:sz w:val="20"/>
                <w:szCs w:val="20"/>
                <w:color w:val="auto"/>
              </w:rPr>
            </w:pPr>
            <w:r>
              <w:rPr>
                <w:rFonts w:ascii="Times New Roman" w:cs="Times New Roman" w:eastAsia="Times New Roman" w:hAnsi="Times New Roman"/>
                <w:sz w:val="15"/>
                <w:szCs w:val="15"/>
                <w:b w:val="1"/>
                <w:bCs w:val="1"/>
                <w:color w:val="auto"/>
                <w:w w:val="99"/>
              </w:rPr>
              <w:t>640 Fifth Avenue, 12th Floor, New York, NY</w:t>
            </w: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980" w:type="dxa"/>
            <w:vAlign w:val="bottom"/>
          </w:tcPr>
          <w:p>
            <w:pPr>
              <w:jc w:val="right"/>
              <w:ind w:right="2544"/>
              <w:spacing w:after="0"/>
              <w:rPr>
                <w:sz w:val="20"/>
                <w:szCs w:val="20"/>
                <w:color w:val="auto"/>
              </w:rPr>
            </w:pPr>
            <w:r>
              <w:rPr>
                <w:rFonts w:ascii="Times New Roman" w:cs="Times New Roman" w:eastAsia="Times New Roman" w:hAnsi="Times New Roman"/>
                <w:sz w:val="15"/>
                <w:szCs w:val="15"/>
                <w:b w:val="1"/>
                <w:bCs w:val="1"/>
                <w:color w:val="auto"/>
              </w:rPr>
              <w:t>10019</w:t>
            </w:r>
          </w:p>
        </w:tc>
      </w:tr>
      <w:tr>
        <w:trPr>
          <w:trHeight w:val="197"/>
        </w:trPr>
        <w:tc>
          <w:tcPr>
            <w:tcW w:w="4760" w:type="dxa"/>
            <w:vAlign w:val="bottom"/>
            <w:gridSpan w:val="3"/>
          </w:tcPr>
          <w:p>
            <w:pPr>
              <w:jc w:val="center"/>
              <w:ind w:left="784"/>
              <w:spacing w:after="0"/>
              <w:rPr>
                <w:sz w:val="20"/>
                <w:szCs w:val="20"/>
                <w:color w:val="auto"/>
              </w:rPr>
            </w:pPr>
            <w:r>
              <w:rPr>
                <w:rFonts w:ascii="Times New Roman" w:cs="Times New Roman" w:eastAsia="Times New Roman" w:hAnsi="Times New Roman"/>
                <w:sz w:val="15"/>
                <w:szCs w:val="15"/>
                <w:color w:val="auto"/>
              </w:rPr>
              <w:t>(Address of principal executive offices)</w:t>
            </w: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980" w:type="dxa"/>
            <w:vAlign w:val="bottom"/>
          </w:tcPr>
          <w:p>
            <w:pPr>
              <w:ind w:left="820"/>
              <w:spacing w:after="0"/>
              <w:rPr>
                <w:sz w:val="20"/>
                <w:szCs w:val="20"/>
                <w:color w:val="auto"/>
              </w:rPr>
            </w:pPr>
            <w:r>
              <w:rPr>
                <w:rFonts w:ascii="Times New Roman" w:cs="Times New Roman" w:eastAsia="Times New Roman" w:hAnsi="Times New Roman"/>
                <w:sz w:val="15"/>
                <w:szCs w:val="15"/>
                <w:color w:val="auto"/>
              </w:rPr>
              <w:t>(Zip Code)</w:t>
            </w:r>
          </w:p>
        </w:tc>
      </w:tr>
      <w:tr>
        <w:trPr>
          <w:trHeight w:val="349"/>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(212) 931-6331</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197"/>
        </w:trPr>
        <w:tc>
          <w:tcPr>
            <w:tcW w:w="7280" w:type="dxa"/>
            <w:vAlign w:val="bottom"/>
            <w:gridSpan w:val="6"/>
          </w:tcPr>
          <w:p>
            <w:pPr>
              <w:jc w:val="center"/>
              <w:ind w:left="3904"/>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tc>
        <w:tc>
          <w:tcPr>
            <w:tcW w:w="3980" w:type="dxa"/>
            <w:vAlign w:val="bottom"/>
          </w:tcPr>
          <w:p>
            <w:pPr>
              <w:spacing w:after="0"/>
              <w:rPr>
                <w:sz w:val="17"/>
                <w:szCs w:val="17"/>
                <w:color w:val="auto"/>
              </w:rPr>
            </w:pPr>
          </w:p>
        </w:tc>
      </w:tr>
      <w:tr>
        <w:trPr>
          <w:trHeight w:val="365"/>
        </w:trPr>
        <w:tc>
          <w:tcPr>
            <w:tcW w:w="11260" w:type="dxa"/>
            <w:vAlign w:val="bottom"/>
            <w:gridSpan w:val="7"/>
          </w:tcPr>
          <w:p>
            <w:pPr>
              <w:jc w:val="cente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r>
      <w:tr>
        <w:trPr>
          <w:trHeight w:val="367"/>
        </w:trPr>
        <w:tc>
          <w:tcPr>
            <w:tcW w:w="4760" w:type="dxa"/>
            <w:vAlign w:val="bottom"/>
            <w:gridSpan w:val="3"/>
          </w:tcPr>
          <w:p>
            <w:pPr>
              <w:jc w:val="center"/>
              <w:ind w:right="70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2520" w:type="dxa"/>
            <w:vAlign w:val="bottom"/>
            <w:gridSpan w:val="3"/>
          </w:tcPr>
          <w:p>
            <w:pPr>
              <w:jc w:val="center"/>
              <w:ind w:right="1220"/>
              <w:spacing w:after="0"/>
              <w:rPr>
                <w:sz w:val="20"/>
                <w:szCs w:val="20"/>
                <w:color w:val="auto"/>
              </w:rPr>
            </w:pPr>
            <w:r>
              <w:rPr>
                <w:rFonts w:ascii="Times New Roman" w:cs="Times New Roman" w:eastAsia="Times New Roman" w:hAnsi="Times New Roman"/>
                <w:sz w:val="15"/>
                <w:szCs w:val="15"/>
                <w:b w:val="1"/>
                <w:bCs w:val="1"/>
                <w:color w:val="auto"/>
              </w:rPr>
              <w:t>Trading Symbol</w:t>
            </w:r>
          </w:p>
        </w:tc>
        <w:tc>
          <w:tcPr>
            <w:tcW w:w="3980" w:type="dxa"/>
            <w:vAlign w:val="bottom"/>
          </w:tcPr>
          <w:p>
            <w:pPr>
              <w:ind w:left="240"/>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168"/>
        </w:trPr>
        <w:tc>
          <w:tcPr>
            <w:tcW w:w="4060" w:type="dxa"/>
            <w:vAlign w:val="bottom"/>
            <w:tcBorders>
              <w:top w:val="single" w:sz="8" w:color="auto"/>
            </w:tcBorders>
          </w:tcPr>
          <w:p>
            <w:pPr>
              <w:jc w:val="center"/>
              <w:spacing w:after="0" w:line="168" w:lineRule="exact"/>
              <w:rPr>
                <w:sz w:val="20"/>
                <w:szCs w:val="20"/>
                <w:color w:val="auto"/>
              </w:rPr>
            </w:pPr>
            <w:r>
              <w:rPr>
                <w:rFonts w:ascii="Times New Roman" w:cs="Times New Roman" w:eastAsia="Times New Roman" w:hAnsi="Times New Roman"/>
                <w:sz w:val="15"/>
                <w:szCs w:val="15"/>
                <w:color w:val="auto"/>
              </w:rPr>
              <w:t>Common Stock, par value $0.01 per share</w:t>
            </w:r>
          </w:p>
        </w:tc>
        <w:tc>
          <w:tcPr>
            <w:tcW w:w="22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jc w:val="center"/>
              <w:ind w:right="404"/>
              <w:spacing w:after="0" w:line="168" w:lineRule="exact"/>
              <w:rPr>
                <w:sz w:val="20"/>
                <w:szCs w:val="20"/>
                <w:color w:val="auto"/>
              </w:rPr>
            </w:pPr>
            <w:r>
              <w:rPr>
                <w:rFonts w:ascii="Times New Roman" w:cs="Times New Roman" w:eastAsia="Times New Roman" w:hAnsi="Times New Roman"/>
                <w:sz w:val="15"/>
                <w:szCs w:val="15"/>
                <w:color w:val="auto"/>
              </w:rPr>
              <w:t>SSSS</w:t>
            </w:r>
          </w:p>
        </w:tc>
        <w:tc>
          <w:tcPr>
            <w:tcW w:w="22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3980" w:type="dxa"/>
            <w:vAlign w:val="bottom"/>
            <w:tcBorders>
              <w:top w:val="single" w:sz="8" w:color="auto"/>
            </w:tcBorders>
          </w:tcPr>
          <w:p>
            <w:pPr>
              <w:ind w:left="840"/>
              <w:spacing w:after="0" w:line="168" w:lineRule="exact"/>
              <w:rPr>
                <w:sz w:val="20"/>
                <w:szCs w:val="20"/>
                <w:color w:val="auto"/>
              </w:rPr>
            </w:pPr>
            <w:r>
              <w:rPr>
                <w:rFonts w:ascii="Times New Roman" w:cs="Times New Roman" w:eastAsia="Times New Roman" w:hAnsi="Times New Roman"/>
                <w:sz w:val="15"/>
                <w:szCs w:val="15"/>
                <w:color w:val="auto"/>
              </w:rPr>
              <w:t>Nasdaq Global Select Market</w:t>
            </w:r>
          </w:p>
        </w:tc>
      </w:tr>
      <w:tr>
        <w:trPr>
          <w:trHeight w:val="197"/>
        </w:trPr>
        <w:tc>
          <w:tcPr>
            <w:tcW w:w="4760" w:type="dxa"/>
            <w:vAlign w:val="bottom"/>
            <w:gridSpan w:val="3"/>
          </w:tcPr>
          <w:p>
            <w:pPr>
              <w:jc w:val="center"/>
              <w:ind w:right="700"/>
              <w:spacing w:after="0"/>
              <w:rPr>
                <w:sz w:val="20"/>
                <w:szCs w:val="20"/>
                <w:color w:val="auto"/>
              </w:rPr>
            </w:pPr>
            <w:r>
              <w:rPr>
                <w:rFonts w:ascii="Times New Roman" w:cs="Times New Roman" w:eastAsia="Times New Roman" w:hAnsi="Times New Roman"/>
                <w:sz w:val="15"/>
                <w:szCs w:val="15"/>
                <w:color w:val="auto"/>
              </w:rPr>
              <w:t>6.00% Notes due 2026</w:t>
            </w:r>
          </w:p>
        </w:tc>
        <w:tc>
          <w:tcPr>
            <w:tcW w:w="2520" w:type="dxa"/>
            <w:vAlign w:val="bottom"/>
            <w:gridSpan w:val="3"/>
          </w:tcPr>
          <w:p>
            <w:pPr>
              <w:jc w:val="center"/>
              <w:ind w:right="1220"/>
              <w:spacing w:after="0"/>
              <w:rPr>
                <w:sz w:val="20"/>
                <w:szCs w:val="20"/>
                <w:color w:val="auto"/>
              </w:rPr>
            </w:pPr>
            <w:r>
              <w:rPr>
                <w:rFonts w:ascii="Times New Roman" w:cs="Times New Roman" w:eastAsia="Times New Roman" w:hAnsi="Times New Roman"/>
                <w:sz w:val="15"/>
                <w:szCs w:val="15"/>
                <w:color w:val="auto"/>
                <w:w w:val="98"/>
              </w:rPr>
              <w:t>SSSSL</w:t>
            </w:r>
          </w:p>
        </w:tc>
        <w:tc>
          <w:tcPr>
            <w:tcW w:w="3980" w:type="dxa"/>
            <w:vAlign w:val="bottom"/>
          </w:tcPr>
          <w:p>
            <w:pPr>
              <w:ind w:left="840"/>
              <w:spacing w:after="0"/>
              <w:rPr>
                <w:sz w:val="20"/>
                <w:szCs w:val="20"/>
                <w:color w:val="auto"/>
              </w:rPr>
            </w:pPr>
            <w:r>
              <w:rPr>
                <w:rFonts w:ascii="Times New Roman" w:cs="Times New Roman" w:eastAsia="Times New Roman" w:hAnsi="Times New Roman"/>
                <w:sz w:val="15"/>
                <w:szCs w:val="15"/>
                <w:color w:val="auto"/>
              </w:rPr>
              <w:t>Nasdaq Global Select Market</w:t>
            </w:r>
          </w:p>
        </w:tc>
      </w:tr>
    </w:tbl>
    <w:p>
      <w:pPr>
        <w:spacing w:after="0" w:line="167" w:lineRule="exact"/>
        <w:rPr>
          <w:sz w:val="24"/>
          <w:szCs w:val="24"/>
          <w:color w:val="auto"/>
        </w:rPr>
      </w:pPr>
    </w:p>
    <w:p>
      <w:pPr>
        <w:jc w:val="both"/>
        <w:ind w:left="9" w:firstLine="273"/>
        <w:spacing w:after="0" w:line="20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44" w:lineRule="exact"/>
        <w:rPr>
          <w:sz w:val="24"/>
          <w:szCs w:val="24"/>
          <w:color w:val="auto"/>
        </w:rPr>
      </w:pPr>
    </w:p>
    <w:p>
      <w:pPr>
        <w:jc w:val="both"/>
        <w:ind w:left="9" w:firstLine="273"/>
        <w:spacing w:after="0" w:line="20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44" w:lineRule="exact"/>
        <w:rPr>
          <w:sz w:val="24"/>
          <w:szCs w:val="24"/>
          <w:color w:val="auto"/>
        </w:rPr>
      </w:pPr>
    </w:p>
    <w:p>
      <w:pPr>
        <w:ind w:left="269"/>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2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ectPr>
          <w:pgSz w:w="11900" w:h="16838" w:orient="portrait"/>
          <w:cols w:equalWidth="0" w:num="1">
            <w:col w:w="11269"/>
          </w:cols>
          <w:pgMar w:left="311" w:top="646" w:right="319" w:bottom="1440" w:gutter="0" w:footer="0" w:header="0"/>
        </w:sectPr>
      </w:pPr>
    </w:p>
    <w:p>
      <w:pPr>
        <w:spacing w:after="0" w:line="141" w:lineRule="exact"/>
        <w:rPr>
          <w:sz w:val="24"/>
          <w:szCs w:val="24"/>
          <w:color w:val="auto"/>
        </w:rPr>
      </w:pPr>
    </w:p>
    <w:p>
      <w:pPr>
        <w:ind w:left="269"/>
        <w:spacing w:after="0" w:line="173"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p>
    <w:p>
      <w:pPr>
        <w:spacing w:after="0" w:line="61" w:lineRule="exact"/>
        <w:rPr>
          <w:sz w:val="24"/>
          <w:szCs w:val="24"/>
          <w:color w:val="auto"/>
        </w:rPr>
      </w:pPr>
    </w:p>
    <w:p>
      <w:pPr>
        <w:ind w:left="269"/>
        <w:spacing w:after="0" w:line="173" w:lineRule="exact"/>
        <w:rPr>
          <w:sz w:val="20"/>
          <w:szCs w:val="20"/>
          <w:color w:val="auto"/>
        </w:rPr>
      </w:pPr>
      <w:r>
        <w:rPr>
          <w:rFonts w:ascii="Times New Roman" w:cs="Times New Roman" w:eastAsia="Times New Roman" w:hAnsi="Times New Roman"/>
          <w:sz w:val="15"/>
          <w:szCs w:val="15"/>
          <w:color w:val="auto"/>
        </w:rPr>
        <w:t xml:space="preserve">Non-accelerated filer </w:t>
      </w:r>
      <w:r>
        <w:rPr>
          <w:rFonts w:ascii="MS PGothic" w:cs="MS PGothic" w:eastAsia="MS PGothic" w:hAnsi="MS PGothic"/>
          <w:sz w:val="15"/>
          <w:szCs w:val="15"/>
          <w:color w:val="auto"/>
        </w:rPr>
        <w:t>☒</w:t>
      </w:r>
    </w:p>
    <w:p>
      <w:pPr>
        <w:spacing w:after="0" w:line="10" w:lineRule="exact"/>
        <w:rPr>
          <w:sz w:val="24"/>
          <w:szCs w:val="24"/>
          <w:color w:val="auto"/>
        </w:rPr>
      </w:pPr>
    </w:p>
    <w:p>
      <w:pPr>
        <w:ind w:left="269"/>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61"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p>
    <w:p>
      <w:pPr>
        <w:spacing w:after="0" w:line="358" w:lineRule="exact"/>
        <w:rPr>
          <w:sz w:val="24"/>
          <w:szCs w:val="24"/>
          <w:color w:val="auto"/>
        </w:rPr>
      </w:pPr>
    </w:p>
    <w:p>
      <w:pPr>
        <w:sectPr>
          <w:pgSz w:w="11900" w:h="16838" w:orient="portrait"/>
          <w:cols w:equalWidth="0" w:num="2">
            <w:col w:w="5969" w:space="720"/>
            <w:col w:w="4580"/>
          </w:cols>
          <w:pgMar w:left="311" w:top="646" w:right="319" w:bottom="1440" w:gutter="0" w:footer="0" w:header="0"/>
          <w:type w:val="continuous"/>
        </w:sectPr>
      </w:pPr>
    </w:p>
    <w:p>
      <w:pPr>
        <w:ind w:left="9" w:firstLine="273"/>
        <w:spacing w:after="0" w:line="202"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09" w:lineRule="exact"/>
        <w:rPr>
          <w:sz w:val="24"/>
          <w:szCs w:val="24"/>
          <w:color w:val="auto"/>
        </w:rPr>
      </w:pPr>
    </w:p>
    <w:p>
      <w:pPr>
        <w:ind w:left="269"/>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8" w:lineRule="exact"/>
        <w:rPr>
          <w:sz w:val="24"/>
          <w:szCs w:val="24"/>
          <w:color w:val="auto"/>
        </w:rPr>
      </w:pPr>
    </w:p>
    <w:p>
      <w:pPr>
        <w:ind w:left="269"/>
        <w:spacing w:after="0"/>
        <w:rPr>
          <w:sz w:val="20"/>
          <w:szCs w:val="20"/>
          <w:color w:val="auto"/>
        </w:rPr>
      </w:pPr>
      <w:r>
        <w:rPr>
          <w:rFonts w:ascii="Times New Roman" w:cs="Times New Roman" w:eastAsia="Times New Roman" w:hAnsi="Times New Roman"/>
          <w:sz w:val="15"/>
          <w:szCs w:val="15"/>
          <w:color w:val="auto"/>
        </w:rPr>
        <w:t>The issuer had 23,378,002 shares of common stock, $0.01 par value per share, outstanding as of November 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7153910" cy="14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910" cy="146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153035</wp:posOffset>
            </wp:positionV>
            <wp:extent cx="7153910" cy="36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910" cy="361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420370</wp:posOffset>
            </wp:positionV>
            <wp:extent cx="715391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646"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1"/>
        </w:trPr>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240" w:type="dxa"/>
            <w:vAlign w:val="bottom"/>
            <w:gridSpan w:val="7"/>
          </w:tcPr>
          <w:p>
            <w:pPr>
              <w:jc w:val="center"/>
              <w:ind w:right="3940"/>
              <w:spacing w:after="0"/>
              <w:rPr>
                <w:sz w:val="20"/>
                <w:szCs w:val="20"/>
                <w:color w:val="auto"/>
              </w:rPr>
            </w:pPr>
            <w:r>
              <w:rPr>
                <w:rFonts w:ascii="Times New Roman" w:cs="Times New Roman" w:eastAsia="Times New Roman" w:hAnsi="Times New Roman"/>
                <w:sz w:val="15"/>
                <w:szCs w:val="15"/>
                <w:b w:val="1"/>
                <w:bCs w:val="1"/>
                <w:color w:val="auto"/>
                <w:w w:val="99"/>
              </w:rPr>
              <w:t>SURO CAPITAL CORP.</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65"/>
        </w:trPr>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240" w:type="dxa"/>
            <w:vAlign w:val="bottom"/>
            <w:gridSpan w:val="7"/>
          </w:tcPr>
          <w:p>
            <w:pPr>
              <w:jc w:val="center"/>
              <w:ind w:right="394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5"/>
        </w:trPr>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PAGE</w:t>
            </w:r>
          </w:p>
        </w:tc>
      </w:tr>
      <w:tr>
        <w:trPr>
          <w:trHeight w:val="154"/>
        </w:trPr>
        <w:tc>
          <w:tcPr>
            <w:tcW w:w="2580" w:type="dxa"/>
            <w:vAlign w:val="bottom"/>
            <w:tcBorders>
              <w:top w:val="single" w:sz="8" w:color="CCEEFF"/>
              <w:bottom w:val="single" w:sz="8" w:color="0000EE"/>
            </w:tcBorders>
            <w:gridSpan w:val="9"/>
            <w:shd w:val="clear" w:color="auto" w:fill="CCEEFF"/>
          </w:tcPr>
          <w:p>
            <w:pPr>
              <w:spacing w:after="0" w:line="128" w:lineRule="exact"/>
              <w:rPr>
                <w:sz w:val="20"/>
                <w:szCs w:val="20"/>
                <w:color w:val="auto"/>
              </w:rPr>
            </w:pPr>
            <w:r>
              <w:rPr>
                <w:rFonts w:ascii="Times New Roman" w:cs="Times New Roman" w:eastAsia="Times New Roman" w:hAnsi="Times New Roman"/>
                <w:sz w:val="14"/>
                <w:szCs w:val="14"/>
                <w:b w:val="1"/>
                <w:bCs w:val="1"/>
                <w:color w:val="0000EE"/>
              </w:rPr>
              <w:t>PART I. FINANCIAL INFORMATION</w:t>
            </w:r>
          </w:p>
        </w:tc>
        <w:tc>
          <w:tcPr>
            <w:tcW w:w="8140" w:type="dxa"/>
            <w:vAlign w:val="bottom"/>
            <w:tcBorders>
              <w:top w:val="single" w:sz="8" w:color="CCEEFF"/>
              <w:bottom w:val="single" w:sz="8" w:color="CCEEFF"/>
            </w:tcBorders>
            <w:gridSpan w:val="9"/>
            <w:shd w:val="clear" w:color="auto" w:fill="CCEEFF"/>
          </w:tcPr>
          <w:p>
            <w:pPr>
              <w:spacing w:after="0"/>
              <w:rPr>
                <w:sz w:val="13"/>
                <w:szCs w:val="13"/>
                <w:color w:val="auto"/>
              </w:rPr>
            </w:pPr>
          </w:p>
        </w:tc>
        <w:tc>
          <w:tcPr>
            <w:tcW w:w="540" w:type="dxa"/>
            <w:vAlign w:val="bottom"/>
            <w:tcBorders>
              <w:top w:val="single" w:sz="8" w:color="auto"/>
              <w:bottom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64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Item 1.</w:t>
            </w:r>
          </w:p>
        </w:tc>
        <w:tc>
          <w:tcPr>
            <w:tcW w:w="10080" w:type="dxa"/>
            <w:vAlign w:val="bottom"/>
            <w:gridSpan w:val="17"/>
          </w:tcPr>
          <w:p>
            <w:pPr>
              <w:ind w:left="180"/>
              <w:spacing w:after="0" w:line="149" w:lineRule="exact"/>
              <w:rPr>
                <w:sz w:val="20"/>
                <w:szCs w:val="20"/>
                <w:color w:val="auto"/>
              </w:rPr>
            </w:pPr>
            <w:r>
              <w:rPr>
                <w:rFonts w:ascii="Times New Roman" w:cs="Times New Roman" w:eastAsia="Times New Roman" w:hAnsi="Times New Roman"/>
                <w:sz w:val="15"/>
                <w:szCs w:val="15"/>
                <w:color w:val="0000EE"/>
              </w:rPr>
              <w:t>Financial Statements</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5"/>
                <w:szCs w:val="15"/>
                <w:color w:val="auto"/>
              </w:rPr>
              <w:t>2</w:t>
            </w:r>
          </w:p>
        </w:tc>
        <w:tc>
          <w:tcPr>
            <w:tcW w:w="20" w:type="dxa"/>
            <w:vAlign w:val="bottom"/>
          </w:tcPr>
          <w:p>
            <w:pPr>
              <w:spacing w:after="0"/>
              <w:rPr>
                <w:sz w:val="12"/>
                <w:szCs w:val="12"/>
                <w:color w:val="auto"/>
              </w:rPr>
            </w:pPr>
          </w:p>
        </w:tc>
      </w:tr>
      <w:tr>
        <w:trPr>
          <w:trHeight w:val="20"/>
        </w:trPr>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640" w:type="dxa"/>
            <w:vAlign w:val="bottom"/>
            <w:shd w:val="clear" w:color="auto" w:fill="CCEEFF"/>
          </w:tcPr>
          <w:p>
            <w:pPr>
              <w:spacing w:after="0"/>
              <w:rPr>
                <w:sz w:val="14"/>
                <w:szCs w:val="14"/>
                <w:color w:val="auto"/>
              </w:rPr>
            </w:pPr>
          </w:p>
        </w:tc>
        <w:tc>
          <w:tcPr>
            <w:tcW w:w="10080" w:type="dxa"/>
            <w:vAlign w:val="bottom"/>
            <w:gridSpan w:val="17"/>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0000EE"/>
              </w:rPr>
              <w:t>Condensed Consolidated Statements of Assets and Liabilities as of September 30, 2024 (Unaudited) and December 31, 2023</w:t>
            </w:r>
          </w:p>
        </w:tc>
        <w:tc>
          <w:tcPr>
            <w:tcW w:w="5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20" w:type="dxa"/>
            <w:vAlign w:val="bottom"/>
          </w:tcPr>
          <w:p>
            <w:pPr>
              <w:spacing w:after="0"/>
              <w:rPr>
                <w:sz w:val="14"/>
                <w:szCs w:val="14"/>
                <w:color w:val="auto"/>
              </w:rPr>
            </w:pPr>
          </w:p>
        </w:tc>
      </w:tr>
      <w:tr>
        <w:trPr>
          <w:trHeight w:val="34"/>
        </w:trPr>
        <w:tc>
          <w:tcPr>
            <w:tcW w:w="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70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840" w:type="dxa"/>
            <w:vAlign w:val="bottom"/>
            <w:tcBorders>
              <w:righ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7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40" w:type="dxa"/>
            <w:vAlign w:val="bottom"/>
            <w:tcBorders>
              <w:lef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48"/>
        </w:trPr>
        <w:tc>
          <w:tcPr>
            <w:tcW w:w="640" w:type="dxa"/>
            <w:vAlign w:val="bottom"/>
          </w:tcPr>
          <w:p>
            <w:pPr>
              <w:spacing w:after="0"/>
              <w:rPr>
                <w:sz w:val="12"/>
                <w:szCs w:val="12"/>
                <w:color w:val="auto"/>
              </w:rPr>
            </w:pPr>
          </w:p>
        </w:tc>
        <w:tc>
          <w:tcPr>
            <w:tcW w:w="10080" w:type="dxa"/>
            <w:vAlign w:val="bottom"/>
            <w:gridSpan w:val="17"/>
          </w:tcPr>
          <w:p>
            <w:pPr>
              <w:ind w:left="180"/>
              <w:spacing w:after="0" w:line="149" w:lineRule="exact"/>
              <w:rPr>
                <w:sz w:val="20"/>
                <w:szCs w:val="20"/>
                <w:color w:val="auto"/>
              </w:rPr>
            </w:pPr>
            <w:r>
              <w:rPr>
                <w:rFonts w:ascii="Times New Roman" w:cs="Times New Roman" w:eastAsia="Times New Roman" w:hAnsi="Times New Roman"/>
                <w:sz w:val="15"/>
                <w:szCs w:val="15"/>
                <w:color w:val="0000EE"/>
              </w:rPr>
              <w:t>Condensed Consolidated Statements of Operations for the Three and Nine Months Ended September 30, 2024 and 2023 (Unaudited)</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5"/>
                <w:szCs w:val="15"/>
                <w:color w:val="auto"/>
              </w:rPr>
              <w:t>3</w:t>
            </w:r>
          </w:p>
        </w:tc>
        <w:tc>
          <w:tcPr>
            <w:tcW w:w="20" w:type="dxa"/>
            <w:vAlign w:val="bottom"/>
          </w:tcPr>
          <w:p>
            <w:pPr>
              <w:spacing w:after="0"/>
              <w:rPr>
                <w:sz w:val="12"/>
                <w:szCs w:val="12"/>
                <w:color w:val="auto"/>
              </w:rPr>
            </w:pPr>
          </w:p>
        </w:tc>
      </w:tr>
      <w:tr>
        <w:trPr>
          <w:trHeight w:val="20"/>
        </w:trPr>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640" w:type="dxa"/>
            <w:vAlign w:val="bottom"/>
            <w:shd w:val="clear" w:color="auto" w:fill="CCEEFF"/>
          </w:tcPr>
          <w:p>
            <w:pPr>
              <w:spacing w:after="0"/>
              <w:rPr>
                <w:sz w:val="14"/>
                <w:szCs w:val="14"/>
                <w:color w:val="auto"/>
              </w:rPr>
            </w:pPr>
          </w:p>
        </w:tc>
        <w:tc>
          <w:tcPr>
            <w:tcW w:w="10080" w:type="dxa"/>
            <w:vAlign w:val="bottom"/>
            <w:gridSpan w:val="17"/>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0000EE"/>
              </w:rPr>
              <w:t>Condensed Consolidated Statements of Changes in Net Assets for the Nine Months Ended September 30, 2024 and 2023 (Unaudited)</w:t>
            </w:r>
          </w:p>
        </w:tc>
        <w:tc>
          <w:tcPr>
            <w:tcW w:w="5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w:t>
            </w:r>
          </w:p>
        </w:tc>
        <w:tc>
          <w:tcPr>
            <w:tcW w:w="20" w:type="dxa"/>
            <w:vAlign w:val="bottom"/>
          </w:tcPr>
          <w:p>
            <w:pPr>
              <w:spacing w:after="0"/>
              <w:rPr>
                <w:sz w:val="14"/>
                <w:szCs w:val="14"/>
                <w:color w:val="auto"/>
              </w:rPr>
            </w:pPr>
          </w:p>
        </w:tc>
      </w:tr>
      <w:tr>
        <w:trPr>
          <w:trHeight w:val="34"/>
        </w:trPr>
        <w:tc>
          <w:tcPr>
            <w:tcW w:w="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70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840" w:type="dxa"/>
            <w:vAlign w:val="bottom"/>
            <w:tcBorders>
              <w:righ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7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840" w:type="dxa"/>
            <w:vAlign w:val="bottom"/>
            <w:tcBorders>
              <w:left w:val="single" w:sz="8" w:color="0000EE"/>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48"/>
        </w:trPr>
        <w:tc>
          <w:tcPr>
            <w:tcW w:w="640" w:type="dxa"/>
            <w:vAlign w:val="bottom"/>
          </w:tcPr>
          <w:p>
            <w:pPr>
              <w:spacing w:after="0"/>
              <w:rPr>
                <w:sz w:val="12"/>
                <w:szCs w:val="12"/>
                <w:color w:val="auto"/>
              </w:rPr>
            </w:pPr>
          </w:p>
        </w:tc>
        <w:tc>
          <w:tcPr>
            <w:tcW w:w="10080" w:type="dxa"/>
            <w:vAlign w:val="bottom"/>
            <w:gridSpan w:val="17"/>
          </w:tcPr>
          <w:p>
            <w:pPr>
              <w:ind w:left="180"/>
              <w:spacing w:after="0" w:line="149" w:lineRule="exact"/>
              <w:rPr>
                <w:sz w:val="20"/>
                <w:szCs w:val="20"/>
                <w:color w:val="auto"/>
              </w:rPr>
            </w:pPr>
            <w:r>
              <w:rPr>
                <w:rFonts w:ascii="Times New Roman" w:cs="Times New Roman" w:eastAsia="Times New Roman" w:hAnsi="Times New Roman"/>
                <w:sz w:val="15"/>
                <w:szCs w:val="15"/>
                <w:color w:val="0000EE"/>
              </w:rPr>
              <w:t>Condensed Consolidated Statements of Cash Flows for the Nine Months Ended September 30, 2024 and 2023 (Unaudited)</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5"/>
                <w:szCs w:val="15"/>
                <w:color w:val="auto"/>
              </w:rPr>
              <w:t>5</w:t>
            </w:r>
          </w:p>
        </w:tc>
        <w:tc>
          <w:tcPr>
            <w:tcW w:w="20" w:type="dxa"/>
            <w:vAlign w:val="bottom"/>
          </w:tcPr>
          <w:p>
            <w:pPr>
              <w:spacing w:after="0"/>
              <w:rPr>
                <w:sz w:val="12"/>
                <w:szCs w:val="12"/>
                <w:color w:val="auto"/>
              </w:rPr>
            </w:pPr>
          </w:p>
        </w:tc>
      </w:tr>
      <w:tr>
        <w:trPr>
          <w:trHeight w:val="20"/>
        </w:trPr>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640" w:type="dxa"/>
            <w:vAlign w:val="bottom"/>
            <w:shd w:val="clear" w:color="auto" w:fill="CCEEFF"/>
          </w:tcPr>
          <w:p>
            <w:pPr>
              <w:spacing w:after="0"/>
              <w:rPr>
                <w:sz w:val="14"/>
                <w:szCs w:val="14"/>
                <w:color w:val="auto"/>
              </w:rPr>
            </w:pPr>
          </w:p>
        </w:tc>
        <w:tc>
          <w:tcPr>
            <w:tcW w:w="10080" w:type="dxa"/>
            <w:vAlign w:val="bottom"/>
            <w:gridSpan w:val="17"/>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color w:val="0000EE"/>
              </w:rPr>
              <w:t>Condensed Consolidated Schedule of Investments as of September 30, 2024 (Unaudited)</w:t>
            </w:r>
          </w:p>
        </w:tc>
        <w:tc>
          <w:tcPr>
            <w:tcW w:w="5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w:t>
            </w:r>
          </w:p>
        </w:tc>
        <w:tc>
          <w:tcPr>
            <w:tcW w:w="20" w:type="dxa"/>
            <w:vAlign w:val="bottom"/>
          </w:tcPr>
          <w:p>
            <w:pPr>
              <w:spacing w:after="0"/>
              <w:rPr>
                <w:sz w:val="14"/>
                <w:szCs w:val="14"/>
                <w:color w:val="auto"/>
              </w:rPr>
            </w:pPr>
          </w:p>
        </w:tc>
      </w:tr>
      <w:tr>
        <w:trPr>
          <w:trHeight w:val="34"/>
        </w:trPr>
        <w:tc>
          <w:tcPr>
            <w:tcW w:w="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70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840" w:type="dxa"/>
            <w:vAlign w:val="bottom"/>
            <w:tcBorders>
              <w:right w:val="single" w:sz="8" w:color="CCEEFF"/>
            </w:tcBorders>
            <w:shd w:val="clear" w:color="auto" w:fill="0000EE"/>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40" w:type="dxa"/>
            <w:vAlign w:val="bottom"/>
            <w:tcBorders>
              <w:lef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48"/>
        </w:trPr>
        <w:tc>
          <w:tcPr>
            <w:tcW w:w="640" w:type="dxa"/>
            <w:vAlign w:val="bottom"/>
          </w:tcPr>
          <w:p>
            <w:pPr>
              <w:spacing w:after="0"/>
              <w:rPr>
                <w:sz w:val="12"/>
                <w:szCs w:val="12"/>
                <w:color w:val="auto"/>
              </w:rPr>
            </w:pPr>
          </w:p>
        </w:tc>
        <w:tc>
          <w:tcPr>
            <w:tcW w:w="10080" w:type="dxa"/>
            <w:vAlign w:val="bottom"/>
            <w:gridSpan w:val="17"/>
          </w:tcPr>
          <w:p>
            <w:pPr>
              <w:ind w:left="180"/>
              <w:spacing w:after="0" w:line="149" w:lineRule="exact"/>
              <w:rPr>
                <w:sz w:val="20"/>
                <w:szCs w:val="20"/>
                <w:color w:val="auto"/>
              </w:rPr>
            </w:pPr>
            <w:r>
              <w:rPr>
                <w:rFonts w:ascii="Times New Roman" w:cs="Times New Roman" w:eastAsia="Times New Roman" w:hAnsi="Times New Roman"/>
                <w:sz w:val="15"/>
                <w:szCs w:val="15"/>
                <w:color w:val="0000EE"/>
              </w:rPr>
              <w:t>Condensed Consolidated Schedule of Investments as of December 31, 2023</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5"/>
                <w:szCs w:val="15"/>
                <w:color w:val="auto"/>
              </w:rPr>
              <w:t>10</w:t>
            </w:r>
          </w:p>
        </w:tc>
        <w:tc>
          <w:tcPr>
            <w:tcW w:w="20" w:type="dxa"/>
            <w:vAlign w:val="bottom"/>
          </w:tcPr>
          <w:p>
            <w:pPr>
              <w:spacing w:after="0"/>
              <w:rPr>
                <w:sz w:val="12"/>
                <w:szCs w:val="12"/>
                <w:color w:val="auto"/>
              </w:rPr>
            </w:pPr>
          </w:p>
        </w:tc>
      </w:tr>
      <w:tr>
        <w:trPr>
          <w:trHeight w:val="27"/>
        </w:trPr>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70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5"/>
        </w:trPr>
        <w:tc>
          <w:tcPr>
            <w:tcW w:w="640" w:type="dxa"/>
            <w:vAlign w:val="bottom"/>
            <w:shd w:val="clear" w:color="auto" w:fill="CCEEFF"/>
          </w:tcPr>
          <w:p>
            <w:pPr>
              <w:spacing w:after="0"/>
              <w:rPr>
                <w:sz w:val="13"/>
                <w:szCs w:val="13"/>
                <w:color w:val="auto"/>
              </w:rPr>
            </w:pPr>
          </w:p>
        </w:tc>
        <w:tc>
          <w:tcPr>
            <w:tcW w:w="10080" w:type="dxa"/>
            <w:vAlign w:val="bottom"/>
            <w:gridSpan w:val="17"/>
            <w:shd w:val="clear" w:color="auto" w:fill="CCEEFF"/>
          </w:tcPr>
          <w:p>
            <w:pPr>
              <w:ind w:left="180"/>
              <w:spacing w:after="0" w:line="155" w:lineRule="exact"/>
              <w:rPr>
                <w:sz w:val="20"/>
                <w:szCs w:val="20"/>
                <w:color w:val="auto"/>
              </w:rPr>
            </w:pPr>
            <w:r>
              <w:rPr>
                <w:rFonts w:ascii="Times New Roman" w:cs="Times New Roman" w:eastAsia="Times New Roman" w:hAnsi="Times New Roman"/>
                <w:sz w:val="15"/>
                <w:szCs w:val="15"/>
                <w:color w:val="0000EE"/>
              </w:rPr>
              <w:t>Notes to Condensed Consolidated Financial Statements as of September 30, 2024 (Unaudited)</w:t>
            </w:r>
          </w:p>
        </w:tc>
        <w:tc>
          <w:tcPr>
            <w:tcW w:w="5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14</w:t>
            </w:r>
          </w:p>
        </w:tc>
        <w:tc>
          <w:tcPr>
            <w:tcW w:w="20" w:type="dxa"/>
            <w:vAlign w:val="bottom"/>
          </w:tcPr>
          <w:p>
            <w:pPr>
              <w:spacing w:after="0"/>
              <w:rPr>
                <w:sz w:val="13"/>
                <w:szCs w:val="13"/>
                <w:color w:val="auto"/>
              </w:rPr>
            </w:pPr>
          </w:p>
        </w:tc>
      </w:tr>
      <w:tr>
        <w:trPr>
          <w:trHeight w:val="34"/>
        </w:trPr>
        <w:tc>
          <w:tcPr>
            <w:tcW w:w="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70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840" w:type="dxa"/>
            <w:vAlign w:val="bottom"/>
            <w:tcBorders>
              <w:righ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40" w:type="dxa"/>
            <w:vAlign w:val="bottom"/>
            <w:tcBorders>
              <w:lef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48"/>
        </w:trPr>
        <w:tc>
          <w:tcPr>
            <w:tcW w:w="64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Item 2.</w:t>
            </w:r>
          </w:p>
        </w:tc>
        <w:tc>
          <w:tcPr>
            <w:tcW w:w="10080" w:type="dxa"/>
            <w:vAlign w:val="bottom"/>
            <w:gridSpan w:val="17"/>
          </w:tcPr>
          <w:p>
            <w:pPr>
              <w:ind w:left="180"/>
              <w:spacing w:after="0" w:line="149" w:lineRule="exact"/>
              <w:rPr>
                <w:sz w:val="20"/>
                <w:szCs w:val="20"/>
                <w:color w:val="auto"/>
              </w:rPr>
            </w:pPr>
            <w:r>
              <w:rPr>
                <w:rFonts w:ascii="Times New Roman" w:cs="Times New Roman" w:eastAsia="Times New Roman" w:hAnsi="Times New Roman"/>
                <w:sz w:val="15"/>
                <w:szCs w:val="15"/>
                <w:color w:val="0000EE"/>
              </w:rPr>
              <w:t>Management’s Discussion and Analysis of Financial Condition and Results of Operations</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5"/>
                <w:szCs w:val="15"/>
                <w:color w:val="auto"/>
              </w:rPr>
              <w:t>47</w:t>
            </w:r>
          </w:p>
        </w:tc>
        <w:tc>
          <w:tcPr>
            <w:tcW w:w="20" w:type="dxa"/>
            <w:vAlign w:val="bottom"/>
          </w:tcPr>
          <w:p>
            <w:pPr>
              <w:spacing w:after="0"/>
              <w:rPr>
                <w:sz w:val="12"/>
                <w:szCs w:val="12"/>
                <w:color w:val="auto"/>
              </w:rPr>
            </w:pPr>
          </w:p>
        </w:tc>
      </w:tr>
      <w:tr>
        <w:trPr>
          <w:trHeight w:val="27"/>
        </w:trPr>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70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840" w:type="dxa"/>
            <w:vAlign w:val="bottom"/>
            <w:tcBorders>
              <w:right w:val="single" w:sz="8" w:color="0000EE"/>
            </w:tcBorders>
            <w:shd w:val="clear" w:color="auto" w:fill="0000EE"/>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5"/>
        </w:trPr>
        <w:tc>
          <w:tcPr>
            <w:tcW w:w="64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Item 3.</w:t>
            </w:r>
          </w:p>
        </w:tc>
        <w:tc>
          <w:tcPr>
            <w:tcW w:w="10080" w:type="dxa"/>
            <w:vAlign w:val="bottom"/>
            <w:gridSpan w:val="17"/>
            <w:shd w:val="clear" w:color="auto" w:fill="CCEEFF"/>
          </w:tcPr>
          <w:p>
            <w:pPr>
              <w:ind w:left="180"/>
              <w:spacing w:after="0" w:line="155" w:lineRule="exact"/>
              <w:rPr>
                <w:sz w:val="20"/>
                <w:szCs w:val="20"/>
                <w:color w:val="auto"/>
              </w:rPr>
            </w:pPr>
            <w:r>
              <w:rPr>
                <w:rFonts w:ascii="Times New Roman" w:cs="Times New Roman" w:eastAsia="Times New Roman" w:hAnsi="Times New Roman"/>
                <w:sz w:val="15"/>
                <w:szCs w:val="15"/>
                <w:color w:val="0000EE"/>
              </w:rPr>
              <w:t>Quantitative and Qualitative Disclosures About Market Risk</w:t>
            </w:r>
          </w:p>
        </w:tc>
        <w:tc>
          <w:tcPr>
            <w:tcW w:w="5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60</w:t>
            </w:r>
          </w:p>
        </w:tc>
        <w:tc>
          <w:tcPr>
            <w:tcW w:w="20" w:type="dxa"/>
            <w:vAlign w:val="bottom"/>
          </w:tcPr>
          <w:p>
            <w:pPr>
              <w:spacing w:after="0"/>
              <w:rPr>
                <w:sz w:val="13"/>
                <w:szCs w:val="13"/>
                <w:color w:val="auto"/>
              </w:rPr>
            </w:pPr>
          </w:p>
        </w:tc>
      </w:tr>
      <w:tr>
        <w:trPr>
          <w:trHeight w:val="34"/>
        </w:trPr>
        <w:tc>
          <w:tcPr>
            <w:tcW w:w="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700" w:type="dxa"/>
            <w:vAlign w:val="bottom"/>
            <w:shd w:val="clear" w:color="auto" w:fill="0000EE"/>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4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40" w:type="dxa"/>
            <w:vAlign w:val="bottom"/>
            <w:tcBorders>
              <w:lef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48"/>
        </w:trPr>
        <w:tc>
          <w:tcPr>
            <w:tcW w:w="64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Item 4.</w:t>
            </w:r>
          </w:p>
        </w:tc>
        <w:tc>
          <w:tcPr>
            <w:tcW w:w="10080" w:type="dxa"/>
            <w:vAlign w:val="bottom"/>
            <w:gridSpan w:val="17"/>
          </w:tcPr>
          <w:p>
            <w:pPr>
              <w:ind w:left="180"/>
              <w:spacing w:after="0" w:line="149" w:lineRule="exact"/>
              <w:rPr>
                <w:sz w:val="20"/>
                <w:szCs w:val="20"/>
                <w:color w:val="auto"/>
              </w:rPr>
            </w:pPr>
            <w:r>
              <w:rPr>
                <w:rFonts w:ascii="Times New Roman" w:cs="Times New Roman" w:eastAsia="Times New Roman" w:hAnsi="Times New Roman"/>
                <w:sz w:val="15"/>
                <w:szCs w:val="15"/>
                <w:color w:val="0000EE"/>
              </w:rPr>
              <w:t>Controls and Procedures</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5"/>
                <w:szCs w:val="15"/>
                <w:color w:val="auto"/>
              </w:rPr>
              <w:t>60</w:t>
            </w:r>
          </w:p>
        </w:tc>
        <w:tc>
          <w:tcPr>
            <w:tcW w:w="20" w:type="dxa"/>
            <w:vAlign w:val="bottom"/>
          </w:tcPr>
          <w:p>
            <w:pPr>
              <w:spacing w:after="0"/>
              <w:rPr>
                <w:sz w:val="12"/>
                <w:szCs w:val="12"/>
                <w:color w:val="auto"/>
              </w:rPr>
            </w:pPr>
          </w:p>
        </w:tc>
      </w:tr>
      <w:tr>
        <w:trPr>
          <w:trHeight w:val="27"/>
        </w:trPr>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9"/>
        </w:trPr>
        <w:tc>
          <w:tcPr>
            <w:tcW w:w="10720" w:type="dxa"/>
            <w:vAlign w:val="bottom"/>
            <w:gridSpan w:val="18"/>
            <w:shd w:val="clear" w:color="auto" w:fill="CCEEFF"/>
          </w:tcPr>
          <w:p>
            <w:pPr>
              <w:spacing w:after="0" w:line="155" w:lineRule="exact"/>
              <w:rPr>
                <w:sz w:val="20"/>
                <w:szCs w:val="20"/>
                <w:color w:val="auto"/>
              </w:rPr>
            </w:pPr>
            <w:r>
              <w:rPr>
                <w:rFonts w:ascii="Times New Roman" w:cs="Times New Roman" w:eastAsia="Times New Roman" w:hAnsi="Times New Roman"/>
                <w:sz w:val="15"/>
                <w:szCs w:val="15"/>
                <w:b w:val="1"/>
                <w:bCs w:val="1"/>
                <w:color w:val="0000EE"/>
              </w:rPr>
              <w:t>PART II. OTHER INFORMATION</w:t>
            </w:r>
          </w:p>
        </w:tc>
        <w:tc>
          <w:tcPr>
            <w:tcW w:w="5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48"/>
        </w:trPr>
        <w:tc>
          <w:tcPr>
            <w:tcW w:w="640" w:type="dxa"/>
            <w:vAlign w:val="bottom"/>
            <w:tcBorders>
              <w:top w:val="single" w:sz="8" w:color="0000EE"/>
            </w:tcBorders>
          </w:tcPr>
          <w:p>
            <w:pPr>
              <w:spacing w:after="0" w:line="149" w:lineRule="exact"/>
              <w:rPr>
                <w:sz w:val="20"/>
                <w:szCs w:val="20"/>
                <w:color w:val="auto"/>
              </w:rPr>
            </w:pPr>
            <w:r>
              <w:rPr>
                <w:rFonts w:ascii="Times New Roman" w:cs="Times New Roman" w:eastAsia="Times New Roman" w:hAnsi="Times New Roman"/>
                <w:sz w:val="15"/>
                <w:szCs w:val="15"/>
                <w:color w:val="auto"/>
              </w:rPr>
              <w:t>Item 1.</w:t>
            </w:r>
          </w:p>
        </w:tc>
        <w:tc>
          <w:tcPr>
            <w:tcW w:w="1680" w:type="dxa"/>
            <w:vAlign w:val="bottom"/>
            <w:tcBorders>
              <w:top w:val="single" w:sz="8" w:color="0000EE"/>
            </w:tcBorders>
            <w:gridSpan w:val="7"/>
          </w:tcPr>
          <w:p>
            <w:pPr>
              <w:ind w:left="180"/>
              <w:spacing w:after="0" w:line="149" w:lineRule="exact"/>
              <w:rPr>
                <w:sz w:val="20"/>
                <w:szCs w:val="20"/>
                <w:color w:val="auto"/>
              </w:rPr>
            </w:pPr>
            <w:r>
              <w:rPr>
                <w:rFonts w:ascii="Times New Roman" w:cs="Times New Roman" w:eastAsia="Times New Roman" w:hAnsi="Times New Roman"/>
                <w:sz w:val="15"/>
                <w:szCs w:val="15"/>
                <w:color w:val="0000EE"/>
              </w:rPr>
              <w:t>Legal Proceedings</w:t>
            </w:r>
          </w:p>
        </w:tc>
        <w:tc>
          <w:tcPr>
            <w:tcW w:w="8400" w:type="dxa"/>
            <w:vAlign w:val="bottom"/>
            <w:tcBorders>
              <w:top w:val="single" w:sz="8" w:color="CCEEFF"/>
            </w:tcBorders>
            <w:gridSpan w:val="10"/>
          </w:tcPr>
          <w:p>
            <w:pPr>
              <w:spacing w:after="0"/>
              <w:rPr>
                <w:sz w:val="12"/>
                <w:szCs w:val="12"/>
                <w:color w:val="auto"/>
              </w:rPr>
            </w:pPr>
          </w:p>
        </w:tc>
        <w:tc>
          <w:tcPr>
            <w:tcW w:w="540" w:type="dxa"/>
            <w:vAlign w:val="bottom"/>
            <w:tcBorders>
              <w:top w:val="single" w:sz="8" w:color="CCEEFF"/>
            </w:tcBorders>
          </w:tcPr>
          <w:p>
            <w:pPr>
              <w:jc w:val="right"/>
              <w:spacing w:after="0" w:line="149" w:lineRule="exact"/>
              <w:rPr>
                <w:sz w:val="20"/>
                <w:szCs w:val="20"/>
                <w:color w:val="auto"/>
              </w:rPr>
            </w:pPr>
            <w:r>
              <w:rPr>
                <w:rFonts w:ascii="Times New Roman" w:cs="Times New Roman" w:eastAsia="Times New Roman" w:hAnsi="Times New Roman"/>
                <w:sz w:val="15"/>
                <w:szCs w:val="15"/>
                <w:color w:val="auto"/>
              </w:rPr>
              <w:t>61</w:t>
            </w:r>
          </w:p>
        </w:tc>
        <w:tc>
          <w:tcPr>
            <w:tcW w:w="20" w:type="dxa"/>
            <w:vAlign w:val="bottom"/>
          </w:tcPr>
          <w:p>
            <w:pPr>
              <w:spacing w:after="0"/>
              <w:rPr>
                <w:sz w:val="12"/>
                <w:szCs w:val="12"/>
                <w:color w:val="auto"/>
              </w:rPr>
            </w:pPr>
          </w:p>
        </w:tc>
      </w:tr>
      <w:tr>
        <w:trPr>
          <w:trHeight w:val="27"/>
        </w:trPr>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tcBorders>
              <w:right w:val="single" w:sz="8" w:color="0000EE"/>
            </w:tcBorders>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5"/>
        </w:trPr>
        <w:tc>
          <w:tcPr>
            <w:tcW w:w="64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Item 1A.</w:t>
            </w:r>
          </w:p>
        </w:tc>
        <w:tc>
          <w:tcPr>
            <w:tcW w:w="10080" w:type="dxa"/>
            <w:vAlign w:val="bottom"/>
            <w:gridSpan w:val="17"/>
            <w:shd w:val="clear" w:color="auto" w:fill="CCEEFF"/>
          </w:tcPr>
          <w:p>
            <w:pPr>
              <w:ind w:left="180"/>
              <w:spacing w:after="0" w:line="155" w:lineRule="exact"/>
              <w:rPr>
                <w:sz w:val="20"/>
                <w:szCs w:val="20"/>
                <w:color w:val="auto"/>
              </w:rPr>
            </w:pPr>
            <w:r>
              <w:rPr>
                <w:rFonts w:ascii="Times New Roman" w:cs="Times New Roman" w:eastAsia="Times New Roman" w:hAnsi="Times New Roman"/>
                <w:sz w:val="15"/>
                <w:szCs w:val="15"/>
                <w:color w:val="0000EE"/>
              </w:rPr>
              <w:t>Risk Factors</w:t>
            </w:r>
          </w:p>
        </w:tc>
        <w:tc>
          <w:tcPr>
            <w:tcW w:w="5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61</w:t>
            </w:r>
          </w:p>
        </w:tc>
        <w:tc>
          <w:tcPr>
            <w:tcW w:w="20" w:type="dxa"/>
            <w:vAlign w:val="bottom"/>
          </w:tcPr>
          <w:p>
            <w:pPr>
              <w:spacing w:after="0"/>
              <w:rPr>
                <w:sz w:val="13"/>
                <w:szCs w:val="13"/>
                <w:color w:val="auto"/>
              </w:rPr>
            </w:pPr>
          </w:p>
        </w:tc>
      </w:tr>
      <w:tr>
        <w:trPr>
          <w:trHeight w:val="34"/>
        </w:trPr>
        <w:tc>
          <w:tcPr>
            <w:tcW w:w="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4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40" w:type="dxa"/>
            <w:vAlign w:val="bottom"/>
            <w:tcBorders>
              <w:lef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48"/>
        </w:trPr>
        <w:tc>
          <w:tcPr>
            <w:tcW w:w="64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Item 2.</w:t>
            </w:r>
          </w:p>
        </w:tc>
        <w:tc>
          <w:tcPr>
            <w:tcW w:w="10080" w:type="dxa"/>
            <w:vAlign w:val="bottom"/>
            <w:gridSpan w:val="17"/>
          </w:tcPr>
          <w:p>
            <w:pPr>
              <w:ind w:left="180"/>
              <w:spacing w:after="0" w:line="149" w:lineRule="exact"/>
              <w:rPr>
                <w:sz w:val="20"/>
                <w:szCs w:val="20"/>
                <w:color w:val="auto"/>
              </w:rPr>
            </w:pPr>
            <w:r>
              <w:rPr>
                <w:rFonts w:ascii="Times New Roman" w:cs="Times New Roman" w:eastAsia="Times New Roman" w:hAnsi="Times New Roman"/>
                <w:sz w:val="15"/>
                <w:szCs w:val="15"/>
                <w:color w:val="0000EE"/>
              </w:rPr>
              <w:t>Unregistered Sales of Equity Securities and Use of Proceeds</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5"/>
                <w:szCs w:val="15"/>
                <w:color w:val="auto"/>
              </w:rPr>
              <w:t>61</w:t>
            </w:r>
          </w:p>
        </w:tc>
        <w:tc>
          <w:tcPr>
            <w:tcW w:w="20" w:type="dxa"/>
            <w:vAlign w:val="bottom"/>
          </w:tcPr>
          <w:p>
            <w:pPr>
              <w:spacing w:after="0"/>
              <w:rPr>
                <w:sz w:val="12"/>
                <w:szCs w:val="12"/>
                <w:color w:val="auto"/>
              </w:rPr>
            </w:pPr>
          </w:p>
        </w:tc>
      </w:tr>
      <w:tr>
        <w:trPr>
          <w:trHeight w:val="27"/>
        </w:trPr>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700" w:type="dxa"/>
            <w:vAlign w:val="bottom"/>
            <w:shd w:val="clear" w:color="auto" w:fill="0000EE"/>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5"/>
        </w:trPr>
        <w:tc>
          <w:tcPr>
            <w:tcW w:w="64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Item 3.</w:t>
            </w:r>
          </w:p>
        </w:tc>
        <w:tc>
          <w:tcPr>
            <w:tcW w:w="10080" w:type="dxa"/>
            <w:vAlign w:val="bottom"/>
            <w:gridSpan w:val="17"/>
            <w:shd w:val="clear" w:color="auto" w:fill="CCEEFF"/>
          </w:tcPr>
          <w:p>
            <w:pPr>
              <w:ind w:left="180"/>
              <w:spacing w:after="0" w:line="155" w:lineRule="exact"/>
              <w:rPr>
                <w:sz w:val="20"/>
                <w:szCs w:val="20"/>
                <w:color w:val="auto"/>
              </w:rPr>
            </w:pPr>
            <w:r>
              <w:rPr>
                <w:rFonts w:ascii="Times New Roman" w:cs="Times New Roman" w:eastAsia="Times New Roman" w:hAnsi="Times New Roman"/>
                <w:sz w:val="15"/>
                <w:szCs w:val="15"/>
                <w:color w:val="0000EE"/>
              </w:rPr>
              <w:t>Defaults Upon Senior Securities</w:t>
            </w:r>
          </w:p>
        </w:tc>
        <w:tc>
          <w:tcPr>
            <w:tcW w:w="5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62</w:t>
            </w:r>
          </w:p>
        </w:tc>
        <w:tc>
          <w:tcPr>
            <w:tcW w:w="20" w:type="dxa"/>
            <w:vAlign w:val="bottom"/>
          </w:tcPr>
          <w:p>
            <w:pPr>
              <w:spacing w:after="0"/>
              <w:rPr>
                <w:sz w:val="13"/>
                <w:szCs w:val="13"/>
                <w:color w:val="auto"/>
              </w:rPr>
            </w:pPr>
          </w:p>
        </w:tc>
      </w:tr>
      <w:tr>
        <w:trPr>
          <w:trHeight w:val="34"/>
        </w:trPr>
        <w:tc>
          <w:tcPr>
            <w:tcW w:w="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4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40" w:type="dxa"/>
            <w:vAlign w:val="bottom"/>
            <w:tcBorders>
              <w:lef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48"/>
        </w:trPr>
        <w:tc>
          <w:tcPr>
            <w:tcW w:w="64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Item 4.</w:t>
            </w:r>
          </w:p>
        </w:tc>
        <w:tc>
          <w:tcPr>
            <w:tcW w:w="10080" w:type="dxa"/>
            <w:vAlign w:val="bottom"/>
            <w:gridSpan w:val="17"/>
          </w:tcPr>
          <w:p>
            <w:pPr>
              <w:ind w:left="180"/>
              <w:spacing w:after="0" w:line="149" w:lineRule="exact"/>
              <w:rPr>
                <w:sz w:val="20"/>
                <w:szCs w:val="20"/>
                <w:color w:val="auto"/>
              </w:rPr>
            </w:pPr>
            <w:r>
              <w:rPr>
                <w:rFonts w:ascii="Times New Roman" w:cs="Times New Roman" w:eastAsia="Times New Roman" w:hAnsi="Times New Roman"/>
                <w:sz w:val="15"/>
                <w:szCs w:val="15"/>
                <w:color w:val="0000EE"/>
              </w:rPr>
              <w:t>Mine Safety Disclosures</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5"/>
                <w:szCs w:val="15"/>
                <w:color w:val="auto"/>
              </w:rPr>
              <w:t>62</w:t>
            </w:r>
          </w:p>
        </w:tc>
        <w:tc>
          <w:tcPr>
            <w:tcW w:w="20" w:type="dxa"/>
            <w:vAlign w:val="bottom"/>
          </w:tcPr>
          <w:p>
            <w:pPr>
              <w:spacing w:after="0"/>
              <w:rPr>
                <w:sz w:val="12"/>
                <w:szCs w:val="12"/>
                <w:color w:val="auto"/>
              </w:rPr>
            </w:pPr>
          </w:p>
        </w:tc>
      </w:tr>
      <w:tr>
        <w:trPr>
          <w:trHeight w:val="27"/>
        </w:trPr>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5"/>
        </w:trPr>
        <w:tc>
          <w:tcPr>
            <w:tcW w:w="64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Item 5.</w:t>
            </w:r>
          </w:p>
        </w:tc>
        <w:tc>
          <w:tcPr>
            <w:tcW w:w="10080" w:type="dxa"/>
            <w:vAlign w:val="bottom"/>
            <w:gridSpan w:val="17"/>
            <w:shd w:val="clear" w:color="auto" w:fill="CCEEFF"/>
          </w:tcPr>
          <w:p>
            <w:pPr>
              <w:ind w:left="180"/>
              <w:spacing w:after="0" w:line="155" w:lineRule="exact"/>
              <w:rPr>
                <w:sz w:val="20"/>
                <w:szCs w:val="20"/>
                <w:color w:val="auto"/>
              </w:rPr>
            </w:pPr>
            <w:r>
              <w:rPr>
                <w:rFonts w:ascii="Times New Roman" w:cs="Times New Roman" w:eastAsia="Times New Roman" w:hAnsi="Times New Roman"/>
                <w:sz w:val="15"/>
                <w:szCs w:val="15"/>
                <w:color w:val="0000EE"/>
              </w:rPr>
              <w:t>Other Information</w:t>
            </w:r>
          </w:p>
        </w:tc>
        <w:tc>
          <w:tcPr>
            <w:tcW w:w="5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62</w:t>
            </w:r>
          </w:p>
        </w:tc>
        <w:tc>
          <w:tcPr>
            <w:tcW w:w="20" w:type="dxa"/>
            <w:vAlign w:val="bottom"/>
          </w:tcPr>
          <w:p>
            <w:pPr>
              <w:spacing w:after="0"/>
              <w:rPr>
                <w:sz w:val="13"/>
                <w:szCs w:val="13"/>
                <w:color w:val="auto"/>
              </w:rPr>
            </w:pPr>
          </w:p>
        </w:tc>
      </w:tr>
      <w:tr>
        <w:trPr>
          <w:trHeight w:val="34"/>
        </w:trPr>
        <w:tc>
          <w:tcPr>
            <w:tcW w:w="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tcBorders>
              <w:right w:val="single" w:sz="8" w:color="CCEEFF"/>
            </w:tcBorders>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4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40" w:type="dxa"/>
            <w:vAlign w:val="bottom"/>
            <w:tcBorders>
              <w:lef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55"/>
        </w:trPr>
        <w:tc>
          <w:tcPr>
            <w:tcW w:w="64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Item 6.</w:t>
            </w:r>
          </w:p>
        </w:tc>
        <w:tc>
          <w:tcPr>
            <w:tcW w:w="10080" w:type="dxa"/>
            <w:vAlign w:val="bottom"/>
            <w:gridSpan w:val="17"/>
          </w:tcPr>
          <w:p>
            <w:pPr>
              <w:ind w:left="180"/>
              <w:spacing w:after="0" w:line="149" w:lineRule="exact"/>
              <w:rPr>
                <w:sz w:val="20"/>
                <w:szCs w:val="20"/>
                <w:color w:val="auto"/>
              </w:rPr>
            </w:pPr>
            <w:r>
              <w:rPr>
                <w:rFonts w:ascii="Times New Roman" w:cs="Times New Roman" w:eastAsia="Times New Roman" w:hAnsi="Times New Roman"/>
                <w:sz w:val="15"/>
                <w:szCs w:val="15"/>
                <w:color w:val="0000EE"/>
              </w:rPr>
              <w:t>Exhibits</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5"/>
                <w:szCs w:val="15"/>
                <w:color w:val="auto"/>
              </w:rPr>
              <w:t>63</w:t>
            </w:r>
          </w:p>
        </w:tc>
        <w:tc>
          <w:tcPr>
            <w:tcW w:w="20" w:type="dxa"/>
            <w:vAlign w:val="bottom"/>
          </w:tcPr>
          <w:p>
            <w:pPr>
              <w:spacing w:after="0"/>
              <w:rPr>
                <w:sz w:val="13"/>
                <w:szCs w:val="13"/>
                <w:color w:val="auto"/>
              </w:rPr>
            </w:pPr>
          </w:p>
        </w:tc>
      </w:tr>
      <w:tr>
        <w:trPr>
          <w:trHeight w:val="169"/>
        </w:trPr>
        <w:tc>
          <w:tcPr>
            <w:tcW w:w="640" w:type="dxa"/>
            <w:vAlign w:val="bottom"/>
            <w:tcBorders>
              <w:bottom w:val="single" w:sz="8" w:color="0000EE"/>
            </w:tcBorders>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0000EE"/>
                <w:w w:val="97"/>
              </w:rPr>
              <w:t>Signatures</w:t>
            </w:r>
          </w:p>
        </w:tc>
        <w:tc>
          <w:tcPr>
            <w:tcW w:w="1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top w:val="single" w:sz="8" w:color="0000EE"/>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right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7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right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840" w:type="dxa"/>
            <w:vAlign w:val="bottom"/>
            <w:tcBorders>
              <w:left w:val="single" w:sz="8" w:color="CCEEFF"/>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64</w:t>
            </w:r>
          </w:p>
        </w:tc>
        <w:tc>
          <w:tcPr>
            <w:tcW w:w="20" w:type="dxa"/>
            <w:vAlign w:val="bottom"/>
          </w:tcPr>
          <w:p>
            <w:pPr>
              <w:spacing w:after="0"/>
              <w:rPr>
                <w:sz w:val="14"/>
                <w:szCs w:val="14"/>
                <w:color w:val="auto"/>
              </w:rPr>
            </w:pPr>
          </w:p>
        </w:tc>
      </w:tr>
      <w:tr>
        <w:trPr>
          <w:trHeight w:val="365"/>
        </w:trPr>
        <w:tc>
          <w:tcPr>
            <w:tcW w:w="6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gridSpan w:val="12"/>
          </w:tcPr>
          <w:p>
            <w:pPr>
              <w:jc w:val="center"/>
              <w:ind w:left="4264"/>
              <w:spacing w:after="0"/>
              <w:rPr>
                <w:sz w:val="20"/>
                <w:szCs w:val="20"/>
                <w:color w:val="auto"/>
              </w:rPr>
            </w:pPr>
            <w:r>
              <w:rPr>
                <w:rFonts w:ascii="Times New Roman" w:cs="Times New Roman" w:eastAsia="Times New Roman" w:hAnsi="Times New Roman"/>
                <w:sz w:val="15"/>
                <w:szCs w:val="15"/>
                <w:color w:val="auto"/>
              </w:rPr>
              <w:t>1</w:t>
            </w: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60"/>
          </w:cols>
          <w:pgMar w:left="320" w:top="577" w:right="319" w:bottom="1440" w:gutter="0" w:footer="0" w:header="0"/>
        </w:sectPr>
      </w:pPr>
    </w:p>
    <w:bookmarkStart w:id="2" w:name="page3"/>
    <w:bookmarkEnd w:id="2"/>
    <w:p>
      <w:pPr>
        <w:ind w:left="9"/>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PART I</w:t>
      </w:r>
    </w:p>
    <w:p>
      <w:pPr>
        <w:spacing w:after="0" w:line="19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Item 1. Financial Statements</w:t>
      </w:r>
    </w:p>
    <w:p>
      <w:pPr>
        <w:spacing w:after="0" w:line="19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2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ASSETS AND LIABILITIES (UNAUDITED)</w:t>
      </w:r>
    </w:p>
    <w:p>
      <w:pPr>
        <w:spacing w:after="0" w:line="184"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6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0" w:type="dxa"/>
            <w:vAlign w:val="bottom"/>
          </w:tcPr>
          <w:p>
            <w:pPr>
              <w:spacing w:after="0"/>
              <w:rPr>
                <w:sz w:val="1"/>
                <w:szCs w:val="1"/>
                <w:color w:val="auto"/>
              </w:rPr>
            </w:pPr>
          </w:p>
        </w:tc>
      </w:tr>
      <w:tr>
        <w:trPr>
          <w:trHeight w:val="174"/>
        </w:trPr>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4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940" w:type="dxa"/>
            <w:vAlign w:val="bottom"/>
          </w:tcPr>
          <w:p>
            <w:pPr>
              <w:spacing w:after="0"/>
              <w:rPr>
                <w:sz w:val="20"/>
                <w:szCs w:val="20"/>
                <w:color w:val="auto"/>
              </w:rPr>
            </w:pPr>
            <w:r>
              <w:rPr>
                <w:rFonts w:ascii="Times New Roman" w:cs="Times New Roman" w:eastAsia="Times New Roman" w:hAnsi="Times New Roman"/>
                <w:sz w:val="15"/>
                <w:szCs w:val="15"/>
                <w:color w:val="auto"/>
              </w:rPr>
              <w:t>Investments at fair value:</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Non-controlled/non-affiliate investments (cost of $219,324,308 and $160,994,161, respectively)</w:t>
            </w:r>
          </w:p>
        </w:tc>
        <w:tc>
          <w:tcPr>
            <w:tcW w:w="6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189,057,313</w:t>
            </w:r>
          </w:p>
        </w:tc>
        <w:tc>
          <w:tcPr>
            <w:tcW w:w="3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147,167,535</w:t>
            </w:r>
          </w:p>
        </w:tc>
        <w:tc>
          <w:tcPr>
            <w:tcW w:w="0" w:type="dxa"/>
            <w:vAlign w:val="bottom"/>
          </w:tcPr>
          <w:p>
            <w:pPr>
              <w:spacing w:after="0"/>
              <w:rPr>
                <w:sz w:val="1"/>
                <w:szCs w:val="1"/>
                <w:color w:val="auto"/>
              </w:rPr>
            </w:pPr>
          </w:p>
        </w:tc>
      </w:tr>
      <w:tr>
        <w:trPr>
          <w:trHeight w:val="182"/>
        </w:trPr>
        <w:tc>
          <w:tcPr>
            <w:tcW w:w="6940" w:type="dxa"/>
            <w:vAlign w:val="bottom"/>
          </w:tcPr>
          <w:p>
            <w:pPr>
              <w:spacing w:after="0"/>
              <w:rPr>
                <w:sz w:val="20"/>
                <w:szCs w:val="20"/>
                <w:color w:val="auto"/>
              </w:rPr>
            </w:pPr>
            <w:r>
              <w:rPr>
                <w:rFonts w:ascii="Times New Roman" w:cs="Times New Roman" w:eastAsia="Times New Roman" w:hAnsi="Times New Roman"/>
                <w:sz w:val="15"/>
                <w:szCs w:val="15"/>
                <w:color w:val="auto"/>
              </w:rPr>
              <w:t>Non-controlled/affiliate investments (cost of $20,605,400 and $32,775,940, respectively)</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8,645,465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24,931,333</w:t>
            </w:r>
          </w:p>
        </w:tc>
        <w:tc>
          <w:tcPr>
            <w:tcW w:w="0" w:type="dxa"/>
            <w:vAlign w:val="bottom"/>
          </w:tcPr>
          <w:p>
            <w:pPr>
              <w:spacing w:after="0"/>
              <w:rPr>
                <w:sz w:val="1"/>
                <w:szCs w:val="1"/>
                <w:color w:val="auto"/>
              </w:rPr>
            </w:pPr>
          </w:p>
        </w:tc>
      </w:tr>
      <w:tr>
        <w:trPr>
          <w:trHeight w:val="194"/>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Controlled investments (cost of $1,602,940 and $18,771,097, respectively)</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1,600,000</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11,982,381</w:t>
            </w:r>
          </w:p>
        </w:tc>
        <w:tc>
          <w:tcPr>
            <w:tcW w:w="0" w:type="dxa"/>
            <w:vAlign w:val="bottom"/>
          </w:tcPr>
          <w:p>
            <w:pPr>
              <w:spacing w:after="0"/>
              <w:rPr>
                <w:sz w:val="1"/>
                <w:szCs w:val="1"/>
                <w:color w:val="auto"/>
              </w:rPr>
            </w:pPr>
          </w:p>
        </w:tc>
      </w:tr>
      <w:tr>
        <w:trPr>
          <w:trHeight w:val="185"/>
        </w:trPr>
        <w:tc>
          <w:tcPr>
            <w:tcW w:w="6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Portfolio Investments</w:t>
            </w:r>
          </w:p>
        </w:tc>
        <w:tc>
          <w:tcPr>
            <w:tcW w:w="4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199,302,778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184,081,249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Investments in U.S. Treasury bills (cost of $0 and $63,792,704, respectively)</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63,810,855</w:t>
            </w:r>
          </w:p>
        </w:tc>
        <w:tc>
          <w:tcPr>
            <w:tcW w:w="0" w:type="dxa"/>
            <w:vAlign w:val="bottom"/>
          </w:tcPr>
          <w:p>
            <w:pPr>
              <w:spacing w:after="0"/>
              <w:rPr>
                <w:sz w:val="1"/>
                <w:szCs w:val="1"/>
                <w:color w:val="auto"/>
              </w:rPr>
            </w:pPr>
          </w:p>
        </w:tc>
      </w:tr>
      <w:tr>
        <w:trPr>
          <w:trHeight w:val="174"/>
        </w:trPr>
        <w:tc>
          <w:tcPr>
            <w:tcW w:w="6940" w:type="dxa"/>
            <w:vAlign w:val="bottom"/>
          </w:tcPr>
          <w:p>
            <w:pPr>
              <w:spacing w:after="0"/>
              <w:rPr>
                <w:sz w:val="20"/>
                <w:szCs w:val="20"/>
                <w:color w:val="auto"/>
              </w:rPr>
            </w:pPr>
            <w:r>
              <w:rPr>
                <w:rFonts w:ascii="Times New Roman" w:cs="Times New Roman" w:eastAsia="Times New Roman" w:hAnsi="Times New Roman"/>
                <w:sz w:val="15"/>
                <w:szCs w:val="15"/>
                <w:color w:val="auto"/>
              </w:rPr>
              <w:t>Total Investments (cost of $241,532,648 and $276,333,902, respectively)</w:t>
            </w:r>
          </w:p>
        </w:tc>
        <w:tc>
          <w:tcPr>
            <w:tcW w:w="4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199,302,778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247,892,104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32,737,114</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28,178,352</w:t>
            </w:r>
          </w:p>
        </w:tc>
        <w:tc>
          <w:tcPr>
            <w:tcW w:w="0" w:type="dxa"/>
            <w:vAlign w:val="bottom"/>
          </w:tcPr>
          <w:p>
            <w:pPr>
              <w:spacing w:after="0"/>
              <w:rPr>
                <w:sz w:val="1"/>
                <w:szCs w:val="1"/>
                <w:color w:val="auto"/>
              </w:rPr>
            </w:pPr>
          </w:p>
        </w:tc>
      </w:tr>
      <w:tr>
        <w:trPr>
          <w:trHeight w:val="182"/>
        </w:trPr>
        <w:tc>
          <w:tcPr>
            <w:tcW w:w="6940" w:type="dxa"/>
            <w:vAlign w:val="bottom"/>
          </w:tcPr>
          <w:p>
            <w:pPr>
              <w:spacing w:after="0"/>
              <w:rPr>
                <w:sz w:val="20"/>
                <w:szCs w:val="20"/>
                <w:color w:val="auto"/>
              </w:rPr>
            </w:pPr>
            <w:r>
              <w:rPr>
                <w:rFonts w:ascii="Times New Roman" w:cs="Times New Roman" w:eastAsia="Times New Roman" w:hAnsi="Times New Roman"/>
                <w:sz w:val="15"/>
                <w:szCs w:val="15"/>
                <w:color w:val="auto"/>
              </w:rPr>
              <w:t>Proceeds receivable</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124,950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Escrow proceeds receivable</w:t>
            </w: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63,745</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309,293</w:t>
            </w:r>
          </w:p>
        </w:tc>
        <w:tc>
          <w:tcPr>
            <w:tcW w:w="0" w:type="dxa"/>
            <w:vAlign w:val="bottom"/>
          </w:tcPr>
          <w:p>
            <w:pPr>
              <w:spacing w:after="0"/>
              <w:rPr>
                <w:sz w:val="1"/>
                <w:szCs w:val="1"/>
                <w:color w:val="auto"/>
              </w:rPr>
            </w:pPr>
          </w:p>
        </w:tc>
      </w:tr>
      <w:tr>
        <w:trPr>
          <w:trHeight w:val="182"/>
        </w:trPr>
        <w:tc>
          <w:tcPr>
            <w:tcW w:w="6940" w:type="dxa"/>
            <w:vAlign w:val="bottom"/>
          </w:tcPr>
          <w:p>
            <w:pPr>
              <w:spacing w:after="0"/>
              <w:rPr>
                <w:sz w:val="20"/>
                <w:szCs w:val="20"/>
                <w:color w:val="auto"/>
              </w:rPr>
            </w:pPr>
            <w:r>
              <w:rPr>
                <w:rFonts w:ascii="Times New Roman" w:cs="Times New Roman" w:eastAsia="Times New Roman" w:hAnsi="Times New Roman"/>
                <w:sz w:val="15"/>
                <w:szCs w:val="15"/>
                <w:color w:val="auto"/>
              </w:rPr>
              <w:t>Interest and dividends receivable</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88,950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132,607</w:t>
            </w:r>
          </w:p>
        </w:tc>
        <w:tc>
          <w:tcPr>
            <w:tcW w:w="0" w:type="dxa"/>
            <w:vAlign w:val="bottom"/>
          </w:tcPr>
          <w:p>
            <w:pPr>
              <w:spacing w:after="0"/>
              <w:rPr>
                <w:sz w:val="1"/>
                <w:szCs w:val="1"/>
                <w:color w:val="auto"/>
              </w:rPr>
            </w:pPr>
          </w:p>
        </w:tc>
      </w:tr>
      <w:tr>
        <w:trPr>
          <w:trHeight w:val="182"/>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financing costs</w:t>
            </w: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492,952</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594,726</w:t>
            </w:r>
          </w:p>
        </w:tc>
        <w:tc>
          <w:tcPr>
            <w:tcW w:w="0" w:type="dxa"/>
            <w:vAlign w:val="bottom"/>
          </w:tcPr>
          <w:p>
            <w:pPr>
              <w:spacing w:after="0"/>
              <w:rPr>
                <w:sz w:val="1"/>
                <w:szCs w:val="1"/>
                <w:color w:val="auto"/>
              </w:rPr>
            </w:pPr>
          </w:p>
        </w:tc>
      </w:tr>
      <w:tr>
        <w:trPr>
          <w:trHeight w:val="228"/>
        </w:trPr>
        <w:tc>
          <w:tcPr>
            <w:tcW w:w="6940" w:type="dxa"/>
            <w:vAlign w:val="bottom"/>
          </w:tcPr>
          <w:p>
            <w:pPr>
              <w:spacing w:after="0" w:line="228" w:lineRule="exact"/>
              <w:rPr>
                <w:sz w:val="20"/>
                <w:szCs w:val="20"/>
                <w:color w:val="auto"/>
              </w:rPr>
            </w:pPr>
            <w:r>
              <w:rPr>
                <w:rFonts w:ascii="Times New Roman" w:cs="Times New Roman" w:eastAsia="Times New Roman" w:hAnsi="Times New Roman"/>
                <w:sz w:val="15"/>
                <w:szCs w:val="15"/>
                <w:color w:val="auto"/>
              </w:rPr>
              <w:t>Prepaid expenses and other assets</w:t>
            </w:r>
            <w:r>
              <w:rPr>
                <w:rFonts w:ascii="Times New Roman" w:cs="Times New Roman" w:eastAsia="Times New Roman" w:hAnsi="Times New Roman"/>
                <w:sz w:val="25"/>
                <w:szCs w:val="25"/>
                <w:color w:val="auto"/>
                <w:vertAlign w:val="superscript"/>
              </w:rPr>
              <w:t>(1)</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971,360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494,602</w:t>
            </w:r>
          </w:p>
        </w:tc>
        <w:tc>
          <w:tcPr>
            <w:tcW w:w="0" w:type="dxa"/>
            <w:vAlign w:val="bottom"/>
          </w:tcPr>
          <w:p>
            <w:pPr>
              <w:spacing w:after="0"/>
              <w:rPr>
                <w:sz w:val="1"/>
                <w:szCs w:val="1"/>
                <w:color w:val="auto"/>
              </w:rPr>
            </w:pPr>
          </w:p>
        </w:tc>
      </w:tr>
      <w:tr>
        <w:trPr>
          <w:trHeight w:val="174"/>
        </w:trPr>
        <w:tc>
          <w:tcPr>
            <w:tcW w:w="694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4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233,781,849</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277,601,684</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9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Accounts payable and accrued expenses</w:t>
            </w:r>
            <w:r>
              <w:rPr>
                <w:rFonts w:ascii="Times New Roman" w:cs="Times New Roman" w:eastAsia="Times New Roman" w:hAnsi="Times New Roman"/>
                <w:sz w:val="25"/>
                <w:szCs w:val="25"/>
                <w:color w:val="auto"/>
                <w:vertAlign w:val="superscript"/>
              </w:rPr>
              <w:t>(1)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2,985,454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346,308</w:t>
            </w:r>
          </w:p>
        </w:tc>
        <w:tc>
          <w:tcPr>
            <w:tcW w:w="0" w:type="dxa"/>
            <w:vAlign w:val="bottom"/>
          </w:tcPr>
          <w:p>
            <w:pPr>
              <w:spacing w:after="0"/>
              <w:rPr>
                <w:sz w:val="1"/>
                <w:szCs w:val="1"/>
                <w:color w:val="auto"/>
              </w:rPr>
            </w:pPr>
          </w:p>
        </w:tc>
      </w:tr>
      <w:tr>
        <w:trPr>
          <w:trHeight w:val="194"/>
        </w:trPr>
        <w:tc>
          <w:tcPr>
            <w:tcW w:w="6940" w:type="dxa"/>
            <w:vAlign w:val="bottom"/>
          </w:tcPr>
          <w:p>
            <w:pPr>
              <w:spacing w:after="0"/>
              <w:rPr>
                <w:sz w:val="20"/>
                <w:szCs w:val="20"/>
                <w:color w:val="auto"/>
              </w:rPr>
            </w:pPr>
            <w:r>
              <w:rPr>
                <w:rFonts w:ascii="Times New Roman" w:cs="Times New Roman" w:eastAsia="Times New Roman" w:hAnsi="Times New Roman"/>
                <w:sz w:val="15"/>
                <w:szCs w:val="15"/>
                <w:color w:val="auto"/>
              </w:rPr>
              <w:t>Dividends payable</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44,700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152,523</w:t>
            </w:r>
          </w:p>
        </w:tc>
        <w:tc>
          <w:tcPr>
            <w:tcW w:w="0" w:type="dxa"/>
            <w:vAlign w:val="bottom"/>
          </w:tcPr>
          <w:p>
            <w:pPr>
              <w:spacing w:after="0"/>
              <w:rPr>
                <w:sz w:val="1"/>
                <w:szCs w:val="1"/>
                <w:color w:val="auto"/>
              </w:rPr>
            </w:pPr>
          </w:p>
        </w:tc>
      </w:tr>
      <w:tr>
        <w:trPr>
          <w:trHeight w:val="228"/>
        </w:trPr>
        <w:tc>
          <w:tcPr>
            <w:tcW w:w="694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15"/>
                <w:szCs w:val="15"/>
                <w:color w:val="auto"/>
              </w:rPr>
              <w:t>6.00% Notes due December 30, 2026</w:t>
            </w:r>
            <w:r>
              <w:rPr>
                <w:rFonts w:ascii="Times New Roman" w:cs="Times New Roman" w:eastAsia="Times New Roman" w:hAnsi="Times New Roman"/>
                <w:sz w:val="25"/>
                <w:szCs w:val="25"/>
                <w:color w:val="auto"/>
                <w:vertAlign w:val="superscript"/>
              </w:rPr>
              <w:t>(2)</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49,158,918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73,745,207</w:t>
            </w:r>
          </w:p>
        </w:tc>
        <w:tc>
          <w:tcPr>
            <w:tcW w:w="0" w:type="dxa"/>
            <w:vAlign w:val="bottom"/>
          </w:tcPr>
          <w:p>
            <w:pPr>
              <w:spacing w:after="0"/>
              <w:rPr>
                <w:sz w:val="1"/>
                <w:szCs w:val="1"/>
                <w:color w:val="auto"/>
              </w:rPr>
            </w:pPr>
          </w:p>
        </w:tc>
      </w:tr>
      <w:tr>
        <w:trPr>
          <w:trHeight w:val="228"/>
        </w:trPr>
        <w:tc>
          <w:tcPr>
            <w:tcW w:w="6940" w:type="dxa"/>
            <w:vAlign w:val="bottom"/>
          </w:tcPr>
          <w:p>
            <w:pPr>
              <w:spacing w:after="0" w:line="228" w:lineRule="exact"/>
              <w:rPr>
                <w:sz w:val="20"/>
                <w:szCs w:val="20"/>
                <w:color w:val="auto"/>
              </w:rPr>
            </w:pPr>
            <w:r>
              <w:rPr>
                <w:rFonts w:ascii="Times New Roman" w:cs="Times New Roman" w:eastAsia="Times New Roman" w:hAnsi="Times New Roman"/>
                <w:sz w:val="15"/>
                <w:szCs w:val="15"/>
                <w:color w:val="auto"/>
              </w:rPr>
              <w:t>6.50% Convertible Notes due August 14, 2029</w:t>
            </w:r>
            <w:r>
              <w:rPr>
                <w:rFonts w:ascii="Times New Roman" w:cs="Times New Roman" w:eastAsia="Times New Roman" w:hAnsi="Times New Roman"/>
                <w:sz w:val="25"/>
                <w:szCs w:val="25"/>
                <w:color w:val="auto"/>
                <w:vertAlign w:val="superscript"/>
              </w:rPr>
              <w:t>(3)</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24,155,570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694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4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76,344,642</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74,244,038</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9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Commitments and contingencies (Notes 7 and 10)</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Assets</w:t>
            </w:r>
          </w:p>
        </w:tc>
        <w:tc>
          <w:tcPr>
            <w:tcW w:w="6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157,437,207</w:t>
            </w:r>
          </w:p>
        </w:tc>
        <w:tc>
          <w:tcPr>
            <w:tcW w:w="3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203,357,646</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NET ASSETS</w:t>
            </w:r>
          </w:p>
        </w:tc>
        <w:tc>
          <w:tcPr>
            <w:tcW w:w="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4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94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Common stock, par value $0.01 per share (100,000,000 authorized; 23,378,002 and 25,445,805 issued and</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respectively)</w:t>
            </w:r>
          </w:p>
        </w:tc>
        <w:tc>
          <w:tcPr>
            <w:tcW w:w="6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233,780</w:t>
            </w:r>
          </w:p>
        </w:tc>
        <w:tc>
          <w:tcPr>
            <w:tcW w:w="3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254,458</w:t>
            </w:r>
          </w:p>
        </w:tc>
        <w:tc>
          <w:tcPr>
            <w:tcW w:w="0" w:type="dxa"/>
            <w:vAlign w:val="bottom"/>
          </w:tcPr>
          <w:p>
            <w:pPr>
              <w:spacing w:after="0"/>
              <w:rPr>
                <w:sz w:val="1"/>
                <w:szCs w:val="1"/>
                <w:color w:val="auto"/>
              </w:rPr>
            </w:pPr>
          </w:p>
        </w:tc>
      </w:tr>
      <w:tr>
        <w:trPr>
          <w:trHeight w:val="182"/>
        </w:trPr>
        <w:tc>
          <w:tcPr>
            <w:tcW w:w="6940" w:type="dxa"/>
            <w:vAlign w:val="bottom"/>
          </w:tcPr>
          <w:p>
            <w:pPr>
              <w:spacing w:after="0"/>
              <w:rPr>
                <w:sz w:val="20"/>
                <w:szCs w:val="20"/>
                <w:color w:val="auto"/>
              </w:rPr>
            </w:pPr>
            <w:r>
              <w:rPr>
                <w:rFonts w:ascii="Times New Roman" w:cs="Times New Roman" w:eastAsia="Times New Roman" w:hAnsi="Times New Roman"/>
                <w:sz w:val="15"/>
                <w:szCs w:val="15"/>
                <w:color w:val="auto"/>
              </w:rPr>
              <w:t>Paid-in capital in excess of par</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240,723,120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248,454,107</w:t>
            </w:r>
          </w:p>
        </w:tc>
        <w:tc>
          <w:tcPr>
            <w:tcW w:w="0" w:type="dxa"/>
            <w:vAlign w:val="bottom"/>
          </w:tcPr>
          <w:p>
            <w:pPr>
              <w:spacing w:after="0"/>
              <w:rPr>
                <w:sz w:val="1"/>
                <w:szCs w:val="1"/>
                <w:color w:val="auto"/>
              </w:rPr>
            </w:pPr>
          </w:p>
        </w:tc>
      </w:tr>
      <w:tr>
        <w:trPr>
          <w:trHeight w:val="182"/>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net investment loss</w:t>
            </w: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(14,390,511)</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(4,304,111)</w:t>
            </w:r>
          </w:p>
        </w:tc>
        <w:tc>
          <w:tcPr>
            <w:tcW w:w="0" w:type="dxa"/>
            <w:vAlign w:val="bottom"/>
          </w:tcPr>
          <w:p>
            <w:pPr>
              <w:spacing w:after="0"/>
              <w:rPr>
                <w:sz w:val="1"/>
                <w:szCs w:val="1"/>
                <w:color w:val="auto"/>
              </w:rPr>
            </w:pPr>
          </w:p>
        </w:tc>
      </w:tr>
      <w:tr>
        <w:trPr>
          <w:trHeight w:val="182"/>
        </w:trPr>
        <w:tc>
          <w:tcPr>
            <w:tcW w:w="6940" w:type="dxa"/>
            <w:vAlign w:val="bottom"/>
          </w:tcPr>
          <w:p>
            <w:pPr>
              <w:spacing w:after="0"/>
              <w:rPr>
                <w:sz w:val="20"/>
                <w:szCs w:val="20"/>
                <w:color w:val="auto"/>
              </w:rPr>
            </w:pPr>
            <w:r>
              <w:rPr>
                <w:rFonts w:ascii="Times New Roman" w:cs="Times New Roman" w:eastAsia="Times New Roman" w:hAnsi="Times New Roman"/>
                <w:sz w:val="15"/>
                <w:szCs w:val="15"/>
                <w:color w:val="auto"/>
              </w:rPr>
              <w:t>Accumulated net realized loss on investments, net of distributions</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(26,661,214)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(12,348,772)</w:t>
            </w:r>
          </w:p>
        </w:tc>
        <w:tc>
          <w:tcPr>
            <w:tcW w:w="0" w:type="dxa"/>
            <w:vAlign w:val="bottom"/>
          </w:tcPr>
          <w:p>
            <w:pPr>
              <w:spacing w:after="0"/>
              <w:rPr>
                <w:sz w:val="1"/>
                <w:szCs w:val="1"/>
                <w:color w:val="auto"/>
              </w:rPr>
            </w:pPr>
          </w:p>
        </w:tc>
      </w:tr>
      <w:tr>
        <w:trPr>
          <w:trHeight w:val="194"/>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net unrealized appreciation/(depreciation) of investments</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(42,467,968)</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(28,698,036)</w:t>
            </w:r>
          </w:p>
        </w:tc>
        <w:tc>
          <w:tcPr>
            <w:tcW w:w="0" w:type="dxa"/>
            <w:vAlign w:val="bottom"/>
          </w:tcPr>
          <w:p>
            <w:pPr>
              <w:spacing w:after="0"/>
              <w:rPr>
                <w:sz w:val="1"/>
                <w:szCs w:val="1"/>
                <w:color w:val="auto"/>
              </w:rPr>
            </w:pPr>
          </w:p>
        </w:tc>
      </w:tr>
      <w:tr>
        <w:trPr>
          <w:trHeight w:val="225"/>
        </w:trPr>
        <w:tc>
          <w:tcPr>
            <w:tcW w:w="69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5"/>
                <w:szCs w:val="15"/>
                <w:b w:val="1"/>
                <w:bCs w:val="1"/>
                <w:color w:val="auto"/>
              </w:rPr>
              <w:t>Net Assets</w:t>
            </w:r>
          </w:p>
        </w:tc>
        <w:tc>
          <w:tcPr>
            <w:tcW w:w="4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157,437,207</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203,357,646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6940" w:type="dxa"/>
            <w:vAlign w:val="bottom"/>
            <w:tcBorders>
              <w:bottom w:val="single" w:sz="8" w:color="CCEEFF"/>
            </w:tcBorders>
            <w:shd w:val="clear" w:color="auto" w:fill="CCEEFF"/>
          </w:tcPr>
          <w:p>
            <w:pPr>
              <w:ind w:left="300"/>
              <w:spacing w:after="0" w:line="156" w:lineRule="exact"/>
              <w:rPr>
                <w:sz w:val="20"/>
                <w:szCs w:val="20"/>
                <w:color w:val="auto"/>
              </w:rPr>
            </w:pPr>
            <w:r>
              <w:rPr>
                <w:rFonts w:ascii="Times New Roman" w:cs="Times New Roman" w:eastAsia="Times New Roman" w:hAnsi="Times New Roman"/>
                <w:sz w:val="15"/>
                <w:szCs w:val="15"/>
                <w:b w:val="1"/>
                <w:bCs w:val="1"/>
                <w:color w:val="auto"/>
              </w:rPr>
              <w:t>Net Asset Value Per Share</w:t>
            </w:r>
          </w:p>
        </w:tc>
        <w:tc>
          <w:tcPr>
            <w:tcW w:w="4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6.73</w:t>
            </w: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7.99</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178689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6890" cy="6985"/>
                    </a:xfrm>
                    <a:prstGeom prst="rect">
                      <a:avLst/>
                    </a:prstGeom>
                    <a:noFill/>
                  </pic:spPr>
                </pic:pic>
              </a:graphicData>
            </a:graphic>
          </wp:anchor>
        </w:drawing>
      </w:r>
    </w:p>
    <w:p>
      <w:pPr>
        <w:spacing w:after="0" w:line="195" w:lineRule="exact"/>
        <w:rPr>
          <w:sz w:val="20"/>
          <w:szCs w:val="20"/>
          <w:color w:val="auto"/>
        </w:rPr>
      </w:pPr>
    </w:p>
    <w:p>
      <w:pPr>
        <w:ind w:left="269" w:right="20" w:hanging="269"/>
        <w:spacing w:after="0" w:line="266" w:lineRule="auto"/>
        <w:tabs>
          <w:tab w:leader="none" w:pos="269"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balance includes a right of use asset and corresponding operating lease liability, respectively. Refer to “Note 7—Commitments and Contingencies—</w:t>
      </w:r>
      <w:r>
        <w:rPr>
          <w:rFonts w:ascii="Times New Roman" w:cs="Times New Roman" w:eastAsia="Times New Roman" w:hAnsi="Times New Roman"/>
          <w:sz w:val="15"/>
          <w:szCs w:val="15"/>
          <w:i w:val="1"/>
          <w:iCs w:val="1"/>
          <w:color w:val="auto"/>
        </w:rPr>
        <w:t>Operating Leases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Related Deposits</w:t>
      </w:r>
      <w:r>
        <w:rPr>
          <w:rFonts w:ascii="Times New Roman" w:cs="Times New Roman" w:eastAsia="Times New Roman" w:hAnsi="Times New Roman"/>
          <w:sz w:val="15"/>
          <w:szCs w:val="15"/>
          <w:color w:val="auto"/>
        </w:rPr>
        <w:t>” for more detail.</w:t>
      </w:r>
    </w:p>
    <w:p>
      <w:pPr>
        <w:spacing w:after="0" w:line="1" w:lineRule="exact"/>
        <w:rPr>
          <w:rFonts w:ascii="Times New Roman" w:cs="Times New Roman" w:eastAsia="Times New Roman" w:hAnsi="Times New Roman"/>
          <w:sz w:val="15"/>
          <w:szCs w:val="15"/>
          <w:color w:val="auto"/>
        </w:rPr>
      </w:pPr>
    </w:p>
    <w:p>
      <w:pPr>
        <w:jc w:val="both"/>
        <w:ind w:left="269" w:hanging="269"/>
        <w:spacing w:after="0" w:line="253" w:lineRule="auto"/>
        <w:tabs>
          <w:tab w:leader="none" w:pos="269"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September 30, 2024, the 6.00% Notes due December 30, 2026 (the “6.00% Notes due 2026”) (effective interest rate of 6.50%) had a face value $49,746,600. As of December 31, 2023, the 6.00% Notes due 2026 (effective interest rate of 6.53%) had a face value $75,000,000. Refer to “Note 10—Debt Capital Activities” for a reconciliation of the carrying value to the face value.</w:t>
      </w:r>
    </w:p>
    <w:p>
      <w:pPr>
        <w:spacing w:after="0" w:line="1" w:lineRule="exact"/>
        <w:rPr>
          <w:rFonts w:ascii="Times New Roman" w:cs="Times New Roman" w:eastAsia="Times New Roman" w:hAnsi="Times New Roman"/>
          <w:sz w:val="15"/>
          <w:szCs w:val="15"/>
          <w:color w:val="auto"/>
        </w:rPr>
      </w:pPr>
    </w:p>
    <w:p>
      <w:pPr>
        <w:ind w:left="269" w:hanging="269"/>
        <w:spacing w:after="0" w:line="267" w:lineRule="auto"/>
        <w:tabs>
          <w:tab w:leader="none" w:pos="269"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September 30, 2024, the 6.50% Convertible Notes due August 14, 2029 (the “6.50% Convertible Notes due 2029”) (effective interest rate of 7.16%) had a face value $25,000,000. Refer to “Note 10—Debt Capital Activities” for a reconciliation of the carrying value to the face value.</w:t>
      </w:r>
    </w:p>
    <w:p>
      <w:pPr>
        <w:spacing w:after="0" w:line="14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5391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216" w:right="319" w:bottom="1440" w:gutter="0" w:footer="0" w:header="0"/>
        </w:sectPr>
      </w:pPr>
    </w:p>
    <w:bookmarkStart w:id="3" w:name="page4"/>
    <w:bookmarkEnd w:id="3"/>
    <w:tbl>
      <w:tblPr>
        <w:tblLayout w:type="fixed"/>
        <w:tblInd w:w="9" w:type="dxa"/>
        <w:tblCellMar>
          <w:top w:w="0" w:type="dxa"/>
          <w:left w:w="0" w:type="dxa"/>
          <w:bottom w:w="0" w:type="dxa"/>
          <w:right w:w="0" w:type="dxa"/>
        </w:tblCellMar>
      </w:tblPr>
      <w:tr>
        <w:trPr>
          <w:trHeight w:val="172"/>
        </w:trPr>
        <w:tc>
          <w:tcPr>
            <w:tcW w:w="3960" w:type="dxa"/>
            <w:vAlign w:val="bottom"/>
            <w:gridSpan w:val="2"/>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3940" w:type="dxa"/>
            <w:vAlign w:val="bottom"/>
            <w:gridSpan w:val="7"/>
          </w:tcPr>
          <w:p>
            <w:pPr>
              <w:jc w:val="right"/>
              <w:ind w:right="644"/>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540" w:type="dxa"/>
            <w:vAlign w:val="bottom"/>
          </w:tcPr>
          <w:p>
            <w:pPr>
              <w:spacing w:after="0"/>
              <w:rPr>
                <w:sz w:val="17"/>
                <w:szCs w:val="17"/>
                <w:color w:val="auto"/>
              </w:rPr>
            </w:pPr>
          </w:p>
        </w:tc>
        <w:tc>
          <w:tcPr>
            <w:tcW w:w="8020" w:type="dxa"/>
            <w:vAlign w:val="bottom"/>
            <w:gridSpan w:val="11"/>
          </w:tcPr>
          <w:p>
            <w:pPr>
              <w:jc w:val="right"/>
              <w:ind w:right="1102"/>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OPERATIONS (UNAUDITED)</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5"/>
        </w:trPr>
        <w:tc>
          <w:tcPr>
            <w:tcW w:w="15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40" w:type="dxa"/>
            <w:vAlign w:val="bottom"/>
            <w:gridSpan w:val="5"/>
          </w:tcPr>
          <w:p>
            <w:pPr>
              <w:jc w:val="right"/>
              <w:ind w:right="724"/>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300" w:type="dxa"/>
            <w:vAlign w:val="bottom"/>
          </w:tcPr>
          <w:p>
            <w:pPr>
              <w:spacing w:after="0"/>
              <w:rPr>
                <w:sz w:val="24"/>
                <w:szCs w:val="24"/>
                <w:color w:val="auto"/>
              </w:rPr>
            </w:pPr>
          </w:p>
        </w:tc>
        <w:tc>
          <w:tcPr>
            <w:tcW w:w="3060" w:type="dxa"/>
            <w:vAlign w:val="bottom"/>
            <w:gridSpan w:val="6"/>
          </w:tcPr>
          <w:p>
            <w:pPr>
              <w:jc w:val="right"/>
              <w:ind w:right="562"/>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0" w:type="dxa"/>
            <w:vAlign w:val="bottom"/>
          </w:tcPr>
          <w:p>
            <w:pPr>
              <w:spacing w:after="0"/>
              <w:rPr>
                <w:sz w:val="1"/>
                <w:szCs w:val="1"/>
                <w:color w:val="auto"/>
              </w:rPr>
            </w:pPr>
          </w:p>
        </w:tc>
      </w:tr>
      <w:tr>
        <w:trPr>
          <w:trHeight w:val="185"/>
        </w:trPr>
        <w:tc>
          <w:tcPr>
            <w:tcW w:w="1540" w:type="dxa"/>
            <w:vAlign w:val="bottom"/>
            <w:tcBorders>
              <w:bottom w:val="single" w:sz="8" w:color="CCEEFF"/>
            </w:tcBorders>
          </w:tcPr>
          <w:p>
            <w:pPr>
              <w:spacing w:after="0"/>
              <w:rPr>
                <w:sz w:val="16"/>
                <w:szCs w:val="16"/>
                <w:color w:val="auto"/>
              </w:rPr>
            </w:pPr>
          </w:p>
        </w:tc>
        <w:tc>
          <w:tcPr>
            <w:tcW w:w="242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2024</w:t>
            </w:r>
          </w:p>
        </w:tc>
        <w:tc>
          <w:tcPr>
            <w:tcW w:w="34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2023</w:t>
            </w:r>
          </w:p>
        </w:tc>
        <w:tc>
          <w:tcPr>
            <w:tcW w:w="34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8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INVESTMENT INCOME</w:t>
            </w: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Non-controlled/non-affiliate investments:</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300"/>
              <w:spacing w:after="0" w:line="216" w:lineRule="exact"/>
              <w:rPr>
                <w:sz w:val="20"/>
                <w:szCs w:val="20"/>
                <w:color w:val="auto"/>
              </w:rPr>
            </w:pPr>
            <w:r>
              <w:rPr>
                <w:rFonts w:ascii="Times New Roman" w:cs="Times New Roman" w:eastAsia="Times New Roman" w:hAnsi="Times New Roman"/>
                <w:sz w:val="15"/>
                <w:szCs w:val="15"/>
                <w:color w:val="auto"/>
              </w:rPr>
              <w:t>Interest income</w:t>
            </w:r>
            <w:r>
              <w:rPr>
                <w:rFonts w:ascii="Times New Roman" w:cs="Times New Roman" w:eastAsia="Times New Roman" w:hAnsi="Times New Roman"/>
                <w:sz w:val="25"/>
                <w:szCs w:val="25"/>
                <w:color w:val="auto"/>
                <w:vertAlign w:val="superscript"/>
              </w:rPr>
              <w:t>(1)</w:t>
            </w:r>
          </w:p>
        </w:tc>
        <w:tc>
          <w:tcPr>
            <w:tcW w:w="60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5"/>
                <w:szCs w:val="15"/>
                <w:color w:val="auto"/>
              </w:rPr>
              <w:t>578,603</w:t>
            </w:r>
          </w:p>
        </w:tc>
        <w:tc>
          <w:tcPr>
            <w:tcW w:w="32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28,070</w:t>
            </w:r>
          </w:p>
        </w:tc>
        <w:tc>
          <w:tcPr>
            <w:tcW w:w="3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1,111,360</w:t>
            </w:r>
          </w:p>
        </w:tc>
        <w:tc>
          <w:tcPr>
            <w:tcW w:w="48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117,939</w:t>
            </w:r>
          </w:p>
        </w:tc>
        <w:tc>
          <w:tcPr>
            <w:tcW w:w="0" w:type="dxa"/>
            <w:vAlign w:val="bottom"/>
          </w:tcPr>
          <w:p>
            <w:pPr>
              <w:spacing w:after="0"/>
              <w:rPr>
                <w:sz w:val="1"/>
                <w:szCs w:val="1"/>
                <w:color w:val="auto"/>
              </w:rPr>
            </w:pPr>
          </w:p>
        </w:tc>
      </w:tr>
      <w:tr>
        <w:trPr>
          <w:trHeight w:val="182"/>
        </w:trPr>
        <w:tc>
          <w:tcPr>
            <w:tcW w:w="39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Dividend income</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2"/>
          </w:tcPr>
          <w:p>
            <w:pPr>
              <w:jc w:val="right"/>
              <w:ind w:right="302"/>
              <w:spacing w:after="0"/>
              <w:rPr>
                <w:sz w:val="20"/>
                <w:szCs w:val="20"/>
                <w:color w:val="auto"/>
              </w:rPr>
            </w:pPr>
            <w:r>
              <w:rPr>
                <w:rFonts w:ascii="Times New Roman" w:cs="Times New Roman" w:eastAsia="Times New Roman" w:hAnsi="Times New Roman"/>
                <w:sz w:val="15"/>
                <w:szCs w:val="15"/>
                <w:color w:val="auto"/>
              </w:rPr>
              <w:t>166,153</w:t>
            </w:r>
          </w:p>
        </w:tc>
        <w:tc>
          <w:tcPr>
            <w:tcW w:w="320" w:type="dxa"/>
            <w:vAlign w:val="bottom"/>
          </w:tcPr>
          <w:p>
            <w:pPr>
              <w:spacing w:after="0"/>
              <w:rPr>
                <w:sz w:val="15"/>
                <w:szCs w:val="15"/>
                <w:color w:val="auto"/>
              </w:rPr>
            </w:pPr>
          </w:p>
        </w:tc>
        <w:tc>
          <w:tcPr>
            <w:tcW w:w="1480" w:type="dxa"/>
            <w:vAlign w:val="bottom"/>
            <w:gridSpan w:val="2"/>
          </w:tcPr>
          <w:p>
            <w:pPr>
              <w:jc w:val="right"/>
              <w:ind w:right="264"/>
              <w:spacing w:after="0"/>
              <w:rPr>
                <w:sz w:val="20"/>
                <w:szCs w:val="20"/>
                <w:color w:val="auto"/>
              </w:rPr>
            </w:pPr>
            <w:r>
              <w:rPr>
                <w:rFonts w:ascii="Times New Roman" w:cs="Times New Roman" w:eastAsia="Times New Roman" w:hAnsi="Times New Roman"/>
                <w:sz w:val="15"/>
                <w:szCs w:val="15"/>
                <w:color w:val="auto"/>
              </w:rPr>
              <w:t>63,145</w:t>
            </w:r>
          </w:p>
        </w:tc>
        <w:tc>
          <w:tcPr>
            <w:tcW w:w="300" w:type="dxa"/>
            <w:vAlign w:val="bottom"/>
          </w:tcPr>
          <w:p>
            <w:pPr>
              <w:spacing w:after="0"/>
              <w:rPr>
                <w:sz w:val="15"/>
                <w:szCs w:val="15"/>
                <w:color w:val="auto"/>
              </w:rPr>
            </w:pPr>
          </w:p>
        </w:tc>
        <w:tc>
          <w:tcPr>
            <w:tcW w:w="136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188,028</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189,435</w:t>
            </w:r>
          </w:p>
        </w:tc>
        <w:tc>
          <w:tcPr>
            <w:tcW w:w="0" w:type="dxa"/>
            <w:vAlign w:val="bottom"/>
          </w:tcPr>
          <w:p>
            <w:pPr>
              <w:spacing w:after="0"/>
              <w:rPr>
                <w:sz w:val="1"/>
                <w:szCs w:val="1"/>
                <w:color w:val="auto"/>
              </w:rPr>
            </w:pPr>
          </w:p>
        </w:tc>
      </w:tr>
      <w:tr>
        <w:trPr>
          <w:trHeight w:val="182"/>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Controlled investments:</w:t>
            </w: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9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Interest income</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2"/>
          </w:tcPr>
          <w:p>
            <w:pPr>
              <w:jc w:val="right"/>
              <w:ind w:right="302"/>
              <w:spacing w:after="0"/>
              <w:rPr>
                <w:sz w:val="20"/>
                <w:szCs w:val="20"/>
                <w:color w:val="auto"/>
              </w:rPr>
            </w:pPr>
            <w:r>
              <w:rPr>
                <w:rFonts w:ascii="Times New Roman" w:cs="Times New Roman" w:eastAsia="Times New Roman" w:hAnsi="Times New Roman"/>
                <w:sz w:val="15"/>
                <w:szCs w:val="15"/>
                <w:color w:val="auto"/>
              </w:rPr>
              <w:t>143,961</w:t>
            </w:r>
          </w:p>
        </w:tc>
        <w:tc>
          <w:tcPr>
            <w:tcW w:w="320" w:type="dxa"/>
            <w:vAlign w:val="bottom"/>
          </w:tcPr>
          <w:p>
            <w:pPr>
              <w:spacing w:after="0"/>
              <w:rPr>
                <w:sz w:val="15"/>
                <w:szCs w:val="15"/>
                <w:color w:val="auto"/>
              </w:rPr>
            </w:pPr>
          </w:p>
        </w:tc>
        <w:tc>
          <w:tcPr>
            <w:tcW w:w="1480" w:type="dxa"/>
            <w:vAlign w:val="bottom"/>
            <w:gridSpan w:val="2"/>
          </w:tcPr>
          <w:p>
            <w:pPr>
              <w:jc w:val="right"/>
              <w:ind w:right="264"/>
              <w:spacing w:after="0"/>
              <w:rPr>
                <w:sz w:val="20"/>
                <w:szCs w:val="20"/>
                <w:color w:val="auto"/>
              </w:rPr>
            </w:pPr>
            <w:r>
              <w:rPr>
                <w:rFonts w:ascii="Times New Roman" w:cs="Times New Roman" w:eastAsia="Times New Roman" w:hAnsi="Times New Roman"/>
                <w:sz w:val="15"/>
                <w:szCs w:val="15"/>
                <w:color w:val="auto"/>
              </w:rPr>
              <w:t>400,000</w:t>
            </w:r>
          </w:p>
        </w:tc>
        <w:tc>
          <w:tcPr>
            <w:tcW w:w="300" w:type="dxa"/>
            <w:vAlign w:val="bottom"/>
          </w:tcPr>
          <w:p>
            <w:pPr>
              <w:spacing w:after="0"/>
              <w:rPr>
                <w:sz w:val="15"/>
                <w:szCs w:val="15"/>
                <w:color w:val="auto"/>
              </w:rPr>
            </w:pPr>
          </w:p>
        </w:tc>
        <w:tc>
          <w:tcPr>
            <w:tcW w:w="136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955,628</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954,425</w:t>
            </w:r>
          </w:p>
        </w:tc>
        <w:tc>
          <w:tcPr>
            <w:tcW w:w="0" w:type="dxa"/>
            <w:vAlign w:val="bottom"/>
          </w:tcPr>
          <w:p>
            <w:pPr>
              <w:spacing w:after="0"/>
              <w:rPr>
                <w:sz w:val="1"/>
                <w:szCs w:val="1"/>
                <w:color w:val="auto"/>
              </w:rPr>
            </w:pPr>
          </w:p>
        </w:tc>
      </w:tr>
      <w:tr>
        <w:trPr>
          <w:trHeight w:val="194"/>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income from U.S. Treasury bills</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974,531</w:t>
            </w:r>
          </w:p>
        </w:tc>
        <w:tc>
          <w:tcPr>
            <w:tcW w:w="3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1,189,145</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2,875,247</w:t>
            </w:r>
          </w:p>
        </w:tc>
        <w:tc>
          <w:tcPr>
            <w:tcW w:w="0" w:type="dxa"/>
            <w:vAlign w:val="bottom"/>
          </w:tcPr>
          <w:p>
            <w:pPr>
              <w:spacing w:after="0"/>
              <w:rPr>
                <w:sz w:val="1"/>
                <w:szCs w:val="1"/>
                <w:color w:val="auto"/>
              </w:rPr>
            </w:pPr>
          </w:p>
        </w:tc>
      </w:tr>
      <w:tr>
        <w:trPr>
          <w:trHeight w:val="174"/>
        </w:trPr>
        <w:tc>
          <w:tcPr>
            <w:tcW w:w="39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5"/>
                <w:szCs w:val="15"/>
                <w:color w:val="auto"/>
              </w:rPr>
              <w:t>Total Investment Income</w:t>
            </w:r>
          </w:p>
        </w:tc>
        <w:tc>
          <w:tcPr>
            <w:tcW w:w="3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888,717</w:t>
            </w:r>
          </w:p>
        </w:tc>
        <w:tc>
          <w:tcPr>
            <w:tcW w:w="34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1,465,746</w:t>
            </w:r>
          </w:p>
        </w:tc>
        <w:tc>
          <w:tcPr>
            <w:tcW w:w="34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3,444,161</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4,137,046</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OPERATING EXPENSES</w:t>
            </w: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Compensation expense</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2"/>
          </w:tcPr>
          <w:p>
            <w:pPr>
              <w:jc w:val="right"/>
              <w:ind w:right="302"/>
              <w:spacing w:after="0"/>
              <w:rPr>
                <w:sz w:val="20"/>
                <w:szCs w:val="20"/>
                <w:color w:val="auto"/>
              </w:rPr>
            </w:pPr>
            <w:r>
              <w:rPr>
                <w:rFonts w:ascii="Times New Roman" w:cs="Times New Roman" w:eastAsia="Times New Roman" w:hAnsi="Times New Roman"/>
                <w:sz w:val="15"/>
                <w:szCs w:val="15"/>
                <w:color w:val="auto"/>
              </w:rPr>
              <w:t>1,916,361</w:t>
            </w:r>
          </w:p>
        </w:tc>
        <w:tc>
          <w:tcPr>
            <w:tcW w:w="320" w:type="dxa"/>
            <w:vAlign w:val="bottom"/>
          </w:tcPr>
          <w:p>
            <w:pPr>
              <w:spacing w:after="0"/>
              <w:rPr>
                <w:sz w:val="15"/>
                <w:szCs w:val="15"/>
                <w:color w:val="auto"/>
              </w:rPr>
            </w:pPr>
          </w:p>
        </w:tc>
        <w:tc>
          <w:tcPr>
            <w:tcW w:w="1480" w:type="dxa"/>
            <w:vAlign w:val="bottom"/>
            <w:gridSpan w:val="2"/>
          </w:tcPr>
          <w:p>
            <w:pPr>
              <w:jc w:val="right"/>
              <w:ind w:right="264"/>
              <w:spacing w:after="0"/>
              <w:rPr>
                <w:sz w:val="20"/>
                <w:szCs w:val="20"/>
                <w:color w:val="auto"/>
              </w:rPr>
            </w:pPr>
            <w:r>
              <w:rPr>
                <w:rFonts w:ascii="Times New Roman" w:cs="Times New Roman" w:eastAsia="Times New Roman" w:hAnsi="Times New Roman"/>
                <w:sz w:val="15"/>
                <w:szCs w:val="15"/>
                <w:color w:val="auto"/>
              </w:rPr>
              <w:t>2,123,704</w:t>
            </w:r>
          </w:p>
        </w:tc>
        <w:tc>
          <w:tcPr>
            <w:tcW w:w="300" w:type="dxa"/>
            <w:vAlign w:val="bottom"/>
          </w:tcPr>
          <w:p>
            <w:pPr>
              <w:spacing w:after="0"/>
              <w:rPr>
                <w:sz w:val="15"/>
                <w:szCs w:val="15"/>
                <w:color w:val="auto"/>
              </w:rPr>
            </w:pPr>
          </w:p>
        </w:tc>
        <w:tc>
          <w:tcPr>
            <w:tcW w:w="136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6,300,188</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6,378,330</w:t>
            </w:r>
          </w:p>
        </w:tc>
        <w:tc>
          <w:tcPr>
            <w:tcW w:w="0" w:type="dxa"/>
            <w:vAlign w:val="bottom"/>
          </w:tcPr>
          <w:p>
            <w:pPr>
              <w:spacing w:after="0"/>
              <w:rPr>
                <w:sz w:val="1"/>
                <w:szCs w:val="1"/>
                <w:color w:val="auto"/>
              </w:rPr>
            </w:pPr>
          </w:p>
        </w:tc>
      </w:tr>
      <w:tr>
        <w:trPr>
          <w:trHeight w:val="182"/>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Directors’ fees</w:t>
            </w: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5"/>
                <w:szCs w:val="15"/>
                <w:color w:val="auto"/>
              </w:rPr>
              <w:t>171,661</w:t>
            </w:r>
          </w:p>
        </w:tc>
        <w:tc>
          <w:tcPr>
            <w:tcW w:w="3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161,661</w:t>
            </w:r>
          </w:p>
        </w:tc>
        <w:tc>
          <w:tcPr>
            <w:tcW w:w="3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510,599</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483,887</w:t>
            </w:r>
          </w:p>
        </w:tc>
        <w:tc>
          <w:tcPr>
            <w:tcW w:w="0" w:type="dxa"/>
            <w:vAlign w:val="bottom"/>
          </w:tcPr>
          <w:p>
            <w:pPr>
              <w:spacing w:after="0"/>
              <w:rPr>
                <w:sz w:val="1"/>
                <w:szCs w:val="1"/>
                <w:color w:val="auto"/>
              </w:rPr>
            </w:pPr>
          </w:p>
        </w:tc>
      </w:tr>
      <w:tr>
        <w:trPr>
          <w:trHeight w:val="182"/>
        </w:trPr>
        <w:tc>
          <w:tcPr>
            <w:tcW w:w="3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Professional fees</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2"/>
          </w:tcPr>
          <w:p>
            <w:pPr>
              <w:jc w:val="right"/>
              <w:ind w:right="302"/>
              <w:spacing w:after="0"/>
              <w:rPr>
                <w:sz w:val="20"/>
                <w:szCs w:val="20"/>
                <w:color w:val="auto"/>
              </w:rPr>
            </w:pPr>
            <w:r>
              <w:rPr>
                <w:rFonts w:ascii="Times New Roman" w:cs="Times New Roman" w:eastAsia="Times New Roman" w:hAnsi="Times New Roman"/>
                <w:sz w:val="15"/>
                <w:szCs w:val="15"/>
                <w:color w:val="auto"/>
              </w:rPr>
              <w:t>515,244</w:t>
            </w:r>
          </w:p>
        </w:tc>
        <w:tc>
          <w:tcPr>
            <w:tcW w:w="320" w:type="dxa"/>
            <w:vAlign w:val="bottom"/>
          </w:tcPr>
          <w:p>
            <w:pPr>
              <w:spacing w:after="0"/>
              <w:rPr>
                <w:sz w:val="15"/>
                <w:szCs w:val="15"/>
                <w:color w:val="auto"/>
              </w:rPr>
            </w:pPr>
          </w:p>
        </w:tc>
        <w:tc>
          <w:tcPr>
            <w:tcW w:w="1480" w:type="dxa"/>
            <w:vAlign w:val="bottom"/>
            <w:gridSpan w:val="2"/>
          </w:tcPr>
          <w:p>
            <w:pPr>
              <w:jc w:val="right"/>
              <w:ind w:right="264"/>
              <w:spacing w:after="0"/>
              <w:rPr>
                <w:sz w:val="20"/>
                <w:szCs w:val="20"/>
                <w:color w:val="auto"/>
              </w:rPr>
            </w:pPr>
            <w:r>
              <w:rPr>
                <w:rFonts w:ascii="Times New Roman" w:cs="Times New Roman" w:eastAsia="Times New Roman" w:hAnsi="Times New Roman"/>
                <w:sz w:val="15"/>
                <w:szCs w:val="15"/>
                <w:color w:val="auto"/>
              </w:rPr>
              <w:t>277,075</w:t>
            </w:r>
          </w:p>
        </w:tc>
        <w:tc>
          <w:tcPr>
            <w:tcW w:w="300" w:type="dxa"/>
            <w:vAlign w:val="bottom"/>
          </w:tcPr>
          <w:p>
            <w:pPr>
              <w:spacing w:after="0"/>
              <w:rPr>
                <w:sz w:val="15"/>
                <w:szCs w:val="15"/>
                <w:color w:val="auto"/>
              </w:rPr>
            </w:pPr>
          </w:p>
        </w:tc>
        <w:tc>
          <w:tcPr>
            <w:tcW w:w="136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1,830,628</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2,184,488</w:t>
            </w:r>
          </w:p>
        </w:tc>
        <w:tc>
          <w:tcPr>
            <w:tcW w:w="0" w:type="dxa"/>
            <w:vAlign w:val="bottom"/>
          </w:tcPr>
          <w:p>
            <w:pPr>
              <w:spacing w:after="0"/>
              <w:rPr>
                <w:sz w:val="1"/>
                <w:szCs w:val="1"/>
                <w:color w:val="auto"/>
              </w:rPr>
            </w:pPr>
          </w:p>
        </w:tc>
      </w:tr>
      <w:tr>
        <w:trPr>
          <w:trHeight w:val="182"/>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5"/>
                <w:szCs w:val="15"/>
                <w:color w:val="auto"/>
              </w:rPr>
              <w:t>1,153,466</w:t>
            </w:r>
          </w:p>
        </w:tc>
        <w:tc>
          <w:tcPr>
            <w:tcW w:w="3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1,215,248</w:t>
            </w:r>
          </w:p>
        </w:tc>
        <w:tc>
          <w:tcPr>
            <w:tcW w:w="3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3,582,000</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3,642,801</w:t>
            </w:r>
          </w:p>
        </w:tc>
        <w:tc>
          <w:tcPr>
            <w:tcW w:w="0" w:type="dxa"/>
            <w:vAlign w:val="bottom"/>
          </w:tcPr>
          <w:p>
            <w:pPr>
              <w:spacing w:after="0"/>
              <w:rPr>
                <w:sz w:val="1"/>
                <w:szCs w:val="1"/>
                <w:color w:val="auto"/>
              </w:rPr>
            </w:pPr>
          </w:p>
        </w:tc>
      </w:tr>
      <w:tr>
        <w:trPr>
          <w:trHeight w:val="182"/>
        </w:trPr>
        <w:tc>
          <w:tcPr>
            <w:tcW w:w="3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2"/>
          </w:tcPr>
          <w:p>
            <w:pPr>
              <w:jc w:val="right"/>
              <w:ind w:right="302"/>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5"/>
                <w:szCs w:val="15"/>
                <w:color w:val="auto"/>
              </w:rPr>
            </w:pPr>
          </w:p>
        </w:tc>
        <w:tc>
          <w:tcPr>
            <w:tcW w:w="1480" w:type="dxa"/>
            <w:vAlign w:val="bottom"/>
            <w:gridSpan w:val="2"/>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5"/>
                <w:szCs w:val="15"/>
                <w:color w:val="auto"/>
              </w:rPr>
            </w:pPr>
          </w:p>
        </w:tc>
        <w:tc>
          <w:tcPr>
            <w:tcW w:w="136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54,894</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620,606</w:t>
            </w:r>
          </w:p>
        </w:tc>
        <w:tc>
          <w:tcPr>
            <w:tcW w:w="0" w:type="dxa"/>
            <w:vAlign w:val="bottom"/>
          </w:tcPr>
          <w:p>
            <w:pPr>
              <w:spacing w:after="0"/>
              <w:rPr>
                <w:sz w:val="1"/>
                <w:szCs w:val="1"/>
                <w:color w:val="auto"/>
              </w:rPr>
            </w:pPr>
          </w:p>
        </w:tc>
      </w:tr>
      <w:tr>
        <w:trPr>
          <w:trHeight w:val="194"/>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expenses</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5"/>
                <w:szCs w:val="15"/>
                <w:color w:val="auto"/>
              </w:rPr>
              <w:t>339,858</w:t>
            </w:r>
          </w:p>
        </w:tc>
        <w:tc>
          <w:tcPr>
            <w:tcW w:w="3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356,484</w:t>
            </w:r>
          </w:p>
        </w:tc>
        <w:tc>
          <w:tcPr>
            <w:tcW w:w="3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1,252,252</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1,522,465</w:t>
            </w:r>
          </w:p>
        </w:tc>
        <w:tc>
          <w:tcPr>
            <w:tcW w:w="0" w:type="dxa"/>
            <w:vAlign w:val="bottom"/>
          </w:tcPr>
          <w:p>
            <w:pPr>
              <w:spacing w:after="0"/>
              <w:rPr>
                <w:sz w:val="1"/>
                <w:szCs w:val="1"/>
                <w:color w:val="auto"/>
              </w:rPr>
            </w:pPr>
          </w:p>
        </w:tc>
      </w:tr>
      <w:tr>
        <w:trPr>
          <w:trHeight w:val="174"/>
        </w:trPr>
        <w:tc>
          <w:tcPr>
            <w:tcW w:w="39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5"/>
                <w:szCs w:val="15"/>
                <w:color w:val="auto"/>
              </w:rPr>
              <w:t>Total Operating Expenses</w:t>
            </w:r>
          </w:p>
        </w:tc>
        <w:tc>
          <w:tcPr>
            <w:tcW w:w="3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4,096,590</w:t>
            </w:r>
          </w:p>
        </w:tc>
        <w:tc>
          <w:tcPr>
            <w:tcW w:w="34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4,134,172</w:t>
            </w:r>
          </w:p>
        </w:tc>
        <w:tc>
          <w:tcPr>
            <w:tcW w:w="34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13,530,561</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14,832,577</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Net Investment Loss</w:t>
            </w:r>
          </w:p>
        </w:tc>
        <w:tc>
          <w:tcPr>
            <w:tcW w:w="3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(3,207,873</w:t>
            </w:r>
          </w:p>
        </w:tc>
        <w:tc>
          <w:tcPr>
            <w:tcW w:w="34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(2,668,426</w:t>
            </w:r>
          </w:p>
        </w:tc>
        <w:tc>
          <w:tcPr>
            <w:tcW w:w="34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3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(10,086,400</w:t>
            </w:r>
          </w:p>
        </w:tc>
        <w:tc>
          <w:tcPr>
            <w:tcW w:w="1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(10,695,531</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74"/>
        </w:trPr>
        <w:tc>
          <w:tcPr>
            <w:tcW w:w="39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Realized Loss on Investments:</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Non-controlled/non-affiliated investments</w:t>
            </w: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5"/>
                <w:szCs w:val="15"/>
                <w:color w:val="auto"/>
              </w:rPr>
              <w:t>(328,520)</w:t>
            </w:r>
          </w:p>
        </w:tc>
        <w:tc>
          <w:tcPr>
            <w:tcW w:w="3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(1,461,281)</w:t>
            </w:r>
          </w:p>
        </w:tc>
        <w:tc>
          <w:tcPr>
            <w:tcW w:w="3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(775,461)</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(3,597,113)</w:t>
            </w:r>
          </w:p>
        </w:tc>
        <w:tc>
          <w:tcPr>
            <w:tcW w:w="0" w:type="dxa"/>
            <w:vAlign w:val="bottom"/>
          </w:tcPr>
          <w:p>
            <w:pPr>
              <w:spacing w:after="0"/>
              <w:rPr>
                <w:sz w:val="1"/>
                <w:szCs w:val="1"/>
                <w:color w:val="auto"/>
              </w:rPr>
            </w:pPr>
          </w:p>
        </w:tc>
      </w:tr>
      <w:tr>
        <w:trPr>
          <w:trHeight w:val="182"/>
        </w:trPr>
        <w:tc>
          <w:tcPr>
            <w:tcW w:w="3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Non-controlled/affiliate investments</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2"/>
          </w:tcPr>
          <w:p>
            <w:pPr>
              <w:jc w:val="right"/>
              <w:ind w:right="262"/>
              <w:spacing w:after="0"/>
              <w:rPr>
                <w:sz w:val="20"/>
                <w:szCs w:val="20"/>
                <w:color w:val="auto"/>
              </w:rPr>
            </w:pPr>
            <w:r>
              <w:rPr>
                <w:rFonts w:ascii="Times New Roman" w:cs="Times New Roman" w:eastAsia="Times New Roman" w:hAnsi="Times New Roman"/>
                <w:sz w:val="15"/>
                <w:szCs w:val="15"/>
                <w:color w:val="auto"/>
              </w:rPr>
              <w:t>(6,598,530)</w:t>
            </w:r>
          </w:p>
        </w:tc>
        <w:tc>
          <w:tcPr>
            <w:tcW w:w="320" w:type="dxa"/>
            <w:vAlign w:val="bottom"/>
          </w:tcPr>
          <w:p>
            <w:pPr>
              <w:spacing w:after="0"/>
              <w:rPr>
                <w:sz w:val="15"/>
                <w:szCs w:val="15"/>
                <w:color w:val="auto"/>
              </w:rPr>
            </w:pPr>
          </w:p>
        </w:tc>
        <w:tc>
          <w:tcPr>
            <w:tcW w:w="1480" w:type="dxa"/>
            <w:vAlign w:val="bottom"/>
            <w:gridSpan w:val="2"/>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5"/>
                <w:szCs w:val="15"/>
                <w:color w:val="auto"/>
              </w:rPr>
            </w:pPr>
          </w:p>
        </w:tc>
        <w:tc>
          <w:tcPr>
            <w:tcW w:w="136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(6,598,530)</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(10,945,024)</w:t>
            </w:r>
          </w:p>
        </w:tc>
        <w:tc>
          <w:tcPr>
            <w:tcW w:w="0" w:type="dxa"/>
            <w:vAlign w:val="bottom"/>
          </w:tcPr>
          <w:p>
            <w:pPr>
              <w:spacing w:after="0"/>
              <w:rPr>
                <w:sz w:val="1"/>
                <w:szCs w:val="1"/>
                <w:color w:val="auto"/>
              </w:rPr>
            </w:pPr>
          </w:p>
        </w:tc>
      </w:tr>
      <w:tr>
        <w:trPr>
          <w:trHeight w:val="194"/>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Controlled investments</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5"/>
                <w:szCs w:val="15"/>
                <w:color w:val="auto"/>
              </w:rPr>
              <w:t>(6,786,462)</w:t>
            </w:r>
          </w:p>
        </w:tc>
        <w:tc>
          <w:tcPr>
            <w:tcW w:w="3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(6,793,207)</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4"/>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Net Realized Loss on Investments</w:t>
            </w:r>
          </w:p>
        </w:tc>
        <w:tc>
          <w:tcPr>
            <w:tcW w:w="3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(13,713,512)</w:t>
            </w:r>
          </w:p>
        </w:tc>
        <w:tc>
          <w:tcPr>
            <w:tcW w:w="3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(1,461,281)</w:t>
            </w:r>
          </w:p>
        </w:tc>
        <w:tc>
          <w:tcPr>
            <w:tcW w:w="3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(14,167,198)</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(14,542,137)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960" w:type="dxa"/>
            <w:vAlign w:val="bottom"/>
            <w:gridSpan w:val="2"/>
            <w:shd w:val="clear" w:color="auto" w:fill="CCEEFF"/>
          </w:tcPr>
          <w:p>
            <w:pPr>
              <w:ind w:left="140"/>
              <w:spacing w:after="0" w:line="168" w:lineRule="exact"/>
              <w:rPr>
                <w:sz w:val="20"/>
                <w:szCs w:val="20"/>
                <w:color w:val="auto"/>
              </w:rPr>
            </w:pPr>
            <w:r>
              <w:rPr>
                <w:rFonts w:ascii="Times New Roman" w:cs="Times New Roman" w:eastAsia="Times New Roman" w:hAnsi="Times New Roman"/>
                <w:sz w:val="15"/>
                <w:szCs w:val="15"/>
                <w:color w:val="auto"/>
              </w:rPr>
              <w:t>Realized loss on partial repurchase of 6.00% Notes due</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December 30, 2026</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5"/>
                <w:szCs w:val="15"/>
                <w:color w:val="auto"/>
              </w:rPr>
              <w:t>(145,244)</w:t>
            </w:r>
          </w:p>
        </w:tc>
        <w:tc>
          <w:tcPr>
            <w:tcW w:w="3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(145,244)</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4"/>
        </w:trPr>
        <w:tc>
          <w:tcPr>
            <w:tcW w:w="3960" w:type="dxa"/>
            <w:vAlign w:val="bottom"/>
            <w:gridSpan w:val="2"/>
          </w:tcPr>
          <w:p>
            <w:pPr>
              <w:spacing w:after="0" w:line="164" w:lineRule="exact"/>
              <w:rPr>
                <w:sz w:val="20"/>
                <w:szCs w:val="20"/>
                <w:color w:val="auto"/>
              </w:rPr>
            </w:pPr>
            <w:r>
              <w:rPr>
                <w:rFonts w:ascii="Times New Roman" w:cs="Times New Roman" w:eastAsia="Times New Roman" w:hAnsi="Times New Roman"/>
                <w:sz w:val="15"/>
                <w:szCs w:val="15"/>
                <w:b w:val="1"/>
                <w:bCs w:val="1"/>
                <w:color w:val="auto"/>
              </w:rPr>
              <w:t>Change in Unrealized Appreciation/(Depreciation) of</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9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Investments:</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Non-controlled/non-affiliated investments</w:t>
            </w: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5"/>
                <w:szCs w:val="15"/>
                <w:color w:val="auto"/>
              </w:rPr>
              <w:t>(1,988,131)</w:t>
            </w:r>
          </w:p>
        </w:tc>
        <w:tc>
          <w:tcPr>
            <w:tcW w:w="3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27,760,743</w:t>
            </w:r>
          </w:p>
        </w:tc>
        <w:tc>
          <w:tcPr>
            <w:tcW w:w="3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(24,362,275)</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13,544,366</w:t>
            </w:r>
          </w:p>
        </w:tc>
        <w:tc>
          <w:tcPr>
            <w:tcW w:w="0" w:type="dxa"/>
            <w:vAlign w:val="bottom"/>
          </w:tcPr>
          <w:p>
            <w:pPr>
              <w:spacing w:after="0"/>
              <w:rPr>
                <w:sz w:val="1"/>
                <w:szCs w:val="1"/>
                <w:color w:val="auto"/>
              </w:rPr>
            </w:pPr>
          </w:p>
        </w:tc>
      </w:tr>
      <w:tr>
        <w:trPr>
          <w:trHeight w:val="182"/>
        </w:trPr>
        <w:tc>
          <w:tcPr>
            <w:tcW w:w="3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Non-controlled/affiliate investments</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2"/>
          </w:tcPr>
          <w:p>
            <w:pPr>
              <w:jc w:val="right"/>
              <w:ind w:right="302"/>
              <w:spacing w:after="0"/>
              <w:rPr>
                <w:sz w:val="20"/>
                <w:szCs w:val="20"/>
                <w:color w:val="auto"/>
              </w:rPr>
            </w:pPr>
            <w:r>
              <w:rPr>
                <w:rFonts w:ascii="Times New Roman" w:cs="Times New Roman" w:eastAsia="Times New Roman" w:hAnsi="Times New Roman"/>
                <w:sz w:val="15"/>
                <w:szCs w:val="15"/>
                <w:color w:val="auto"/>
              </w:rPr>
              <w:t>6,811,103</w:t>
            </w:r>
          </w:p>
        </w:tc>
        <w:tc>
          <w:tcPr>
            <w:tcW w:w="320" w:type="dxa"/>
            <w:vAlign w:val="bottom"/>
          </w:tcPr>
          <w:p>
            <w:pPr>
              <w:spacing w:after="0"/>
              <w:rPr>
                <w:sz w:val="15"/>
                <w:szCs w:val="15"/>
                <w:color w:val="auto"/>
              </w:rPr>
            </w:pPr>
          </w:p>
        </w:tc>
        <w:tc>
          <w:tcPr>
            <w:tcW w:w="1480" w:type="dxa"/>
            <w:vAlign w:val="bottom"/>
            <w:gridSpan w:val="2"/>
          </w:tcPr>
          <w:p>
            <w:pPr>
              <w:jc w:val="right"/>
              <w:ind w:right="264"/>
              <w:spacing w:after="0"/>
              <w:rPr>
                <w:sz w:val="20"/>
                <w:szCs w:val="20"/>
                <w:color w:val="auto"/>
              </w:rPr>
            </w:pPr>
            <w:r>
              <w:rPr>
                <w:rFonts w:ascii="Times New Roman" w:cs="Times New Roman" w:eastAsia="Times New Roman" w:hAnsi="Times New Roman"/>
                <w:sz w:val="15"/>
                <w:szCs w:val="15"/>
                <w:color w:val="auto"/>
              </w:rPr>
              <w:t>1,568,324</w:t>
            </w:r>
          </w:p>
        </w:tc>
        <w:tc>
          <w:tcPr>
            <w:tcW w:w="300" w:type="dxa"/>
            <w:vAlign w:val="bottom"/>
          </w:tcPr>
          <w:p>
            <w:pPr>
              <w:spacing w:after="0"/>
              <w:rPr>
                <w:sz w:val="15"/>
                <w:szCs w:val="15"/>
                <w:color w:val="auto"/>
              </w:rPr>
            </w:pPr>
          </w:p>
        </w:tc>
        <w:tc>
          <w:tcPr>
            <w:tcW w:w="136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3,806,567</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25,939,147</w:t>
            </w:r>
          </w:p>
        </w:tc>
        <w:tc>
          <w:tcPr>
            <w:tcW w:w="0" w:type="dxa"/>
            <w:vAlign w:val="bottom"/>
          </w:tcPr>
          <w:p>
            <w:pPr>
              <w:spacing w:after="0"/>
              <w:rPr>
                <w:sz w:val="1"/>
                <w:szCs w:val="1"/>
                <w:color w:val="auto"/>
              </w:rPr>
            </w:pPr>
          </w:p>
        </w:tc>
      </w:tr>
      <w:tr>
        <w:trPr>
          <w:trHeight w:val="194"/>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Controlled investments</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5"/>
                <w:szCs w:val="15"/>
                <w:color w:val="auto"/>
              </w:rPr>
              <w:t>6,791,412</w:t>
            </w:r>
          </w:p>
        </w:tc>
        <w:tc>
          <w:tcPr>
            <w:tcW w:w="3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(6,000)</w:t>
            </w:r>
          </w:p>
        </w:tc>
        <w:tc>
          <w:tcPr>
            <w:tcW w:w="3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6,785,776</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(56,000)</w:t>
            </w:r>
          </w:p>
        </w:tc>
        <w:tc>
          <w:tcPr>
            <w:tcW w:w="0" w:type="dxa"/>
            <w:vAlign w:val="bottom"/>
          </w:tcPr>
          <w:p>
            <w:pPr>
              <w:spacing w:after="0"/>
              <w:rPr>
                <w:sz w:val="1"/>
                <w:szCs w:val="1"/>
                <w:color w:val="auto"/>
              </w:rPr>
            </w:pPr>
          </w:p>
        </w:tc>
      </w:tr>
      <w:tr>
        <w:trPr>
          <w:trHeight w:val="144"/>
        </w:trPr>
        <w:tc>
          <w:tcPr>
            <w:tcW w:w="396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5"/>
                <w:szCs w:val="15"/>
                <w:b w:val="1"/>
                <w:bCs w:val="1"/>
                <w:color w:val="auto"/>
              </w:rPr>
              <w:t>Net Change in Unrealized Appreciation/(Depreciation) of</w:t>
            </w:r>
          </w:p>
        </w:tc>
        <w:tc>
          <w:tcPr>
            <w:tcW w:w="3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Investments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302"/>
              <w:spacing w:after="0"/>
              <w:rPr>
                <w:sz w:val="20"/>
                <w:szCs w:val="20"/>
                <w:color w:val="auto"/>
              </w:rPr>
            </w:pPr>
            <w:r>
              <w:rPr>
                <w:rFonts w:ascii="Times New Roman" w:cs="Times New Roman" w:eastAsia="Times New Roman" w:hAnsi="Times New Roman"/>
                <w:sz w:val="15"/>
                <w:szCs w:val="15"/>
                <w:color w:val="auto"/>
              </w:rPr>
              <w:t>11,614,384</w:t>
            </w:r>
          </w:p>
        </w:tc>
        <w:tc>
          <w:tcPr>
            <w:tcW w:w="320" w:type="dxa"/>
            <w:vAlign w:val="bottom"/>
          </w:tcPr>
          <w:p>
            <w:pPr>
              <w:spacing w:after="0"/>
              <w:rPr>
                <w:sz w:val="18"/>
                <w:szCs w:val="18"/>
                <w:color w:val="auto"/>
              </w:rPr>
            </w:pPr>
          </w:p>
        </w:tc>
        <w:tc>
          <w:tcPr>
            <w:tcW w:w="1480" w:type="dxa"/>
            <w:vAlign w:val="bottom"/>
            <w:gridSpan w:val="2"/>
          </w:tcPr>
          <w:p>
            <w:pPr>
              <w:jc w:val="right"/>
              <w:ind w:right="264"/>
              <w:spacing w:after="0"/>
              <w:rPr>
                <w:sz w:val="20"/>
                <w:szCs w:val="20"/>
                <w:color w:val="auto"/>
              </w:rPr>
            </w:pPr>
            <w:r>
              <w:rPr>
                <w:rFonts w:ascii="Times New Roman" w:cs="Times New Roman" w:eastAsia="Times New Roman" w:hAnsi="Times New Roman"/>
                <w:sz w:val="15"/>
                <w:szCs w:val="15"/>
                <w:color w:val="auto"/>
              </w:rPr>
              <w:t>29,323,067</w:t>
            </w:r>
          </w:p>
        </w:tc>
        <w:tc>
          <w:tcPr>
            <w:tcW w:w="300" w:type="dxa"/>
            <w:vAlign w:val="bottom"/>
          </w:tcPr>
          <w:p>
            <w:pPr>
              <w:spacing w:after="0"/>
              <w:rPr>
                <w:sz w:val="18"/>
                <w:szCs w:val="18"/>
                <w:color w:val="auto"/>
              </w:rPr>
            </w:pPr>
          </w:p>
        </w:tc>
        <w:tc>
          <w:tcPr>
            <w:tcW w:w="136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(13,769,932)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39,427,513</w:t>
            </w:r>
          </w:p>
        </w:tc>
        <w:tc>
          <w:tcPr>
            <w:tcW w:w="0" w:type="dxa"/>
            <w:vAlign w:val="bottom"/>
          </w:tcPr>
          <w:p>
            <w:pPr>
              <w:spacing w:after="0"/>
              <w:rPr>
                <w:sz w:val="1"/>
                <w:szCs w:val="1"/>
                <w:color w:val="auto"/>
              </w:rPr>
            </w:pPr>
          </w:p>
        </w:tc>
      </w:tr>
      <w:tr>
        <w:trPr>
          <w:trHeight w:val="185"/>
        </w:trPr>
        <w:tc>
          <w:tcPr>
            <w:tcW w:w="39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Net Change in Net Assets Resulting from Operations</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(5,452,245</w:t>
            </w:r>
          </w:p>
        </w:tc>
        <w:tc>
          <w:tcPr>
            <w:tcW w:w="340" w:type="dxa"/>
            <w:vAlign w:val="bottom"/>
            <w:tcBorders>
              <w:top w:val="single" w:sz="8" w:color="CCEEFF"/>
              <w:bottom w:val="single" w:sz="8" w:color="CCEEFF"/>
            </w:tcBorders>
            <w:shd w:val="clear" w:color="auto" w:fill="CCEEFF"/>
          </w:tcPr>
          <w:p>
            <w:pPr>
              <w:jc w:val="right"/>
              <w:ind w:right="26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20" w:type="dxa"/>
            <w:vAlign w:val="bottom"/>
            <w:tcBorders>
              <w:top w:val="single" w:sz="8" w:color="auto"/>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25,193,360</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(38,168,774</w:t>
            </w:r>
          </w:p>
        </w:tc>
        <w:tc>
          <w:tcPr>
            <w:tcW w:w="180" w:type="dxa"/>
            <w:vAlign w:val="bottom"/>
            <w:tcBorders>
              <w:top w:val="single" w:sz="8" w:color="CCEEFF"/>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14,189,845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ind w:left="140"/>
              <w:spacing w:after="0" w:line="155" w:lineRule="exact"/>
              <w:rPr>
                <w:sz w:val="20"/>
                <w:szCs w:val="20"/>
                <w:color w:val="auto"/>
              </w:rPr>
            </w:pPr>
            <w:r>
              <w:rPr>
                <w:rFonts w:ascii="Times New Roman" w:cs="Times New Roman" w:eastAsia="Times New Roman" w:hAnsi="Times New Roman"/>
                <w:sz w:val="15"/>
                <w:szCs w:val="15"/>
                <w:b w:val="1"/>
                <w:bCs w:val="1"/>
                <w:color w:val="auto"/>
              </w:rPr>
              <w:t>Net Change in Net Assets Resulting from Operations per</w:t>
            </w: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9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Common Share:</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9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Basic</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5"/>
                <w:szCs w:val="15"/>
                <w:color w:val="auto"/>
              </w:rPr>
              <w:t>(0.23)</w:t>
            </w:r>
          </w:p>
        </w:tc>
        <w:tc>
          <w:tcPr>
            <w:tcW w:w="32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0.99</w:t>
            </w:r>
          </w:p>
        </w:tc>
        <w:tc>
          <w:tcPr>
            <w:tcW w:w="3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(1.59)</w:t>
            </w:r>
          </w:p>
        </w:tc>
        <w:tc>
          <w:tcPr>
            <w:tcW w:w="48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0.53</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gridSpan w:val="2"/>
            <w:vMerge w:val="restart"/>
          </w:tcPr>
          <w:p>
            <w:pPr>
              <w:ind w:left="300"/>
              <w:spacing w:after="0" w:line="230" w:lineRule="exact"/>
              <w:rPr>
                <w:sz w:val="20"/>
                <w:szCs w:val="20"/>
                <w:color w:val="auto"/>
              </w:rPr>
            </w:pPr>
            <w:r>
              <w:rPr>
                <w:rFonts w:ascii="Times New Roman" w:cs="Times New Roman" w:eastAsia="Times New Roman" w:hAnsi="Times New Roman"/>
                <w:sz w:val="15"/>
                <w:szCs w:val="15"/>
                <w:color w:val="auto"/>
              </w:rPr>
              <w:t>Diluted</w:t>
            </w:r>
            <w:r>
              <w:rPr>
                <w:rFonts w:ascii="Times New Roman" w:cs="Times New Roman" w:eastAsia="Times New Roman" w:hAnsi="Times New Roman"/>
                <w:sz w:val="25"/>
                <w:szCs w:val="25"/>
                <w:color w:val="auto"/>
                <w:vertAlign w:val="superscript"/>
              </w:rPr>
              <w:t>(2)</w:t>
            </w: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960" w:type="dxa"/>
            <w:vAlign w:val="bottom"/>
            <w:gridSpan w:val="2"/>
            <w:vMerge w:val="continue"/>
          </w:tcPr>
          <w:p>
            <w:pPr>
              <w:spacing w:after="0"/>
              <w:rPr>
                <w:sz w:val="20"/>
                <w:szCs w:val="20"/>
                <w:color w:val="auto"/>
              </w:rPr>
            </w:pPr>
          </w:p>
        </w:tc>
        <w:tc>
          <w:tcPr>
            <w:tcW w:w="600" w:type="dxa"/>
            <w:vAlign w:val="bottom"/>
            <w:gridSpan w:val="2"/>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(0.23</w:t>
            </w:r>
          </w:p>
        </w:tc>
        <w:tc>
          <w:tcPr>
            <w:tcW w:w="340" w:type="dxa"/>
            <w:vAlign w:val="bottom"/>
          </w:tcPr>
          <w:p>
            <w:pPr>
              <w:jc w:val="right"/>
              <w:ind w:right="262"/>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gridSpan w:val="2"/>
          </w:tcPr>
          <w:p>
            <w:pPr>
              <w:jc w:val="right"/>
              <w:ind w:right="264"/>
              <w:spacing w:after="0"/>
              <w:rPr>
                <w:sz w:val="20"/>
                <w:szCs w:val="20"/>
                <w:color w:val="auto"/>
              </w:rPr>
            </w:pPr>
            <w:r>
              <w:rPr>
                <w:rFonts w:ascii="Times New Roman" w:cs="Times New Roman" w:eastAsia="Times New Roman" w:hAnsi="Times New Roman"/>
                <w:sz w:val="15"/>
                <w:szCs w:val="15"/>
                <w:color w:val="auto"/>
              </w:rPr>
              <w:t>0.99</w:t>
            </w: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180" w:type="dxa"/>
            <w:vAlign w:val="bottom"/>
          </w:tcPr>
          <w:p>
            <w:pPr>
              <w:jc w:val="right"/>
              <w:ind w:right="102"/>
              <w:spacing w:after="0"/>
              <w:rPr>
                <w:sz w:val="20"/>
                <w:szCs w:val="20"/>
                <w:color w:val="auto"/>
              </w:rPr>
            </w:pPr>
            <w:r>
              <w:rPr>
                <w:rFonts w:ascii="Times New Roman" w:cs="Times New Roman" w:eastAsia="Times New Roman" w:hAnsi="Times New Roman"/>
                <w:sz w:val="8"/>
                <w:szCs w:val="8"/>
                <w:color w:val="auto"/>
                <w:w w:val="73"/>
              </w:rPr>
              <w:t>)</w:t>
            </w:r>
          </w:p>
        </w:tc>
        <w:tc>
          <w:tcPr>
            <w:tcW w:w="480" w:type="dxa"/>
            <w:vAlign w:val="bottom"/>
            <w:gridSpan w:val="2"/>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0.53</w:t>
            </w:r>
          </w:p>
        </w:tc>
        <w:tc>
          <w:tcPr>
            <w:tcW w:w="0" w:type="dxa"/>
            <w:vAlign w:val="bottom"/>
          </w:tcPr>
          <w:p>
            <w:pPr>
              <w:spacing w:after="0"/>
              <w:rPr>
                <w:sz w:val="1"/>
                <w:szCs w:val="1"/>
                <w:color w:val="auto"/>
              </w:rPr>
            </w:pPr>
          </w:p>
        </w:tc>
      </w:tr>
      <w:tr>
        <w:trPr>
          <w:trHeight w:val="156"/>
        </w:trPr>
        <w:tc>
          <w:tcPr>
            <w:tcW w:w="3960" w:type="dxa"/>
            <w:vAlign w:val="bottom"/>
            <w:tcBorders>
              <w:top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Weighted-Average Common Shares Outstanding</w:t>
            </w:r>
          </w:p>
        </w:tc>
        <w:tc>
          <w:tcPr>
            <w:tcW w:w="3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9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Basic</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2"/>
          </w:tcPr>
          <w:p>
            <w:pPr>
              <w:jc w:val="right"/>
              <w:ind w:right="302"/>
              <w:spacing w:after="0"/>
              <w:rPr>
                <w:sz w:val="20"/>
                <w:szCs w:val="20"/>
                <w:color w:val="auto"/>
              </w:rPr>
            </w:pPr>
            <w:r>
              <w:rPr>
                <w:rFonts w:ascii="Times New Roman" w:cs="Times New Roman" w:eastAsia="Times New Roman" w:hAnsi="Times New Roman"/>
                <w:sz w:val="15"/>
                <w:szCs w:val="15"/>
                <w:color w:val="auto"/>
              </w:rPr>
              <w:t>23,378,002</w:t>
            </w:r>
          </w:p>
        </w:tc>
        <w:tc>
          <w:tcPr>
            <w:tcW w:w="320" w:type="dxa"/>
            <w:vAlign w:val="bottom"/>
          </w:tcPr>
          <w:p>
            <w:pPr>
              <w:spacing w:after="0"/>
              <w:rPr>
                <w:sz w:val="15"/>
                <w:szCs w:val="15"/>
                <w:color w:val="auto"/>
              </w:rPr>
            </w:pPr>
          </w:p>
        </w:tc>
        <w:tc>
          <w:tcPr>
            <w:tcW w:w="1480" w:type="dxa"/>
            <w:vAlign w:val="bottom"/>
            <w:gridSpan w:val="2"/>
          </w:tcPr>
          <w:p>
            <w:pPr>
              <w:jc w:val="right"/>
              <w:ind w:right="264"/>
              <w:spacing w:after="0"/>
              <w:rPr>
                <w:sz w:val="20"/>
                <w:szCs w:val="20"/>
                <w:color w:val="auto"/>
              </w:rPr>
            </w:pPr>
            <w:r>
              <w:rPr>
                <w:rFonts w:ascii="Times New Roman" w:cs="Times New Roman" w:eastAsia="Times New Roman" w:hAnsi="Times New Roman"/>
                <w:sz w:val="15"/>
                <w:szCs w:val="15"/>
                <w:color w:val="auto"/>
              </w:rPr>
              <w:t>25,351,306</w:t>
            </w:r>
          </w:p>
        </w:tc>
        <w:tc>
          <w:tcPr>
            <w:tcW w:w="300" w:type="dxa"/>
            <w:vAlign w:val="bottom"/>
          </w:tcPr>
          <w:p>
            <w:pPr>
              <w:spacing w:after="0"/>
              <w:rPr>
                <w:sz w:val="15"/>
                <w:szCs w:val="15"/>
                <w:color w:val="auto"/>
              </w:rPr>
            </w:pPr>
          </w:p>
        </w:tc>
        <w:tc>
          <w:tcPr>
            <w:tcW w:w="136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24,058,085</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26,549,672</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300"/>
              <w:spacing w:after="0" w:line="216" w:lineRule="exact"/>
              <w:rPr>
                <w:sz w:val="20"/>
                <w:szCs w:val="20"/>
                <w:color w:val="auto"/>
              </w:rPr>
            </w:pPr>
            <w:r>
              <w:rPr>
                <w:rFonts w:ascii="Times New Roman" w:cs="Times New Roman" w:eastAsia="Times New Roman" w:hAnsi="Times New Roman"/>
                <w:sz w:val="15"/>
                <w:szCs w:val="15"/>
                <w:color w:val="auto"/>
              </w:rPr>
              <w:t>Diluted</w:t>
            </w:r>
            <w:r>
              <w:rPr>
                <w:rFonts w:ascii="Times New Roman" w:cs="Times New Roman" w:eastAsia="Times New Roman" w:hAnsi="Times New Roman"/>
                <w:sz w:val="25"/>
                <w:szCs w:val="25"/>
                <w:color w:val="auto"/>
                <w:vertAlign w:val="superscript"/>
              </w:rPr>
              <w:t>(2)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5"/>
                <w:szCs w:val="15"/>
                <w:color w:val="auto"/>
              </w:rPr>
              <w:t>23,378,002</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25,351,306</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24,058,085</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26,549,672</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178689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6890" cy="6985"/>
                    </a:xfrm>
                    <a:prstGeom prst="rect">
                      <a:avLst/>
                    </a:prstGeom>
                    <a:noFill/>
                  </pic:spPr>
                </pic:pic>
              </a:graphicData>
            </a:graphic>
          </wp:anchor>
        </w:drawing>
      </w:r>
    </w:p>
    <w:p>
      <w:pPr>
        <w:spacing w:after="0" w:line="199" w:lineRule="exact"/>
        <w:rPr>
          <w:sz w:val="20"/>
          <w:szCs w:val="20"/>
          <w:color w:val="auto"/>
        </w:rPr>
      </w:pPr>
    </w:p>
    <w:p>
      <w:pPr>
        <w:ind w:left="269" w:hanging="269"/>
        <w:spacing w:after="0"/>
        <w:tabs>
          <w:tab w:leader="none" w:pos="269"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interest income earned on cash.</w:t>
      </w:r>
    </w:p>
    <w:p>
      <w:pPr>
        <w:spacing w:after="0" w:line="24" w:lineRule="exact"/>
        <w:rPr>
          <w:rFonts w:ascii="Times New Roman" w:cs="Times New Roman" w:eastAsia="Times New Roman" w:hAnsi="Times New Roman"/>
          <w:sz w:val="15"/>
          <w:szCs w:val="15"/>
          <w:color w:val="auto"/>
        </w:rPr>
      </w:pPr>
    </w:p>
    <w:p>
      <w:pPr>
        <w:jc w:val="both"/>
        <w:ind w:left="269" w:hanging="269"/>
        <w:spacing w:after="0" w:line="258" w:lineRule="auto"/>
        <w:tabs>
          <w:tab w:leader="none" w:pos="269"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three and nine months ended September 30, 2024, 3,225,808 potentially dilutive common shares were excluded from the weighted-average common shares outstanding for diluted net decrease in net assets resulting from operations per common share because the effect of these shares would have been anti-dilutive. For the three and nine months ended September 30, 2023, there were no potentially dilutive securities outstanding. Refer to “Note 6 — Net Change in Net Assets Resulting from Operations per Common Share — Basic and Diluted”.</w:t>
      </w:r>
    </w:p>
    <w:p>
      <w:pPr>
        <w:spacing w:after="0" w:line="15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5391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206"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2"/>
        </w:trPr>
        <w:tc>
          <w:tcPr>
            <w:tcW w:w="7300" w:type="dxa"/>
            <w:vAlign w:val="bottom"/>
            <w:gridSpan w:val="2"/>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5760" w:type="dxa"/>
            <w:vAlign w:val="bottom"/>
          </w:tcPr>
          <w:p>
            <w:pPr>
              <w:ind w:left="2540"/>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1"/>
        </w:trPr>
        <w:tc>
          <w:tcPr>
            <w:tcW w:w="1540" w:type="dxa"/>
            <w:vAlign w:val="bottom"/>
          </w:tcPr>
          <w:p>
            <w:pPr>
              <w:spacing w:after="0"/>
              <w:rPr>
                <w:sz w:val="17"/>
                <w:szCs w:val="17"/>
                <w:color w:val="auto"/>
              </w:rPr>
            </w:pPr>
          </w:p>
        </w:tc>
        <w:tc>
          <w:tcPr>
            <w:tcW w:w="7780" w:type="dxa"/>
            <w:vAlign w:val="bottom"/>
            <w:gridSpan w:val="5"/>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CHANGES IN NET ASSETS (UNAUDITED)</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75"/>
        </w:trPr>
        <w:tc>
          <w:tcPr>
            <w:tcW w:w="154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40" w:type="dxa"/>
            <w:vAlign w:val="bottom"/>
            <w:gridSpan w:val="6"/>
          </w:tcPr>
          <w:p>
            <w:pPr>
              <w:jc w:val="right"/>
              <w:ind w:right="802"/>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185"/>
        </w:trPr>
        <w:tc>
          <w:tcPr>
            <w:tcW w:w="1540" w:type="dxa"/>
            <w:vAlign w:val="bottom"/>
            <w:tcBorders>
              <w:bottom w:val="single" w:sz="8" w:color="CCEEFF"/>
            </w:tcBorders>
          </w:tcPr>
          <w:p>
            <w:pPr>
              <w:spacing w:after="0"/>
              <w:rPr>
                <w:sz w:val="16"/>
                <w:szCs w:val="16"/>
                <w:color w:val="auto"/>
              </w:rPr>
            </w:pPr>
          </w:p>
        </w:tc>
        <w:tc>
          <w:tcPr>
            <w:tcW w:w="57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60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62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6"/>
                <w:szCs w:val="16"/>
                <w:color w:val="auto"/>
              </w:rPr>
            </w:pPr>
          </w:p>
        </w:tc>
      </w:tr>
      <w:tr>
        <w:trPr>
          <w:trHeight w:val="174"/>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Assets at Beginning of Year</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203,357,646</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210,020,702</w:t>
            </w:r>
          </w:p>
        </w:tc>
        <w:tc>
          <w:tcPr>
            <w:tcW w:w="100" w:type="dxa"/>
            <w:vAlign w:val="bottom"/>
            <w:shd w:val="clear" w:color="auto" w:fill="CCEEFF"/>
          </w:tcPr>
          <w:p>
            <w:pPr>
              <w:spacing w:after="0"/>
              <w:rPr>
                <w:sz w:val="15"/>
                <w:szCs w:val="15"/>
                <w:color w:val="auto"/>
              </w:rPr>
            </w:pPr>
          </w:p>
        </w:tc>
      </w:tr>
      <w:tr>
        <w:trPr>
          <w:trHeight w:val="182"/>
        </w:trPr>
        <w:tc>
          <w:tcPr>
            <w:tcW w:w="154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Change in Net Assets Resulting from Operations</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Net investment loss</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0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(3,222,902)</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(4,221,765)</w:t>
            </w:r>
          </w:p>
        </w:tc>
      </w:tr>
      <w:tr>
        <w:trPr>
          <w:trHeight w:val="182"/>
        </w:trPr>
        <w:tc>
          <w:tcPr>
            <w:tcW w:w="7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realized gain/(loss) on investments</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(424,074)</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189,343</w:t>
            </w:r>
          </w:p>
        </w:tc>
      </w:tr>
      <w:tr>
        <w:trPr>
          <w:trHeight w:val="194"/>
        </w:trPr>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Net change in unrealized appreciation/(depreciation) of investments</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(18,418,370)</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8,648,931</w:t>
            </w:r>
          </w:p>
        </w:tc>
      </w:tr>
      <w:tr>
        <w:trPr>
          <w:trHeight w:val="174"/>
        </w:trPr>
        <w:tc>
          <w:tcPr>
            <w:tcW w:w="7300" w:type="dxa"/>
            <w:vAlign w:val="bottom"/>
            <w:tcBorders>
              <w:top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b w:val="1"/>
                <w:bCs w:val="1"/>
                <w:color w:val="auto"/>
              </w:rPr>
              <w:t>Net Change in Net Assets Resulting from Operations</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(22,065,346)</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4,616,509</w:t>
            </w:r>
          </w:p>
        </w:tc>
        <w:tc>
          <w:tcPr>
            <w:tcW w:w="100" w:type="dxa"/>
            <w:vAlign w:val="bottom"/>
            <w:tcBorders>
              <w:top w:val="single" w:sz="8" w:color="CCEEFF"/>
            </w:tcBorders>
            <w:shd w:val="clear" w:color="auto" w:fill="CCEEFF"/>
          </w:tcPr>
          <w:p>
            <w:pPr>
              <w:spacing w:after="0"/>
              <w:rPr>
                <w:sz w:val="15"/>
                <w:szCs w:val="15"/>
                <w:color w:val="auto"/>
              </w:rPr>
            </w:pPr>
          </w:p>
        </w:tc>
      </w:tr>
      <w:tr>
        <w:trPr>
          <w:trHeight w:val="182"/>
        </w:trPr>
        <w:tc>
          <w:tcPr>
            <w:tcW w:w="7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Change in Net Assets Resulting from Capital Transactions</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4"/>
        </w:trPr>
        <w:tc>
          <w:tcPr>
            <w:tcW w:w="7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Stock-based compensation</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428,835</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405,858</w:t>
            </w:r>
          </w:p>
        </w:tc>
      </w:tr>
      <w:tr>
        <w:trPr>
          <w:trHeight w:val="174"/>
        </w:trPr>
        <w:tc>
          <w:tcPr>
            <w:tcW w:w="730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Net Change in Net Assets Resulting from Capital Transactions</w:t>
            </w:r>
          </w:p>
        </w:tc>
        <w:tc>
          <w:tcPr>
            <w:tcW w:w="120" w:type="dxa"/>
            <w:vAlign w:val="bottom"/>
            <w:tcBorders>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428,835</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405,858</w:t>
            </w:r>
          </w:p>
        </w:tc>
        <w:tc>
          <w:tcPr>
            <w:tcW w:w="100" w:type="dxa"/>
            <w:vAlign w:val="bottom"/>
            <w:tcBorders>
              <w:bottom w:val="single" w:sz="8" w:color="CCEEFF"/>
            </w:tcBorders>
          </w:tcPr>
          <w:p>
            <w:pPr>
              <w:spacing w:after="0"/>
              <w:rPr>
                <w:sz w:val="15"/>
                <w:szCs w:val="15"/>
                <w:color w:val="auto"/>
              </w:rPr>
            </w:pPr>
          </w:p>
        </w:tc>
      </w:tr>
      <w:tr>
        <w:trPr>
          <w:trHeight w:val="174"/>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Change in Net Assets</w:t>
            </w:r>
          </w:p>
        </w:tc>
        <w:tc>
          <w:tcPr>
            <w:tcW w:w="12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(21,636,511</w:t>
            </w:r>
          </w:p>
        </w:tc>
        <w:tc>
          <w:tcPr>
            <w:tcW w:w="2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4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5,022,367</w:t>
            </w:r>
          </w:p>
        </w:tc>
        <w:tc>
          <w:tcPr>
            <w:tcW w:w="100" w:type="dxa"/>
            <w:vAlign w:val="bottom"/>
            <w:shd w:val="clear" w:color="auto" w:fill="CCEEFF"/>
          </w:tcPr>
          <w:p>
            <w:pPr>
              <w:spacing w:after="0"/>
              <w:rPr>
                <w:sz w:val="15"/>
                <w:szCs w:val="15"/>
                <w:color w:val="auto"/>
              </w:rPr>
            </w:pPr>
          </w:p>
        </w:tc>
      </w:tr>
      <w:tr>
        <w:trPr>
          <w:trHeight w:val="225"/>
        </w:trPr>
        <w:tc>
          <w:tcPr>
            <w:tcW w:w="7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Net Assets at March 31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181,721,135</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215,043,069</w:t>
            </w:r>
          </w:p>
        </w:tc>
        <w:tc>
          <w:tcPr>
            <w:tcW w:w="100" w:type="dxa"/>
            <w:vAlign w:val="bottom"/>
            <w:tcBorders>
              <w:bottom w:val="single" w:sz="8" w:color="CCEEFF"/>
            </w:tcBorders>
          </w:tcPr>
          <w:p>
            <w:pPr>
              <w:spacing w:after="0"/>
              <w:rPr>
                <w:sz w:val="19"/>
                <w:szCs w:val="19"/>
                <w:color w:val="auto"/>
              </w:rPr>
            </w:pPr>
          </w:p>
        </w:tc>
      </w:tr>
      <w:tr>
        <w:trPr>
          <w:trHeight w:val="156"/>
        </w:trPr>
        <w:tc>
          <w:tcPr>
            <w:tcW w:w="1540" w:type="dxa"/>
            <w:vAlign w:val="bottom"/>
            <w:shd w:val="clear" w:color="auto" w:fill="CCEEFF"/>
          </w:tcPr>
          <w:p>
            <w:pPr>
              <w:spacing w:after="0"/>
              <w:rPr>
                <w:sz w:val="13"/>
                <w:szCs w:val="13"/>
                <w:color w:val="auto"/>
              </w:rPr>
            </w:pPr>
          </w:p>
        </w:tc>
        <w:tc>
          <w:tcPr>
            <w:tcW w:w="5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2"/>
        </w:trPr>
        <w:tc>
          <w:tcPr>
            <w:tcW w:w="7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Change in Net Assets Resulting from Operations</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7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investment loss</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(3,655,625)</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(3,805,340)</w:t>
            </w:r>
          </w:p>
        </w:tc>
      </w:tr>
      <w:tr>
        <w:trPr>
          <w:trHeight w:val="182"/>
        </w:trPr>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Net realized loss on investments</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0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(29,612)</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(13,270,199)</w:t>
            </w:r>
          </w:p>
        </w:tc>
      </w:tr>
      <w:tr>
        <w:trPr>
          <w:trHeight w:val="194"/>
        </w:trPr>
        <w:tc>
          <w:tcPr>
            <w:tcW w:w="7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change in unrealized appreciation/(depreciation) of investments</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(6,965,946)</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1,455,515</w:t>
            </w:r>
          </w:p>
        </w:tc>
      </w:tr>
      <w:tr>
        <w:trPr>
          <w:trHeight w:val="174"/>
        </w:trPr>
        <w:tc>
          <w:tcPr>
            <w:tcW w:w="730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Net Change in Net Assets Resulting from Operations</w:t>
            </w: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(10,651,183)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(15,620,024)</w:t>
            </w:r>
          </w:p>
        </w:tc>
        <w:tc>
          <w:tcPr>
            <w:tcW w:w="100" w:type="dxa"/>
            <w:vAlign w:val="bottom"/>
          </w:tcPr>
          <w:p>
            <w:pPr>
              <w:spacing w:after="0"/>
              <w:rPr>
                <w:sz w:val="15"/>
                <w:szCs w:val="15"/>
                <w:color w:val="auto"/>
              </w:rPr>
            </w:pPr>
          </w:p>
        </w:tc>
      </w:tr>
      <w:tr>
        <w:trPr>
          <w:trHeight w:val="182"/>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Change in Net Assets Resulting from Capital Transactions</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Stock-based compensation</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00" w:type="dxa"/>
            <w:vAlign w:val="bottom"/>
            <w:gridSpan w:val="2"/>
          </w:tcPr>
          <w:p>
            <w:pPr>
              <w:jc w:val="right"/>
              <w:ind w:right="124"/>
              <w:spacing w:after="0"/>
              <w:rPr>
                <w:sz w:val="20"/>
                <w:szCs w:val="20"/>
                <w:color w:val="auto"/>
              </w:rPr>
            </w:pPr>
            <w:r>
              <w:rPr>
                <w:rFonts w:ascii="Times New Roman" w:cs="Times New Roman" w:eastAsia="Times New Roman" w:hAnsi="Times New Roman"/>
                <w:sz w:val="15"/>
                <w:szCs w:val="15"/>
                <w:color w:val="auto"/>
              </w:rPr>
              <w:t>642,239</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769,679</w:t>
            </w:r>
          </w:p>
        </w:tc>
      </w:tr>
      <w:tr>
        <w:trPr>
          <w:trHeight w:val="194"/>
        </w:trPr>
        <w:tc>
          <w:tcPr>
            <w:tcW w:w="7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Repurchases of common stock</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(9,400,000)</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(13,500,000)</w:t>
            </w:r>
          </w:p>
        </w:tc>
      </w:tr>
      <w:tr>
        <w:trPr>
          <w:trHeight w:val="174"/>
        </w:trPr>
        <w:tc>
          <w:tcPr>
            <w:tcW w:w="730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Net Change in Net Assets Resulting from Capital Transactions</w:t>
            </w:r>
          </w:p>
        </w:tc>
        <w:tc>
          <w:tcPr>
            <w:tcW w:w="120" w:type="dxa"/>
            <w:vAlign w:val="bottom"/>
            <w:tcBorders>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(8,757,761</w:t>
            </w:r>
          </w:p>
        </w:tc>
        <w:tc>
          <w:tcPr>
            <w:tcW w:w="200" w:type="dxa"/>
            <w:vAlign w:val="bottom"/>
            <w:tcBorders>
              <w:bottom w:val="single" w:sz="8" w:color="CCEEFF"/>
            </w:tcBorders>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40" w:type="dxa"/>
            <w:vAlign w:val="bottom"/>
            <w:tcBorders>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(12,730,321</w:t>
            </w:r>
          </w:p>
        </w:tc>
        <w:tc>
          <w:tcPr>
            <w:tcW w:w="100" w:type="dxa"/>
            <w:vAlign w:val="bottom"/>
            <w:tcBorders>
              <w:bottom w:val="single" w:sz="8" w:color="CCEEFF"/>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174"/>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Change in Net Assets</w:t>
            </w:r>
          </w:p>
        </w:tc>
        <w:tc>
          <w:tcPr>
            <w:tcW w:w="12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(19,408,944</w:t>
            </w:r>
          </w:p>
        </w:tc>
        <w:tc>
          <w:tcPr>
            <w:tcW w:w="2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4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(28,350,345</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225"/>
        </w:trPr>
        <w:tc>
          <w:tcPr>
            <w:tcW w:w="7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Net Assets at June 30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162,312,191</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186,692,724</w:t>
            </w:r>
          </w:p>
        </w:tc>
        <w:tc>
          <w:tcPr>
            <w:tcW w:w="100" w:type="dxa"/>
            <w:vAlign w:val="bottom"/>
            <w:tcBorders>
              <w:bottom w:val="single" w:sz="8" w:color="CCEEFF"/>
            </w:tcBorders>
          </w:tcPr>
          <w:p>
            <w:pPr>
              <w:spacing w:after="0"/>
              <w:rPr>
                <w:sz w:val="19"/>
                <w:szCs w:val="19"/>
                <w:color w:val="auto"/>
              </w:rPr>
            </w:pPr>
          </w:p>
        </w:tc>
      </w:tr>
      <w:tr>
        <w:trPr>
          <w:trHeight w:val="156"/>
        </w:trPr>
        <w:tc>
          <w:tcPr>
            <w:tcW w:w="1540" w:type="dxa"/>
            <w:vAlign w:val="bottom"/>
            <w:shd w:val="clear" w:color="auto" w:fill="CCEEFF"/>
          </w:tcPr>
          <w:p>
            <w:pPr>
              <w:spacing w:after="0"/>
              <w:rPr>
                <w:sz w:val="13"/>
                <w:szCs w:val="13"/>
                <w:color w:val="auto"/>
              </w:rPr>
            </w:pPr>
          </w:p>
        </w:tc>
        <w:tc>
          <w:tcPr>
            <w:tcW w:w="5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2"/>
        </w:trPr>
        <w:tc>
          <w:tcPr>
            <w:tcW w:w="7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Change in Net Assets Resulting from Operations</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7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investment loss</w:t>
            </w:r>
          </w:p>
        </w:tc>
        <w:tc>
          <w:tcPr>
            <w:tcW w:w="520" w:type="dxa"/>
            <w:vAlign w:val="bottom"/>
            <w:gridSpan w:val="2"/>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(3,207,873)</w:t>
            </w:r>
          </w:p>
        </w:tc>
        <w:tc>
          <w:tcPr>
            <w:tcW w:w="540" w:type="dxa"/>
            <w:vAlign w:val="bottom"/>
            <w:gridSpan w:val="2"/>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(2,668,426)</w:t>
            </w:r>
          </w:p>
        </w:tc>
      </w:tr>
      <w:tr>
        <w:trPr>
          <w:trHeight w:val="182"/>
        </w:trPr>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Net realized loss on investments</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0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(13,713,512)</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(1,461,281)</w:t>
            </w:r>
          </w:p>
        </w:tc>
      </w:tr>
      <w:tr>
        <w:trPr>
          <w:trHeight w:val="182"/>
        </w:trPr>
        <w:tc>
          <w:tcPr>
            <w:tcW w:w="7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Realized loss on partial repurchase of 6.00% Notes due 2026</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(145,244)</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Net change in unrealized appreciation/(depreciation) of investments</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gridSpan w:val="2"/>
          </w:tcPr>
          <w:p>
            <w:pPr>
              <w:jc w:val="right"/>
              <w:ind w:right="124"/>
              <w:spacing w:after="0"/>
              <w:rPr>
                <w:sz w:val="20"/>
                <w:szCs w:val="20"/>
                <w:color w:val="auto"/>
              </w:rPr>
            </w:pPr>
            <w:r>
              <w:rPr>
                <w:rFonts w:ascii="Times New Roman" w:cs="Times New Roman" w:eastAsia="Times New Roman" w:hAnsi="Times New Roman"/>
                <w:sz w:val="15"/>
                <w:szCs w:val="15"/>
                <w:color w:val="auto"/>
              </w:rPr>
              <w:t>11,614,384</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29,323,067</w:t>
            </w:r>
          </w:p>
        </w:tc>
      </w:tr>
      <w:tr>
        <w:trPr>
          <w:trHeight w:val="174"/>
        </w:trPr>
        <w:tc>
          <w:tcPr>
            <w:tcW w:w="7300" w:type="dxa"/>
            <w:vAlign w:val="bottom"/>
            <w:tcBorders>
              <w:top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b w:val="1"/>
                <w:bCs w:val="1"/>
                <w:color w:val="auto"/>
              </w:rPr>
              <w:t>Net Change in Net Assets Resulting from Operations</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(5,452,245)</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25,193,360</w:t>
            </w:r>
          </w:p>
        </w:tc>
        <w:tc>
          <w:tcPr>
            <w:tcW w:w="100" w:type="dxa"/>
            <w:vAlign w:val="bottom"/>
            <w:tcBorders>
              <w:top w:val="single" w:sz="8" w:color="CCEEFF"/>
            </w:tcBorders>
            <w:shd w:val="clear" w:color="auto" w:fill="CCEEFF"/>
          </w:tcPr>
          <w:p>
            <w:pPr>
              <w:spacing w:after="0"/>
              <w:rPr>
                <w:sz w:val="15"/>
                <w:szCs w:val="15"/>
                <w:color w:val="auto"/>
              </w:rPr>
            </w:pPr>
          </w:p>
        </w:tc>
      </w:tr>
      <w:tr>
        <w:trPr>
          <w:trHeight w:val="182"/>
        </w:trPr>
        <w:tc>
          <w:tcPr>
            <w:tcW w:w="7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Change in Net Assets Resulting from Capital Transactions</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7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Stock-based compensation</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577,261</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763,644</w:t>
            </w:r>
          </w:p>
        </w:tc>
      </w:tr>
      <w:tr>
        <w:trPr>
          <w:trHeight w:val="194"/>
        </w:trPr>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Repurchases of common stock</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gridSpan w:val="2"/>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(678,685)</w:t>
            </w:r>
          </w:p>
        </w:tc>
      </w:tr>
      <w:tr>
        <w:trPr>
          <w:trHeight w:val="174"/>
        </w:trPr>
        <w:tc>
          <w:tcPr>
            <w:tcW w:w="7300" w:type="dxa"/>
            <w:vAlign w:val="bottom"/>
            <w:tcBorders>
              <w:top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b w:val="1"/>
                <w:bCs w:val="1"/>
                <w:color w:val="auto"/>
              </w:rPr>
              <w:t>Net Change in Net Assets Resulting from Capital Transactions</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577,261</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84,959</w:t>
            </w:r>
          </w:p>
        </w:tc>
        <w:tc>
          <w:tcPr>
            <w:tcW w:w="100" w:type="dxa"/>
            <w:vAlign w:val="bottom"/>
            <w:tcBorders>
              <w:top w:val="single" w:sz="8" w:color="CCEEFF"/>
            </w:tcBorders>
            <w:shd w:val="clear" w:color="auto" w:fill="CCEEFF"/>
          </w:tcPr>
          <w:p>
            <w:pPr>
              <w:spacing w:after="0"/>
              <w:rPr>
                <w:sz w:val="15"/>
                <w:szCs w:val="15"/>
                <w:color w:val="auto"/>
              </w:rPr>
            </w:pPr>
          </w:p>
        </w:tc>
      </w:tr>
      <w:tr>
        <w:trPr>
          <w:trHeight w:val="174"/>
        </w:trPr>
        <w:tc>
          <w:tcPr>
            <w:tcW w:w="7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Change in Net Assets</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(4,874,984</w:t>
            </w:r>
          </w:p>
        </w:tc>
        <w:tc>
          <w:tcPr>
            <w:tcW w:w="200" w:type="dxa"/>
            <w:vAlign w:val="bottom"/>
            <w:tcBorders>
              <w:bottom w:val="single" w:sz="8" w:color="CCEEFF"/>
            </w:tcBorders>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4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25,278,319</w:t>
            </w:r>
          </w:p>
        </w:tc>
        <w:tc>
          <w:tcPr>
            <w:tcW w:w="100" w:type="dxa"/>
            <w:vAlign w:val="bottom"/>
            <w:tcBorders>
              <w:bottom w:val="single" w:sz="8" w:color="CCEEFF"/>
            </w:tcBorders>
          </w:tcPr>
          <w:p>
            <w:pPr>
              <w:spacing w:after="0"/>
              <w:rPr>
                <w:sz w:val="15"/>
                <w:szCs w:val="15"/>
                <w:color w:val="auto"/>
              </w:rPr>
            </w:pPr>
          </w:p>
        </w:tc>
      </w:tr>
      <w:tr>
        <w:trPr>
          <w:trHeight w:val="185"/>
        </w:trPr>
        <w:tc>
          <w:tcPr>
            <w:tcW w:w="7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Assets at September 30</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157,437,207</w:t>
            </w: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211,971,043</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20"/>
        </w:trPr>
        <w:tc>
          <w:tcPr>
            <w:tcW w:w="15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4" w:lineRule="exact"/>
        <w:rPr>
          <w:sz w:val="20"/>
          <w:szCs w:val="20"/>
          <w:color w:val="auto"/>
        </w:rPr>
      </w:pPr>
    </w:p>
    <w:p>
      <w:pPr>
        <w:sectPr>
          <w:pgSz w:w="11900" w:h="16838" w:orient="portrait"/>
          <w:cols w:equalWidth="0" w:num="1">
            <w:col w:w="11260"/>
          </w:cols>
          <w:pgMar w:left="320" w:top="206" w:right="319" w:bottom="1440" w:gutter="0" w:footer="0" w:header="0"/>
        </w:sectPr>
      </w:pPr>
    </w:p>
    <w:p>
      <w:pPr>
        <w:spacing w:after="0"/>
        <w:rPr>
          <w:sz w:val="20"/>
          <w:szCs w:val="20"/>
          <w:color w:val="auto"/>
        </w:rPr>
      </w:pPr>
      <w:r>
        <w:rPr>
          <w:rFonts w:ascii="Times New Roman" w:cs="Times New Roman" w:eastAsia="Times New Roman" w:hAnsi="Times New Roman"/>
          <w:sz w:val="15"/>
          <w:szCs w:val="15"/>
          <w:b w:val="1"/>
          <w:bCs w:val="1"/>
          <w:color w:val="auto"/>
        </w:rPr>
        <w:t>Capital Share Activity</w:t>
      </w:r>
    </w:p>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Shares outstanding at beginning of year</w:t>
      </w:r>
    </w:p>
    <w:p>
      <w:pPr>
        <w:ind w:left="140"/>
        <w:spacing w:after="0" w:line="189" w:lineRule="auto"/>
        <w:rPr>
          <w:sz w:val="20"/>
          <w:szCs w:val="20"/>
          <w:color w:val="auto"/>
        </w:rPr>
      </w:pPr>
      <w:r>
        <w:rPr>
          <w:rFonts w:ascii="Times New Roman" w:cs="Times New Roman" w:eastAsia="Times New Roman" w:hAnsi="Times New Roman"/>
          <w:sz w:val="15"/>
          <w:szCs w:val="15"/>
          <w:color w:val="auto"/>
        </w:rPr>
        <w:t>Issuance of common stock under restricted stock plan, net</w:t>
      </w:r>
      <w:r>
        <w:rPr>
          <w:rFonts w:ascii="Times New Roman" w:cs="Times New Roman" w:eastAsia="Times New Roman" w:hAnsi="Times New Roman"/>
          <w:sz w:val="25"/>
          <w:szCs w:val="25"/>
          <w:color w:val="auto"/>
          <w:vertAlign w:val="superscript"/>
        </w:rPr>
        <w:t>(1)</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Shares repurchased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Shares Outstanding at End of Period</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25,445,805</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28,429,499</w:t>
            </w:r>
          </w:p>
        </w:tc>
        <w:tc>
          <w:tcPr>
            <w:tcW w:w="40" w:type="dxa"/>
            <w:vAlign w:val="bottom"/>
          </w:tcPr>
          <w:p>
            <w:pPr>
              <w:spacing w:after="0"/>
              <w:rPr>
                <w:sz w:val="17"/>
                <w:szCs w:val="17"/>
                <w:color w:val="auto"/>
              </w:rPr>
            </w:pPr>
          </w:p>
        </w:tc>
      </w:tr>
      <w:tr>
        <w:trPr>
          <w:trHeight w:val="201"/>
        </w:trPr>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(67,803)</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(33,898)</w:t>
            </w:r>
          </w:p>
        </w:tc>
      </w:tr>
      <w:tr>
        <w:trPr>
          <w:trHeight w:val="208"/>
        </w:trPr>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(2,000,000)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(3,186,493)</w:t>
            </w:r>
          </w:p>
        </w:tc>
      </w:tr>
      <w:tr>
        <w:trPr>
          <w:trHeight w:val="185"/>
        </w:trPr>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23,378,002</w:t>
            </w:r>
          </w:p>
        </w:tc>
        <w:tc>
          <w:tcPr>
            <w:tcW w:w="340" w:type="dxa"/>
            <w:vAlign w:val="bottom"/>
          </w:tcPr>
          <w:p>
            <w:pPr>
              <w:spacing w:after="0"/>
              <w:rPr>
                <w:sz w:val="16"/>
                <w:szCs w:val="16"/>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25,209,108</w:t>
            </w:r>
          </w:p>
        </w:tc>
        <w:tc>
          <w:tcPr>
            <w:tcW w:w="40" w:type="dxa"/>
            <w:vAlign w:val="bottom"/>
          </w:tcPr>
          <w:p>
            <w:pPr>
              <w:spacing w:after="0"/>
              <w:rPr>
                <w:sz w:val="16"/>
                <w:szCs w:val="16"/>
                <w:color w:val="auto"/>
              </w:rPr>
            </w:pP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-4716780</wp:posOffset>
            </wp:positionH>
            <wp:positionV relativeFrom="paragraph">
              <wp:posOffset>-643255</wp:posOffset>
            </wp:positionV>
            <wp:extent cx="7153910" cy="1155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910" cy="115570"/>
                    </a:xfrm>
                    <a:prstGeom prst="rect">
                      <a:avLst/>
                    </a:prstGeom>
                    <a:noFill/>
                  </pic:spPr>
                </pic:pic>
              </a:graphicData>
            </a:graphic>
          </wp:anchor>
        </w:drawing>
        <w:drawing>
          <wp:anchor simplePos="0" relativeHeight="251657728" behindDoc="1" locked="0" layoutInCell="0" allowOverlap="1">
            <wp:simplePos x="0" y="0"/>
            <wp:positionH relativeFrom="column">
              <wp:posOffset>-4716780</wp:posOffset>
            </wp:positionH>
            <wp:positionV relativeFrom="paragraph">
              <wp:posOffset>-411480</wp:posOffset>
            </wp:positionV>
            <wp:extent cx="715391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910" cy="137160"/>
                    </a:xfrm>
                    <a:prstGeom prst="rect">
                      <a:avLst/>
                    </a:prstGeom>
                    <a:noFill/>
                  </pic:spPr>
                </pic:pic>
              </a:graphicData>
            </a:graphic>
          </wp:anchor>
        </w:drawing>
        <w:drawing>
          <wp:anchor simplePos="0" relativeHeight="251657728" behindDoc="1" locked="0" layoutInCell="0" allowOverlap="1">
            <wp:simplePos x="0" y="0"/>
            <wp:positionH relativeFrom="column">
              <wp:posOffset>-4716780</wp:posOffset>
            </wp:positionH>
            <wp:positionV relativeFrom="paragraph">
              <wp:posOffset>-151130</wp:posOffset>
            </wp:positionV>
            <wp:extent cx="715391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910" cy="137160"/>
                    </a:xfrm>
                    <a:prstGeom prst="rect">
                      <a:avLst/>
                    </a:prstGeom>
                    <a:noFill/>
                  </pic:spPr>
                </pic:pic>
              </a:graphicData>
            </a:graphic>
          </wp:anchor>
        </w:drawing>
      </w:r>
    </w:p>
    <w:p>
      <w:pPr>
        <w:spacing w:after="0" w:line="164" w:lineRule="exact"/>
        <w:rPr>
          <w:sz w:val="20"/>
          <w:szCs w:val="20"/>
          <w:color w:val="auto"/>
        </w:rPr>
      </w:pPr>
    </w:p>
    <w:p>
      <w:pPr>
        <w:sectPr>
          <w:pgSz w:w="11900" w:h="16838" w:orient="portrait"/>
          <w:cols w:equalWidth="0" w:num="2">
            <w:col w:w="6700" w:space="720"/>
            <w:col w:w="3840"/>
          </w:cols>
          <w:pgMar w:left="320" w:top="206" w:right="319" w:bottom="1440" w:gutter="0" w:footer="0" w:header="0"/>
          <w:type w:val="continuous"/>
        </w:sectPr>
      </w:pPr>
    </w:p>
    <w:p>
      <w:pPr>
        <w:ind w:left="3400"/>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178689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6890" cy="698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 Refer to “Note 11 — Stock-Based Compensation” for more detail.</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5391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206" w:right="31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72"/>
        </w:trPr>
        <w:tc>
          <w:tcPr>
            <w:tcW w:w="7300" w:type="dxa"/>
            <w:vAlign w:val="bottom"/>
            <w:gridSpan w:val="2"/>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5760" w:type="dxa"/>
            <w:vAlign w:val="bottom"/>
          </w:tcPr>
          <w:p>
            <w:pPr>
              <w:ind w:left="2540"/>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1"/>
        </w:trPr>
        <w:tc>
          <w:tcPr>
            <w:tcW w:w="1540" w:type="dxa"/>
            <w:vAlign w:val="bottom"/>
          </w:tcPr>
          <w:p>
            <w:pPr>
              <w:spacing w:after="0"/>
              <w:rPr>
                <w:sz w:val="17"/>
                <w:szCs w:val="17"/>
                <w:color w:val="auto"/>
              </w:rPr>
            </w:pPr>
          </w:p>
        </w:tc>
        <w:tc>
          <w:tcPr>
            <w:tcW w:w="7780" w:type="dxa"/>
            <w:vAlign w:val="bottom"/>
            <w:gridSpan w:val="5"/>
          </w:tcPr>
          <w:p>
            <w:pPr>
              <w:jc w:val="right"/>
              <w:ind w:right="804"/>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CASH FLOWS (UNAUDITED)</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75"/>
        </w:trPr>
        <w:tc>
          <w:tcPr>
            <w:tcW w:w="154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40" w:type="dxa"/>
            <w:vAlign w:val="bottom"/>
            <w:gridSpan w:val="6"/>
          </w:tcPr>
          <w:p>
            <w:pPr>
              <w:jc w:val="right"/>
              <w:ind w:right="802"/>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185"/>
        </w:trPr>
        <w:tc>
          <w:tcPr>
            <w:tcW w:w="1540" w:type="dxa"/>
            <w:vAlign w:val="bottom"/>
            <w:tcBorders>
              <w:bottom w:val="single" w:sz="8" w:color="CCEEFF"/>
            </w:tcBorders>
          </w:tcPr>
          <w:p>
            <w:pPr>
              <w:spacing w:after="0"/>
              <w:rPr>
                <w:sz w:val="16"/>
                <w:szCs w:val="16"/>
                <w:color w:val="auto"/>
              </w:rPr>
            </w:pPr>
          </w:p>
        </w:tc>
        <w:tc>
          <w:tcPr>
            <w:tcW w:w="57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60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62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6"/>
                <w:szCs w:val="16"/>
                <w:color w:val="auto"/>
              </w:rPr>
            </w:pPr>
          </w:p>
        </w:tc>
      </w:tr>
      <w:tr>
        <w:trPr>
          <w:trHeight w:val="174"/>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7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change in net assets resulting from operations</w:t>
            </w:r>
          </w:p>
        </w:tc>
        <w:tc>
          <w:tcPr>
            <w:tcW w:w="520" w:type="dxa"/>
            <w:vAlign w:val="bottom"/>
            <w:gridSpan w:val="2"/>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(38,168,774)</w:t>
            </w:r>
          </w:p>
        </w:tc>
        <w:tc>
          <w:tcPr>
            <w:tcW w:w="540" w:type="dxa"/>
            <w:vAlign w:val="bottom"/>
            <w:gridSpan w:val="2"/>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14,189,845</w:t>
            </w:r>
          </w:p>
        </w:tc>
      </w:tr>
      <w:tr>
        <w:trPr>
          <w:trHeight w:val="168"/>
        </w:trPr>
        <w:tc>
          <w:tcPr>
            <w:tcW w:w="7300" w:type="dxa"/>
            <w:vAlign w:val="bottom"/>
            <w:gridSpan w:val="2"/>
            <w:shd w:val="clear" w:color="auto" w:fill="CCEEFF"/>
          </w:tcPr>
          <w:p>
            <w:pPr>
              <w:ind w:left="140"/>
              <w:spacing w:after="0" w:line="168" w:lineRule="exact"/>
              <w:rPr>
                <w:sz w:val="20"/>
                <w:szCs w:val="20"/>
                <w:color w:val="auto"/>
              </w:rPr>
            </w:pPr>
            <w:r>
              <w:rPr>
                <w:rFonts w:ascii="Times New Roman" w:cs="Times New Roman" w:eastAsia="Times New Roman" w:hAnsi="Times New Roman"/>
                <w:sz w:val="15"/>
                <w:szCs w:val="15"/>
                <w:color w:val="auto"/>
              </w:rPr>
              <w:t>Adjustments to reconcile net change in net assets resulting from operations to net cash provided by operating</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97"/>
        </w:trPr>
        <w:tc>
          <w:tcPr>
            <w:tcW w:w="7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activities:</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2"/>
        </w:trPr>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Net realized loss on investments</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00" w:type="dxa"/>
            <w:vAlign w:val="bottom"/>
            <w:gridSpan w:val="2"/>
          </w:tcPr>
          <w:p>
            <w:pPr>
              <w:jc w:val="right"/>
              <w:ind w:right="124"/>
              <w:spacing w:after="0"/>
              <w:rPr>
                <w:sz w:val="20"/>
                <w:szCs w:val="20"/>
                <w:color w:val="auto"/>
              </w:rPr>
            </w:pPr>
            <w:r>
              <w:rPr>
                <w:rFonts w:ascii="Times New Roman" w:cs="Times New Roman" w:eastAsia="Times New Roman" w:hAnsi="Times New Roman"/>
                <w:sz w:val="15"/>
                <w:szCs w:val="15"/>
                <w:color w:val="auto"/>
              </w:rPr>
              <w:t>14,167,198</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14,542,137</w:t>
            </w:r>
          </w:p>
        </w:tc>
      </w:tr>
      <w:tr>
        <w:trPr>
          <w:trHeight w:val="182"/>
        </w:trPr>
        <w:tc>
          <w:tcPr>
            <w:tcW w:w="7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change in unrealized (appreciation)/depreciation of investments</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13,769,932</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(39,427,513)</w:t>
            </w:r>
          </w:p>
        </w:tc>
      </w:tr>
      <w:tr>
        <w:trPr>
          <w:trHeight w:val="182"/>
        </w:trPr>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Amortization of discount on 6.00% Notes due 2026</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00" w:type="dxa"/>
            <w:vAlign w:val="bottom"/>
            <w:gridSpan w:val="2"/>
          </w:tcPr>
          <w:p>
            <w:pPr>
              <w:jc w:val="right"/>
              <w:ind w:right="124"/>
              <w:spacing w:after="0"/>
              <w:rPr>
                <w:sz w:val="20"/>
                <w:szCs w:val="20"/>
                <w:color w:val="auto"/>
              </w:rPr>
            </w:pPr>
            <w:r>
              <w:rPr>
                <w:rFonts w:ascii="Times New Roman" w:cs="Times New Roman" w:eastAsia="Times New Roman" w:hAnsi="Times New Roman"/>
                <w:sz w:val="15"/>
                <w:szCs w:val="15"/>
                <w:color w:val="auto"/>
              </w:rPr>
              <w:t>399,016</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211,835</w:t>
            </w:r>
          </w:p>
        </w:tc>
      </w:tr>
      <w:tr>
        <w:trPr>
          <w:trHeight w:val="182"/>
        </w:trPr>
        <w:tc>
          <w:tcPr>
            <w:tcW w:w="7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Amortization of discount on 6.50% Convertible Notes due 2029</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22,309</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Stock-based compensation</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00" w:type="dxa"/>
            <w:vAlign w:val="bottom"/>
            <w:gridSpan w:val="2"/>
          </w:tcPr>
          <w:p>
            <w:pPr>
              <w:jc w:val="right"/>
              <w:ind w:right="124"/>
              <w:spacing w:after="0"/>
              <w:rPr>
                <w:sz w:val="20"/>
                <w:szCs w:val="20"/>
                <w:color w:val="auto"/>
              </w:rPr>
            </w:pPr>
            <w:r>
              <w:rPr>
                <w:rFonts w:ascii="Times New Roman" w:cs="Times New Roman" w:eastAsia="Times New Roman" w:hAnsi="Times New Roman"/>
                <w:sz w:val="15"/>
                <w:szCs w:val="15"/>
                <w:color w:val="auto"/>
              </w:rPr>
              <w:t>1,648,335</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1,939,181</w:t>
            </w:r>
          </w:p>
        </w:tc>
      </w:tr>
      <w:tr>
        <w:trPr>
          <w:trHeight w:val="182"/>
        </w:trPr>
        <w:tc>
          <w:tcPr>
            <w:tcW w:w="7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Adjustments to escrow proceeds receivable</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(313,376)</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116,052</w:t>
            </w:r>
          </w:p>
        </w:tc>
      </w:tr>
      <w:tr>
        <w:trPr>
          <w:trHeight w:val="182"/>
        </w:trPr>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Accrued interest on U.S. Treasury bills</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00" w:type="dxa"/>
            <w:vAlign w:val="bottom"/>
            <w:gridSpan w:val="2"/>
          </w:tcPr>
          <w:p>
            <w:pPr>
              <w:jc w:val="right"/>
              <w:ind w:right="124"/>
              <w:spacing w:after="0"/>
              <w:rPr>
                <w:sz w:val="20"/>
                <w:szCs w:val="20"/>
                <w:color w:val="auto"/>
              </w:rPr>
            </w:pPr>
            <w:r>
              <w:rPr>
                <w:rFonts w:ascii="Times New Roman" w:cs="Times New Roman" w:eastAsia="Times New Roman" w:hAnsi="Times New Roman"/>
                <w:sz w:val="15"/>
                <w:szCs w:val="15"/>
                <w:color w:val="auto"/>
              </w:rPr>
              <w:t>18,150</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(243,674)</w:t>
            </w:r>
          </w:p>
        </w:tc>
      </w:tr>
      <w:tr>
        <w:trPr>
          <w:trHeight w:val="182"/>
        </w:trPr>
        <w:tc>
          <w:tcPr>
            <w:tcW w:w="7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Purchases of investments in:</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730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Portfolio investments</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0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(57,786,755)</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(19,836,933)</w:t>
            </w:r>
          </w:p>
        </w:tc>
      </w:tr>
      <w:tr>
        <w:trPr>
          <w:trHeight w:val="182"/>
        </w:trPr>
        <w:tc>
          <w:tcPr>
            <w:tcW w:w="73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U.S. Treasury bills</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(141,793,045)</w:t>
            </w:r>
          </w:p>
        </w:tc>
      </w:tr>
      <w:tr>
        <w:trPr>
          <w:trHeight w:val="182"/>
        </w:trPr>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Proceeds from sales or maturity of investments in:</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73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Portfolio investments</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14,941,469</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8,328,163</w:t>
            </w:r>
          </w:p>
        </w:tc>
      </w:tr>
      <w:tr>
        <w:trPr>
          <w:trHeight w:val="182"/>
        </w:trPr>
        <w:tc>
          <w:tcPr>
            <w:tcW w:w="730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U.S. Treasury bills</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00" w:type="dxa"/>
            <w:vAlign w:val="bottom"/>
            <w:gridSpan w:val="2"/>
          </w:tcPr>
          <w:p>
            <w:pPr>
              <w:jc w:val="right"/>
              <w:ind w:right="124"/>
              <w:spacing w:after="0"/>
              <w:rPr>
                <w:sz w:val="20"/>
                <w:szCs w:val="20"/>
                <w:color w:val="auto"/>
              </w:rPr>
            </w:pPr>
            <w:r>
              <w:rPr>
                <w:rFonts w:ascii="Times New Roman" w:cs="Times New Roman" w:eastAsia="Times New Roman" w:hAnsi="Times New Roman"/>
                <w:sz w:val="15"/>
                <w:szCs w:val="15"/>
                <w:color w:val="auto"/>
              </w:rPr>
              <w:t>63,792,704</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206,802,427</w:t>
            </w:r>
          </w:p>
        </w:tc>
      </w:tr>
      <w:tr>
        <w:trPr>
          <w:trHeight w:val="182"/>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in operating assets and liabilities:</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Proceeds receivable</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0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(124,950)</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7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Escrow proceeds receivable</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245,548</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318,848</w:t>
            </w:r>
          </w:p>
        </w:tc>
      </w:tr>
      <w:tr>
        <w:trPr>
          <w:trHeight w:val="182"/>
        </w:trPr>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0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(476,758)</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33,319</w:t>
            </w:r>
          </w:p>
        </w:tc>
      </w:tr>
      <w:tr>
        <w:trPr>
          <w:trHeight w:val="182"/>
        </w:trPr>
        <w:tc>
          <w:tcPr>
            <w:tcW w:w="7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and dividends receivable</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43,657</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37,906</w:t>
            </w:r>
          </w:p>
        </w:tc>
      </w:tr>
      <w:tr>
        <w:trPr>
          <w:trHeight w:val="194"/>
        </w:trPr>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Accounts payable and accrued expenses</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gridSpan w:val="2"/>
          </w:tcPr>
          <w:p>
            <w:pPr>
              <w:jc w:val="right"/>
              <w:ind w:right="124"/>
              <w:spacing w:after="0"/>
              <w:rPr>
                <w:sz w:val="20"/>
                <w:szCs w:val="20"/>
                <w:color w:val="auto"/>
              </w:rPr>
            </w:pPr>
            <w:r>
              <w:rPr>
                <w:rFonts w:ascii="Times New Roman" w:cs="Times New Roman" w:eastAsia="Times New Roman" w:hAnsi="Times New Roman"/>
                <w:sz w:val="15"/>
                <w:szCs w:val="15"/>
                <w:color w:val="auto"/>
              </w:rPr>
              <w:t>2,639,146</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2,453,641</w:t>
            </w:r>
          </w:p>
        </w:tc>
      </w:tr>
      <w:tr>
        <w:trPr>
          <w:trHeight w:val="174"/>
        </w:trPr>
        <w:tc>
          <w:tcPr>
            <w:tcW w:w="73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Cash Provided by Operating Activities</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14,816,851</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47,672,189</w:t>
            </w:r>
          </w:p>
        </w:tc>
        <w:tc>
          <w:tcPr>
            <w:tcW w:w="100" w:type="dxa"/>
            <w:vAlign w:val="bottom"/>
            <w:tcBorders>
              <w:top w:val="single" w:sz="8" w:color="CCEEFF"/>
            </w:tcBorders>
            <w:shd w:val="clear" w:color="auto" w:fill="CCEEFF"/>
          </w:tcPr>
          <w:p>
            <w:pPr>
              <w:spacing w:after="0"/>
              <w:rPr>
                <w:sz w:val="15"/>
                <w:szCs w:val="15"/>
                <w:color w:val="auto"/>
              </w:rPr>
            </w:pPr>
          </w:p>
        </w:tc>
      </w:tr>
      <w:tr>
        <w:trPr>
          <w:trHeight w:val="174"/>
        </w:trPr>
        <w:tc>
          <w:tcPr>
            <w:tcW w:w="7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proceeds from the issuance of 6.50% Convertible Notes due 2029</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25,000,000</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7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Deferred debt issuance costs</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0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(866,740)</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Repurchases of 6.00% Notes due 2026</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(25,028,770)</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7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Realized loss on partial repurchase of 6.00% Notes due 2026</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00" w:type="dxa"/>
            <w:vAlign w:val="bottom"/>
            <w:gridSpan w:val="2"/>
          </w:tcPr>
          <w:p>
            <w:pPr>
              <w:jc w:val="right"/>
              <w:ind w:right="124"/>
              <w:spacing w:after="0"/>
              <w:rPr>
                <w:sz w:val="20"/>
                <w:szCs w:val="20"/>
                <w:color w:val="auto"/>
              </w:rPr>
            </w:pPr>
            <w:r>
              <w:rPr>
                <w:rFonts w:ascii="Times New Roman" w:cs="Times New Roman" w:eastAsia="Times New Roman" w:hAnsi="Times New Roman"/>
                <w:sz w:val="15"/>
                <w:szCs w:val="15"/>
                <w:color w:val="auto"/>
              </w:rPr>
              <w:t>145,244</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Repurchases of common stock</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(9,400,000)</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(14,178,685)</w:t>
            </w:r>
          </w:p>
        </w:tc>
      </w:tr>
      <w:tr>
        <w:trPr>
          <w:trHeight w:val="194"/>
        </w:trPr>
        <w:tc>
          <w:tcPr>
            <w:tcW w:w="7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Cash dividends paid</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(107,823)</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(107,823)</w:t>
            </w:r>
          </w:p>
        </w:tc>
      </w:tr>
      <w:tr>
        <w:trPr>
          <w:trHeight w:val="174"/>
        </w:trPr>
        <w:tc>
          <w:tcPr>
            <w:tcW w:w="73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Cash Used in Financing Activities</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(10,258,089</w:t>
            </w:r>
          </w:p>
        </w:tc>
        <w:tc>
          <w:tcPr>
            <w:tcW w:w="200" w:type="dxa"/>
            <w:vAlign w:val="bottom"/>
            <w:tcBorders>
              <w:top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(14,286,508</w:t>
            </w:r>
          </w:p>
        </w:tc>
        <w:tc>
          <w:tcPr>
            <w:tcW w:w="100" w:type="dxa"/>
            <w:vAlign w:val="bottom"/>
            <w:tcBorders>
              <w:top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174"/>
        </w:trPr>
        <w:tc>
          <w:tcPr>
            <w:tcW w:w="7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Increase in Cash Balance</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4,558,762</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33,385,681</w:t>
            </w:r>
          </w:p>
        </w:tc>
        <w:tc>
          <w:tcPr>
            <w:tcW w:w="100" w:type="dxa"/>
            <w:vAlign w:val="bottom"/>
            <w:tcBorders>
              <w:bottom w:val="single" w:sz="8" w:color="CCEEFF"/>
            </w:tcBorders>
          </w:tcPr>
          <w:p>
            <w:pPr>
              <w:spacing w:after="0"/>
              <w:rPr>
                <w:sz w:val="15"/>
                <w:szCs w:val="15"/>
                <w:color w:val="auto"/>
              </w:rPr>
            </w:pPr>
          </w:p>
        </w:tc>
      </w:tr>
      <w:tr>
        <w:trPr>
          <w:trHeight w:val="174"/>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Balance at Beginning of Year</w:t>
            </w:r>
          </w:p>
        </w:tc>
        <w:tc>
          <w:tcPr>
            <w:tcW w:w="12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28,178,352</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40,117,598</w:t>
            </w:r>
          </w:p>
        </w:tc>
        <w:tc>
          <w:tcPr>
            <w:tcW w:w="100" w:type="dxa"/>
            <w:vAlign w:val="bottom"/>
            <w:shd w:val="clear" w:color="auto" w:fill="CCEEFF"/>
          </w:tcPr>
          <w:p>
            <w:pPr>
              <w:spacing w:after="0"/>
              <w:rPr>
                <w:sz w:val="15"/>
                <w:szCs w:val="15"/>
                <w:color w:val="auto"/>
              </w:rPr>
            </w:pPr>
          </w:p>
        </w:tc>
      </w:tr>
      <w:tr>
        <w:trPr>
          <w:trHeight w:val="174"/>
        </w:trPr>
        <w:tc>
          <w:tcPr>
            <w:tcW w:w="7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Cash Balance at End of Period</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32,737,114</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73,503,279</w:t>
            </w:r>
          </w:p>
        </w:tc>
        <w:tc>
          <w:tcPr>
            <w:tcW w:w="100" w:type="dxa"/>
            <w:vAlign w:val="bottom"/>
            <w:tcBorders>
              <w:bottom w:val="single" w:sz="8" w:color="CCEEFF"/>
            </w:tcBorders>
          </w:tcPr>
          <w:p>
            <w:pPr>
              <w:spacing w:after="0"/>
              <w:rPr>
                <w:sz w:val="15"/>
                <w:szCs w:val="15"/>
                <w:color w:val="auto"/>
              </w:rPr>
            </w:pPr>
          </w:p>
        </w:tc>
      </w:tr>
      <w:tr>
        <w:trPr>
          <w:trHeight w:val="174"/>
        </w:trPr>
        <w:tc>
          <w:tcPr>
            <w:tcW w:w="1540" w:type="dxa"/>
            <w:vAlign w:val="bottom"/>
            <w:shd w:val="clear" w:color="auto" w:fill="CCEEFF"/>
          </w:tcPr>
          <w:p>
            <w:pPr>
              <w:spacing w:after="0"/>
              <w:rPr>
                <w:sz w:val="15"/>
                <w:szCs w:val="15"/>
                <w:color w:val="auto"/>
              </w:rPr>
            </w:pPr>
          </w:p>
        </w:tc>
        <w:tc>
          <w:tcPr>
            <w:tcW w:w="5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4"/>
        </w:trPr>
        <w:tc>
          <w:tcPr>
            <w:tcW w:w="7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Supplemental Information:</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6"/>
                <w:szCs w:val="16"/>
                <w:color w:val="auto"/>
              </w:rPr>
            </w:pPr>
          </w:p>
        </w:tc>
      </w:tr>
      <w:tr>
        <w:trPr>
          <w:trHeight w:val="174"/>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paid</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3,208,352</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3,375,000</w:t>
            </w:r>
          </w:p>
        </w:tc>
        <w:tc>
          <w:tcPr>
            <w:tcW w:w="100" w:type="dxa"/>
            <w:vAlign w:val="bottom"/>
            <w:shd w:val="clear" w:color="auto" w:fill="CCEEFF"/>
          </w:tcPr>
          <w:p>
            <w:pPr>
              <w:spacing w:after="0"/>
              <w:rPr>
                <w:sz w:val="15"/>
                <w:szCs w:val="15"/>
                <w:color w:val="auto"/>
              </w:rPr>
            </w:pPr>
          </w:p>
        </w:tc>
      </w:tr>
      <w:tr>
        <w:trPr>
          <w:trHeight w:val="182"/>
        </w:trPr>
        <w:tc>
          <w:tcPr>
            <w:tcW w:w="7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Taxes paid</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00" w:type="dxa"/>
            <w:vAlign w:val="bottom"/>
            <w:gridSpan w:val="2"/>
          </w:tcPr>
          <w:p>
            <w:pPr>
              <w:jc w:val="right"/>
              <w:ind w:right="124"/>
              <w:spacing w:after="0"/>
              <w:rPr>
                <w:sz w:val="20"/>
                <w:szCs w:val="20"/>
                <w:color w:val="auto"/>
              </w:rPr>
            </w:pPr>
            <w:r>
              <w:rPr>
                <w:rFonts w:ascii="Times New Roman" w:cs="Times New Roman" w:eastAsia="Times New Roman" w:hAnsi="Times New Roman"/>
                <w:sz w:val="15"/>
                <w:szCs w:val="15"/>
                <w:color w:val="auto"/>
              </w:rPr>
              <w:t>54,894</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530,556</w:t>
            </w:r>
          </w:p>
        </w:tc>
      </w:tr>
      <w:tr>
        <w:trPr>
          <w:trHeight w:val="182"/>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Right of use asset obtained in exchange for operating lease liabilities</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466,029</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r>
    </w:tbl>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w:t>
      </w:r>
    </w:p>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206"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SCHEDULE OF INVESTMENTS (UNAUDITED)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September 30, 2024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Headquarters/</w:t>
            </w: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Date of Initial</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 of Net</w:t>
            </w:r>
          </w:p>
        </w:tc>
        <w:tc>
          <w:tcPr>
            <w:tcW w:w="0" w:type="dxa"/>
            <w:vAlign w:val="bottom"/>
          </w:tcPr>
          <w:p>
            <w:pPr>
              <w:spacing w:after="0"/>
              <w:rPr>
                <w:sz w:val="1"/>
                <w:szCs w:val="1"/>
                <w:color w:val="auto"/>
              </w:rPr>
            </w:pPr>
          </w:p>
        </w:tc>
      </w:tr>
      <w:tr>
        <w:trPr>
          <w:trHeight w:val="228"/>
        </w:trPr>
        <w:tc>
          <w:tcPr>
            <w:tcW w:w="2180" w:type="dxa"/>
            <w:vAlign w:val="bottom"/>
            <w:gridSpan w:val="21"/>
          </w:tcPr>
          <w:p>
            <w:pPr>
              <w:spacing w:after="0"/>
              <w:rPr>
                <w:sz w:val="20"/>
                <w:szCs w:val="20"/>
                <w:color w:val="auto"/>
              </w:rPr>
            </w:pPr>
            <w:r>
              <w:rPr>
                <w:rFonts w:ascii="Times New Roman" w:cs="Times New Roman" w:eastAsia="Times New Roman" w:hAnsi="Times New Roman"/>
                <w:sz w:val="15"/>
                <w:szCs w:val="15"/>
                <w:b w:val="1"/>
                <w:bCs w:val="1"/>
                <w:color w:val="auto"/>
              </w:rPr>
              <w:t>Portfolio Investments*</w:t>
            </w:r>
          </w:p>
        </w:tc>
        <w:tc>
          <w:tcPr>
            <w:tcW w:w="220" w:type="dxa"/>
            <w:vAlign w:val="bottom"/>
          </w:tcPr>
          <w:p>
            <w:pPr>
              <w:spacing w:after="0"/>
              <w:rPr>
                <w:sz w:val="19"/>
                <w:szCs w:val="19"/>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Industry</w:t>
            </w: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1740" w:type="dxa"/>
            <w:vAlign w:val="bottom"/>
            <w:gridSpan w:val="4"/>
          </w:tcPr>
          <w:p>
            <w:pPr>
              <w:ind w:left="220"/>
              <w:spacing w:after="0" w:line="228" w:lineRule="exact"/>
              <w:rPr>
                <w:sz w:val="20"/>
                <w:szCs w:val="20"/>
                <w:color w:val="auto"/>
              </w:rPr>
            </w:pPr>
            <w:r>
              <w:rPr>
                <w:rFonts w:ascii="Times New Roman" w:cs="Times New Roman" w:eastAsia="Times New Roman" w:hAnsi="Times New Roman"/>
                <w:sz w:val="15"/>
                <w:szCs w:val="15"/>
                <w:b w:val="1"/>
                <w:bCs w:val="1"/>
                <w:color w:val="auto"/>
              </w:rPr>
              <w:t>Principal/Quantity</w:t>
            </w:r>
            <w:r>
              <w:rPr>
                <w:rFonts w:ascii="Times New Roman" w:cs="Times New Roman" w:eastAsia="Times New Roman" w:hAnsi="Times New Roman"/>
                <w:sz w:val="25"/>
                <w:szCs w:val="25"/>
                <w:b w:val="1"/>
                <w:bCs w:val="1"/>
                <w:color w:val="auto"/>
                <w:vertAlign w:val="superscript"/>
              </w:rPr>
              <w:t>(5)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72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40" w:type="dxa"/>
            <w:vAlign w:val="bottom"/>
          </w:tcPr>
          <w:p>
            <w:pPr>
              <w:spacing w:after="0"/>
              <w:rPr>
                <w:sz w:val="19"/>
                <w:szCs w:val="19"/>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00" w:type="dxa"/>
            <w:vAlign w:val="bottom"/>
          </w:tcPr>
          <w:p>
            <w:pPr>
              <w:spacing w:after="0"/>
              <w:rPr>
                <w:sz w:val="19"/>
                <w:szCs w:val="19"/>
                <w:color w:val="auto"/>
              </w:rPr>
            </w:pPr>
          </w:p>
        </w:tc>
        <w:tc>
          <w:tcPr>
            <w:tcW w:w="1140" w:type="dxa"/>
            <w:vAlign w:val="bottom"/>
            <w:gridSpan w:val="2"/>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0" w:type="dxa"/>
            <w:vAlign w:val="bottom"/>
          </w:tcPr>
          <w:p>
            <w:pPr>
              <w:spacing w:after="0"/>
              <w:rPr>
                <w:sz w:val="1"/>
                <w:szCs w:val="1"/>
                <w:color w:val="auto"/>
              </w:rPr>
            </w:pPr>
          </w:p>
        </w:tc>
      </w:tr>
      <w:tr>
        <w:trPr>
          <w:trHeight w:val="155"/>
        </w:trPr>
        <w:tc>
          <w:tcPr>
            <w:tcW w:w="2180" w:type="dxa"/>
            <w:vAlign w:val="bottom"/>
            <w:tcBorders>
              <w:top w:val="single" w:sz="8" w:color="auto"/>
            </w:tcBorders>
            <w:gridSpan w:val="21"/>
            <w:shd w:val="clear" w:color="auto" w:fill="CCEEFF"/>
          </w:tcPr>
          <w:p>
            <w:pPr>
              <w:spacing w:after="0" w:line="155" w:lineRule="exact"/>
              <w:rPr>
                <w:sz w:val="20"/>
                <w:szCs w:val="20"/>
                <w:color w:val="auto"/>
              </w:rPr>
            </w:pPr>
            <w:r>
              <w:rPr>
                <w:rFonts w:ascii="Times New Roman" w:cs="Times New Roman" w:eastAsia="Times New Roman" w:hAnsi="Times New Roman"/>
                <w:sz w:val="15"/>
                <w:szCs w:val="15"/>
                <w:b w:val="1"/>
                <w:bCs w:val="1"/>
                <w:color w:val="auto"/>
              </w:rPr>
              <w:t>NON-CONTROLLED/NON-</w:t>
            </w:r>
          </w:p>
        </w:tc>
        <w:tc>
          <w:tcPr>
            <w:tcW w:w="22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180" w:type="dxa"/>
            <w:vAlign w:val="bottom"/>
            <w:tcBorders>
              <w:bottom w:val="single" w:sz="8" w:color="auto"/>
            </w:tcBorders>
            <w:gridSpan w:val="21"/>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AFFILIATE</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180" w:type="dxa"/>
            <w:vAlign w:val="bottom"/>
            <w:gridSpan w:val="21"/>
          </w:tcPr>
          <w:p>
            <w:pPr>
              <w:spacing w:after="0" w:line="140" w:lineRule="exact"/>
              <w:rPr>
                <w:sz w:val="20"/>
                <w:szCs w:val="20"/>
                <w:color w:val="auto"/>
              </w:rPr>
            </w:pPr>
            <w:r>
              <w:rPr>
                <w:rFonts w:ascii="Times New Roman" w:cs="Times New Roman" w:eastAsia="Times New Roman" w:hAnsi="Times New Roman"/>
                <w:sz w:val="15"/>
                <w:szCs w:val="15"/>
                <w:b w:val="1"/>
                <w:bCs w:val="1"/>
                <w:color w:val="auto"/>
              </w:rPr>
              <w:t>Learneo, Inc. (f/k/a Course Hero,</w:t>
            </w: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00" w:type="dxa"/>
            <w:vAlign w:val="bottom"/>
            <w:tcBorders>
              <w:top w:val="single" w:sz="8" w:color="auto"/>
              <w:bottom w:val="single" w:sz="8" w:color="auto"/>
            </w:tcBorders>
            <w:gridSpan w:val="2"/>
          </w:tcPr>
          <w:p>
            <w:pPr>
              <w:spacing w:after="0" w:line="162" w:lineRule="exact"/>
              <w:rPr>
                <w:sz w:val="20"/>
                <w:szCs w:val="20"/>
                <w:color w:val="auto"/>
              </w:rPr>
            </w:pPr>
            <w:r>
              <w:rPr>
                <w:rFonts w:ascii="Times New Roman" w:cs="Times New Roman" w:eastAsia="Times New Roman" w:hAnsi="Times New Roman"/>
                <w:sz w:val="15"/>
                <w:szCs w:val="15"/>
                <w:b w:val="1"/>
                <w:bCs w:val="1"/>
                <w:color w:val="auto"/>
                <w:w w:val="94"/>
              </w:rPr>
              <w:t>Inc.)</w:t>
            </w:r>
          </w:p>
        </w:tc>
        <w:tc>
          <w:tcPr>
            <w:tcW w:w="1840" w:type="dxa"/>
            <w:vAlign w:val="bottom"/>
            <w:tcBorders>
              <w:top w:val="single" w:sz="8" w:color="auto"/>
            </w:tcBorders>
            <w:gridSpan w:val="18"/>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color w:val="auto"/>
              </w:rPr>
              <w:t>Redwood City, CA</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8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A 8%</w:t>
            </w:r>
          </w:p>
        </w:tc>
        <w:tc>
          <w:tcPr>
            <w:tcW w:w="2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rPr>
              <w:t>Online Education</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9/18/2014</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2,145,509</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5,000,001</w:t>
            </w: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10,832,901</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6.88%</w:t>
            </w:r>
          </w:p>
        </w:tc>
        <w:tc>
          <w:tcPr>
            <w:tcW w:w="0" w:type="dxa"/>
            <w:vAlign w:val="bottom"/>
          </w:tcPr>
          <w:p>
            <w:pPr>
              <w:spacing w:after="0"/>
              <w:rPr>
                <w:sz w:val="1"/>
                <w:szCs w:val="1"/>
                <w:color w:val="auto"/>
              </w:rPr>
            </w:pPr>
          </w:p>
        </w:tc>
      </w:tr>
      <w:tr>
        <w:trPr>
          <w:trHeight w:val="194"/>
        </w:trPr>
        <w:tc>
          <w:tcPr>
            <w:tcW w:w="2180" w:type="dxa"/>
            <w:vAlign w:val="bottom"/>
            <w:gridSpan w:val="21"/>
          </w:tcPr>
          <w:p>
            <w:pPr>
              <w:spacing w:after="0"/>
              <w:rPr>
                <w:sz w:val="20"/>
                <w:szCs w:val="20"/>
                <w:color w:val="auto"/>
              </w:rPr>
            </w:pPr>
            <w:r>
              <w:rPr>
                <w:rFonts w:ascii="Times New Roman" w:cs="Times New Roman" w:eastAsia="Times New Roman" w:hAnsi="Times New Roman"/>
                <w:sz w:val="15"/>
                <w:szCs w:val="15"/>
                <w:color w:val="auto"/>
              </w:rPr>
              <w:t>Preferred shares, Series C 8%</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11/5/2021</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275,659</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9,999,971</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9,999,971</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6.35%</w:t>
            </w:r>
          </w:p>
        </w:tc>
        <w:tc>
          <w:tcPr>
            <w:tcW w:w="0" w:type="dxa"/>
            <w:vAlign w:val="bottom"/>
          </w:tcPr>
          <w:p>
            <w:pPr>
              <w:spacing w:after="0"/>
              <w:rPr>
                <w:sz w:val="1"/>
                <w:szCs w:val="1"/>
                <w:color w:val="auto"/>
              </w:rPr>
            </w:pPr>
          </w:p>
        </w:tc>
      </w:tr>
      <w:tr>
        <w:trPr>
          <w:trHeight w:val="174"/>
        </w:trPr>
        <w:tc>
          <w:tcPr>
            <w:tcW w:w="2180" w:type="dxa"/>
            <w:vAlign w:val="bottom"/>
            <w:tcBorders>
              <w:top w:val="single" w:sz="8" w:color="CCEEFF"/>
            </w:tcBorders>
            <w:gridSpan w:val="21"/>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22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14,999,972</w:t>
            </w: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20,832,872</w:t>
            </w:r>
          </w:p>
        </w:tc>
        <w:tc>
          <w:tcPr>
            <w:tcW w:w="3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13.23</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85"/>
        </w:trPr>
        <w:tc>
          <w:tcPr>
            <w:tcW w:w="2180" w:type="dxa"/>
            <w:vAlign w:val="bottom"/>
            <w:gridSpan w:val="21"/>
          </w:tcPr>
          <w:p>
            <w:pPr>
              <w:spacing w:after="0" w:line="185" w:lineRule="exact"/>
              <w:rPr>
                <w:sz w:val="20"/>
                <w:szCs w:val="20"/>
                <w:color w:val="auto"/>
              </w:rPr>
            </w:pPr>
            <w:r>
              <w:rPr>
                <w:rFonts w:ascii="Times New Roman" w:cs="Times New Roman" w:eastAsia="Times New Roman" w:hAnsi="Times New Roman"/>
                <w:sz w:val="15"/>
                <w:szCs w:val="15"/>
                <w:b w:val="1"/>
                <w:bCs w:val="1"/>
                <w:color w:val="auto"/>
              </w:rPr>
              <w:t>CW Opportunity 2 LP</w:t>
            </w:r>
            <w:r>
              <w:rPr>
                <w:rFonts w:ascii="Times New Roman" w:cs="Times New Roman" w:eastAsia="Times New Roman" w:hAnsi="Times New Roman"/>
                <w:sz w:val="20"/>
                <w:szCs w:val="20"/>
                <w:b w:val="1"/>
                <w:bCs w:val="1"/>
                <w:color w:val="auto"/>
                <w:vertAlign w:val="superscript"/>
              </w:rPr>
              <w:t>**(8)</w:t>
            </w:r>
          </w:p>
        </w:tc>
        <w:tc>
          <w:tcPr>
            <w:tcW w:w="22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Evanston, IL</w:t>
            </w: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180" w:type="dxa"/>
            <w:vAlign w:val="bottom"/>
            <w:gridSpan w:val="21"/>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Membership Interest, Class A</w:t>
            </w:r>
            <w:r>
              <w:rPr>
                <w:rFonts w:ascii="Times New Roman" w:cs="Times New Roman" w:eastAsia="Times New Roman" w:hAnsi="Times New Roman"/>
                <w:sz w:val="25"/>
                <w:szCs w:val="25"/>
                <w:color w:val="auto"/>
                <w:vertAlign w:val="superscript"/>
              </w:rPr>
              <w:t>***</w:t>
            </w:r>
          </w:p>
        </w:tc>
        <w:tc>
          <w:tcPr>
            <w:tcW w:w="2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240"/>
              <w:spacing w:after="0" w:line="168" w:lineRule="exact"/>
              <w:rPr>
                <w:sz w:val="20"/>
                <w:szCs w:val="20"/>
                <w:color w:val="auto"/>
              </w:rPr>
            </w:pPr>
            <w:r>
              <w:rPr>
                <w:rFonts w:ascii="Times New Roman" w:cs="Times New Roman" w:eastAsia="Times New Roman" w:hAnsi="Times New Roman"/>
                <w:sz w:val="15"/>
                <w:szCs w:val="15"/>
                <w:color w:val="auto"/>
              </w:rPr>
              <w:t>AI Infrastructure</w:t>
            </w: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180" w:type="dxa"/>
            <w:vAlign w:val="bottom"/>
            <w:gridSpan w:val="21"/>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Fund</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5/7/2024</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15,000,000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15,176,443</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18,074,249</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11.48%</w:t>
            </w:r>
          </w:p>
        </w:tc>
        <w:tc>
          <w:tcPr>
            <w:tcW w:w="0" w:type="dxa"/>
            <w:vAlign w:val="bottom"/>
          </w:tcPr>
          <w:p>
            <w:pPr>
              <w:spacing w:after="0"/>
              <w:rPr>
                <w:sz w:val="1"/>
                <w:szCs w:val="1"/>
                <w:color w:val="auto"/>
              </w:rPr>
            </w:pPr>
          </w:p>
        </w:tc>
      </w:tr>
      <w:tr>
        <w:trPr>
          <w:trHeight w:val="148"/>
        </w:trPr>
        <w:tc>
          <w:tcPr>
            <w:tcW w:w="2180" w:type="dxa"/>
            <w:vAlign w:val="bottom"/>
            <w:gridSpan w:val="21"/>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ARK Type One Deep Ventures</w:t>
            </w: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80" w:type="dxa"/>
            <w:vAlign w:val="bottom"/>
            <w:tcBorders>
              <w:top w:val="single" w:sz="8" w:color="auto"/>
              <w:bottom w:val="single" w:sz="8" w:color="auto"/>
            </w:tcBorders>
            <w:gridSpan w:val="6"/>
            <w:vMerge w:val="restart"/>
          </w:tcPr>
          <w:p>
            <w:pPr>
              <w:spacing w:after="0"/>
              <w:rPr>
                <w:sz w:val="20"/>
                <w:szCs w:val="20"/>
                <w:color w:val="auto"/>
              </w:rPr>
            </w:pPr>
            <w:r>
              <w:rPr>
                <w:rFonts w:ascii="Times New Roman" w:cs="Times New Roman" w:eastAsia="Times New Roman" w:hAnsi="Times New Roman"/>
                <w:sz w:val="15"/>
                <w:szCs w:val="15"/>
                <w:b w:val="1"/>
                <w:bCs w:val="1"/>
                <w:color w:val="auto"/>
                <w:w w:val="95"/>
              </w:rPr>
              <w:t>Fund LLC</w:t>
            </w:r>
          </w:p>
        </w:tc>
        <w:tc>
          <w:tcPr>
            <w:tcW w:w="280" w:type="dxa"/>
            <w:vAlign w:val="bottom"/>
            <w:tcBorders>
              <w:top w:val="single" w:sz="8" w:color="auto"/>
              <w:bottom w:val="single" w:sz="8" w:color="auto"/>
            </w:tcBorders>
            <w:gridSpan w:val="5"/>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w w:val="92"/>
              </w:rPr>
              <w:t>**(9)</w:t>
            </w:r>
          </w:p>
        </w:tc>
        <w:tc>
          <w:tcPr>
            <w:tcW w:w="20" w:type="dxa"/>
            <w:vAlign w:val="bottom"/>
            <w:tcBorders>
              <w:top w:val="single" w:sz="8" w:color="auto"/>
              <w:bottom w:val="single" w:sz="8" w:color="auto"/>
            </w:tcBorders>
            <w:vMerge w:val="restart"/>
          </w:tcPr>
          <w:p>
            <w:pPr>
              <w:spacing w:after="0"/>
              <w:rPr>
                <w:sz w:val="12"/>
                <w:szCs w:val="12"/>
                <w:color w:val="auto"/>
              </w:rPr>
            </w:pPr>
          </w:p>
        </w:tc>
        <w:tc>
          <w:tcPr>
            <w:tcW w:w="160" w:type="dxa"/>
            <w:vAlign w:val="bottom"/>
            <w:tcBorders>
              <w:top w:val="single" w:sz="8" w:color="auto"/>
              <w:bottom w:val="single" w:sz="8" w:color="auto"/>
            </w:tcBorders>
            <w:vMerge w:val="restart"/>
          </w:tcPr>
          <w:p>
            <w:pPr>
              <w:spacing w:after="0"/>
              <w:rPr>
                <w:sz w:val="12"/>
                <w:szCs w:val="12"/>
                <w:color w:val="auto"/>
              </w:rPr>
            </w:pPr>
          </w:p>
        </w:tc>
        <w:tc>
          <w:tcPr>
            <w:tcW w:w="260" w:type="dxa"/>
            <w:vAlign w:val="bottom"/>
            <w:tcBorders>
              <w:top w:val="single" w:sz="8" w:color="auto"/>
              <w:bottom w:val="single" w:sz="8" w:color="auto"/>
            </w:tcBorders>
            <w:vMerge w:val="restart"/>
          </w:tcPr>
          <w:p>
            <w:pPr>
              <w:spacing w:after="0"/>
              <w:rPr>
                <w:sz w:val="12"/>
                <w:szCs w:val="12"/>
                <w:color w:val="auto"/>
              </w:rPr>
            </w:pPr>
          </w:p>
        </w:tc>
        <w:tc>
          <w:tcPr>
            <w:tcW w:w="240" w:type="dxa"/>
            <w:vAlign w:val="bottom"/>
            <w:tcBorders>
              <w:top w:val="single" w:sz="8" w:color="auto"/>
              <w:bottom w:val="single" w:sz="8" w:color="auto"/>
            </w:tcBorders>
            <w:vMerge w:val="restart"/>
          </w:tcPr>
          <w:p>
            <w:pPr>
              <w:spacing w:after="0"/>
              <w:rPr>
                <w:sz w:val="12"/>
                <w:szCs w:val="12"/>
                <w:color w:val="auto"/>
              </w:rPr>
            </w:pPr>
          </w:p>
        </w:tc>
        <w:tc>
          <w:tcPr>
            <w:tcW w:w="300" w:type="dxa"/>
            <w:vAlign w:val="bottom"/>
            <w:tcBorders>
              <w:top w:val="single" w:sz="8" w:color="auto"/>
              <w:bottom w:val="single" w:sz="8" w:color="auto"/>
            </w:tcBorders>
            <w:vMerge w:val="restart"/>
          </w:tcPr>
          <w:p>
            <w:pPr>
              <w:spacing w:after="0"/>
              <w:rPr>
                <w:sz w:val="12"/>
                <w:szCs w:val="12"/>
                <w:color w:val="auto"/>
              </w:rPr>
            </w:pPr>
          </w:p>
        </w:tc>
        <w:tc>
          <w:tcPr>
            <w:tcW w:w="40" w:type="dxa"/>
            <w:vAlign w:val="bottom"/>
            <w:tcBorders>
              <w:top w:val="single" w:sz="8" w:color="auto"/>
              <w:bottom w:val="single" w:sz="8" w:color="auto"/>
            </w:tcBorders>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20" w:type="dxa"/>
            <w:vAlign w:val="bottom"/>
            <w:gridSpan w:val="2"/>
            <w:vMerge w:val="restart"/>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color w:val="auto"/>
              </w:rPr>
              <w:t>St. Petersburg, FL</w:t>
            </w: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auto"/>
            </w:tcBorders>
            <w:gridSpan w:val="6"/>
            <w:vMerge w:val="continue"/>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1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18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5"/>
                <w:szCs w:val="15"/>
                <w:color w:val="auto"/>
              </w:rPr>
              <w:t>Membership Interest, Class A</w:t>
            </w:r>
          </w:p>
        </w:tc>
        <w:tc>
          <w:tcPr>
            <w:tcW w:w="2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rPr>
              <w:t>AI Application Fund</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9/25/2024</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17,500,000</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17,697,509</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17,675,000</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11.23%</w:t>
            </w:r>
          </w:p>
        </w:tc>
        <w:tc>
          <w:tcPr>
            <w:tcW w:w="0" w:type="dxa"/>
            <w:vAlign w:val="bottom"/>
          </w:tcPr>
          <w:p>
            <w:pPr>
              <w:spacing w:after="0"/>
              <w:rPr>
                <w:sz w:val="1"/>
                <w:szCs w:val="1"/>
                <w:color w:val="auto"/>
              </w:rPr>
            </w:pPr>
          </w:p>
        </w:tc>
      </w:tr>
      <w:tr>
        <w:trPr>
          <w:trHeight w:val="155"/>
        </w:trPr>
        <w:tc>
          <w:tcPr>
            <w:tcW w:w="2180" w:type="dxa"/>
            <w:vAlign w:val="bottom"/>
            <w:gridSpan w:val="21"/>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Blink Health, Inc.</w:t>
            </w:r>
          </w:p>
        </w:tc>
        <w:tc>
          <w:tcPr>
            <w:tcW w:w="220" w:type="dxa"/>
            <w:vAlign w:val="bottom"/>
          </w:tcPr>
          <w:p>
            <w:pPr>
              <w:spacing w:after="0"/>
              <w:rPr>
                <w:sz w:val="13"/>
                <w:szCs w:val="13"/>
                <w:color w:val="auto"/>
              </w:rPr>
            </w:pPr>
          </w:p>
        </w:tc>
        <w:tc>
          <w:tcPr>
            <w:tcW w:w="15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5"/>
                <w:szCs w:val="15"/>
                <w:color w:val="auto"/>
                <w:w w:val="99"/>
              </w:rPr>
              <w:t>New York, NY</w:t>
            </w: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rPr>
              <w:t>Pharmaceutical</w:t>
            </w:r>
          </w:p>
        </w:tc>
        <w:tc>
          <w:tcPr>
            <w:tcW w:w="1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18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A</w:t>
            </w:r>
          </w:p>
        </w:tc>
        <w:tc>
          <w:tcPr>
            <w:tcW w:w="2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Technology</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10/27/2020</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238,095</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5,000,423</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7,211,748</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4.58%</w:t>
            </w:r>
          </w:p>
        </w:tc>
        <w:tc>
          <w:tcPr>
            <w:tcW w:w="0" w:type="dxa"/>
            <w:vAlign w:val="bottom"/>
          </w:tcPr>
          <w:p>
            <w:pPr>
              <w:spacing w:after="0"/>
              <w:rPr>
                <w:sz w:val="1"/>
                <w:szCs w:val="1"/>
                <w:color w:val="auto"/>
              </w:rPr>
            </w:pPr>
          </w:p>
        </w:tc>
      </w:tr>
      <w:tr>
        <w:trPr>
          <w:trHeight w:val="194"/>
        </w:trPr>
        <w:tc>
          <w:tcPr>
            <w:tcW w:w="2180" w:type="dxa"/>
            <w:vAlign w:val="bottom"/>
            <w:gridSpan w:val="21"/>
          </w:tcPr>
          <w:p>
            <w:pPr>
              <w:spacing w:after="0"/>
              <w:rPr>
                <w:sz w:val="20"/>
                <w:szCs w:val="20"/>
                <w:color w:val="auto"/>
              </w:rPr>
            </w:pPr>
            <w:r>
              <w:rPr>
                <w:rFonts w:ascii="Times New Roman" w:cs="Times New Roman" w:eastAsia="Times New Roman" w:hAnsi="Times New Roman"/>
                <w:sz w:val="15"/>
                <w:szCs w:val="15"/>
                <w:color w:val="auto"/>
              </w:rPr>
              <w:t>Preferred shares, Series C</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10/27/2020</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261,944</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10,003,917</w:t>
            </w:r>
          </w:p>
        </w:tc>
        <w:tc>
          <w:tcPr>
            <w:tcW w:w="140" w:type="dxa"/>
            <w:vAlign w:val="bottom"/>
          </w:tcPr>
          <w:p>
            <w:pPr>
              <w:spacing w:after="0"/>
              <w:rPr>
                <w:sz w:val="16"/>
                <w:szCs w:val="16"/>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10,141,088</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6.44%</w:t>
            </w:r>
          </w:p>
        </w:tc>
        <w:tc>
          <w:tcPr>
            <w:tcW w:w="0" w:type="dxa"/>
            <w:vAlign w:val="bottom"/>
          </w:tcPr>
          <w:p>
            <w:pPr>
              <w:spacing w:after="0"/>
              <w:rPr>
                <w:sz w:val="1"/>
                <w:szCs w:val="1"/>
                <w:color w:val="auto"/>
              </w:rPr>
            </w:pPr>
          </w:p>
        </w:tc>
      </w:tr>
      <w:tr>
        <w:trPr>
          <w:trHeight w:val="174"/>
        </w:trPr>
        <w:tc>
          <w:tcPr>
            <w:tcW w:w="2180" w:type="dxa"/>
            <w:vAlign w:val="bottom"/>
            <w:tcBorders>
              <w:top w:val="single" w:sz="8" w:color="CCEEFF"/>
            </w:tcBorders>
            <w:gridSpan w:val="21"/>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22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15,004,340</w:t>
            </w: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17,352,836</w:t>
            </w:r>
          </w:p>
        </w:tc>
        <w:tc>
          <w:tcPr>
            <w:tcW w:w="3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11.02</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47"/>
        </w:trPr>
        <w:tc>
          <w:tcPr>
            <w:tcW w:w="2180" w:type="dxa"/>
            <w:vAlign w:val="bottom"/>
            <w:gridSpan w:val="21"/>
          </w:tcPr>
          <w:p>
            <w:pPr>
              <w:spacing w:after="0" w:line="140" w:lineRule="exact"/>
              <w:rPr>
                <w:sz w:val="20"/>
                <w:szCs w:val="20"/>
                <w:color w:val="auto"/>
              </w:rPr>
            </w:pPr>
            <w:r>
              <w:rPr>
                <w:rFonts w:ascii="Times New Roman" w:cs="Times New Roman" w:eastAsia="Times New Roman" w:hAnsi="Times New Roman"/>
                <w:sz w:val="15"/>
                <w:szCs w:val="15"/>
                <w:b w:val="1"/>
                <w:bCs w:val="1"/>
                <w:color w:val="auto"/>
              </w:rPr>
              <w:t>ServiceTitan, Inc.</w:t>
            </w:r>
          </w:p>
        </w:tc>
        <w:tc>
          <w:tcPr>
            <w:tcW w:w="220" w:type="dxa"/>
            <w:vAlign w:val="bottom"/>
          </w:tcPr>
          <w:p>
            <w:pPr>
              <w:spacing w:after="0"/>
              <w:rPr>
                <w:sz w:val="12"/>
                <w:szCs w:val="12"/>
                <w:color w:val="auto"/>
              </w:rPr>
            </w:pPr>
          </w:p>
        </w:tc>
        <w:tc>
          <w:tcPr>
            <w:tcW w:w="1540" w:type="dxa"/>
            <w:vAlign w:val="bottom"/>
            <w:gridSpan w:val="2"/>
          </w:tcPr>
          <w:p>
            <w:pPr>
              <w:jc w:val="center"/>
              <w:ind w:right="220"/>
              <w:spacing w:after="0" w:line="140" w:lineRule="exact"/>
              <w:rPr>
                <w:sz w:val="20"/>
                <w:szCs w:val="20"/>
                <w:color w:val="auto"/>
              </w:rPr>
            </w:pPr>
            <w:r>
              <w:rPr>
                <w:rFonts w:ascii="Times New Roman" w:cs="Times New Roman" w:eastAsia="Times New Roman" w:hAnsi="Times New Roman"/>
                <w:sz w:val="15"/>
                <w:szCs w:val="15"/>
                <w:color w:val="auto"/>
              </w:rPr>
              <w:t>Glendale, CA</w:t>
            </w: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9"/>
              </w:rPr>
              <w:t>Contractor</w:t>
            </w:r>
          </w:p>
        </w:tc>
        <w:tc>
          <w:tcPr>
            <w:tcW w:w="1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Management</w:t>
            </w:r>
          </w:p>
        </w:tc>
        <w:tc>
          <w:tcPr>
            <w:tcW w:w="1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18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2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9"/>
              </w:rPr>
              <w:t>Software</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6/30/2023</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151,515</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10,008,233</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15,283,297</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9.71%</w:t>
            </w:r>
          </w:p>
        </w:tc>
        <w:tc>
          <w:tcPr>
            <w:tcW w:w="0" w:type="dxa"/>
            <w:vAlign w:val="bottom"/>
          </w:tcPr>
          <w:p>
            <w:pPr>
              <w:spacing w:after="0"/>
              <w:rPr>
                <w:sz w:val="1"/>
                <w:szCs w:val="1"/>
                <w:color w:val="auto"/>
              </w:rPr>
            </w:pPr>
          </w:p>
        </w:tc>
      </w:tr>
      <w:tr>
        <w:trPr>
          <w:trHeight w:val="148"/>
        </w:trPr>
        <w:tc>
          <w:tcPr>
            <w:tcW w:w="2180" w:type="dxa"/>
            <w:vAlign w:val="bottom"/>
            <w:gridSpan w:val="21"/>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Whoop, Inc.</w:t>
            </w:r>
          </w:p>
        </w:tc>
        <w:tc>
          <w:tcPr>
            <w:tcW w:w="220" w:type="dxa"/>
            <w:vAlign w:val="bottom"/>
          </w:tcPr>
          <w:p>
            <w:pPr>
              <w:spacing w:after="0"/>
              <w:rPr>
                <w:sz w:val="12"/>
                <w:szCs w:val="12"/>
                <w:color w:val="auto"/>
              </w:rPr>
            </w:pPr>
          </w:p>
        </w:tc>
        <w:tc>
          <w:tcPr>
            <w:tcW w:w="15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5"/>
                <w:szCs w:val="15"/>
                <w:color w:val="auto"/>
              </w:rPr>
              <w:t>Boston, MA</w:t>
            </w: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18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C</w:t>
            </w:r>
          </w:p>
        </w:tc>
        <w:tc>
          <w:tcPr>
            <w:tcW w:w="2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rPr>
              <w:t>Fitness Technology</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6/30/2022</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13,293,450</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10,011,460</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13,832,852</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8.79%</w:t>
            </w:r>
          </w:p>
        </w:tc>
        <w:tc>
          <w:tcPr>
            <w:tcW w:w="0" w:type="dxa"/>
            <w:vAlign w:val="bottom"/>
          </w:tcPr>
          <w:p>
            <w:pPr>
              <w:spacing w:after="0"/>
              <w:rPr>
                <w:sz w:val="1"/>
                <w:szCs w:val="1"/>
                <w:color w:val="auto"/>
              </w:rPr>
            </w:pPr>
          </w:p>
        </w:tc>
      </w:tr>
      <w:tr>
        <w:trPr>
          <w:trHeight w:val="155"/>
        </w:trPr>
        <w:tc>
          <w:tcPr>
            <w:tcW w:w="2180" w:type="dxa"/>
            <w:vAlign w:val="bottom"/>
            <w:gridSpan w:val="21"/>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Locus Robotics Corp.</w:t>
            </w:r>
          </w:p>
        </w:tc>
        <w:tc>
          <w:tcPr>
            <w:tcW w:w="220" w:type="dxa"/>
            <w:vAlign w:val="bottom"/>
          </w:tcPr>
          <w:p>
            <w:pPr>
              <w:spacing w:after="0"/>
              <w:rPr>
                <w:sz w:val="13"/>
                <w:szCs w:val="13"/>
                <w:color w:val="auto"/>
              </w:rPr>
            </w:pPr>
          </w:p>
        </w:tc>
        <w:tc>
          <w:tcPr>
            <w:tcW w:w="15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5"/>
                <w:szCs w:val="15"/>
                <w:color w:val="auto"/>
                <w:w w:val="99"/>
              </w:rPr>
              <w:t>Wilmington, MA</w:t>
            </w: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Warehouse</w:t>
            </w:r>
          </w:p>
        </w:tc>
        <w:tc>
          <w:tcPr>
            <w:tcW w:w="1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18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F 6%</w:t>
            </w:r>
          </w:p>
        </w:tc>
        <w:tc>
          <w:tcPr>
            <w:tcW w:w="2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Automation</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11/30/2022</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232,568</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10,004,286</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11,150,854</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7.08%</w:t>
            </w:r>
          </w:p>
        </w:tc>
        <w:tc>
          <w:tcPr>
            <w:tcW w:w="0" w:type="dxa"/>
            <w:vAlign w:val="bottom"/>
          </w:tcPr>
          <w:p>
            <w:pPr>
              <w:spacing w:after="0"/>
              <w:rPr>
                <w:sz w:val="1"/>
                <w:szCs w:val="1"/>
                <w:color w:val="auto"/>
              </w:rPr>
            </w:pPr>
          </w:p>
        </w:tc>
      </w:tr>
      <w:tr>
        <w:trPr>
          <w:trHeight w:val="148"/>
        </w:trPr>
        <w:tc>
          <w:tcPr>
            <w:tcW w:w="2180" w:type="dxa"/>
            <w:vAlign w:val="bottom"/>
            <w:gridSpan w:val="21"/>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FourKites, Inc.</w:t>
            </w:r>
          </w:p>
        </w:tc>
        <w:tc>
          <w:tcPr>
            <w:tcW w:w="220" w:type="dxa"/>
            <w:vAlign w:val="bottom"/>
          </w:tcPr>
          <w:p>
            <w:pPr>
              <w:spacing w:after="0"/>
              <w:rPr>
                <w:sz w:val="12"/>
                <w:szCs w:val="12"/>
                <w:color w:val="auto"/>
              </w:rPr>
            </w:pPr>
          </w:p>
        </w:tc>
        <w:tc>
          <w:tcPr>
            <w:tcW w:w="15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5"/>
                <w:szCs w:val="15"/>
                <w:color w:val="auto"/>
              </w:rPr>
              <w:t>Chicago, IL</w:t>
            </w: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220"/>
              <w:spacing w:after="0" w:line="168" w:lineRule="exact"/>
              <w:rPr>
                <w:sz w:val="20"/>
                <w:szCs w:val="20"/>
                <w:color w:val="auto"/>
              </w:rPr>
            </w:pPr>
            <w:r>
              <w:rPr>
                <w:rFonts w:ascii="Times New Roman" w:cs="Times New Roman" w:eastAsia="Times New Roman" w:hAnsi="Times New Roman"/>
                <w:sz w:val="15"/>
                <w:szCs w:val="15"/>
                <w:color w:val="auto"/>
              </w:rPr>
              <w:t>Supply Chain</w:t>
            </w: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18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2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Technology</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7/7/2023</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1,398,024</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8,530,389</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10,249,753</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6.51%</w:t>
            </w:r>
          </w:p>
        </w:tc>
        <w:tc>
          <w:tcPr>
            <w:tcW w:w="0" w:type="dxa"/>
            <w:vAlign w:val="bottom"/>
          </w:tcPr>
          <w:p>
            <w:pPr>
              <w:spacing w:after="0"/>
              <w:rPr>
                <w:sz w:val="1"/>
                <w:szCs w:val="1"/>
                <w:color w:val="auto"/>
              </w:rPr>
            </w:pPr>
          </w:p>
        </w:tc>
      </w:tr>
      <w:tr>
        <w:trPr>
          <w:trHeight w:val="148"/>
        </w:trPr>
        <w:tc>
          <w:tcPr>
            <w:tcW w:w="1980" w:type="dxa"/>
            <w:vAlign w:val="bottom"/>
            <w:tcBorders>
              <w:bottom w:val="single" w:sz="8" w:color="auto"/>
            </w:tcBorders>
            <w:gridSpan w:val="17"/>
          </w:tcPr>
          <w:p>
            <w:pPr>
              <w:spacing w:after="0" w:line="149" w:lineRule="exact"/>
              <w:rPr>
                <w:sz w:val="20"/>
                <w:szCs w:val="20"/>
                <w:color w:val="auto"/>
              </w:rPr>
            </w:pPr>
            <w:r>
              <w:rPr>
                <w:rFonts w:ascii="Times New Roman" w:cs="Times New Roman" w:eastAsia="Times New Roman" w:hAnsi="Times New Roman"/>
                <w:sz w:val="15"/>
                <w:szCs w:val="15"/>
                <w:b w:val="1"/>
                <w:bCs w:val="1"/>
                <w:color w:val="auto"/>
                <w:w w:val="99"/>
              </w:rPr>
              <w:t>Supplying Demand, Inc. (d/b/a</w:t>
            </w:r>
          </w:p>
        </w:tc>
        <w:tc>
          <w:tcPr>
            <w:tcW w:w="200" w:type="dxa"/>
            <w:vAlign w:val="bottom"/>
            <w:gridSpan w:val="4"/>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180" w:type="dxa"/>
            <w:vAlign w:val="bottom"/>
            <w:gridSpan w:val="21"/>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Liquid Death)</w:t>
            </w:r>
          </w:p>
        </w:tc>
        <w:tc>
          <w:tcPr>
            <w:tcW w:w="220" w:type="dxa"/>
            <w:vAlign w:val="bottom"/>
          </w:tcPr>
          <w:p>
            <w:pPr>
              <w:spacing w:after="0"/>
              <w:rPr>
                <w:sz w:val="14"/>
                <w:szCs w:val="14"/>
                <w:color w:val="auto"/>
              </w:rPr>
            </w:pPr>
          </w:p>
        </w:tc>
        <w:tc>
          <w:tcPr>
            <w:tcW w:w="15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color w:val="auto"/>
              </w:rPr>
              <w:t>Los Angeles, CA</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Lifestyle Beverage</w:t>
            </w:r>
          </w:p>
        </w:tc>
        <w:tc>
          <w:tcPr>
            <w:tcW w:w="1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18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F-1</w:t>
            </w:r>
          </w:p>
        </w:tc>
        <w:tc>
          <w:tcPr>
            <w:tcW w:w="2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rPr>
              <w:t>Brand</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1/18/2024</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776,747</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10,003,934</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9,999,996</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6.35%</w:t>
            </w:r>
          </w:p>
        </w:tc>
        <w:tc>
          <w:tcPr>
            <w:tcW w:w="0" w:type="dxa"/>
            <w:vAlign w:val="bottom"/>
          </w:tcPr>
          <w:p>
            <w:pPr>
              <w:spacing w:after="0"/>
              <w:rPr>
                <w:sz w:val="1"/>
                <w:szCs w:val="1"/>
                <w:color w:val="auto"/>
              </w:rPr>
            </w:pPr>
          </w:p>
        </w:tc>
      </w:tr>
      <w:tr>
        <w:trPr>
          <w:trHeight w:val="125"/>
        </w:trPr>
        <w:tc>
          <w:tcPr>
            <w:tcW w:w="780" w:type="dxa"/>
            <w:vAlign w:val="bottom"/>
            <w:gridSpan w:val="7"/>
            <w:vMerge w:val="restart"/>
          </w:tcPr>
          <w:p>
            <w:pPr>
              <w:spacing w:after="0"/>
              <w:rPr>
                <w:sz w:val="20"/>
                <w:szCs w:val="20"/>
                <w:color w:val="auto"/>
              </w:rPr>
            </w:pPr>
            <w:r>
              <w:rPr>
                <w:rFonts w:ascii="Times New Roman" w:cs="Times New Roman" w:eastAsia="Times New Roman" w:hAnsi="Times New Roman"/>
                <w:sz w:val="15"/>
                <w:szCs w:val="15"/>
                <w:b w:val="1"/>
                <w:bCs w:val="1"/>
                <w:color w:val="auto"/>
              </w:rPr>
              <w:t>Canva, Inc.</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w:t>
            </w:r>
          </w:p>
        </w:tc>
        <w:tc>
          <w:tcPr>
            <w:tcW w:w="60" w:type="dxa"/>
            <w:vAlign w:val="bottom"/>
            <w:gridSpan w:val="2"/>
            <w:vMerge w:val="restart"/>
          </w:tcPr>
          <w:p>
            <w:pPr>
              <w:spacing w:after="0"/>
              <w:rPr>
                <w:sz w:val="10"/>
                <w:szCs w:val="10"/>
                <w:color w:val="auto"/>
              </w:rPr>
            </w:pPr>
          </w:p>
        </w:tc>
        <w:tc>
          <w:tcPr>
            <w:tcW w:w="720" w:type="dxa"/>
            <w:vAlign w:val="bottom"/>
            <w:gridSpan w:val="5"/>
            <w:vMerge w:val="restart"/>
          </w:tcPr>
          <w:p>
            <w:pPr>
              <w:spacing w:after="0"/>
              <w:rPr>
                <w:sz w:val="10"/>
                <w:szCs w:val="10"/>
                <w:color w:val="auto"/>
              </w:rPr>
            </w:pPr>
          </w:p>
        </w:tc>
        <w:tc>
          <w:tcPr>
            <w:tcW w:w="300" w:type="dxa"/>
            <w:vAlign w:val="bottom"/>
            <w:vMerge w:val="restart"/>
          </w:tcPr>
          <w:p>
            <w:pPr>
              <w:spacing w:after="0"/>
              <w:rPr>
                <w:sz w:val="10"/>
                <w:szCs w:val="10"/>
                <w:color w:val="auto"/>
              </w:rPr>
            </w:pPr>
          </w:p>
        </w:tc>
        <w:tc>
          <w:tcPr>
            <w:tcW w:w="80" w:type="dxa"/>
            <w:vAlign w:val="bottom"/>
            <w:gridSpan w:val="2"/>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120" w:type="dxa"/>
            <w:vAlign w:val="bottom"/>
            <w:gridSpan w:val="2"/>
            <w:vMerge w:val="restart"/>
          </w:tcPr>
          <w:p>
            <w:pPr>
              <w:spacing w:after="0"/>
              <w:rPr>
                <w:sz w:val="10"/>
                <w:szCs w:val="10"/>
                <w:color w:val="auto"/>
              </w:rPr>
            </w:pPr>
          </w:p>
        </w:tc>
        <w:tc>
          <w:tcPr>
            <w:tcW w:w="220" w:type="dxa"/>
            <w:vAlign w:val="bottom"/>
          </w:tcPr>
          <w:p>
            <w:pPr>
              <w:spacing w:after="0"/>
              <w:rPr>
                <w:sz w:val="10"/>
                <w:szCs w:val="10"/>
                <w:color w:val="auto"/>
              </w:rPr>
            </w:pP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color w:val="auto"/>
              </w:rPr>
              <w:t>Sydney, Australia</w:t>
            </w:r>
          </w:p>
        </w:tc>
        <w:tc>
          <w:tcPr>
            <w:tcW w:w="1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780" w:type="dxa"/>
            <w:vAlign w:val="bottom"/>
            <w:tcBorders>
              <w:bottom w:val="single" w:sz="8" w:color="auto"/>
            </w:tcBorders>
            <w:gridSpan w:val="7"/>
            <w:vMerge w:val="continue"/>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gridSpan w:val="2"/>
            <w:vMerge w:val="continue"/>
          </w:tcPr>
          <w:p>
            <w:pPr>
              <w:spacing w:after="0"/>
              <w:rPr>
                <w:sz w:val="3"/>
                <w:szCs w:val="3"/>
                <w:color w:val="auto"/>
              </w:rPr>
            </w:pPr>
          </w:p>
        </w:tc>
        <w:tc>
          <w:tcPr>
            <w:tcW w:w="720" w:type="dxa"/>
            <w:vAlign w:val="bottom"/>
            <w:gridSpan w:val="5"/>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80" w:type="dxa"/>
            <w:vAlign w:val="bottom"/>
            <w:gridSpan w:val="2"/>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1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Productivity</w:t>
            </w:r>
          </w:p>
        </w:tc>
        <w:tc>
          <w:tcPr>
            <w:tcW w:w="1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18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2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9"/>
              </w:rPr>
              <w:t>Software</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4/17/2024</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9,375</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10,058,820</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9,651,629</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6.13%</w:t>
            </w:r>
          </w:p>
        </w:tc>
        <w:tc>
          <w:tcPr>
            <w:tcW w:w="0" w:type="dxa"/>
            <w:vAlign w:val="bottom"/>
          </w:tcPr>
          <w:p>
            <w:pPr>
              <w:spacing w:after="0"/>
              <w:rPr>
                <w:sz w:val="1"/>
                <w:szCs w:val="1"/>
                <w:color w:val="auto"/>
              </w:rPr>
            </w:pPr>
          </w:p>
        </w:tc>
      </w:tr>
      <w:tr>
        <w:trPr>
          <w:trHeight w:val="148"/>
        </w:trPr>
        <w:tc>
          <w:tcPr>
            <w:tcW w:w="2020" w:type="dxa"/>
            <w:vAlign w:val="bottom"/>
            <w:tcBorders>
              <w:bottom w:val="single" w:sz="8" w:color="auto"/>
            </w:tcBorders>
            <w:gridSpan w:val="18"/>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Shogun Enterprises, Inc. (d/b/a</w:t>
            </w:r>
          </w:p>
        </w:tc>
        <w:tc>
          <w:tcPr>
            <w:tcW w:w="160" w:type="dxa"/>
            <w:vAlign w:val="bottom"/>
            <w:gridSpan w:val="3"/>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180" w:type="dxa"/>
            <w:vAlign w:val="bottom"/>
            <w:gridSpan w:val="21"/>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Hearth)</w:t>
            </w:r>
          </w:p>
        </w:tc>
        <w:tc>
          <w:tcPr>
            <w:tcW w:w="220" w:type="dxa"/>
            <w:vAlign w:val="bottom"/>
          </w:tcPr>
          <w:p>
            <w:pPr>
              <w:spacing w:after="0"/>
              <w:rPr>
                <w:sz w:val="14"/>
                <w:szCs w:val="14"/>
                <w:color w:val="auto"/>
              </w:rPr>
            </w:pPr>
          </w:p>
        </w:tc>
        <w:tc>
          <w:tcPr>
            <w:tcW w:w="15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color w:val="auto"/>
              </w:rPr>
              <w:t>Austin, TX</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rPr>
              <w:t>Home Improvement</w:t>
            </w:r>
          </w:p>
        </w:tc>
        <w:tc>
          <w:tcPr>
            <w:tcW w:w="1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18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B-1</w:t>
            </w:r>
          </w:p>
        </w:tc>
        <w:tc>
          <w:tcPr>
            <w:tcW w:w="2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Finance</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2/26/2021</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436,844</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3,501,657</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2,709,720</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w:t>
            </w:r>
          </w:p>
        </w:tc>
        <w:tc>
          <w:tcPr>
            <w:tcW w:w="0" w:type="dxa"/>
            <w:vAlign w:val="bottom"/>
          </w:tcPr>
          <w:p>
            <w:pPr>
              <w:spacing w:after="0"/>
              <w:rPr>
                <w:sz w:val="1"/>
                <w:szCs w:val="1"/>
                <w:color w:val="auto"/>
              </w:rPr>
            </w:pPr>
          </w:p>
        </w:tc>
      </w:tr>
      <w:tr>
        <w:trPr>
          <w:trHeight w:val="182"/>
        </w:trPr>
        <w:tc>
          <w:tcPr>
            <w:tcW w:w="2180" w:type="dxa"/>
            <w:vAlign w:val="bottom"/>
            <w:gridSpan w:val="21"/>
          </w:tcPr>
          <w:p>
            <w:pPr>
              <w:spacing w:after="0"/>
              <w:rPr>
                <w:sz w:val="20"/>
                <w:szCs w:val="20"/>
                <w:color w:val="auto"/>
              </w:rPr>
            </w:pPr>
            <w:r>
              <w:rPr>
                <w:rFonts w:ascii="Times New Roman" w:cs="Times New Roman" w:eastAsia="Times New Roman" w:hAnsi="Times New Roman"/>
                <w:sz w:val="15"/>
                <w:szCs w:val="15"/>
                <w:color w:val="auto"/>
              </w:rPr>
              <w:t>Preferred shares, Series B-2</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2/26/2021</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301,750</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3,501,661</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2,709,723</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1.72%</w:t>
            </w:r>
          </w:p>
        </w:tc>
        <w:tc>
          <w:tcPr>
            <w:tcW w:w="0" w:type="dxa"/>
            <w:vAlign w:val="bottom"/>
          </w:tcPr>
          <w:p>
            <w:pPr>
              <w:spacing w:after="0"/>
              <w:rPr>
                <w:sz w:val="1"/>
                <w:szCs w:val="1"/>
                <w:color w:val="auto"/>
              </w:rPr>
            </w:pPr>
          </w:p>
        </w:tc>
      </w:tr>
      <w:tr>
        <w:trPr>
          <w:trHeight w:val="182"/>
        </w:trPr>
        <w:tc>
          <w:tcPr>
            <w:tcW w:w="218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B-3</w:t>
            </w: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5/2/2022</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56,936</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530,822</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410,965</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0.26%</w:t>
            </w:r>
          </w:p>
        </w:tc>
        <w:tc>
          <w:tcPr>
            <w:tcW w:w="0" w:type="dxa"/>
            <w:vAlign w:val="bottom"/>
          </w:tcPr>
          <w:p>
            <w:pPr>
              <w:spacing w:after="0"/>
              <w:rPr>
                <w:sz w:val="1"/>
                <w:szCs w:val="1"/>
                <w:color w:val="auto"/>
              </w:rPr>
            </w:pPr>
          </w:p>
        </w:tc>
      </w:tr>
      <w:tr>
        <w:trPr>
          <w:trHeight w:val="182"/>
        </w:trPr>
        <w:tc>
          <w:tcPr>
            <w:tcW w:w="2180" w:type="dxa"/>
            <w:vAlign w:val="bottom"/>
            <w:gridSpan w:val="21"/>
          </w:tcPr>
          <w:p>
            <w:pPr>
              <w:spacing w:after="0"/>
              <w:rPr>
                <w:sz w:val="20"/>
                <w:szCs w:val="20"/>
                <w:color w:val="auto"/>
              </w:rPr>
            </w:pPr>
            <w:r>
              <w:rPr>
                <w:rFonts w:ascii="Times New Roman" w:cs="Times New Roman" w:eastAsia="Times New Roman" w:hAnsi="Times New Roman"/>
                <w:sz w:val="15"/>
                <w:szCs w:val="15"/>
                <w:color w:val="auto"/>
              </w:rPr>
              <w:t>Preferred shares, Series B-4</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7/12/2023</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48,267</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366,606</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387,102</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0.25%</w:t>
            </w:r>
          </w:p>
        </w:tc>
        <w:tc>
          <w:tcPr>
            <w:tcW w:w="0" w:type="dxa"/>
            <w:vAlign w:val="bottom"/>
          </w:tcPr>
          <w:p>
            <w:pPr>
              <w:spacing w:after="0"/>
              <w:rPr>
                <w:sz w:val="1"/>
                <w:szCs w:val="1"/>
                <w:color w:val="auto"/>
              </w:rPr>
            </w:pPr>
          </w:p>
        </w:tc>
      </w:tr>
      <w:tr>
        <w:trPr>
          <w:trHeight w:val="168"/>
        </w:trPr>
        <w:tc>
          <w:tcPr>
            <w:tcW w:w="2180" w:type="dxa"/>
            <w:vAlign w:val="bottom"/>
            <w:gridSpan w:val="21"/>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Common Warrants, Strike Price</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18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5"/>
                <w:szCs w:val="15"/>
                <w:color w:val="auto"/>
              </w:rPr>
              <w:t>$0.01, Expiration Date 7/12/2026</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7/12/2023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86,076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140,060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4"/>
        </w:trPr>
        <w:tc>
          <w:tcPr>
            <w:tcW w:w="2180" w:type="dxa"/>
            <w:vAlign w:val="bottom"/>
            <w:tcBorders>
              <w:bottom w:val="single" w:sz="8" w:color="CCEEFF"/>
            </w:tcBorders>
            <w:gridSpan w:val="21"/>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22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8,040,806</w:t>
            </w:r>
          </w:p>
        </w:tc>
        <w:tc>
          <w:tcPr>
            <w:tcW w:w="3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6,217,510</w:t>
            </w:r>
          </w:p>
        </w:tc>
        <w:tc>
          <w:tcPr>
            <w:tcW w:w="320" w:type="dxa"/>
            <w:vAlign w:val="bottom"/>
            <w:tcBorders>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3.95</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85"/>
        </w:trPr>
        <w:tc>
          <w:tcPr>
            <w:tcW w:w="218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CoreWeave, Inc.</w:t>
            </w:r>
          </w:p>
        </w:tc>
        <w:tc>
          <w:tcPr>
            <w:tcW w:w="2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9"/>
              </w:rPr>
              <w:t>Roseland, NJ</w:t>
            </w:r>
          </w:p>
        </w:tc>
        <w:tc>
          <w:tcPr>
            <w:tcW w:w="1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80" w:type="dxa"/>
            <w:vAlign w:val="bottom"/>
            <w:gridSpan w:val="21"/>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22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AI Infrastructure</w:t>
            </w: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9/26/2024</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5,556</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5,002,973</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5,000,400</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3.18%</w:t>
            </w:r>
          </w:p>
        </w:tc>
        <w:tc>
          <w:tcPr>
            <w:tcW w:w="0" w:type="dxa"/>
            <w:vAlign w:val="bottom"/>
          </w:tcPr>
          <w:p>
            <w:pPr>
              <w:spacing w:after="0"/>
              <w:rPr>
                <w:sz w:val="1"/>
                <w:szCs w:val="1"/>
                <w:color w:val="auto"/>
              </w:rPr>
            </w:pPr>
          </w:p>
        </w:tc>
      </w:tr>
      <w:tr>
        <w:trPr>
          <w:trHeight w:val="148"/>
        </w:trPr>
        <w:tc>
          <w:tcPr>
            <w:tcW w:w="2180" w:type="dxa"/>
            <w:vAlign w:val="bottom"/>
            <w:gridSpan w:val="21"/>
            <w:shd w:val="clear" w:color="auto" w:fill="CCEEFF"/>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PSQ Holdings, Inc. (d/b/a</w:t>
            </w: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920" w:type="dxa"/>
            <w:vAlign w:val="bottom"/>
            <w:tcBorders>
              <w:top w:val="single" w:sz="8" w:color="auto"/>
              <w:bottom w:val="single" w:sz="8" w:color="auto"/>
            </w:tcBorders>
            <w:gridSpan w:val="10"/>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w w:val="98"/>
              </w:rPr>
              <w:t>PublicSquare)</w:t>
            </w:r>
          </w:p>
        </w:tc>
        <w:tc>
          <w:tcPr>
            <w:tcW w:w="720" w:type="dxa"/>
            <w:vAlign w:val="bottom"/>
            <w:tcBorders>
              <w:top w:val="single" w:sz="8" w:color="auto"/>
              <w:bottom w:val="single" w:sz="8" w:color="CCEEFF"/>
            </w:tcBorders>
            <w:gridSpan w:val="5"/>
            <w:shd w:val="clear" w:color="auto" w:fill="CCEEFF"/>
          </w:tcPr>
          <w:p>
            <w:pPr>
              <w:spacing w:after="0"/>
              <w:rPr>
                <w:sz w:val="15"/>
                <w:szCs w:val="15"/>
                <w:color w:val="auto"/>
              </w:rPr>
            </w:pPr>
          </w:p>
        </w:tc>
        <w:tc>
          <w:tcPr>
            <w:tcW w:w="540" w:type="dxa"/>
            <w:vAlign w:val="bottom"/>
            <w:tcBorders>
              <w:top w:val="single" w:sz="8" w:color="CCEEFF"/>
              <w:bottom w:val="single" w:sz="8" w:color="CCEEFF"/>
            </w:tcBorders>
            <w:gridSpan w:val="6"/>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540" w:type="dxa"/>
            <w:vAlign w:val="bottom"/>
            <w:tcBorders>
              <w:top w:val="single" w:sz="8" w:color="CCEEFF"/>
              <w:bottom w:val="single" w:sz="8" w:color="CCEEFF"/>
            </w:tcBorders>
            <w:gridSpan w:val="2"/>
            <w:shd w:val="clear" w:color="auto" w:fill="CCEEFF"/>
          </w:tcPr>
          <w:p>
            <w:pPr>
              <w:jc w:val="center"/>
              <w:ind w:right="220"/>
              <w:spacing w:after="0" w:line="162" w:lineRule="exact"/>
              <w:rPr>
                <w:sz w:val="20"/>
                <w:szCs w:val="20"/>
                <w:color w:val="auto"/>
              </w:rPr>
            </w:pPr>
            <w:r>
              <w:rPr>
                <w:rFonts w:ascii="Times New Roman" w:cs="Times New Roman" w:eastAsia="Times New Roman" w:hAnsi="Times New Roman"/>
                <w:sz w:val="15"/>
                <w:szCs w:val="15"/>
                <w:color w:val="auto"/>
              </w:rPr>
              <w:t>West Palm Beach, FL</w:t>
            </w:r>
          </w:p>
        </w:tc>
        <w:tc>
          <w:tcPr>
            <w:tcW w:w="13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180" w:type="dxa"/>
            <w:vAlign w:val="bottom"/>
            <w:gridSpan w:val="21"/>
            <w:vMerge w:val="restart"/>
          </w:tcPr>
          <w:p>
            <w:pPr>
              <w:spacing w:after="0"/>
              <w:rPr>
                <w:sz w:val="20"/>
                <w:szCs w:val="20"/>
                <w:color w:val="auto"/>
              </w:rPr>
            </w:pPr>
            <w:r>
              <w:rPr>
                <w:rFonts w:ascii="Times New Roman" w:cs="Times New Roman" w:eastAsia="Times New Roman" w:hAnsi="Times New Roman"/>
                <w:sz w:val="15"/>
                <w:szCs w:val="15"/>
                <w:color w:val="auto"/>
              </w:rPr>
              <w:t>Common shares, Class A</w:t>
            </w:r>
            <w:r>
              <w:rPr>
                <w:rFonts w:ascii="Times New Roman" w:cs="Times New Roman" w:eastAsia="Times New Roman" w:hAnsi="Times New Roman"/>
                <w:sz w:val="25"/>
                <w:szCs w:val="25"/>
                <w:color w:val="auto"/>
                <w:vertAlign w:val="superscript"/>
              </w:rPr>
              <w:t>(3)</w:t>
            </w:r>
          </w:p>
        </w:tc>
        <w:tc>
          <w:tcPr>
            <w:tcW w:w="220" w:type="dxa"/>
            <w:vAlign w:val="bottom"/>
          </w:tcPr>
          <w:p>
            <w:pPr>
              <w:spacing w:after="0"/>
              <w:rPr>
                <w:sz w:val="14"/>
                <w:szCs w:val="14"/>
                <w:color w:val="auto"/>
              </w:rPr>
            </w:pPr>
          </w:p>
        </w:tc>
        <w:tc>
          <w:tcPr>
            <w:tcW w:w="1540" w:type="dxa"/>
            <w:vAlign w:val="bottom"/>
            <w:gridSpan w:val="2"/>
          </w:tcPr>
          <w:p>
            <w:pPr>
              <w:jc w:val="center"/>
              <w:ind w:right="220"/>
              <w:spacing w:after="0" w:line="168" w:lineRule="exact"/>
              <w:rPr>
                <w:sz w:val="20"/>
                <w:szCs w:val="20"/>
                <w:color w:val="auto"/>
              </w:rPr>
            </w:pPr>
            <w:r>
              <w:rPr>
                <w:rFonts w:ascii="Times New Roman" w:cs="Times New Roman" w:eastAsia="Times New Roman" w:hAnsi="Times New Roman"/>
                <w:sz w:val="15"/>
                <w:szCs w:val="15"/>
                <w:color w:val="auto"/>
                <w:w w:val="99"/>
              </w:rPr>
              <w:t>E-Commerce</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180" w:type="dxa"/>
            <w:vAlign w:val="bottom"/>
            <w:gridSpan w:val="21"/>
            <w:vMerge w:val="continue"/>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Marketplace</w:t>
            </w: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4/1/2021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1,616,187</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1,273,125</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3,975,820</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2.53%</w:t>
            </w:r>
          </w:p>
        </w:tc>
        <w:tc>
          <w:tcPr>
            <w:tcW w:w="0" w:type="dxa"/>
            <w:vAlign w:val="bottom"/>
          </w:tcPr>
          <w:p>
            <w:pPr>
              <w:spacing w:after="0"/>
              <w:rPr>
                <w:sz w:val="1"/>
                <w:szCs w:val="1"/>
                <w:color w:val="auto"/>
              </w:rPr>
            </w:pPr>
          </w:p>
        </w:tc>
      </w:tr>
      <w:tr>
        <w:trPr>
          <w:trHeight w:val="169"/>
        </w:trPr>
        <w:tc>
          <w:tcPr>
            <w:tcW w:w="2180" w:type="dxa"/>
            <w:vAlign w:val="bottom"/>
            <w:gridSpan w:val="21"/>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Warrants, Strike Price $11.50,</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180" w:type="dxa"/>
            <w:vAlign w:val="bottom"/>
            <w:gridSpan w:val="21"/>
            <w:shd w:val="clear" w:color="auto" w:fill="CCEEFF"/>
          </w:tcPr>
          <w:p>
            <w:pPr>
              <w:spacing w:after="0" w:line="240" w:lineRule="exact"/>
              <w:rPr>
                <w:sz w:val="20"/>
                <w:szCs w:val="20"/>
                <w:color w:val="auto"/>
              </w:rPr>
            </w:pPr>
            <w:r>
              <w:rPr>
                <w:rFonts w:ascii="Times New Roman" w:cs="Times New Roman" w:eastAsia="Times New Roman" w:hAnsi="Times New Roman"/>
                <w:sz w:val="15"/>
                <w:szCs w:val="15"/>
                <w:color w:val="auto"/>
              </w:rPr>
              <w:t>Expiration Date 7/19/2028</w:t>
            </w:r>
            <w:r>
              <w:rPr>
                <w:rFonts w:ascii="Times New Roman" w:cs="Times New Roman" w:eastAsia="Times New Roman" w:hAnsi="Times New Roman"/>
                <w:sz w:val="25"/>
                <w:szCs w:val="25"/>
                <w:color w:val="auto"/>
                <w:vertAlign w:val="superscript"/>
              </w:rPr>
              <w:t>(3)</w:t>
            </w: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4/1/2021</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2,296,037</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985,722</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482,168</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0.31%</w:t>
            </w:r>
          </w:p>
        </w:tc>
        <w:tc>
          <w:tcPr>
            <w:tcW w:w="0" w:type="dxa"/>
            <w:vAlign w:val="bottom"/>
          </w:tcPr>
          <w:p>
            <w:pPr>
              <w:spacing w:after="0"/>
              <w:rPr>
                <w:sz w:val="1"/>
                <w:szCs w:val="1"/>
                <w:color w:val="auto"/>
              </w:rPr>
            </w:pPr>
          </w:p>
        </w:tc>
      </w:tr>
      <w:tr>
        <w:trPr>
          <w:trHeight w:val="174"/>
        </w:trPr>
        <w:tc>
          <w:tcPr>
            <w:tcW w:w="2180" w:type="dxa"/>
            <w:vAlign w:val="bottom"/>
            <w:tcBorders>
              <w:bottom w:val="single" w:sz="8" w:color="CCEEFF"/>
            </w:tcBorders>
            <w:gridSpan w:val="21"/>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22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2,258,847</w:t>
            </w:r>
          </w:p>
        </w:tc>
        <w:tc>
          <w:tcPr>
            <w:tcW w:w="3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4,457,988</w:t>
            </w: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2.83</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28"/>
        </w:trPr>
        <w:tc>
          <w:tcPr>
            <w:tcW w:w="1940" w:type="dxa"/>
            <w:vAlign w:val="bottom"/>
            <w:tcBorders>
              <w:bottom w:val="single" w:sz="8" w:color="auto"/>
            </w:tcBorders>
            <w:gridSpan w:val="16"/>
            <w:shd w:val="clear" w:color="auto" w:fill="CCEEFF"/>
          </w:tcPr>
          <w:p>
            <w:pPr>
              <w:spacing w:after="0" w:line="128" w:lineRule="exact"/>
              <w:rPr>
                <w:sz w:val="20"/>
                <w:szCs w:val="20"/>
                <w:color w:val="auto"/>
              </w:rPr>
            </w:pPr>
            <w:r>
              <w:rPr>
                <w:rFonts w:ascii="Times New Roman" w:cs="Times New Roman" w:eastAsia="Times New Roman" w:hAnsi="Times New Roman"/>
                <w:sz w:val="14"/>
                <w:szCs w:val="14"/>
                <w:b w:val="1"/>
                <w:bCs w:val="1"/>
                <w:color w:val="auto"/>
              </w:rPr>
              <w:t>Neutron Holdings, Inc. (d/b/a/</w:t>
            </w:r>
          </w:p>
        </w:tc>
        <w:tc>
          <w:tcPr>
            <w:tcW w:w="240" w:type="dxa"/>
            <w:vAlign w:val="bottom"/>
            <w:tcBorders>
              <w:bottom w:val="single" w:sz="8" w:color="CCEEFF"/>
            </w:tcBorders>
            <w:gridSpan w:val="5"/>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3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3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80" w:type="dxa"/>
            <w:vAlign w:val="bottom"/>
            <w:tcBorders>
              <w:bottom w:val="single" w:sz="8" w:color="auto"/>
            </w:tcBorders>
            <w:gridSpan w:val="3"/>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w w:val="93"/>
              </w:rPr>
              <w:t>Lime)</w:t>
            </w:r>
          </w:p>
        </w:tc>
        <w:tc>
          <w:tcPr>
            <w:tcW w:w="1800" w:type="dxa"/>
            <w:vAlign w:val="bottom"/>
            <w:tcBorders>
              <w:bottom w:val="single" w:sz="8" w:color="CCEEFF"/>
            </w:tcBorders>
            <w:gridSpan w:val="18"/>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gridSpan w:val="2"/>
            <w:shd w:val="clear" w:color="auto" w:fill="CCEEFF"/>
          </w:tcPr>
          <w:p>
            <w:pPr>
              <w:jc w:val="center"/>
              <w:ind w:right="240"/>
              <w:spacing w:after="0" w:line="162" w:lineRule="exact"/>
              <w:rPr>
                <w:sz w:val="20"/>
                <w:szCs w:val="20"/>
                <w:color w:val="auto"/>
              </w:rPr>
            </w:pPr>
            <w:r>
              <w:rPr>
                <w:rFonts w:ascii="Times New Roman" w:cs="Times New Roman" w:eastAsia="Times New Roman" w:hAnsi="Times New Roman"/>
                <w:sz w:val="15"/>
                <w:szCs w:val="15"/>
                <w:color w:val="auto"/>
              </w:rPr>
              <w:t>San Francisco, CA</w:t>
            </w:r>
          </w:p>
        </w:tc>
        <w:tc>
          <w:tcPr>
            <w:tcW w:w="13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80" w:type="dxa"/>
            <w:vAlign w:val="bottom"/>
            <w:gridSpan w:val="21"/>
          </w:tcPr>
          <w:p>
            <w:pPr>
              <w:spacing w:after="0"/>
              <w:rPr>
                <w:sz w:val="20"/>
                <w:szCs w:val="20"/>
                <w:color w:val="auto"/>
              </w:rPr>
            </w:pPr>
            <w:r>
              <w:rPr>
                <w:rFonts w:ascii="Times New Roman" w:cs="Times New Roman" w:eastAsia="Times New Roman" w:hAnsi="Times New Roman"/>
                <w:sz w:val="15"/>
                <w:szCs w:val="15"/>
                <w:color w:val="auto"/>
              </w:rPr>
              <w:t>Junior Preferred shares, Series 1-D</w:t>
            </w:r>
          </w:p>
        </w:tc>
        <w:tc>
          <w:tcPr>
            <w:tcW w:w="220" w:type="dxa"/>
            <w:vAlign w:val="bottom"/>
          </w:tcPr>
          <w:p>
            <w:pPr>
              <w:spacing w:after="0"/>
              <w:rPr>
                <w:sz w:val="15"/>
                <w:szCs w:val="15"/>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Micromobility</w:t>
            </w: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1/25/2019</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41,237,113</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10,007,322</w:t>
            </w:r>
          </w:p>
        </w:tc>
        <w:tc>
          <w:tcPr>
            <w:tcW w:w="140" w:type="dxa"/>
            <w:vAlign w:val="bottom"/>
          </w:tcPr>
          <w:p>
            <w:pPr>
              <w:spacing w:after="0"/>
              <w:rPr>
                <w:sz w:val="15"/>
                <w:szCs w:val="15"/>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3,485,014</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2.21%</w:t>
            </w:r>
          </w:p>
        </w:tc>
        <w:tc>
          <w:tcPr>
            <w:tcW w:w="0" w:type="dxa"/>
            <w:vAlign w:val="bottom"/>
          </w:tcPr>
          <w:p>
            <w:pPr>
              <w:spacing w:after="0"/>
              <w:rPr>
                <w:sz w:val="1"/>
                <w:szCs w:val="1"/>
                <w:color w:val="auto"/>
              </w:rPr>
            </w:pPr>
          </w:p>
        </w:tc>
      </w:tr>
      <w:tr>
        <w:trPr>
          <w:trHeight w:val="168"/>
        </w:trPr>
        <w:tc>
          <w:tcPr>
            <w:tcW w:w="2180" w:type="dxa"/>
            <w:vAlign w:val="bottom"/>
            <w:gridSpan w:val="21"/>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Junior Preferred Convertible Note</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18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5"/>
                <w:szCs w:val="15"/>
                <w:color w:val="auto"/>
              </w:rPr>
              <w:t>4% Due 5/11/2027***</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5/11/2020</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506,339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506,339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506,339</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0.32%</w:t>
            </w:r>
          </w:p>
        </w:tc>
        <w:tc>
          <w:tcPr>
            <w:tcW w:w="0" w:type="dxa"/>
            <w:vAlign w:val="bottom"/>
          </w:tcPr>
          <w:p>
            <w:pPr>
              <w:spacing w:after="0"/>
              <w:rPr>
                <w:sz w:val="1"/>
                <w:szCs w:val="1"/>
                <w:color w:val="auto"/>
              </w:rPr>
            </w:pPr>
          </w:p>
        </w:tc>
      </w:tr>
      <w:tr>
        <w:trPr>
          <w:trHeight w:val="168"/>
        </w:trPr>
        <w:tc>
          <w:tcPr>
            <w:tcW w:w="2180" w:type="dxa"/>
            <w:vAlign w:val="bottom"/>
            <w:gridSpan w:val="21"/>
          </w:tcPr>
          <w:p>
            <w:pPr>
              <w:spacing w:after="0" w:line="168" w:lineRule="exact"/>
              <w:rPr>
                <w:sz w:val="20"/>
                <w:szCs w:val="20"/>
                <w:color w:val="auto"/>
              </w:rPr>
            </w:pPr>
            <w:r>
              <w:rPr>
                <w:rFonts w:ascii="Times New Roman" w:cs="Times New Roman" w:eastAsia="Times New Roman" w:hAnsi="Times New Roman"/>
                <w:sz w:val="15"/>
                <w:szCs w:val="15"/>
                <w:color w:val="auto"/>
              </w:rPr>
              <w:t>Common Warrants, Strike Price</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180" w:type="dxa"/>
            <w:vAlign w:val="bottom"/>
            <w:gridSpan w:val="21"/>
          </w:tcPr>
          <w:p>
            <w:pPr>
              <w:spacing w:after="0"/>
              <w:rPr>
                <w:sz w:val="20"/>
                <w:szCs w:val="20"/>
                <w:color w:val="auto"/>
              </w:rPr>
            </w:pPr>
            <w:r>
              <w:rPr>
                <w:rFonts w:ascii="Times New Roman" w:cs="Times New Roman" w:eastAsia="Times New Roman" w:hAnsi="Times New Roman"/>
                <w:sz w:val="15"/>
                <w:szCs w:val="15"/>
                <w:color w:val="auto"/>
              </w:rPr>
              <w:t>$0.01, Expiration Date 5/11/2027</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5/11/2020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2,032,967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20,330</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0" w:type="dxa"/>
            <w:vAlign w:val="bottom"/>
          </w:tcPr>
          <w:p>
            <w:pPr>
              <w:spacing w:after="0"/>
              <w:rPr>
                <w:sz w:val="1"/>
                <w:szCs w:val="1"/>
                <w:color w:val="auto"/>
              </w:rPr>
            </w:pPr>
          </w:p>
        </w:tc>
      </w:tr>
      <w:tr>
        <w:trPr>
          <w:trHeight w:val="174"/>
        </w:trPr>
        <w:tc>
          <w:tcPr>
            <w:tcW w:w="2180" w:type="dxa"/>
            <w:vAlign w:val="bottom"/>
            <w:tcBorders>
              <w:top w:val="single" w:sz="8" w:color="CCEEFF"/>
            </w:tcBorders>
            <w:gridSpan w:val="21"/>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22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10,513,661</w:t>
            </w: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4,011,683</w:t>
            </w:r>
          </w:p>
        </w:tc>
        <w:tc>
          <w:tcPr>
            <w:tcW w:w="3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28"/>
        </w:trPr>
        <w:tc>
          <w:tcPr>
            <w:tcW w:w="2180" w:type="dxa"/>
            <w:vAlign w:val="bottom"/>
            <w:gridSpan w:val="21"/>
          </w:tcPr>
          <w:p>
            <w:pPr>
              <w:spacing w:after="0" w:line="128" w:lineRule="exact"/>
              <w:rPr>
                <w:sz w:val="20"/>
                <w:szCs w:val="20"/>
                <w:color w:val="auto"/>
              </w:rPr>
            </w:pPr>
            <w:r>
              <w:rPr>
                <w:rFonts w:ascii="Times New Roman" w:cs="Times New Roman" w:eastAsia="Times New Roman" w:hAnsi="Times New Roman"/>
                <w:sz w:val="14"/>
                <w:szCs w:val="14"/>
                <w:b w:val="1"/>
                <w:bCs w:val="1"/>
                <w:color w:val="auto"/>
              </w:rPr>
              <w:t>True Global Ventures 4 Plus Pte</w:t>
            </w: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w w:val="85"/>
              </w:rPr>
              <w:t>Ltd</w:t>
            </w:r>
          </w:p>
        </w:tc>
        <w:tc>
          <w:tcPr>
            <w:tcW w:w="340" w:type="dxa"/>
            <w:vAlign w:val="bottom"/>
            <w:tcBorders>
              <w:top w:val="single" w:sz="8" w:color="auto"/>
              <w:bottom w:val="single" w:sz="8" w:color="auto"/>
            </w:tcBorders>
            <w:gridSpan w:val="4"/>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w w:val="92"/>
              </w:rPr>
              <w:t>**(10)</w:t>
            </w:r>
          </w:p>
        </w:tc>
        <w:tc>
          <w:tcPr>
            <w:tcW w:w="1500" w:type="dxa"/>
            <w:vAlign w:val="bottom"/>
            <w:tcBorders>
              <w:top w:val="single" w:sz="8" w:color="auto"/>
              <w:bottom w:val="single" w:sz="8" w:color="auto"/>
            </w:tcBorders>
            <w:gridSpan w:val="14"/>
            <w:vMerge w:val="restart"/>
          </w:tcPr>
          <w:p>
            <w:pPr>
              <w:spacing w:after="0"/>
              <w:rPr>
                <w:sz w:val="12"/>
                <w:szCs w:val="12"/>
                <w:color w:val="auto"/>
              </w:rPr>
            </w:pPr>
          </w:p>
        </w:tc>
        <w:tc>
          <w:tcPr>
            <w:tcW w:w="120" w:type="dxa"/>
            <w:vAlign w:val="bottom"/>
            <w:gridSpan w:val="2"/>
            <w:vMerge w:val="restart"/>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color w:val="auto"/>
              </w:rPr>
              <w:t>Singapore, Singapore</w:t>
            </w: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220" w:type="dxa"/>
            <w:vAlign w:val="bottom"/>
            <w:tcBorders>
              <w:bottom w:val="single" w:sz="8" w:color="auto"/>
            </w:tcBorders>
            <w:vMerge w:val="continue"/>
          </w:tcPr>
          <w:p>
            <w:pPr>
              <w:spacing w:after="0"/>
              <w:rPr>
                <w:sz w:val="3"/>
                <w:szCs w:val="3"/>
                <w:color w:val="auto"/>
              </w:rPr>
            </w:pPr>
          </w:p>
        </w:tc>
        <w:tc>
          <w:tcPr>
            <w:tcW w:w="340" w:type="dxa"/>
            <w:vAlign w:val="bottom"/>
            <w:gridSpan w:val="4"/>
          </w:tcPr>
          <w:p>
            <w:pPr>
              <w:spacing w:after="0"/>
              <w:rPr>
                <w:sz w:val="3"/>
                <w:szCs w:val="3"/>
                <w:color w:val="auto"/>
              </w:rPr>
            </w:pPr>
          </w:p>
        </w:tc>
        <w:tc>
          <w:tcPr>
            <w:tcW w:w="1500" w:type="dxa"/>
            <w:vAlign w:val="bottom"/>
            <w:gridSpan w:val="14"/>
            <w:vMerge w:val="continue"/>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1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9"/>
              </w:rPr>
              <w:t>Venture Investment</w:t>
            </w:r>
          </w:p>
        </w:tc>
        <w:tc>
          <w:tcPr>
            <w:tcW w:w="1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18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5"/>
                <w:szCs w:val="15"/>
                <w:color w:val="auto"/>
              </w:rPr>
              <w:t>Limited Partner Fund Investment</w:t>
            </w:r>
          </w:p>
        </w:tc>
        <w:tc>
          <w:tcPr>
            <w:tcW w:w="2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Fund</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8/27/2021</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2,000,000</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727,759</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3,793,360</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w:t>
      </w:r>
    </w:p>
    <w:p>
      <w:pPr>
        <w:sectPr>
          <w:pgSz w:w="11900" w:h="16838" w:orient="portrait"/>
          <w:cols w:equalWidth="0" w:num="1">
            <w:col w:w="11260"/>
          </w:cols>
          <w:pgMar w:left="320" w:top="216" w:right="319" w:bottom="1077" w:gutter="0" w:footer="0" w:header="0"/>
        </w:sectPr>
      </w:pPr>
    </w:p>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216" w:right="319" w:bottom="1077"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SCHEDULE OF INVESTMENTS (UNAUDITED) -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September 30, 2024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Headquarters/</w:t>
            </w: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Date of Initial</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right"/>
              <w:ind w:right="76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 of Net</w:t>
            </w:r>
          </w:p>
        </w:tc>
        <w:tc>
          <w:tcPr>
            <w:tcW w:w="0" w:type="dxa"/>
            <w:vAlign w:val="bottom"/>
          </w:tcPr>
          <w:p>
            <w:pPr>
              <w:spacing w:after="0"/>
              <w:rPr>
                <w:sz w:val="1"/>
                <w:szCs w:val="1"/>
                <w:color w:val="auto"/>
              </w:rPr>
            </w:pPr>
          </w:p>
        </w:tc>
      </w:tr>
      <w:tr>
        <w:trPr>
          <w:trHeight w:val="228"/>
        </w:trPr>
        <w:tc>
          <w:tcPr>
            <w:tcW w:w="2380" w:type="dxa"/>
            <w:vAlign w:val="bottom"/>
            <w:gridSpan w:val="26"/>
          </w:tcPr>
          <w:p>
            <w:pPr>
              <w:spacing w:after="0"/>
              <w:rPr>
                <w:sz w:val="20"/>
                <w:szCs w:val="20"/>
                <w:color w:val="auto"/>
              </w:rPr>
            </w:pPr>
            <w:r>
              <w:rPr>
                <w:rFonts w:ascii="Times New Roman" w:cs="Times New Roman" w:eastAsia="Times New Roman" w:hAnsi="Times New Roman"/>
                <w:sz w:val="15"/>
                <w:szCs w:val="15"/>
                <w:b w:val="1"/>
                <w:bCs w:val="1"/>
                <w:color w:val="auto"/>
              </w:rPr>
              <w:t>Portfolio Investments*</w:t>
            </w:r>
          </w:p>
        </w:tc>
        <w:tc>
          <w:tcPr>
            <w:tcW w:w="1540" w:type="dxa"/>
            <w:vAlign w:val="bottom"/>
            <w:gridSpan w:val="2"/>
          </w:tcPr>
          <w:p>
            <w:pPr>
              <w:jc w:val="center"/>
              <w:ind w:right="220"/>
              <w:spacing w:after="0" w:line="228" w:lineRule="exact"/>
              <w:rPr>
                <w:sz w:val="20"/>
                <w:szCs w:val="20"/>
                <w:color w:val="auto"/>
              </w:rPr>
            </w:pPr>
            <w:r>
              <w:rPr>
                <w:rFonts w:ascii="Times New Roman" w:cs="Times New Roman" w:eastAsia="Times New Roman" w:hAnsi="Times New Roman"/>
                <w:sz w:val="15"/>
                <w:szCs w:val="15"/>
                <w:b w:val="1"/>
                <w:bCs w:val="1"/>
                <w:color w:val="auto"/>
                <w:w w:val="90"/>
              </w:rPr>
              <w:t>Industry</w:t>
            </w:r>
            <w:r>
              <w:rPr>
                <w:rFonts w:ascii="Times New Roman" w:cs="Times New Roman" w:eastAsia="Times New Roman" w:hAnsi="Times New Roman"/>
                <w:sz w:val="25"/>
                <w:szCs w:val="25"/>
                <w:b w:val="1"/>
                <w:bCs w:val="1"/>
                <w:color w:val="auto"/>
                <w:w w:val="90"/>
                <w:vertAlign w:val="superscript"/>
              </w:rPr>
              <w:t>(15)</w:t>
            </w: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1900" w:type="dxa"/>
            <w:vAlign w:val="bottom"/>
            <w:gridSpan w:val="4"/>
          </w:tcPr>
          <w:p>
            <w:pPr>
              <w:ind w:left="220"/>
              <w:spacing w:after="0" w:line="228" w:lineRule="exact"/>
              <w:rPr>
                <w:sz w:val="20"/>
                <w:szCs w:val="20"/>
                <w:color w:val="auto"/>
              </w:rPr>
            </w:pPr>
            <w:r>
              <w:rPr>
                <w:rFonts w:ascii="Times New Roman" w:cs="Times New Roman" w:eastAsia="Times New Roman" w:hAnsi="Times New Roman"/>
                <w:sz w:val="15"/>
                <w:szCs w:val="15"/>
                <w:b w:val="1"/>
                <w:bCs w:val="1"/>
                <w:color w:val="auto"/>
              </w:rPr>
              <w:t>Principal/Quantity</w:t>
            </w:r>
            <w:r>
              <w:rPr>
                <w:rFonts w:ascii="Times New Roman" w:cs="Times New Roman" w:eastAsia="Times New Roman" w:hAnsi="Times New Roman"/>
                <w:sz w:val="25"/>
                <w:szCs w:val="25"/>
                <w:b w:val="1"/>
                <w:bCs w:val="1"/>
                <w:color w:val="auto"/>
                <w:vertAlign w:val="superscript"/>
              </w:rPr>
              <w:t>(5)</w:t>
            </w:r>
          </w:p>
        </w:tc>
        <w:tc>
          <w:tcPr>
            <w:tcW w:w="1440" w:type="dxa"/>
            <w:vAlign w:val="bottom"/>
            <w:gridSpan w:val="2"/>
          </w:tcPr>
          <w:p>
            <w:pPr>
              <w:jc w:val="right"/>
              <w:ind w:right="72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240" w:type="dxa"/>
            <w:vAlign w:val="bottom"/>
            <w:gridSpan w:val="2"/>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0" w:type="dxa"/>
            <w:vAlign w:val="bottom"/>
          </w:tcPr>
          <w:p>
            <w:pPr>
              <w:spacing w:after="0"/>
              <w:rPr>
                <w:sz w:val="1"/>
                <w:szCs w:val="1"/>
                <w:color w:val="auto"/>
              </w:rPr>
            </w:pPr>
          </w:p>
        </w:tc>
      </w:tr>
      <w:tr>
        <w:trPr>
          <w:trHeight w:val="139"/>
        </w:trPr>
        <w:tc>
          <w:tcPr>
            <w:tcW w:w="2160" w:type="dxa"/>
            <w:vAlign w:val="bottom"/>
            <w:tcBorders>
              <w:top w:val="single" w:sz="8" w:color="auto"/>
            </w:tcBorders>
            <w:gridSpan w:val="25"/>
            <w:shd w:val="clear" w:color="auto" w:fill="CCEEFF"/>
          </w:tcPr>
          <w:p>
            <w:pPr>
              <w:spacing w:after="0" w:line="140" w:lineRule="exact"/>
              <w:rPr>
                <w:sz w:val="20"/>
                <w:szCs w:val="20"/>
                <w:color w:val="auto"/>
              </w:rPr>
            </w:pPr>
            <w:r>
              <w:rPr>
                <w:rFonts w:ascii="Times New Roman" w:cs="Times New Roman" w:eastAsia="Times New Roman" w:hAnsi="Times New Roman"/>
                <w:sz w:val="15"/>
                <w:szCs w:val="15"/>
                <w:b w:val="1"/>
                <w:bCs w:val="1"/>
                <w:color w:val="auto"/>
              </w:rPr>
              <w:t>Orchard Technologies, Inc.</w:t>
            </w:r>
          </w:p>
        </w:tc>
        <w:tc>
          <w:tcPr>
            <w:tcW w:w="22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center"/>
              <w:spacing w:after="0" w:line="140" w:lineRule="exact"/>
              <w:rPr>
                <w:sz w:val="20"/>
                <w:szCs w:val="20"/>
                <w:color w:val="auto"/>
              </w:rPr>
            </w:pPr>
            <w:r>
              <w:rPr>
                <w:rFonts w:ascii="Times New Roman" w:cs="Times New Roman" w:eastAsia="Times New Roman" w:hAnsi="Times New Roman"/>
                <w:sz w:val="15"/>
                <w:szCs w:val="15"/>
                <w:color w:val="auto"/>
                <w:w w:val="99"/>
              </w:rPr>
              <w:t>New York, NY</w:t>
            </w:r>
          </w:p>
        </w:tc>
        <w:tc>
          <w:tcPr>
            <w:tcW w:w="22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380" w:type="dxa"/>
            <w:vAlign w:val="bottom"/>
            <w:gridSpan w:val="26"/>
          </w:tcPr>
          <w:p>
            <w:pPr>
              <w:spacing w:after="0"/>
              <w:rPr>
                <w:sz w:val="20"/>
                <w:szCs w:val="20"/>
                <w:color w:val="auto"/>
              </w:rPr>
            </w:pPr>
            <w:r>
              <w:rPr>
                <w:rFonts w:ascii="Times New Roman" w:cs="Times New Roman" w:eastAsia="Times New Roman" w:hAnsi="Times New Roman"/>
                <w:sz w:val="15"/>
                <w:szCs w:val="15"/>
                <w:color w:val="auto"/>
              </w:rPr>
              <w:t>Preferred shares, Series D 8%</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9"/>
              </w:rPr>
              <w:t>Real Estate Platform</w:t>
            </w: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8/9/2021</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558,053</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3,751,518</w:t>
            </w:r>
          </w:p>
        </w:tc>
        <w:tc>
          <w:tcPr>
            <w:tcW w:w="320" w:type="dxa"/>
            <w:vAlign w:val="bottom"/>
          </w:tcPr>
          <w:p>
            <w:pPr>
              <w:spacing w:after="0"/>
              <w:rPr>
                <w:sz w:val="15"/>
                <w:szCs w:val="15"/>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3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5"/>
                <w:szCs w:val="15"/>
                <w:color w:val="auto"/>
              </w:rPr>
              <w:t>Senior Preferred shares, Series 2</w:t>
            </w:r>
          </w:p>
        </w:tc>
        <w:tc>
          <w:tcPr>
            <w:tcW w:w="1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8/9/2021</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58,771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587,951</w:t>
            </w:r>
          </w:p>
        </w:tc>
        <w:tc>
          <w:tcPr>
            <w:tcW w:w="3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8"/>
        </w:trPr>
        <w:tc>
          <w:tcPr>
            <w:tcW w:w="2380" w:type="dxa"/>
            <w:vAlign w:val="bottom"/>
            <w:gridSpan w:val="26"/>
          </w:tcPr>
          <w:p>
            <w:pPr>
              <w:spacing w:after="0" w:line="168" w:lineRule="exact"/>
              <w:rPr>
                <w:sz w:val="20"/>
                <w:szCs w:val="20"/>
                <w:color w:val="auto"/>
              </w:rPr>
            </w:pPr>
            <w:r>
              <w:rPr>
                <w:rFonts w:ascii="Times New Roman" w:cs="Times New Roman" w:eastAsia="Times New Roman" w:hAnsi="Times New Roman"/>
                <w:sz w:val="15"/>
                <w:szCs w:val="15"/>
                <w:color w:val="auto"/>
              </w:rPr>
              <w:t>Senior Preferred shares, Series 1</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1/13/2023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441,228</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4,418,406</w:t>
            </w:r>
          </w:p>
        </w:tc>
        <w:tc>
          <w:tcPr>
            <w:tcW w:w="320" w:type="dxa"/>
            <w:vAlign w:val="bottom"/>
          </w:tcPr>
          <w:p>
            <w:pPr>
              <w:spacing w:after="0"/>
              <w:rPr>
                <w:sz w:val="17"/>
                <w:szCs w:val="17"/>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3,667,552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2.33%</w:t>
            </w:r>
          </w:p>
        </w:tc>
        <w:tc>
          <w:tcPr>
            <w:tcW w:w="0" w:type="dxa"/>
            <w:vAlign w:val="bottom"/>
          </w:tcPr>
          <w:p>
            <w:pPr>
              <w:spacing w:after="0"/>
              <w:rPr>
                <w:sz w:val="1"/>
                <w:szCs w:val="1"/>
                <w:color w:val="auto"/>
              </w:rPr>
            </w:pPr>
          </w:p>
        </w:tc>
      </w:tr>
      <w:tr>
        <w:trPr>
          <w:trHeight w:val="194"/>
        </w:trPr>
        <w:tc>
          <w:tcPr>
            <w:tcW w:w="23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1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8/9/2021</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558,053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3,751,518</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2240" w:type="dxa"/>
            <w:vAlign w:val="bottom"/>
            <w:gridSpan w:val="25"/>
            <w:vMerge w:val="restart"/>
          </w:tcPr>
          <w:p>
            <w:pPr>
              <w:spacing w:after="0"/>
              <w:rPr>
                <w:sz w:val="20"/>
                <w:szCs w:val="20"/>
                <w:color w:val="auto"/>
              </w:rPr>
            </w:pPr>
            <w:r>
              <w:rPr>
                <w:rFonts w:ascii="Times New Roman" w:cs="Times New Roman" w:eastAsia="Times New Roman" w:hAnsi="Times New Roman"/>
                <w:sz w:val="15"/>
                <w:szCs w:val="15"/>
                <w:color w:val="auto"/>
              </w:rPr>
              <w:t>Total</w:t>
            </w: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40" w:type="dxa"/>
            <w:vAlign w:val="bottom"/>
            <w:vMerge w:val="continue"/>
          </w:tcPr>
          <w:p>
            <w:pPr>
              <w:spacing w:after="0"/>
              <w:rPr>
                <w:sz w:val="15"/>
                <w:szCs w:val="15"/>
                <w:color w:val="auto"/>
              </w:rPr>
            </w:pPr>
          </w:p>
        </w:tc>
        <w:tc>
          <w:tcPr>
            <w:tcW w:w="2240" w:type="dxa"/>
            <w:vAlign w:val="bottom"/>
            <w:gridSpan w:val="25"/>
            <w:vMerge w:val="continue"/>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12,509,393</w:t>
            </w:r>
          </w:p>
        </w:tc>
        <w:tc>
          <w:tcPr>
            <w:tcW w:w="320" w:type="dxa"/>
            <w:vAlign w:val="bottom"/>
            <w:vMerge w:val="continue"/>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3,667,552</w:t>
            </w:r>
          </w:p>
        </w:tc>
        <w:tc>
          <w:tcPr>
            <w:tcW w:w="320" w:type="dxa"/>
            <w:vAlign w:val="bottom"/>
            <w:vMerge w:val="continue"/>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2.33%</w:t>
            </w:r>
          </w:p>
        </w:tc>
        <w:tc>
          <w:tcPr>
            <w:tcW w:w="0" w:type="dxa"/>
            <w:vAlign w:val="bottom"/>
          </w:tcPr>
          <w:p>
            <w:pPr>
              <w:spacing w:after="0"/>
              <w:rPr>
                <w:sz w:val="1"/>
                <w:szCs w:val="1"/>
                <w:color w:val="auto"/>
              </w:rPr>
            </w:pPr>
          </w:p>
        </w:tc>
      </w:tr>
      <w:tr>
        <w:trPr>
          <w:trHeight w:val="162"/>
        </w:trPr>
        <w:tc>
          <w:tcPr>
            <w:tcW w:w="2380" w:type="dxa"/>
            <w:vAlign w:val="bottom"/>
            <w:gridSpan w:val="26"/>
            <w:shd w:val="clear" w:color="auto" w:fill="CCEEFF"/>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PayJoy, Inc.</w:t>
            </w:r>
          </w:p>
        </w:tc>
        <w:tc>
          <w:tcPr>
            <w:tcW w:w="154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5"/>
                <w:szCs w:val="15"/>
                <w:color w:val="auto"/>
              </w:rPr>
              <w:t>San Francisco, CA</w:t>
            </w: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540" w:type="dxa"/>
            <w:vAlign w:val="bottom"/>
            <w:tcBorders>
              <w:top w:val="single" w:sz="8" w:color="CCEEFF"/>
            </w:tcBorders>
            <w:gridSpan w:val="2"/>
          </w:tcPr>
          <w:p>
            <w:pPr>
              <w:jc w:val="center"/>
              <w:ind w:right="220"/>
              <w:spacing w:after="0" w:line="168" w:lineRule="exact"/>
              <w:rPr>
                <w:sz w:val="20"/>
                <w:szCs w:val="20"/>
                <w:color w:val="auto"/>
              </w:rPr>
            </w:pPr>
            <w:r>
              <w:rPr>
                <w:rFonts w:ascii="Times New Roman" w:cs="Times New Roman" w:eastAsia="Times New Roman" w:hAnsi="Times New Roman"/>
                <w:sz w:val="15"/>
                <w:szCs w:val="15"/>
                <w:color w:val="auto"/>
              </w:rPr>
              <w:t>Mobile Access</w:t>
            </w:r>
          </w:p>
        </w:tc>
        <w:tc>
          <w:tcPr>
            <w:tcW w:w="13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380" w:type="dxa"/>
            <w:vAlign w:val="bottom"/>
            <w:gridSpan w:val="26"/>
          </w:tcPr>
          <w:p>
            <w:pPr>
              <w:spacing w:after="0"/>
              <w:rPr>
                <w:sz w:val="20"/>
                <w:szCs w:val="20"/>
                <w:color w:val="auto"/>
              </w:rPr>
            </w:pPr>
            <w:r>
              <w:rPr>
                <w:rFonts w:ascii="Times New Roman" w:cs="Times New Roman" w:eastAsia="Times New Roman" w:hAnsi="Times New Roman"/>
                <w:sz w:val="15"/>
                <w:szCs w:val="15"/>
                <w:color w:val="auto"/>
              </w:rPr>
              <w:t>Preferred shares</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Technology</w:t>
            </w: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7/23/2021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244,117</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2,501,570</w:t>
            </w:r>
          </w:p>
        </w:tc>
        <w:tc>
          <w:tcPr>
            <w:tcW w:w="320" w:type="dxa"/>
            <w:vAlign w:val="bottom"/>
          </w:tcPr>
          <w:p>
            <w:pPr>
              <w:spacing w:after="0"/>
              <w:rPr>
                <w:sz w:val="17"/>
                <w:szCs w:val="17"/>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2,500,002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0" w:type="dxa"/>
            <w:vAlign w:val="bottom"/>
          </w:tcPr>
          <w:p>
            <w:pPr>
              <w:spacing w:after="0"/>
              <w:rPr>
                <w:sz w:val="1"/>
                <w:szCs w:val="1"/>
                <w:color w:val="auto"/>
              </w:rPr>
            </w:pPr>
          </w:p>
        </w:tc>
      </w:tr>
      <w:tr>
        <w:trPr>
          <w:trHeight w:val="168"/>
        </w:trPr>
        <w:tc>
          <w:tcPr>
            <w:tcW w:w="2380" w:type="dxa"/>
            <w:vAlign w:val="bottom"/>
            <w:gridSpan w:val="26"/>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Simple Agreement for Future</w:t>
            </w: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3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5/25/2023</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500,000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501,470</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500,000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0.32%</w:t>
            </w:r>
          </w:p>
        </w:tc>
        <w:tc>
          <w:tcPr>
            <w:tcW w:w="0" w:type="dxa"/>
            <w:vAlign w:val="bottom"/>
          </w:tcPr>
          <w:p>
            <w:pPr>
              <w:spacing w:after="0"/>
              <w:rPr>
                <w:sz w:val="1"/>
                <w:szCs w:val="1"/>
                <w:color w:val="auto"/>
              </w:rPr>
            </w:pPr>
          </w:p>
        </w:tc>
      </w:tr>
      <w:tr>
        <w:trPr>
          <w:trHeight w:val="174"/>
        </w:trPr>
        <w:tc>
          <w:tcPr>
            <w:tcW w:w="140" w:type="dxa"/>
            <w:vAlign w:val="bottom"/>
            <w:tcBorders>
              <w:bottom w:val="single" w:sz="8" w:color="CCEEFF"/>
            </w:tcBorders>
          </w:tcPr>
          <w:p>
            <w:pPr>
              <w:spacing w:after="0"/>
              <w:rPr>
                <w:sz w:val="15"/>
                <w:szCs w:val="15"/>
                <w:color w:val="auto"/>
              </w:rPr>
            </w:pPr>
          </w:p>
        </w:tc>
        <w:tc>
          <w:tcPr>
            <w:tcW w:w="2240" w:type="dxa"/>
            <w:vAlign w:val="bottom"/>
            <w:tcBorders>
              <w:bottom w:val="single" w:sz="8" w:color="CCEEFF"/>
            </w:tcBorders>
            <w:gridSpan w:val="25"/>
          </w:tcPr>
          <w:p>
            <w:pPr>
              <w:spacing w:after="0"/>
              <w:rPr>
                <w:sz w:val="20"/>
                <w:szCs w:val="20"/>
                <w:color w:val="auto"/>
              </w:rPr>
            </w:pPr>
            <w:r>
              <w:rPr>
                <w:rFonts w:ascii="Times New Roman" w:cs="Times New Roman" w:eastAsia="Times New Roman" w:hAnsi="Times New Roman"/>
                <w:sz w:val="15"/>
                <w:szCs w:val="15"/>
                <w:color w:val="auto"/>
              </w:rPr>
              <w:t>Total</w:t>
            </w:r>
          </w:p>
        </w:tc>
        <w:tc>
          <w:tcPr>
            <w:tcW w:w="13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3,003,040</w:t>
            </w:r>
          </w:p>
        </w:tc>
        <w:tc>
          <w:tcPr>
            <w:tcW w:w="32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3,000,002</w:t>
            </w:r>
          </w:p>
        </w:tc>
        <w:tc>
          <w:tcPr>
            <w:tcW w:w="320" w:type="dxa"/>
            <w:vAlign w:val="bottom"/>
            <w:tcBorders>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1.91</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39"/>
        </w:trPr>
        <w:tc>
          <w:tcPr>
            <w:tcW w:w="2380" w:type="dxa"/>
            <w:vAlign w:val="bottom"/>
            <w:gridSpan w:val="26"/>
            <w:shd w:val="clear" w:color="auto" w:fill="CCEEFF"/>
          </w:tcPr>
          <w:p>
            <w:pPr>
              <w:spacing w:after="0" w:line="140" w:lineRule="exact"/>
              <w:rPr>
                <w:sz w:val="20"/>
                <w:szCs w:val="20"/>
                <w:color w:val="auto"/>
              </w:rPr>
            </w:pPr>
            <w:r>
              <w:rPr>
                <w:rFonts w:ascii="Times New Roman" w:cs="Times New Roman" w:eastAsia="Times New Roman" w:hAnsi="Times New Roman"/>
                <w:sz w:val="15"/>
                <w:szCs w:val="15"/>
                <w:b w:val="1"/>
                <w:bCs w:val="1"/>
                <w:color w:val="auto"/>
              </w:rPr>
              <w:t>Trax Ltd.**</w:t>
            </w:r>
          </w:p>
        </w:tc>
        <w:tc>
          <w:tcPr>
            <w:tcW w:w="1540" w:type="dxa"/>
            <w:vAlign w:val="bottom"/>
            <w:gridSpan w:val="2"/>
            <w:shd w:val="clear" w:color="auto" w:fill="CCEEFF"/>
          </w:tcPr>
          <w:p>
            <w:pPr>
              <w:jc w:val="center"/>
              <w:ind w:right="220"/>
              <w:spacing w:after="0" w:line="140" w:lineRule="exact"/>
              <w:rPr>
                <w:sz w:val="20"/>
                <w:szCs w:val="20"/>
                <w:color w:val="auto"/>
              </w:rPr>
            </w:pPr>
            <w:r>
              <w:rPr>
                <w:rFonts w:ascii="Times New Roman" w:cs="Times New Roman" w:eastAsia="Times New Roman" w:hAnsi="Times New Roman"/>
                <w:sz w:val="15"/>
                <w:szCs w:val="15"/>
                <w:color w:val="auto"/>
              </w:rPr>
              <w:t>Singapore, Singapore</w:t>
            </w: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140" w:type="dxa"/>
            <w:vAlign w:val="bottom"/>
            <w:tcBorders>
              <w:top w:val="single" w:sz="8" w:color="auto"/>
            </w:tcBorders>
            <w:shd w:val="clear" w:color="auto" w:fill="CCEEFF"/>
          </w:tcPr>
          <w:p>
            <w:pPr>
              <w:spacing w:after="0"/>
              <w:rPr>
                <w:sz w:val="2"/>
                <w:szCs w:val="2"/>
                <w:color w:val="auto"/>
              </w:rPr>
            </w:pPr>
          </w:p>
        </w:tc>
        <w:tc>
          <w:tcPr>
            <w:tcW w:w="34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380" w:type="dxa"/>
            <w:vAlign w:val="bottom"/>
            <w:gridSpan w:val="26"/>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Retail Technology</w:t>
            </w: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6/9/2021</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55,591</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2,781,148</w:t>
            </w:r>
          </w:p>
        </w:tc>
        <w:tc>
          <w:tcPr>
            <w:tcW w:w="320" w:type="dxa"/>
            <w:vAlign w:val="bottom"/>
          </w:tcPr>
          <w:p>
            <w:pPr>
              <w:spacing w:after="0"/>
              <w:rPr>
                <w:sz w:val="15"/>
                <w:szCs w:val="15"/>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151,207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0.10%</w:t>
            </w:r>
          </w:p>
        </w:tc>
        <w:tc>
          <w:tcPr>
            <w:tcW w:w="0" w:type="dxa"/>
            <w:vAlign w:val="bottom"/>
          </w:tcPr>
          <w:p>
            <w:pPr>
              <w:spacing w:after="0"/>
              <w:rPr>
                <w:sz w:val="1"/>
                <w:szCs w:val="1"/>
                <w:color w:val="auto"/>
              </w:rPr>
            </w:pPr>
          </w:p>
        </w:tc>
      </w:tr>
      <w:tr>
        <w:trPr>
          <w:trHeight w:val="194"/>
        </w:trPr>
        <w:tc>
          <w:tcPr>
            <w:tcW w:w="23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Investec Series</w:t>
            </w:r>
          </w:p>
        </w:tc>
        <w:tc>
          <w:tcPr>
            <w:tcW w:w="1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6/9/2021</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144,409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7,224,600</w:t>
            </w:r>
          </w:p>
        </w:tc>
        <w:tc>
          <w:tcPr>
            <w:tcW w:w="32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2,647,017</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0" w:type="dxa"/>
            <w:vAlign w:val="bottom"/>
          </w:tcPr>
          <w:p>
            <w:pPr>
              <w:spacing w:after="0"/>
              <w:rPr>
                <w:sz w:val="1"/>
                <w:szCs w:val="1"/>
                <w:color w:val="auto"/>
              </w:rPr>
            </w:pPr>
          </w:p>
        </w:tc>
      </w:tr>
      <w:tr>
        <w:trPr>
          <w:trHeight w:val="174"/>
        </w:trPr>
        <w:tc>
          <w:tcPr>
            <w:tcW w:w="140" w:type="dxa"/>
            <w:vAlign w:val="bottom"/>
            <w:tcBorders>
              <w:bottom w:val="single" w:sz="8" w:color="CCEEFF"/>
            </w:tcBorders>
          </w:tcPr>
          <w:p>
            <w:pPr>
              <w:spacing w:after="0"/>
              <w:rPr>
                <w:sz w:val="15"/>
                <w:szCs w:val="15"/>
                <w:color w:val="auto"/>
              </w:rPr>
            </w:pPr>
          </w:p>
        </w:tc>
        <w:tc>
          <w:tcPr>
            <w:tcW w:w="2240" w:type="dxa"/>
            <w:vAlign w:val="bottom"/>
            <w:tcBorders>
              <w:bottom w:val="single" w:sz="8" w:color="CCEEFF"/>
            </w:tcBorders>
            <w:gridSpan w:val="25"/>
          </w:tcPr>
          <w:p>
            <w:pPr>
              <w:spacing w:after="0"/>
              <w:rPr>
                <w:sz w:val="20"/>
                <w:szCs w:val="20"/>
                <w:color w:val="auto"/>
              </w:rPr>
            </w:pPr>
            <w:r>
              <w:rPr>
                <w:rFonts w:ascii="Times New Roman" w:cs="Times New Roman" w:eastAsia="Times New Roman" w:hAnsi="Times New Roman"/>
                <w:sz w:val="15"/>
                <w:szCs w:val="15"/>
                <w:color w:val="auto"/>
              </w:rPr>
              <w:t>Total</w:t>
            </w:r>
          </w:p>
        </w:tc>
        <w:tc>
          <w:tcPr>
            <w:tcW w:w="13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10,005,748</w:t>
            </w:r>
          </w:p>
        </w:tc>
        <w:tc>
          <w:tcPr>
            <w:tcW w:w="32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2,798,224</w:t>
            </w:r>
          </w:p>
        </w:tc>
        <w:tc>
          <w:tcPr>
            <w:tcW w:w="320" w:type="dxa"/>
            <w:vAlign w:val="bottom"/>
            <w:tcBorders>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1.78</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28"/>
        </w:trPr>
        <w:tc>
          <w:tcPr>
            <w:tcW w:w="2380" w:type="dxa"/>
            <w:vAlign w:val="bottom"/>
            <w:gridSpan w:val="26"/>
            <w:shd w:val="clear" w:color="auto" w:fill="CCEEFF"/>
          </w:tcPr>
          <w:p>
            <w:pPr>
              <w:spacing w:after="0" w:line="128" w:lineRule="exact"/>
              <w:rPr>
                <w:sz w:val="20"/>
                <w:szCs w:val="20"/>
                <w:color w:val="auto"/>
              </w:rPr>
            </w:pPr>
            <w:r>
              <w:rPr>
                <w:rFonts w:ascii="Times New Roman" w:cs="Times New Roman" w:eastAsia="Times New Roman" w:hAnsi="Times New Roman"/>
                <w:sz w:val="14"/>
                <w:szCs w:val="14"/>
                <w:b w:val="1"/>
                <w:bCs w:val="1"/>
                <w:color w:val="auto"/>
              </w:rPr>
              <w:t>Residential Homes for Rent,</w:t>
            </w:r>
          </w:p>
        </w:tc>
        <w:tc>
          <w:tcPr>
            <w:tcW w:w="1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1540" w:type="dxa"/>
            <w:vAlign w:val="bottom"/>
            <w:gridSpan w:val="2"/>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820" w:type="dxa"/>
            <w:vAlign w:val="bottom"/>
            <w:tcBorders>
              <w:bottom w:val="single" w:sz="8" w:color="CCEEFF"/>
              <w:right w:val="single" w:sz="8" w:color="CCEEFF"/>
            </w:tcBorders>
            <w:gridSpan w:val="18"/>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9"/>
              </w:rPr>
              <w:t>LLC (d/b/a Second Avenue)</w:t>
            </w:r>
          </w:p>
        </w:tc>
        <w:tc>
          <w:tcPr>
            <w:tcW w:w="180" w:type="dxa"/>
            <w:vAlign w:val="bottom"/>
            <w:tcBorders>
              <w:bottom w:val="single" w:sz="8" w:color="auto"/>
            </w:tcBorders>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w w:val="73"/>
              </w:rPr>
              <w:t>(11)</w:t>
            </w: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240" w:type="dxa"/>
            <w:vAlign w:val="bottom"/>
            <w:tcBorders>
              <w:bottom w:val="single" w:sz="8" w:color="CCEEFF"/>
            </w:tcBorders>
            <w:gridSpan w:val="2"/>
            <w:vMerge w:val="restart"/>
            <w:shd w:val="clear" w:color="auto" w:fill="CCEEFF"/>
          </w:tcPr>
          <w:p>
            <w:pPr>
              <w:spacing w:after="0"/>
              <w:rPr>
                <w:sz w:val="12"/>
                <w:szCs w:val="12"/>
                <w:color w:val="auto"/>
              </w:rPr>
            </w:pPr>
          </w:p>
        </w:tc>
        <w:tc>
          <w:tcPr>
            <w:tcW w:w="1540" w:type="dxa"/>
            <w:vAlign w:val="bottom"/>
            <w:tcBorders>
              <w:bottom w:val="single" w:sz="8" w:color="CCEEFF"/>
            </w:tcBorders>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Chicago, IL</w:t>
            </w:r>
          </w:p>
        </w:tc>
        <w:tc>
          <w:tcPr>
            <w:tcW w:w="13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820" w:type="dxa"/>
            <w:vAlign w:val="bottom"/>
            <w:tcBorders>
              <w:bottom w:val="single" w:sz="8" w:color="auto"/>
              <w:right w:val="single" w:sz="8" w:color="CCEEFF"/>
            </w:tcBorders>
            <w:gridSpan w:val="18"/>
            <w:vMerge w:val="continue"/>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240" w:type="dxa"/>
            <w:vAlign w:val="bottom"/>
            <w:tcBorders>
              <w:bottom w:val="single" w:sz="8" w:color="CCEEFF"/>
            </w:tcBorders>
            <w:gridSpan w:val="2"/>
            <w:vMerge w:val="continue"/>
            <w:shd w:val="clear" w:color="auto" w:fill="CCEEFF"/>
          </w:tcPr>
          <w:p>
            <w:pPr>
              <w:spacing w:after="0"/>
              <w:rPr>
                <w:sz w:val="5"/>
                <w:szCs w:val="5"/>
                <w:color w:val="auto"/>
              </w:rPr>
            </w:pPr>
          </w:p>
        </w:tc>
        <w:tc>
          <w:tcPr>
            <w:tcW w:w="1540" w:type="dxa"/>
            <w:vAlign w:val="bottom"/>
            <w:tcBorders>
              <w:bottom w:val="single" w:sz="8" w:color="CCEEFF"/>
            </w:tcBorders>
            <w:gridSpan w:val="2"/>
            <w:vMerge w:val="continue"/>
            <w:shd w:val="clear" w:color="auto" w:fill="CCEEFF"/>
          </w:tcPr>
          <w:p>
            <w:pPr>
              <w:spacing w:after="0"/>
              <w:rPr>
                <w:sz w:val="5"/>
                <w:szCs w:val="5"/>
                <w:color w:val="auto"/>
              </w:rPr>
            </w:pPr>
          </w:p>
        </w:tc>
        <w:tc>
          <w:tcPr>
            <w:tcW w:w="13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CCEEFF"/>
            </w:tcBorders>
            <w:shd w:val="clear" w:color="auto" w:fill="CCEEFF"/>
          </w:tcPr>
          <w:p>
            <w:pPr>
              <w:spacing w:after="0"/>
              <w:rPr>
                <w:sz w:val="5"/>
                <w:szCs w:val="5"/>
                <w:color w:val="auto"/>
              </w:rPr>
            </w:pPr>
          </w:p>
        </w:tc>
        <w:tc>
          <w:tcPr>
            <w:tcW w:w="110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12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12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380" w:type="dxa"/>
            <w:vAlign w:val="bottom"/>
            <w:tcBorders>
              <w:top w:val="single" w:sz="8" w:color="CCEEFF"/>
            </w:tcBorders>
            <w:gridSpan w:val="26"/>
          </w:tcPr>
          <w:p>
            <w:pPr>
              <w:spacing w:after="0"/>
              <w:rPr>
                <w:sz w:val="20"/>
                <w:szCs w:val="20"/>
                <w:color w:val="auto"/>
              </w:rPr>
            </w:pPr>
            <w:r>
              <w:rPr>
                <w:rFonts w:ascii="Times New Roman" w:cs="Times New Roman" w:eastAsia="Times New Roman" w:hAnsi="Times New Roman"/>
                <w:sz w:val="15"/>
                <w:szCs w:val="15"/>
                <w:color w:val="auto"/>
              </w:rPr>
              <w:t>Preferred shares, Series A</w:t>
            </w:r>
          </w:p>
        </w:tc>
        <w:tc>
          <w:tcPr>
            <w:tcW w:w="1540" w:type="dxa"/>
            <w:vAlign w:val="bottom"/>
            <w:tcBorders>
              <w:top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9"/>
              </w:rPr>
              <w:t>Real Estate Platform</w:t>
            </w:r>
          </w:p>
        </w:tc>
        <w:tc>
          <w:tcPr>
            <w:tcW w:w="132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w w:val="99"/>
              </w:rPr>
              <w:t>12/23/2020</w:t>
            </w:r>
          </w:p>
        </w:tc>
        <w:tc>
          <w:tcPr>
            <w:tcW w:w="2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42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150,000</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1,500,000</w:t>
            </w:r>
          </w:p>
        </w:tc>
        <w:tc>
          <w:tcPr>
            <w:tcW w:w="320" w:type="dxa"/>
            <w:vAlign w:val="bottom"/>
            <w:tcBorders>
              <w:top w:val="single" w:sz="8" w:color="CCEEFF"/>
            </w:tcBorders>
          </w:tcPr>
          <w:p>
            <w:pPr>
              <w:spacing w:after="0"/>
              <w:rPr>
                <w:sz w:val="15"/>
                <w:szCs w:val="15"/>
                <w:color w:val="auto"/>
              </w:rPr>
            </w:pPr>
          </w:p>
        </w:tc>
        <w:tc>
          <w:tcPr>
            <w:tcW w:w="144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1,667,066</w:t>
            </w:r>
          </w:p>
        </w:tc>
        <w:tc>
          <w:tcPr>
            <w:tcW w:w="12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0" w:type="dxa"/>
            <w:vAlign w:val="bottom"/>
          </w:tcPr>
          <w:p>
            <w:pPr>
              <w:spacing w:after="0"/>
              <w:rPr>
                <w:sz w:val="1"/>
                <w:szCs w:val="1"/>
                <w:color w:val="auto"/>
              </w:rPr>
            </w:pPr>
          </w:p>
        </w:tc>
      </w:tr>
      <w:tr>
        <w:trPr>
          <w:trHeight w:val="148"/>
        </w:trPr>
        <w:tc>
          <w:tcPr>
            <w:tcW w:w="2380" w:type="dxa"/>
            <w:vAlign w:val="bottom"/>
            <w:gridSpan w:val="26"/>
            <w:shd w:val="clear" w:color="auto" w:fill="CCEEFF"/>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Xgroup Holdings Limited (d/b/a</w:t>
            </w: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80" w:type="dxa"/>
            <w:vAlign w:val="bottom"/>
            <w:tcBorders>
              <w:top w:val="single" w:sz="8" w:color="auto"/>
              <w:bottom w:val="single" w:sz="8" w:color="auto"/>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3"/>
              </w:rPr>
              <w:t>Xpoint)</w:t>
            </w:r>
          </w:p>
        </w:tc>
        <w:tc>
          <w:tcPr>
            <w:tcW w:w="360" w:type="dxa"/>
            <w:vAlign w:val="bottom"/>
            <w:tcBorders>
              <w:top w:val="single" w:sz="8" w:color="auto"/>
              <w:bottom w:val="single" w:sz="8" w:color="auto"/>
            </w:tcBorders>
            <w:gridSpan w:val="5"/>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w w:val="92"/>
              </w:rPr>
              <w:t>(7)(12)</w:t>
            </w:r>
          </w:p>
        </w:tc>
        <w:tc>
          <w:tcPr>
            <w:tcW w:w="10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6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10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8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6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10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14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2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2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10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200" w:type="dxa"/>
            <w:vAlign w:val="bottom"/>
            <w:tcBorders>
              <w:top w:val="single" w:sz="8" w:color="auto"/>
              <w:bottom w:val="single" w:sz="8" w:color="auto"/>
              <w:right w:val="single" w:sz="8" w:color="CCEEFF"/>
            </w:tcBorders>
            <w:vMerge w:val="restart"/>
            <w:shd w:val="clear" w:color="auto" w:fill="CCEEFF"/>
          </w:tcPr>
          <w:p>
            <w:pPr>
              <w:spacing w:after="0"/>
              <w:rPr>
                <w:sz w:val="12"/>
                <w:szCs w:val="12"/>
                <w:color w:val="auto"/>
              </w:rPr>
            </w:pPr>
          </w:p>
        </w:tc>
        <w:tc>
          <w:tcPr>
            <w:tcW w:w="14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60" w:type="dxa"/>
            <w:vAlign w:val="bottom"/>
            <w:tcBorders>
              <w:top w:val="single" w:sz="8" w:color="auto"/>
              <w:bottom w:val="single" w:sz="8" w:color="auto"/>
            </w:tcBorders>
            <w:gridSpan w:val="2"/>
            <w:vMerge w:val="restart"/>
            <w:shd w:val="clear" w:color="auto" w:fill="CCEEFF"/>
          </w:tcPr>
          <w:p>
            <w:pPr>
              <w:spacing w:after="0"/>
              <w:rPr>
                <w:sz w:val="12"/>
                <w:szCs w:val="12"/>
                <w:color w:val="auto"/>
              </w:rPr>
            </w:pPr>
          </w:p>
        </w:tc>
        <w:tc>
          <w:tcPr>
            <w:tcW w:w="6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40" w:type="dxa"/>
            <w:vAlign w:val="bottom"/>
            <w:tcBorders>
              <w:top w:val="single" w:sz="8" w:color="CCEEFF"/>
              <w:bottom w:val="single" w:sz="8" w:color="CCEEFF"/>
            </w:tcBorders>
            <w:vMerge w:val="restart"/>
            <w:shd w:val="clear" w:color="auto" w:fill="CCEEFF"/>
          </w:tcPr>
          <w:p>
            <w:pPr>
              <w:spacing w:after="0"/>
              <w:rPr>
                <w:sz w:val="12"/>
                <w:szCs w:val="12"/>
                <w:color w:val="auto"/>
              </w:rPr>
            </w:pPr>
          </w:p>
        </w:tc>
        <w:tc>
          <w:tcPr>
            <w:tcW w:w="20" w:type="dxa"/>
            <w:vAlign w:val="bottom"/>
            <w:tcBorders>
              <w:top w:val="single" w:sz="8" w:color="CCEEFF"/>
              <w:bottom w:val="single" w:sz="8" w:color="CCEEFF"/>
            </w:tcBorders>
            <w:vMerge w:val="restart"/>
            <w:shd w:val="clear" w:color="auto" w:fill="CCEEFF"/>
          </w:tcPr>
          <w:p>
            <w:pPr>
              <w:spacing w:after="0"/>
              <w:rPr>
                <w:sz w:val="12"/>
                <w:szCs w:val="12"/>
                <w:color w:val="auto"/>
              </w:rPr>
            </w:pPr>
          </w:p>
        </w:tc>
        <w:tc>
          <w:tcPr>
            <w:tcW w:w="240" w:type="dxa"/>
            <w:vAlign w:val="bottom"/>
            <w:tcBorders>
              <w:top w:val="single" w:sz="8" w:color="CCEEFF"/>
              <w:bottom w:val="single" w:sz="8" w:color="CCEEFF"/>
            </w:tcBorders>
            <w:gridSpan w:val="2"/>
            <w:vMerge w:val="restart"/>
            <w:shd w:val="clear" w:color="auto" w:fill="CCEEFF"/>
          </w:tcPr>
          <w:p>
            <w:pPr>
              <w:spacing w:after="0"/>
              <w:rPr>
                <w:sz w:val="12"/>
                <w:szCs w:val="12"/>
                <w:color w:val="auto"/>
              </w:rPr>
            </w:pPr>
          </w:p>
        </w:tc>
        <w:tc>
          <w:tcPr>
            <w:tcW w:w="1540" w:type="dxa"/>
            <w:vAlign w:val="bottom"/>
            <w:tcBorders>
              <w:top w:val="single" w:sz="8" w:color="CCEEFF"/>
              <w:bottom w:val="single" w:sz="8" w:color="CCEEFF"/>
            </w:tcBorders>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8"/>
              </w:rPr>
              <w:t>Philadelphia, PA</w:t>
            </w:r>
          </w:p>
        </w:tc>
        <w:tc>
          <w:tcPr>
            <w:tcW w:w="13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110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CCEEFF"/>
              <w:bottom w:val="single" w:sz="8" w:color="CCEEFF"/>
            </w:tcBorders>
            <w:shd w:val="clear" w:color="auto" w:fill="CCEEFF"/>
          </w:tcPr>
          <w:p>
            <w:pPr>
              <w:spacing w:after="0"/>
              <w:rPr>
                <w:sz w:val="12"/>
                <w:szCs w:val="12"/>
                <w:color w:val="auto"/>
              </w:rPr>
            </w:pPr>
          </w:p>
        </w:tc>
        <w:tc>
          <w:tcPr>
            <w:tcW w:w="112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CCEEFF"/>
              <w:bottom w:val="single" w:sz="8" w:color="CCEEFF"/>
            </w:tcBorders>
            <w:shd w:val="clear" w:color="auto" w:fill="CCEEFF"/>
          </w:tcPr>
          <w:p>
            <w:pPr>
              <w:spacing w:after="0"/>
              <w:rPr>
                <w:sz w:val="12"/>
                <w:szCs w:val="12"/>
                <w:color w:val="auto"/>
              </w:rPr>
            </w:pPr>
          </w:p>
        </w:tc>
        <w:tc>
          <w:tcPr>
            <w:tcW w:w="112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CCEEFF"/>
              <w:bottom w:val="single" w:sz="8" w:color="CCEEFF"/>
            </w:tcBorders>
            <w:shd w:val="clear" w:color="auto" w:fill="CCEEFF"/>
          </w:tcPr>
          <w:p>
            <w:pPr>
              <w:spacing w:after="0"/>
              <w:rPr>
                <w:sz w:val="12"/>
                <w:szCs w:val="12"/>
                <w:color w:val="auto"/>
              </w:rPr>
            </w:pPr>
          </w:p>
        </w:tc>
        <w:tc>
          <w:tcPr>
            <w:tcW w:w="1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1"/>
        </w:trPr>
        <w:tc>
          <w:tcPr>
            <w:tcW w:w="480" w:type="dxa"/>
            <w:vAlign w:val="bottom"/>
            <w:tcBorders>
              <w:bottom w:val="single" w:sz="8" w:color="auto"/>
            </w:tcBorders>
            <w:gridSpan w:val="2"/>
            <w:vMerge w:val="continue"/>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gridSpan w:val="2"/>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6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vMerge w:val="continue"/>
            <w:shd w:val="clear" w:color="auto" w:fill="CCEEFF"/>
          </w:tcPr>
          <w:p>
            <w:pPr>
              <w:spacing w:after="0"/>
              <w:rPr>
                <w:sz w:val="4"/>
                <w:szCs w:val="4"/>
                <w:color w:val="auto"/>
              </w:rPr>
            </w:pPr>
          </w:p>
        </w:tc>
        <w:tc>
          <w:tcPr>
            <w:tcW w:w="6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14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200" w:type="dxa"/>
            <w:vAlign w:val="bottom"/>
            <w:tcBorders>
              <w:bottom w:val="single" w:sz="8" w:color="CCEEFF"/>
              <w:right w:val="single" w:sz="8" w:color="CCEEFF"/>
            </w:tcBorders>
            <w:vMerge w:val="continue"/>
            <w:shd w:val="clear" w:color="auto" w:fill="CCEEFF"/>
          </w:tcPr>
          <w:p>
            <w:pPr>
              <w:spacing w:after="0"/>
              <w:rPr>
                <w:sz w:val="4"/>
                <w:szCs w:val="4"/>
                <w:color w:val="auto"/>
              </w:rPr>
            </w:pPr>
          </w:p>
        </w:tc>
        <w:tc>
          <w:tcPr>
            <w:tcW w:w="140" w:type="dxa"/>
            <w:vAlign w:val="bottom"/>
            <w:tcBorders>
              <w:bottom w:val="single" w:sz="8" w:color="CCEEFF"/>
            </w:tcBorders>
            <w:vMerge w:val="continue"/>
            <w:shd w:val="clear" w:color="auto" w:fill="CCEEFF"/>
          </w:tcPr>
          <w:p>
            <w:pPr>
              <w:spacing w:after="0"/>
              <w:rPr>
                <w:sz w:val="4"/>
                <w:szCs w:val="4"/>
                <w:color w:val="auto"/>
              </w:rPr>
            </w:pPr>
          </w:p>
        </w:tc>
        <w:tc>
          <w:tcPr>
            <w:tcW w:w="60" w:type="dxa"/>
            <w:vAlign w:val="bottom"/>
            <w:tcBorders>
              <w:bottom w:val="single" w:sz="8" w:color="CCEEFF"/>
            </w:tcBorders>
            <w:gridSpan w:val="2"/>
            <w:vMerge w:val="continue"/>
            <w:shd w:val="clear" w:color="auto" w:fill="CCEEFF"/>
          </w:tcPr>
          <w:p>
            <w:pPr>
              <w:spacing w:after="0"/>
              <w:rPr>
                <w:sz w:val="4"/>
                <w:szCs w:val="4"/>
                <w:color w:val="auto"/>
              </w:rPr>
            </w:pPr>
          </w:p>
        </w:tc>
        <w:tc>
          <w:tcPr>
            <w:tcW w:w="60" w:type="dxa"/>
            <w:vAlign w:val="bottom"/>
            <w:tcBorders>
              <w:bottom w:val="single" w:sz="8" w:color="CCEEFF"/>
            </w:tcBorders>
            <w:vMerge w:val="continue"/>
            <w:shd w:val="clear" w:color="auto" w:fill="CCEEFF"/>
          </w:tcPr>
          <w:p>
            <w:pPr>
              <w:spacing w:after="0"/>
              <w:rPr>
                <w:sz w:val="4"/>
                <w:szCs w:val="4"/>
                <w:color w:val="auto"/>
              </w:rPr>
            </w:pPr>
          </w:p>
        </w:tc>
        <w:tc>
          <w:tcPr>
            <w:tcW w:w="4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240" w:type="dxa"/>
            <w:vAlign w:val="bottom"/>
            <w:tcBorders>
              <w:bottom w:val="single" w:sz="8" w:color="CCEEFF"/>
            </w:tcBorders>
            <w:gridSpan w:val="2"/>
            <w:vMerge w:val="continue"/>
            <w:shd w:val="clear" w:color="auto" w:fill="CCEEFF"/>
          </w:tcPr>
          <w:p>
            <w:pPr>
              <w:spacing w:after="0"/>
              <w:rPr>
                <w:sz w:val="4"/>
                <w:szCs w:val="4"/>
                <w:color w:val="auto"/>
              </w:rPr>
            </w:pPr>
          </w:p>
        </w:tc>
        <w:tc>
          <w:tcPr>
            <w:tcW w:w="1540" w:type="dxa"/>
            <w:vAlign w:val="bottom"/>
            <w:tcBorders>
              <w:bottom w:val="single" w:sz="8" w:color="CCEEFF"/>
            </w:tcBorders>
            <w:gridSpan w:val="2"/>
            <w:vMerge w:val="continue"/>
            <w:shd w:val="clear" w:color="auto" w:fill="CCEEFF"/>
          </w:tcPr>
          <w:p>
            <w:pPr>
              <w:spacing w:after="0"/>
              <w:rPr>
                <w:sz w:val="4"/>
                <w:szCs w:val="4"/>
                <w:color w:val="auto"/>
              </w:rPr>
            </w:pPr>
          </w:p>
        </w:tc>
        <w:tc>
          <w:tcPr>
            <w:tcW w:w="13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ind w:right="240"/>
              <w:spacing w:after="0" w:line="168" w:lineRule="exact"/>
              <w:rPr>
                <w:sz w:val="20"/>
                <w:szCs w:val="20"/>
                <w:color w:val="auto"/>
              </w:rPr>
            </w:pPr>
            <w:r>
              <w:rPr>
                <w:rFonts w:ascii="Times New Roman" w:cs="Times New Roman" w:eastAsia="Times New Roman" w:hAnsi="Times New Roman"/>
                <w:sz w:val="15"/>
                <w:szCs w:val="15"/>
                <w:color w:val="auto"/>
              </w:rPr>
              <w:t>Geolocation</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380" w:type="dxa"/>
            <w:vAlign w:val="bottom"/>
            <w:gridSpan w:val="26"/>
          </w:tcPr>
          <w:p>
            <w:pPr>
              <w:spacing w:after="0"/>
              <w:rPr>
                <w:sz w:val="20"/>
                <w:szCs w:val="20"/>
                <w:color w:val="auto"/>
              </w:rPr>
            </w:pPr>
            <w:r>
              <w:rPr>
                <w:rFonts w:ascii="Times New Roman" w:cs="Times New Roman" w:eastAsia="Times New Roman" w:hAnsi="Times New Roman"/>
                <w:sz w:val="15"/>
                <w:szCs w:val="15"/>
                <w:color w:val="auto"/>
              </w:rPr>
              <w:t>Preferred shares, Series A-1</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Technology</w:t>
            </w: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8/17/2022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454</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136,114</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161,862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0.10%</w:t>
            </w:r>
          </w:p>
        </w:tc>
        <w:tc>
          <w:tcPr>
            <w:tcW w:w="0" w:type="dxa"/>
            <w:vAlign w:val="bottom"/>
          </w:tcPr>
          <w:p>
            <w:pPr>
              <w:spacing w:after="0"/>
              <w:rPr>
                <w:sz w:val="1"/>
                <w:szCs w:val="1"/>
                <w:color w:val="auto"/>
              </w:rPr>
            </w:pPr>
          </w:p>
        </w:tc>
      </w:tr>
      <w:tr>
        <w:trPr>
          <w:trHeight w:val="168"/>
        </w:trPr>
        <w:tc>
          <w:tcPr>
            <w:tcW w:w="2380" w:type="dxa"/>
            <w:vAlign w:val="bottom"/>
            <w:gridSpan w:val="26"/>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Series A-1 Warrants, Strike Price</w:t>
            </w: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3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5"/>
                <w:szCs w:val="15"/>
                <w:color w:val="auto"/>
              </w:rPr>
              <w:t>$0.0001, Expiration Date</w:t>
            </w:r>
          </w:p>
        </w:tc>
        <w:tc>
          <w:tcPr>
            <w:tcW w:w="1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5/14/2044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8/17/2022</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3,286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985,180</w:t>
            </w:r>
          </w:p>
        </w:tc>
        <w:tc>
          <w:tcPr>
            <w:tcW w:w="3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1,171,540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0.74%</w:t>
            </w:r>
          </w:p>
        </w:tc>
        <w:tc>
          <w:tcPr>
            <w:tcW w:w="0" w:type="dxa"/>
            <w:vAlign w:val="bottom"/>
          </w:tcPr>
          <w:p>
            <w:pPr>
              <w:spacing w:after="0"/>
              <w:rPr>
                <w:sz w:val="1"/>
                <w:szCs w:val="1"/>
                <w:color w:val="auto"/>
              </w:rPr>
            </w:pPr>
          </w:p>
        </w:tc>
      </w:tr>
      <w:tr>
        <w:trPr>
          <w:trHeight w:val="168"/>
        </w:trPr>
        <w:tc>
          <w:tcPr>
            <w:tcW w:w="2380" w:type="dxa"/>
            <w:vAlign w:val="bottom"/>
            <w:gridSpan w:val="26"/>
          </w:tcPr>
          <w:p>
            <w:pPr>
              <w:spacing w:after="0" w:line="168" w:lineRule="exact"/>
              <w:rPr>
                <w:sz w:val="20"/>
                <w:szCs w:val="20"/>
                <w:color w:val="auto"/>
              </w:rPr>
            </w:pPr>
            <w:r>
              <w:rPr>
                <w:rFonts w:ascii="Times New Roman" w:cs="Times New Roman" w:eastAsia="Times New Roman" w:hAnsi="Times New Roman"/>
                <w:sz w:val="15"/>
                <w:szCs w:val="15"/>
                <w:color w:val="auto"/>
              </w:rPr>
              <w:t>Series A Warrants, Strike Price</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380" w:type="dxa"/>
            <w:vAlign w:val="bottom"/>
            <w:gridSpan w:val="26"/>
          </w:tcPr>
          <w:p>
            <w:pPr>
              <w:spacing w:after="0"/>
              <w:rPr>
                <w:sz w:val="20"/>
                <w:szCs w:val="20"/>
                <w:color w:val="auto"/>
              </w:rPr>
            </w:pPr>
            <w:r>
              <w:rPr>
                <w:rFonts w:ascii="Times New Roman" w:cs="Times New Roman" w:eastAsia="Times New Roman" w:hAnsi="Times New Roman"/>
                <w:sz w:val="15"/>
                <w:szCs w:val="15"/>
                <w:color w:val="auto"/>
              </w:rPr>
              <w:t>$0.0001, Expiration Date</w:t>
            </w: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5/14/2044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8/17/2022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873</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261,735</w:t>
            </w:r>
          </w:p>
        </w:tc>
        <w:tc>
          <w:tcPr>
            <w:tcW w:w="3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324,931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0.21%</w:t>
            </w:r>
          </w:p>
        </w:tc>
        <w:tc>
          <w:tcPr>
            <w:tcW w:w="0" w:type="dxa"/>
            <w:vAlign w:val="bottom"/>
          </w:tcPr>
          <w:p>
            <w:pPr>
              <w:spacing w:after="0"/>
              <w:rPr>
                <w:sz w:val="1"/>
                <w:szCs w:val="1"/>
                <w:color w:val="auto"/>
              </w:rPr>
            </w:pPr>
          </w:p>
        </w:tc>
      </w:tr>
      <w:tr>
        <w:trPr>
          <w:trHeight w:val="174"/>
        </w:trPr>
        <w:tc>
          <w:tcPr>
            <w:tcW w:w="140" w:type="dxa"/>
            <w:vAlign w:val="bottom"/>
            <w:tcBorders>
              <w:top w:val="single" w:sz="8" w:color="CCEEFF"/>
            </w:tcBorders>
            <w:shd w:val="clear" w:color="auto" w:fill="CCEEFF"/>
          </w:tcPr>
          <w:p>
            <w:pPr>
              <w:spacing w:after="0"/>
              <w:rPr>
                <w:sz w:val="15"/>
                <w:szCs w:val="15"/>
                <w:color w:val="auto"/>
              </w:rPr>
            </w:pPr>
          </w:p>
        </w:tc>
        <w:tc>
          <w:tcPr>
            <w:tcW w:w="2240" w:type="dxa"/>
            <w:vAlign w:val="bottom"/>
            <w:tcBorders>
              <w:top w:val="single" w:sz="8" w:color="CCEEFF"/>
            </w:tcBorders>
            <w:gridSpan w:val="25"/>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1,383,029</w:t>
            </w:r>
          </w:p>
        </w:tc>
        <w:tc>
          <w:tcPr>
            <w:tcW w:w="3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1,658,333</w:t>
            </w:r>
          </w:p>
        </w:tc>
        <w:tc>
          <w:tcPr>
            <w:tcW w:w="3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39"/>
        </w:trPr>
        <w:tc>
          <w:tcPr>
            <w:tcW w:w="2380" w:type="dxa"/>
            <w:vAlign w:val="bottom"/>
            <w:gridSpan w:val="26"/>
          </w:tcPr>
          <w:p>
            <w:pPr>
              <w:spacing w:after="0" w:line="140" w:lineRule="exact"/>
              <w:rPr>
                <w:sz w:val="20"/>
                <w:szCs w:val="20"/>
                <w:color w:val="auto"/>
              </w:rPr>
            </w:pPr>
            <w:r>
              <w:rPr>
                <w:rFonts w:ascii="Times New Roman" w:cs="Times New Roman" w:eastAsia="Times New Roman" w:hAnsi="Times New Roman"/>
                <w:sz w:val="15"/>
                <w:szCs w:val="15"/>
                <w:b w:val="1"/>
                <w:bCs w:val="1"/>
                <w:color w:val="auto"/>
              </w:rPr>
              <w:t>Forge Global, Inc.</w:t>
            </w:r>
          </w:p>
        </w:tc>
        <w:tc>
          <w:tcPr>
            <w:tcW w:w="1540" w:type="dxa"/>
            <w:vAlign w:val="bottom"/>
            <w:gridSpan w:val="2"/>
          </w:tcPr>
          <w:p>
            <w:pPr>
              <w:jc w:val="center"/>
              <w:ind w:right="240"/>
              <w:spacing w:after="0" w:line="140" w:lineRule="exact"/>
              <w:rPr>
                <w:sz w:val="20"/>
                <w:szCs w:val="20"/>
                <w:color w:val="auto"/>
              </w:rPr>
            </w:pPr>
            <w:r>
              <w:rPr>
                <w:rFonts w:ascii="Times New Roman" w:cs="Times New Roman" w:eastAsia="Times New Roman" w:hAnsi="Times New Roman"/>
                <w:sz w:val="15"/>
                <w:szCs w:val="15"/>
                <w:color w:val="auto"/>
              </w:rPr>
              <w:t>San Francisco, CA</w:t>
            </w: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14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380" w:type="dxa"/>
            <w:vAlign w:val="bottom"/>
            <w:gridSpan w:val="26"/>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w:t>
            </w:r>
            <w:r>
              <w:rPr>
                <w:rFonts w:ascii="Times New Roman" w:cs="Times New Roman" w:eastAsia="Times New Roman" w:hAnsi="Times New Roman"/>
                <w:sz w:val="25"/>
                <w:szCs w:val="25"/>
                <w:color w:val="auto"/>
                <w:vertAlign w:val="superscript"/>
              </w:rPr>
              <w:t>(3)</w:t>
            </w:r>
          </w:p>
        </w:tc>
        <w:tc>
          <w:tcPr>
            <w:tcW w:w="1540" w:type="dxa"/>
            <w:vAlign w:val="bottom"/>
            <w:gridSpan w:val="2"/>
            <w:shd w:val="clear" w:color="auto" w:fill="CCEEFF"/>
          </w:tcPr>
          <w:p>
            <w:pPr>
              <w:jc w:val="center"/>
              <w:ind w:right="220"/>
              <w:spacing w:after="0" w:line="168" w:lineRule="exact"/>
              <w:rPr>
                <w:sz w:val="20"/>
                <w:szCs w:val="20"/>
                <w:color w:val="auto"/>
              </w:rPr>
            </w:pPr>
            <w:r>
              <w:rPr>
                <w:rFonts w:ascii="Times New Roman" w:cs="Times New Roman" w:eastAsia="Times New Roman" w:hAnsi="Times New Roman"/>
                <w:sz w:val="15"/>
                <w:szCs w:val="15"/>
                <w:color w:val="auto"/>
              </w:rPr>
              <w:t>Online Marketplace</w:t>
            </w: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380" w:type="dxa"/>
            <w:vAlign w:val="bottom"/>
            <w:gridSpan w:val="26"/>
            <w:vMerge w:val="continue"/>
            <w:shd w:val="clear" w:color="auto" w:fill="CCEEFF"/>
          </w:tcPr>
          <w:p>
            <w:pPr>
              <w:spacing w:after="0"/>
              <w:rPr>
                <w:sz w:val="17"/>
                <w:szCs w:val="17"/>
                <w:color w:val="auto"/>
              </w:rPr>
            </w:pP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Finance</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7/20/2011</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1,145,875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2,093,988</w:t>
            </w:r>
          </w:p>
        </w:tc>
        <w:tc>
          <w:tcPr>
            <w:tcW w:w="3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1,501,096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0.95%</w:t>
            </w:r>
          </w:p>
        </w:tc>
        <w:tc>
          <w:tcPr>
            <w:tcW w:w="0" w:type="dxa"/>
            <w:vAlign w:val="bottom"/>
          </w:tcPr>
          <w:p>
            <w:pPr>
              <w:spacing w:after="0"/>
              <w:rPr>
                <w:sz w:val="1"/>
                <w:szCs w:val="1"/>
                <w:color w:val="auto"/>
              </w:rPr>
            </w:pPr>
          </w:p>
        </w:tc>
      </w:tr>
      <w:tr>
        <w:trPr>
          <w:trHeight w:val="125"/>
        </w:trPr>
        <w:tc>
          <w:tcPr>
            <w:tcW w:w="780" w:type="dxa"/>
            <w:vAlign w:val="bottom"/>
            <w:gridSpan w:val="5"/>
            <w:vMerge w:val="restart"/>
          </w:tcPr>
          <w:p>
            <w:pPr>
              <w:spacing w:after="0"/>
              <w:rPr>
                <w:sz w:val="20"/>
                <w:szCs w:val="20"/>
                <w:color w:val="auto"/>
              </w:rPr>
            </w:pPr>
            <w:r>
              <w:rPr>
                <w:rFonts w:ascii="Times New Roman" w:cs="Times New Roman" w:eastAsia="Times New Roman" w:hAnsi="Times New Roman"/>
                <w:sz w:val="15"/>
                <w:szCs w:val="15"/>
                <w:b w:val="1"/>
                <w:bCs w:val="1"/>
                <w:color w:val="auto"/>
                <w:w w:val="96"/>
              </w:rPr>
              <w:t>Oklo, Inc.**</w:t>
            </w:r>
          </w:p>
        </w:tc>
        <w:tc>
          <w:tcPr>
            <w:tcW w:w="220" w:type="dxa"/>
            <w:vAlign w:val="bottom"/>
            <w:tcBorders>
              <w:bottom w:val="single" w:sz="8" w:color="auto"/>
            </w:tcBorders>
            <w:gridSpan w:val="4"/>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w w:val="99"/>
              </w:rPr>
              <w:t>(13)</w:t>
            </w:r>
          </w:p>
        </w:tc>
        <w:tc>
          <w:tcPr>
            <w:tcW w:w="100" w:type="dxa"/>
            <w:vAlign w:val="bottom"/>
            <w:vMerge w:val="restart"/>
          </w:tcPr>
          <w:p>
            <w:pPr>
              <w:spacing w:after="0"/>
              <w:rPr>
                <w:sz w:val="10"/>
                <w:szCs w:val="10"/>
                <w:color w:val="auto"/>
              </w:rPr>
            </w:pPr>
          </w:p>
        </w:tc>
        <w:tc>
          <w:tcPr>
            <w:tcW w:w="140" w:type="dxa"/>
            <w:vAlign w:val="bottom"/>
            <w:gridSpan w:val="2"/>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4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200" w:type="dxa"/>
            <w:vAlign w:val="bottom"/>
            <w:vMerge w:val="restart"/>
          </w:tcPr>
          <w:p>
            <w:pPr>
              <w:spacing w:after="0"/>
              <w:rPr>
                <w:sz w:val="10"/>
                <w:szCs w:val="10"/>
                <w:color w:val="auto"/>
              </w:rPr>
            </w:pPr>
          </w:p>
        </w:tc>
        <w:tc>
          <w:tcPr>
            <w:tcW w:w="140" w:type="dxa"/>
            <w:vAlign w:val="bottom"/>
            <w:vMerge w:val="restart"/>
          </w:tcPr>
          <w:p>
            <w:pPr>
              <w:spacing w:after="0"/>
              <w:rPr>
                <w:sz w:val="10"/>
                <w:szCs w:val="10"/>
                <w:color w:val="auto"/>
              </w:rPr>
            </w:pPr>
          </w:p>
        </w:tc>
        <w:tc>
          <w:tcPr>
            <w:tcW w:w="60" w:type="dxa"/>
            <w:vAlign w:val="bottom"/>
            <w:gridSpan w:val="2"/>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240" w:type="dxa"/>
            <w:vAlign w:val="bottom"/>
            <w:gridSpan w:val="2"/>
            <w:vMerge w:val="restart"/>
          </w:tcPr>
          <w:p>
            <w:pPr>
              <w:spacing w:after="0"/>
              <w:rPr>
                <w:sz w:val="10"/>
                <w:szCs w:val="10"/>
                <w:color w:val="auto"/>
              </w:rPr>
            </w:pP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color w:val="auto"/>
              </w:rPr>
              <w:t>Santa Clara, CA</w:t>
            </w:r>
          </w:p>
        </w:tc>
        <w:tc>
          <w:tcPr>
            <w:tcW w:w="1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780" w:type="dxa"/>
            <w:vAlign w:val="bottom"/>
            <w:tcBorders>
              <w:bottom w:val="single" w:sz="8" w:color="auto"/>
            </w:tcBorders>
            <w:gridSpan w:val="5"/>
            <w:vMerge w:val="continue"/>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60" w:type="dxa"/>
            <w:vAlign w:val="bottom"/>
            <w:gridSpan w:val="2"/>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1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380" w:type="dxa"/>
            <w:vAlign w:val="bottom"/>
            <w:gridSpan w:val="26"/>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 Class A</w:t>
            </w:r>
            <w:r>
              <w:rPr>
                <w:rFonts w:ascii="Times New Roman" w:cs="Times New Roman" w:eastAsia="Times New Roman" w:hAnsi="Times New Roman"/>
                <w:sz w:val="25"/>
                <w:szCs w:val="25"/>
                <w:color w:val="auto"/>
                <w:vertAlign w:val="superscript"/>
              </w:rPr>
              <w:t>(3)</w:t>
            </w: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9"/>
              </w:rPr>
              <w:t>Advanced Nuclear</w:t>
            </w:r>
          </w:p>
        </w:tc>
        <w:tc>
          <w:tcPr>
            <w:tcW w:w="1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380" w:type="dxa"/>
            <w:vAlign w:val="bottom"/>
            <w:gridSpan w:val="26"/>
            <w:vMerge w:val="continue"/>
            <w:shd w:val="clear" w:color="auto" w:fill="CCEEFF"/>
          </w:tcPr>
          <w:p>
            <w:pPr>
              <w:spacing w:after="0"/>
              <w:rPr>
                <w:sz w:val="17"/>
                <w:szCs w:val="17"/>
                <w:color w:val="auto"/>
              </w:rPr>
            </w:pP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Technology</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7/21/2021</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239,300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250,855</w:t>
            </w:r>
          </w:p>
        </w:tc>
        <w:tc>
          <w:tcPr>
            <w:tcW w:w="3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1,405,641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0.89%</w:t>
            </w:r>
          </w:p>
        </w:tc>
        <w:tc>
          <w:tcPr>
            <w:tcW w:w="0" w:type="dxa"/>
            <w:vAlign w:val="bottom"/>
          </w:tcPr>
          <w:p>
            <w:pPr>
              <w:spacing w:after="0"/>
              <w:rPr>
                <w:sz w:val="1"/>
                <w:szCs w:val="1"/>
                <w:color w:val="auto"/>
              </w:rPr>
            </w:pPr>
          </w:p>
        </w:tc>
      </w:tr>
      <w:tr>
        <w:trPr>
          <w:trHeight w:val="125"/>
        </w:trPr>
        <w:tc>
          <w:tcPr>
            <w:tcW w:w="1100" w:type="dxa"/>
            <w:vAlign w:val="bottom"/>
            <w:gridSpan w:val="10"/>
            <w:vMerge w:val="restart"/>
          </w:tcPr>
          <w:p>
            <w:pPr>
              <w:spacing w:after="0"/>
              <w:rPr>
                <w:sz w:val="20"/>
                <w:szCs w:val="20"/>
                <w:color w:val="auto"/>
              </w:rPr>
            </w:pPr>
            <w:r>
              <w:rPr>
                <w:rFonts w:ascii="Times New Roman" w:cs="Times New Roman" w:eastAsia="Times New Roman" w:hAnsi="Times New Roman"/>
                <w:sz w:val="15"/>
                <w:szCs w:val="15"/>
                <w:b w:val="1"/>
                <w:bCs w:val="1"/>
                <w:color w:val="auto"/>
                <w:w w:val="95"/>
              </w:rPr>
              <w:t>Varo Money, Inc.</w:t>
            </w:r>
          </w:p>
        </w:tc>
        <w:tc>
          <w:tcPr>
            <w:tcW w:w="140" w:type="dxa"/>
            <w:vAlign w:val="bottom"/>
            <w:tcBorders>
              <w:bottom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00" w:type="dxa"/>
            <w:vAlign w:val="bottom"/>
            <w:vMerge w:val="restart"/>
          </w:tcPr>
          <w:p>
            <w:pPr>
              <w:spacing w:after="0"/>
              <w:rPr>
                <w:sz w:val="10"/>
                <w:szCs w:val="10"/>
                <w:color w:val="auto"/>
              </w:rPr>
            </w:pPr>
          </w:p>
        </w:tc>
        <w:tc>
          <w:tcPr>
            <w:tcW w:w="14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200" w:type="dxa"/>
            <w:vAlign w:val="bottom"/>
            <w:vMerge w:val="restart"/>
          </w:tcPr>
          <w:p>
            <w:pPr>
              <w:spacing w:after="0"/>
              <w:rPr>
                <w:sz w:val="10"/>
                <w:szCs w:val="10"/>
                <w:color w:val="auto"/>
              </w:rPr>
            </w:pPr>
          </w:p>
        </w:tc>
        <w:tc>
          <w:tcPr>
            <w:tcW w:w="140" w:type="dxa"/>
            <w:vAlign w:val="bottom"/>
            <w:vMerge w:val="restart"/>
          </w:tcPr>
          <w:p>
            <w:pPr>
              <w:spacing w:after="0"/>
              <w:rPr>
                <w:sz w:val="10"/>
                <w:szCs w:val="10"/>
                <w:color w:val="auto"/>
              </w:rPr>
            </w:pPr>
          </w:p>
        </w:tc>
        <w:tc>
          <w:tcPr>
            <w:tcW w:w="60" w:type="dxa"/>
            <w:vAlign w:val="bottom"/>
            <w:gridSpan w:val="2"/>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240" w:type="dxa"/>
            <w:vAlign w:val="bottom"/>
            <w:gridSpan w:val="2"/>
            <w:vMerge w:val="restart"/>
          </w:tcPr>
          <w:p>
            <w:pPr>
              <w:spacing w:after="0"/>
              <w:rPr>
                <w:sz w:val="10"/>
                <w:szCs w:val="10"/>
                <w:color w:val="auto"/>
              </w:rPr>
            </w:pPr>
          </w:p>
        </w:tc>
        <w:tc>
          <w:tcPr>
            <w:tcW w:w="15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color w:val="auto"/>
              </w:rPr>
              <w:t>San Francisco, CA</w:t>
            </w:r>
          </w:p>
        </w:tc>
        <w:tc>
          <w:tcPr>
            <w:tcW w:w="1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1100" w:type="dxa"/>
            <w:vAlign w:val="bottom"/>
            <w:tcBorders>
              <w:bottom w:val="single" w:sz="8" w:color="auto"/>
            </w:tcBorders>
            <w:gridSpan w:val="10"/>
            <w:vMerge w:val="continue"/>
          </w:tcPr>
          <w:p>
            <w:pPr>
              <w:spacing w:after="0"/>
              <w:rPr>
                <w:sz w:val="3"/>
                <w:szCs w:val="3"/>
                <w:color w:val="auto"/>
              </w:rPr>
            </w:pPr>
          </w:p>
        </w:tc>
        <w:tc>
          <w:tcPr>
            <w:tcW w:w="140" w:type="dxa"/>
            <w:vAlign w:val="bottom"/>
            <w:gridSpan w:val="2"/>
          </w:tcPr>
          <w:p>
            <w:pPr>
              <w:spacing w:after="0"/>
              <w:rPr>
                <w:sz w:val="3"/>
                <w:szCs w:val="3"/>
                <w:color w:val="auto"/>
              </w:rPr>
            </w:pPr>
          </w:p>
        </w:tc>
        <w:tc>
          <w:tcPr>
            <w:tcW w:w="10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60" w:type="dxa"/>
            <w:vAlign w:val="bottom"/>
            <w:gridSpan w:val="2"/>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1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3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Financial Services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8/11/2021</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1,079,266</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10,005,548</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1,258,643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0.80%</w:t>
            </w:r>
          </w:p>
        </w:tc>
        <w:tc>
          <w:tcPr>
            <w:tcW w:w="0" w:type="dxa"/>
            <w:vAlign w:val="bottom"/>
          </w:tcPr>
          <w:p>
            <w:pPr>
              <w:spacing w:after="0"/>
              <w:rPr>
                <w:sz w:val="1"/>
                <w:szCs w:val="1"/>
                <w:color w:val="auto"/>
              </w:rPr>
            </w:pPr>
          </w:p>
        </w:tc>
      </w:tr>
      <w:tr>
        <w:trPr>
          <w:trHeight w:val="155"/>
        </w:trPr>
        <w:tc>
          <w:tcPr>
            <w:tcW w:w="2380" w:type="dxa"/>
            <w:vAlign w:val="bottom"/>
            <w:gridSpan w:val="26"/>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Aventine Property Group, Inc.</w:t>
            </w:r>
          </w:p>
        </w:tc>
        <w:tc>
          <w:tcPr>
            <w:tcW w:w="15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5"/>
                <w:szCs w:val="15"/>
                <w:color w:val="auto"/>
              </w:rPr>
              <w:t>Chicago, IL</w:t>
            </w: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960" w:type="dxa"/>
            <w:vAlign w:val="bottom"/>
            <w:tcBorders>
              <w:top w:val="single" w:sz="8" w:color="auto"/>
            </w:tcBorders>
            <w:gridSpan w:val="19"/>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420" w:type="dxa"/>
            <w:vAlign w:val="bottom"/>
            <w:gridSpan w:val="7"/>
            <w:shd w:val="clear" w:color="auto" w:fill="CCEEFF"/>
          </w:tcPr>
          <w:p>
            <w:pPr>
              <w:spacing w:after="0"/>
              <w:rPr>
                <w:sz w:val="16"/>
                <w:szCs w:val="16"/>
                <w:color w:val="auto"/>
              </w:rPr>
            </w:pPr>
          </w:p>
        </w:tc>
        <w:tc>
          <w:tcPr>
            <w:tcW w:w="1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rPr>
              <w:t>Cannabis REIT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9/11/2019</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312,500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2,580,750</w:t>
            </w:r>
          </w:p>
        </w:tc>
        <w:tc>
          <w:tcPr>
            <w:tcW w:w="32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1,233,033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0.78%</w:t>
            </w:r>
          </w:p>
        </w:tc>
        <w:tc>
          <w:tcPr>
            <w:tcW w:w="0" w:type="dxa"/>
            <w:vAlign w:val="bottom"/>
          </w:tcPr>
          <w:p>
            <w:pPr>
              <w:spacing w:after="0"/>
              <w:rPr>
                <w:sz w:val="1"/>
                <w:szCs w:val="1"/>
                <w:color w:val="auto"/>
              </w:rPr>
            </w:pPr>
          </w:p>
        </w:tc>
      </w:tr>
      <w:tr>
        <w:trPr>
          <w:trHeight w:val="148"/>
        </w:trPr>
        <w:tc>
          <w:tcPr>
            <w:tcW w:w="2140" w:type="dxa"/>
            <w:vAlign w:val="bottom"/>
            <w:tcBorders>
              <w:bottom w:val="single" w:sz="8" w:color="auto"/>
            </w:tcBorders>
            <w:gridSpan w:val="24"/>
          </w:tcPr>
          <w:p>
            <w:pPr>
              <w:spacing w:after="0" w:line="149" w:lineRule="exact"/>
              <w:rPr>
                <w:sz w:val="20"/>
                <w:szCs w:val="20"/>
                <w:color w:val="auto"/>
              </w:rPr>
            </w:pPr>
            <w:r>
              <w:rPr>
                <w:rFonts w:ascii="Times New Roman" w:cs="Times New Roman" w:eastAsia="Times New Roman" w:hAnsi="Times New Roman"/>
                <w:sz w:val="15"/>
                <w:szCs w:val="15"/>
                <w:b w:val="1"/>
                <w:bCs w:val="1"/>
                <w:color w:val="auto"/>
                <w:w w:val="99"/>
              </w:rPr>
              <w:t>Commercial Streaming Solutions</w:t>
            </w:r>
          </w:p>
        </w:tc>
        <w:tc>
          <w:tcPr>
            <w:tcW w:w="240" w:type="dxa"/>
            <w:vAlign w:val="bottom"/>
            <w:gridSpan w:val="2"/>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500" w:type="dxa"/>
            <w:vAlign w:val="bottom"/>
            <w:gridSpan w:val="15"/>
            <w:vMerge w:val="restart"/>
          </w:tcPr>
          <w:p>
            <w:pPr>
              <w:spacing w:after="0"/>
              <w:rPr>
                <w:sz w:val="20"/>
                <w:szCs w:val="20"/>
                <w:color w:val="auto"/>
              </w:rPr>
            </w:pPr>
            <w:r>
              <w:rPr>
                <w:rFonts w:ascii="Times New Roman" w:cs="Times New Roman" w:eastAsia="Times New Roman" w:hAnsi="Times New Roman"/>
                <w:sz w:val="15"/>
                <w:szCs w:val="15"/>
                <w:b w:val="1"/>
                <w:bCs w:val="1"/>
                <w:color w:val="auto"/>
              </w:rPr>
              <w:t>Inc. (d/b/a BettorView)</w:t>
            </w:r>
          </w:p>
        </w:tc>
        <w:tc>
          <w:tcPr>
            <w:tcW w:w="120" w:type="dxa"/>
            <w:vAlign w:val="bottom"/>
            <w:tcBorders>
              <w:bottom w:val="single" w:sz="8" w:color="auto"/>
            </w:tcBorders>
            <w:gridSpan w:val="2"/>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w w:val="71"/>
              </w:rPr>
              <w:t>(7)</w:t>
            </w:r>
          </w:p>
        </w:tc>
        <w:tc>
          <w:tcPr>
            <w:tcW w:w="200" w:type="dxa"/>
            <w:vAlign w:val="bottom"/>
            <w:vMerge w:val="restart"/>
          </w:tcPr>
          <w:p>
            <w:pPr>
              <w:spacing w:after="0"/>
              <w:rPr>
                <w:sz w:val="12"/>
                <w:szCs w:val="12"/>
                <w:color w:val="auto"/>
              </w:rPr>
            </w:pPr>
          </w:p>
        </w:tc>
        <w:tc>
          <w:tcPr>
            <w:tcW w:w="200" w:type="dxa"/>
            <w:vAlign w:val="bottom"/>
            <w:gridSpan w:val="3"/>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60" w:type="dxa"/>
            <w:vAlign w:val="bottom"/>
            <w:gridSpan w:val="3"/>
            <w:vMerge w:val="restart"/>
          </w:tcPr>
          <w:p>
            <w:pPr>
              <w:spacing w:after="0"/>
              <w:rPr>
                <w:sz w:val="12"/>
                <w:szCs w:val="12"/>
                <w:color w:val="auto"/>
              </w:rPr>
            </w:pP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color w:val="auto"/>
                <w:w w:val="99"/>
              </w:rPr>
              <w:t>Las Vegas, NV</w:t>
            </w: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1500" w:type="dxa"/>
            <w:vAlign w:val="bottom"/>
            <w:tcBorders>
              <w:bottom w:val="single" w:sz="8" w:color="auto"/>
            </w:tcBorders>
            <w:gridSpan w:val="15"/>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200" w:type="dxa"/>
            <w:vAlign w:val="bottom"/>
            <w:gridSpan w:val="3"/>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60" w:type="dxa"/>
            <w:vAlign w:val="bottom"/>
            <w:gridSpan w:val="3"/>
            <w:vMerge w:val="continue"/>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1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3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5"/>
                <w:szCs w:val="15"/>
                <w:color w:val="auto"/>
              </w:rPr>
              <w:t>Simple Agreement for Future</w:t>
            </w: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Interactive Media &amp;</w:t>
            </w:r>
          </w:p>
        </w:tc>
        <w:tc>
          <w:tcPr>
            <w:tcW w:w="1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3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w:t>
            </w: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Services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3/26/2021</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1,000,000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1,004,240</w:t>
            </w:r>
          </w:p>
        </w:tc>
        <w:tc>
          <w:tcPr>
            <w:tcW w:w="3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1,000,000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0.64%</w:t>
            </w:r>
          </w:p>
        </w:tc>
        <w:tc>
          <w:tcPr>
            <w:tcW w:w="0" w:type="dxa"/>
            <w:vAlign w:val="bottom"/>
          </w:tcPr>
          <w:p>
            <w:pPr>
              <w:spacing w:after="0"/>
              <w:rPr>
                <w:sz w:val="1"/>
                <w:szCs w:val="1"/>
                <w:color w:val="auto"/>
              </w:rPr>
            </w:pPr>
          </w:p>
        </w:tc>
      </w:tr>
      <w:tr>
        <w:trPr>
          <w:trHeight w:val="148"/>
        </w:trPr>
        <w:tc>
          <w:tcPr>
            <w:tcW w:w="2080" w:type="dxa"/>
            <w:vAlign w:val="bottom"/>
            <w:tcBorders>
              <w:bottom w:val="single" w:sz="8" w:color="auto"/>
            </w:tcBorders>
            <w:gridSpan w:val="22"/>
          </w:tcPr>
          <w:p>
            <w:pPr>
              <w:spacing w:after="0" w:line="149" w:lineRule="exact"/>
              <w:rPr>
                <w:sz w:val="20"/>
                <w:szCs w:val="20"/>
                <w:color w:val="auto"/>
              </w:rPr>
            </w:pPr>
            <w:r>
              <w:rPr>
                <w:rFonts w:ascii="Times New Roman" w:cs="Times New Roman" w:eastAsia="Times New Roman" w:hAnsi="Times New Roman"/>
                <w:sz w:val="15"/>
                <w:szCs w:val="15"/>
                <w:b w:val="1"/>
                <w:bCs w:val="1"/>
                <w:color w:val="auto"/>
                <w:w w:val="99"/>
              </w:rPr>
              <w:t>Stake Trade, Inc. (d/b/a Prophet</w:t>
            </w:r>
          </w:p>
        </w:tc>
        <w:tc>
          <w:tcPr>
            <w:tcW w:w="300" w:type="dxa"/>
            <w:vAlign w:val="bottom"/>
            <w:gridSpan w:val="4"/>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b w:val="1"/>
                <w:bCs w:val="1"/>
                <w:color w:val="auto"/>
                <w:w w:val="97"/>
              </w:rPr>
              <w:t>Exchange)</w:t>
            </w:r>
          </w:p>
        </w:tc>
        <w:tc>
          <w:tcPr>
            <w:tcW w:w="140" w:type="dxa"/>
            <w:vAlign w:val="bottom"/>
            <w:tcBorders>
              <w:bottom w:val="single" w:sz="8" w:color="auto"/>
            </w:tcBorders>
            <w:gridSpan w:val="3"/>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w w:val="78"/>
              </w:rPr>
              <w:t>(7)</w:t>
            </w:r>
          </w:p>
        </w:tc>
        <w:tc>
          <w:tcPr>
            <w:tcW w:w="120" w:type="dxa"/>
            <w:vAlign w:val="bottom"/>
            <w:gridSpan w:val="2"/>
            <w:vMerge w:val="restart"/>
          </w:tcPr>
          <w:p>
            <w:pPr>
              <w:spacing w:after="0"/>
              <w:rPr>
                <w:sz w:val="12"/>
                <w:szCs w:val="12"/>
                <w:color w:val="auto"/>
              </w:rPr>
            </w:pPr>
          </w:p>
        </w:tc>
        <w:tc>
          <w:tcPr>
            <w:tcW w:w="400" w:type="dxa"/>
            <w:vAlign w:val="bottom"/>
            <w:gridSpan w:val="5"/>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40" w:type="dxa"/>
            <w:vAlign w:val="bottom"/>
            <w:gridSpan w:val="2"/>
            <w:vMerge w:val="restart"/>
          </w:tcPr>
          <w:p>
            <w:pPr>
              <w:spacing w:after="0"/>
              <w:rPr>
                <w:sz w:val="12"/>
                <w:szCs w:val="12"/>
                <w:color w:val="auto"/>
              </w:rPr>
            </w:pPr>
          </w:p>
        </w:tc>
        <w:tc>
          <w:tcPr>
            <w:tcW w:w="300" w:type="dxa"/>
            <w:vAlign w:val="bottom"/>
            <w:gridSpan w:val="2"/>
            <w:vMerge w:val="restart"/>
          </w:tcPr>
          <w:p>
            <w:pPr>
              <w:spacing w:after="0"/>
              <w:rPr>
                <w:sz w:val="12"/>
                <w:szCs w:val="12"/>
                <w:color w:val="auto"/>
              </w:rPr>
            </w:pPr>
          </w:p>
        </w:tc>
        <w:tc>
          <w:tcPr>
            <w:tcW w:w="200" w:type="dxa"/>
            <w:vAlign w:val="bottom"/>
            <w:gridSpan w:val="3"/>
            <w:vMerge w:val="restart"/>
          </w:tcPr>
          <w:p>
            <w:pPr>
              <w:spacing w:after="0"/>
              <w:rPr>
                <w:sz w:val="12"/>
                <w:szCs w:val="12"/>
                <w:color w:val="auto"/>
              </w:rPr>
            </w:pPr>
          </w:p>
        </w:tc>
        <w:tc>
          <w:tcPr>
            <w:tcW w:w="100" w:type="dxa"/>
            <w:vAlign w:val="bottom"/>
            <w:gridSpan w:val="2"/>
            <w:vMerge w:val="restart"/>
          </w:tcPr>
          <w:p>
            <w:pPr>
              <w:spacing w:after="0"/>
              <w:rPr>
                <w:sz w:val="12"/>
                <w:szCs w:val="12"/>
                <w:color w:val="auto"/>
              </w:rPr>
            </w:pPr>
          </w:p>
        </w:tc>
        <w:tc>
          <w:tcPr>
            <w:tcW w:w="260" w:type="dxa"/>
            <w:vAlign w:val="bottom"/>
            <w:gridSpan w:val="3"/>
            <w:vMerge w:val="restart"/>
          </w:tcPr>
          <w:p>
            <w:pPr>
              <w:spacing w:after="0"/>
              <w:rPr>
                <w:sz w:val="12"/>
                <w:szCs w:val="12"/>
                <w:color w:val="auto"/>
              </w:rPr>
            </w:pP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color w:val="auto"/>
                <w:w w:val="99"/>
              </w:rPr>
              <w:t>New York, NY</w:t>
            </w: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auto"/>
            </w:tcBorders>
            <w:gridSpan w:val="3"/>
            <w:vMerge w:val="continue"/>
          </w:tcPr>
          <w:p>
            <w:pPr>
              <w:spacing w:after="0"/>
              <w:rPr>
                <w:sz w:val="3"/>
                <w:szCs w:val="3"/>
                <w:color w:val="auto"/>
              </w:rPr>
            </w:pPr>
          </w:p>
        </w:tc>
        <w:tc>
          <w:tcPr>
            <w:tcW w:w="140" w:type="dxa"/>
            <w:vAlign w:val="bottom"/>
            <w:gridSpan w:val="3"/>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400" w:type="dxa"/>
            <w:vAlign w:val="bottom"/>
            <w:gridSpan w:val="5"/>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40" w:type="dxa"/>
            <w:vAlign w:val="bottom"/>
            <w:gridSpan w:val="2"/>
            <w:vMerge w:val="continue"/>
          </w:tcPr>
          <w:p>
            <w:pPr>
              <w:spacing w:after="0"/>
              <w:rPr>
                <w:sz w:val="3"/>
                <w:szCs w:val="3"/>
                <w:color w:val="auto"/>
              </w:rPr>
            </w:pPr>
          </w:p>
        </w:tc>
        <w:tc>
          <w:tcPr>
            <w:tcW w:w="300" w:type="dxa"/>
            <w:vAlign w:val="bottom"/>
            <w:gridSpan w:val="2"/>
            <w:vMerge w:val="continue"/>
          </w:tcPr>
          <w:p>
            <w:pPr>
              <w:spacing w:after="0"/>
              <w:rPr>
                <w:sz w:val="3"/>
                <w:szCs w:val="3"/>
                <w:color w:val="auto"/>
              </w:rPr>
            </w:pPr>
          </w:p>
        </w:tc>
        <w:tc>
          <w:tcPr>
            <w:tcW w:w="200" w:type="dxa"/>
            <w:vAlign w:val="bottom"/>
            <w:gridSpan w:val="3"/>
            <w:vMerge w:val="continue"/>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260" w:type="dxa"/>
            <w:vAlign w:val="bottom"/>
            <w:gridSpan w:val="3"/>
            <w:vMerge w:val="continue"/>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1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3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5"/>
                <w:szCs w:val="15"/>
                <w:color w:val="auto"/>
              </w:rPr>
              <w:t>Simple Agreement for Future</w:t>
            </w:r>
          </w:p>
        </w:tc>
        <w:tc>
          <w:tcPr>
            <w:tcW w:w="1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3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w:t>
            </w: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Sports Betting</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7/26/2023</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1,000,000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1,002,153</w:t>
            </w:r>
          </w:p>
        </w:tc>
        <w:tc>
          <w:tcPr>
            <w:tcW w:w="3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862,362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0.55%</w:t>
            </w:r>
          </w:p>
        </w:tc>
        <w:tc>
          <w:tcPr>
            <w:tcW w:w="0" w:type="dxa"/>
            <w:vAlign w:val="bottom"/>
          </w:tcPr>
          <w:p>
            <w:pPr>
              <w:spacing w:after="0"/>
              <w:rPr>
                <w:sz w:val="1"/>
                <w:szCs w:val="1"/>
                <w:color w:val="auto"/>
              </w:rPr>
            </w:pPr>
          </w:p>
        </w:tc>
      </w:tr>
      <w:tr>
        <w:trPr>
          <w:trHeight w:val="155"/>
        </w:trPr>
        <w:tc>
          <w:tcPr>
            <w:tcW w:w="940" w:type="dxa"/>
            <w:vAlign w:val="bottom"/>
            <w:tcBorders>
              <w:bottom w:val="single" w:sz="8" w:color="auto"/>
            </w:tcBorders>
            <w:gridSpan w:val="8"/>
          </w:tcPr>
          <w:p>
            <w:pPr>
              <w:spacing w:after="0" w:line="149" w:lineRule="exact"/>
              <w:rPr>
                <w:sz w:val="20"/>
                <w:szCs w:val="20"/>
                <w:color w:val="auto"/>
              </w:rPr>
            </w:pPr>
            <w:r>
              <w:rPr>
                <w:rFonts w:ascii="Times New Roman" w:cs="Times New Roman" w:eastAsia="Times New Roman" w:hAnsi="Times New Roman"/>
                <w:sz w:val="15"/>
                <w:szCs w:val="15"/>
                <w:b w:val="1"/>
                <w:bCs w:val="1"/>
                <w:color w:val="auto"/>
                <w:w w:val="98"/>
              </w:rPr>
              <w:t>Skillsoft Corp.</w:t>
            </w:r>
          </w:p>
        </w:tc>
        <w:tc>
          <w:tcPr>
            <w:tcW w:w="1440" w:type="dxa"/>
            <w:vAlign w:val="bottom"/>
            <w:gridSpan w:val="18"/>
          </w:tcPr>
          <w:p>
            <w:pPr>
              <w:spacing w:after="0"/>
              <w:rPr>
                <w:sz w:val="13"/>
                <w:szCs w:val="13"/>
                <w:color w:val="auto"/>
              </w:rPr>
            </w:pPr>
          </w:p>
        </w:tc>
        <w:tc>
          <w:tcPr>
            <w:tcW w:w="15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5"/>
                <w:szCs w:val="15"/>
                <w:color w:val="auto"/>
              </w:rPr>
              <w:t>Nashua, NH</w:t>
            </w: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380" w:type="dxa"/>
            <w:vAlign w:val="bottom"/>
            <w:gridSpan w:val="26"/>
            <w:shd w:val="clear" w:color="auto" w:fill="CCEEFF"/>
          </w:tcPr>
          <w:p>
            <w:pPr>
              <w:spacing w:after="0" w:line="223" w:lineRule="exact"/>
              <w:rPr>
                <w:sz w:val="20"/>
                <w:szCs w:val="20"/>
                <w:color w:val="auto"/>
              </w:rPr>
            </w:pPr>
            <w:r>
              <w:rPr>
                <w:rFonts w:ascii="Times New Roman" w:cs="Times New Roman" w:eastAsia="Times New Roman" w:hAnsi="Times New Roman"/>
                <w:sz w:val="15"/>
                <w:szCs w:val="15"/>
                <w:color w:val="auto"/>
              </w:rPr>
              <w:t>Common shares</w:t>
            </w:r>
            <w:r>
              <w:rPr>
                <w:rFonts w:ascii="Times New Roman" w:cs="Times New Roman" w:eastAsia="Times New Roman" w:hAnsi="Times New Roman"/>
                <w:sz w:val="25"/>
                <w:szCs w:val="25"/>
                <w:color w:val="auto"/>
                <w:vertAlign w:val="superscript"/>
              </w:rPr>
              <w:t>(3)</w:t>
            </w: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Online Education</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6/8/2021</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49,092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9,818,428</w:t>
            </w: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760,926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0.48%</w:t>
            </w:r>
          </w:p>
        </w:tc>
        <w:tc>
          <w:tcPr>
            <w:tcW w:w="0" w:type="dxa"/>
            <w:vAlign w:val="bottom"/>
          </w:tcPr>
          <w:p>
            <w:pPr>
              <w:spacing w:after="0"/>
              <w:rPr>
                <w:sz w:val="1"/>
                <w:szCs w:val="1"/>
                <w:color w:val="auto"/>
              </w:rPr>
            </w:pPr>
          </w:p>
        </w:tc>
      </w:tr>
      <w:tr>
        <w:trPr>
          <w:trHeight w:val="125"/>
        </w:trPr>
        <w:tc>
          <w:tcPr>
            <w:tcW w:w="1340" w:type="dxa"/>
            <w:vAlign w:val="bottom"/>
            <w:gridSpan w:val="13"/>
            <w:vMerge w:val="restart"/>
          </w:tcPr>
          <w:p>
            <w:pPr>
              <w:spacing w:after="0"/>
              <w:rPr>
                <w:sz w:val="20"/>
                <w:szCs w:val="20"/>
                <w:color w:val="auto"/>
              </w:rPr>
            </w:pPr>
            <w:r>
              <w:rPr>
                <w:rFonts w:ascii="Times New Roman" w:cs="Times New Roman" w:eastAsia="Times New Roman" w:hAnsi="Times New Roman"/>
                <w:sz w:val="15"/>
                <w:szCs w:val="15"/>
                <w:b w:val="1"/>
                <w:bCs w:val="1"/>
                <w:color w:val="auto"/>
                <w:w w:val="99"/>
              </w:rPr>
              <w:t>EDGE Markets, Inc.</w:t>
            </w:r>
          </w:p>
        </w:tc>
        <w:tc>
          <w:tcPr>
            <w:tcW w:w="14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w w:val="85"/>
              </w:rPr>
              <w:t>(7)</w:t>
            </w:r>
          </w:p>
        </w:tc>
        <w:tc>
          <w:tcPr>
            <w:tcW w:w="40" w:type="dxa"/>
            <w:vAlign w:val="bottom"/>
            <w:gridSpan w:val="2"/>
            <w:vMerge w:val="restart"/>
          </w:tcPr>
          <w:p>
            <w:pPr>
              <w:spacing w:after="0"/>
              <w:rPr>
                <w:sz w:val="10"/>
                <w:szCs w:val="10"/>
                <w:color w:val="auto"/>
              </w:rPr>
            </w:pPr>
          </w:p>
        </w:tc>
        <w:tc>
          <w:tcPr>
            <w:tcW w:w="300" w:type="dxa"/>
            <w:vAlign w:val="bottom"/>
            <w:gridSpan w:val="2"/>
            <w:vMerge w:val="restart"/>
          </w:tcPr>
          <w:p>
            <w:pPr>
              <w:spacing w:after="0"/>
              <w:rPr>
                <w:sz w:val="10"/>
                <w:szCs w:val="10"/>
                <w:color w:val="auto"/>
              </w:rPr>
            </w:pPr>
          </w:p>
        </w:tc>
        <w:tc>
          <w:tcPr>
            <w:tcW w:w="200" w:type="dxa"/>
            <w:vAlign w:val="bottom"/>
            <w:gridSpan w:val="3"/>
            <w:vMerge w:val="restart"/>
          </w:tcPr>
          <w:p>
            <w:pPr>
              <w:spacing w:after="0"/>
              <w:rPr>
                <w:sz w:val="10"/>
                <w:szCs w:val="10"/>
                <w:color w:val="auto"/>
              </w:rPr>
            </w:pPr>
          </w:p>
        </w:tc>
        <w:tc>
          <w:tcPr>
            <w:tcW w:w="100" w:type="dxa"/>
            <w:vAlign w:val="bottom"/>
            <w:gridSpan w:val="2"/>
            <w:vMerge w:val="restart"/>
          </w:tcPr>
          <w:p>
            <w:pPr>
              <w:spacing w:after="0"/>
              <w:rPr>
                <w:sz w:val="10"/>
                <w:szCs w:val="10"/>
                <w:color w:val="auto"/>
              </w:rPr>
            </w:pPr>
          </w:p>
        </w:tc>
        <w:tc>
          <w:tcPr>
            <w:tcW w:w="260" w:type="dxa"/>
            <w:vAlign w:val="bottom"/>
            <w:gridSpan w:val="3"/>
            <w:vMerge w:val="restart"/>
          </w:tcPr>
          <w:p>
            <w:pPr>
              <w:spacing w:after="0"/>
              <w:rPr>
                <w:sz w:val="10"/>
                <w:szCs w:val="10"/>
                <w:color w:val="auto"/>
              </w:rPr>
            </w:pP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color w:val="auto"/>
              </w:rPr>
              <w:t>San Diego, CA</w:t>
            </w:r>
          </w:p>
        </w:tc>
        <w:tc>
          <w:tcPr>
            <w:tcW w:w="1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1340" w:type="dxa"/>
            <w:vAlign w:val="bottom"/>
            <w:tcBorders>
              <w:bottom w:val="single" w:sz="8" w:color="auto"/>
            </w:tcBorders>
            <w:gridSpan w:val="13"/>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gridSpan w:val="2"/>
            <w:vMerge w:val="continue"/>
          </w:tcPr>
          <w:p>
            <w:pPr>
              <w:spacing w:after="0"/>
              <w:rPr>
                <w:sz w:val="3"/>
                <w:szCs w:val="3"/>
                <w:color w:val="auto"/>
              </w:rPr>
            </w:pPr>
          </w:p>
        </w:tc>
        <w:tc>
          <w:tcPr>
            <w:tcW w:w="300" w:type="dxa"/>
            <w:vAlign w:val="bottom"/>
            <w:gridSpan w:val="2"/>
            <w:vMerge w:val="continue"/>
          </w:tcPr>
          <w:p>
            <w:pPr>
              <w:spacing w:after="0"/>
              <w:rPr>
                <w:sz w:val="3"/>
                <w:szCs w:val="3"/>
                <w:color w:val="auto"/>
              </w:rPr>
            </w:pPr>
          </w:p>
        </w:tc>
        <w:tc>
          <w:tcPr>
            <w:tcW w:w="200" w:type="dxa"/>
            <w:vAlign w:val="bottom"/>
            <w:gridSpan w:val="3"/>
            <w:vMerge w:val="continue"/>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260" w:type="dxa"/>
            <w:vAlign w:val="bottom"/>
            <w:gridSpan w:val="3"/>
            <w:vMerge w:val="continue"/>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1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3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Seed</w:t>
            </w: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Gaming Technology</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5/18/2022</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456,704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501,330</w:t>
            </w:r>
          </w:p>
        </w:tc>
        <w:tc>
          <w:tcPr>
            <w:tcW w:w="32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500,000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0.32%</w:t>
            </w:r>
          </w:p>
        </w:tc>
        <w:tc>
          <w:tcPr>
            <w:tcW w:w="0" w:type="dxa"/>
            <w:vAlign w:val="bottom"/>
          </w:tcPr>
          <w:p>
            <w:pPr>
              <w:spacing w:after="0"/>
              <w:rPr>
                <w:sz w:val="1"/>
                <w:szCs w:val="1"/>
                <w:color w:val="auto"/>
              </w:rPr>
            </w:pPr>
          </w:p>
        </w:tc>
      </w:tr>
      <w:tr>
        <w:trPr>
          <w:trHeight w:val="148"/>
        </w:trPr>
        <w:tc>
          <w:tcPr>
            <w:tcW w:w="2380" w:type="dxa"/>
            <w:vAlign w:val="bottom"/>
            <w:gridSpan w:val="26"/>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Rebric, Inc. (d/b/a Compliable)</w:t>
            </w: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color w:val="auto"/>
                <w:w w:val="99"/>
              </w:rPr>
              <w:t>Denver, CO</w:t>
            </w: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0" w:type="dxa"/>
            <w:vAlign w:val="bottom"/>
            <w:tcBorders>
              <w:top w:val="single" w:sz="8" w:color="auto"/>
              <w:bottom w:val="single" w:sz="8" w:color="auto"/>
            </w:tcBorders>
          </w:tcPr>
          <w:p>
            <w:pPr>
              <w:spacing w:after="0" w:line="128" w:lineRule="exact"/>
              <w:rPr>
                <w:sz w:val="20"/>
                <w:szCs w:val="20"/>
                <w:color w:val="auto"/>
              </w:rPr>
            </w:pPr>
            <w:r>
              <w:rPr>
                <w:rFonts w:ascii="Times New Roman" w:cs="Times New Roman" w:eastAsia="Times New Roman" w:hAnsi="Times New Roman"/>
                <w:sz w:val="13"/>
                <w:szCs w:val="13"/>
                <w:b w:val="1"/>
                <w:bCs w:val="1"/>
                <w:color w:val="auto"/>
                <w:w w:val="78"/>
              </w:rPr>
              <w:t>(7)</w:t>
            </w:r>
          </w:p>
        </w:tc>
        <w:tc>
          <w:tcPr>
            <w:tcW w:w="3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3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Seed-4</w:t>
            </w: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Gaming Licensing</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10/12/2021</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2,406,492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1,002,755</w:t>
            </w:r>
          </w:p>
        </w:tc>
        <w:tc>
          <w:tcPr>
            <w:tcW w:w="3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157,658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0.10%</w:t>
            </w:r>
          </w:p>
        </w:tc>
        <w:tc>
          <w:tcPr>
            <w:tcW w:w="0" w:type="dxa"/>
            <w:vAlign w:val="bottom"/>
          </w:tcPr>
          <w:p>
            <w:pPr>
              <w:spacing w:after="0"/>
              <w:rPr>
                <w:sz w:val="1"/>
                <w:szCs w:val="1"/>
                <w:color w:val="auto"/>
              </w:rPr>
            </w:pPr>
          </w:p>
        </w:tc>
      </w:tr>
      <w:tr>
        <w:trPr>
          <w:trHeight w:val="155"/>
        </w:trPr>
        <w:tc>
          <w:tcPr>
            <w:tcW w:w="1520" w:type="dxa"/>
            <w:vAlign w:val="bottom"/>
            <w:tcBorders>
              <w:bottom w:val="single" w:sz="8" w:color="auto"/>
            </w:tcBorders>
            <w:gridSpan w:val="16"/>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Kinetiq Holdings, LLC</w:t>
            </w:r>
          </w:p>
        </w:tc>
        <w:tc>
          <w:tcPr>
            <w:tcW w:w="860" w:type="dxa"/>
            <w:vAlign w:val="bottom"/>
            <w:gridSpan w:val="10"/>
          </w:tcPr>
          <w:p>
            <w:pPr>
              <w:spacing w:after="0"/>
              <w:rPr>
                <w:sz w:val="13"/>
                <w:szCs w:val="13"/>
                <w:color w:val="auto"/>
              </w:rPr>
            </w:pPr>
          </w:p>
        </w:tc>
        <w:tc>
          <w:tcPr>
            <w:tcW w:w="15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5"/>
                <w:szCs w:val="15"/>
                <w:color w:val="auto"/>
                <w:w w:val="98"/>
              </w:rPr>
              <w:t>Philadelphia, PA</w:t>
            </w: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3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 Class A</w:t>
            </w: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Social Data Platform</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3/30/2012</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112,374</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2,498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8"/>
        </w:trPr>
        <w:tc>
          <w:tcPr>
            <w:tcW w:w="1820" w:type="dxa"/>
            <w:vAlign w:val="bottom"/>
            <w:tcBorders>
              <w:bottom w:val="single" w:sz="8" w:color="auto"/>
            </w:tcBorders>
            <w:gridSpan w:val="18"/>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CTN Holdings, Inc. (d/b/a</w:t>
            </w:r>
          </w:p>
        </w:tc>
        <w:tc>
          <w:tcPr>
            <w:tcW w:w="560" w:type="dxa"/>
            <w:vAlign w:val="bottom"/>
            <w:gridSpan w:val="8"/>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20" w:type="dxa"/>
            <w:vAlign w:val="bottom"/>
            <w:tcBorders>
              <w:bottom w:val="single" w:sz="8" w:color="auto"/>
            </w:tcBorders>
            <w:gridSpan w:val="23"/>
          </w:tcPr>
          <w:p>
            <w:pPr>
              <w:spacing w:after="0" w:line="162" w:lineRule="exact"/>
              <w:rPr>
                <w:sz w:val="20"/>
                <w:szCs w:val="20"/>
                <w:color w:val="auto"/>
              </w:rPr>
            </w:pPr>
            <w:r>
              <w:rPr>
                <w:rFonts w:ascii="Times New Roman" w:cs="Times New Roman" w:eastAsia="Times New Roman" w:hAnsi="Times New Roman"/>
                <w:sz w:val="15"/>
                <w:szCs w:val="15"/>
                <w:b w:val="1"/>
                <w:bCs w:val="1"/>
                <w:color w:val="auto"/>
                <w:w w:val="99"/>
              </w:rPr>
              <w:t>Catona Climate, f/k/a Aspiration</w:t>
            </w:r>
          </w:p>
        </w:tc>
        <w:tc>
          <w:tcPr>
            <w:tcW w:w="260" w:type="dxa"/>
            <w:vAlign w:val="bottom"/>
            <w:gridSpan w:val="3"/>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gridSpan w:val="26"/>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Partners, Inc.)</w:t>
            </w:r>
          </w:p>
        </w:tc>
        <w:tc>
          <w:tcPr>
            <w:tcW w:w="15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color w:val="auto"/>
                <w:w w:val="99"/>
              </w:rPr>
              <w:t>Marina Del Rey, CA</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14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220"/>
              <w:spacing w:after="0" w:line="168" w:lineRule="exact"/>
              <w:rPr>
                <w:sz w:val="20"/>
                <w:szCs w:val="20"/>
                <w:color w:val="auto"/>
              </w:rPr>
            </w:pPr>
            <w:r>
              <w:rPr>
                <w:rFonts w:ascii="Times New Roman" w:cs="Times New Roman" w:eastAsia="Times New Roman" w:hAnsi="Times New Roman"/>
                <w:sz w:val="15"/>
                <w:szCs w:val="15"/>
                <w:color w:val="auto"/>
              </w:rPr>
              <w:t>Carbon Credit</w:t>
            </w: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3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A</w:t>
            </w: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Services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8/11/2015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540,270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1,001,815</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4"/>
        </w:trPr>
        <w:tc>
          <w:tcPr>
            <w:tcW w:w="2380" w:type="dxa"/>
            <w:vAlign w:val="bottom"/>
            <w:gridSpan w:val="26"/>
          </w:tcPr>
          <w:p>
            <w:pPr>
              <w:spacing w:after="0"/>
              <w:rPr>
                <w:sz w:val="20"/>
                <w:szCs w:val="20"/>
                <w:color w:val="auto"/>
              </w:rPr>
            </w:pPr>
            <w:r>
              <w:rPr>
                <w:rFonts w:ascii="Times New Roman" w:cs="Times New Roman" w:eastAsia="Times New Roman" w:hAnsi="Times New Roman"/>
                <w:sz w:val="15"/>
                <w:szCs w:val="15"/>
                <w:color w:val="auto"/>
              </w:rPr>
              <w:t>Preferred shares, Series C-3</w:t>
            </w: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8/12/2019</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24,912</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281,190</w:t>
            </w:r>
          </w:p>
        </w:tc>
        <w:tc>
          <w:tcPr>
            <w:tcW w:w="320" w:type="dxa"/>
            <w:vAlign w:val="bottom"/>
          </w:tcPr>
          <w:p>
            <w:pPr>
              <w:spacing w:after="0"/>
              <w:rPr>
                <w:sz w:val="16"/>
                <w:szCs w:val="16"/>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4"/>
        </w:trPr>
        <w:tc>
          <w:tcPr>
            <w:tcW w:w="140" w:type="dxa"/>
            <w:vAlign w:val="bottom"/>
            <w:tcBorders>
              <w:top w:val="single" w:sz="8" w:color="CCEEFF"/>
            </w:tcBorders>
            <w:shd w:val="clear" w:color="auto" w:fill="CCEEFF"/>
          </w:tcPr>
          <w:p>
            <w:pPr>
              <w:spacing w:after="0"/>
              <w:rPr>
                <w:sz w:val="15"/>
                <w:szCs w:val="15"/>
                <w:color w:val="auto"/>
              </w:rPr>
            </w:pPr>
          </w:p>
        </w:tc>
        <w:tc>
          <w:tcPr>
            <w:tcW w:w="2240" w:type="dxa"/>
            <w:vAlign w:val="bottom"/>
            <w:tcBorders>
              <w:top w:val="single" w:sz="8" w:color="CCEEFF"/>
            </w:tcBorders>
            <w:gridSpan w:val="25"/>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1,283,005</w:t>
            </w:r>
          </w:p>
        </w:tc>
        <w:tc>
          <w:tcPr>
            <w:tcW w:w="3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w:t>
      </w:r>
    </w:p>
    <w:p>
      <w:pPr>
        <w:sectPr>
          <w:pgSz w:w="11900" w:h="16838" w:orient="portrait"/>
          <w:cols w:equalWidth="0" w:num="1">
            <w:col w:w="11260"/>
          </w:cols>
          <w:pgMar w:left="320" w:top="216" w:right="319" w:bottom="1440" w:gutter="0" w:footer="0" w:header="0"/>
        </w:sectPr>
      </w:pPr>
    </w:p>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216" w:right="31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SCHEDULE OF INVESTMENTS (UNAUDITED) -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September 30, 2024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Headquarters/</w:t>
            </w:r>
          </w:p>
        </w:tc>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Date of Initial</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ind w:left="36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 of Net</w:t>
            </w:r>
          </w:p>
        </w:tc>
        <w:tc>
          <w:tcPr>
            <w:tcW w:w="0" w:type="dxa"/>
            <w:vAlign w:val="bottom"/>
          </w:tcPr>
          <w:p>
            <w:pPr>
              <w:spacing w:after="0"/>
              <w:rPr>
                <w:sz w:val="1"/>
                <w:szCs w:val="1"/>
                <w:color w:val="auto"/>
              </w:rPr>
            </w:pPr>
          </w:p>
        </w:tc>
      </w:tr>
      <w:tr>
        <w:trPr>
          <w:trHeight w:val="228"/>
        </w:trPr>
        <w:tc>
          <w:tcPr>
            <w:tcW w:w="2640" w:type="dxa"/>
            <w:vAlign w:val="bottom"/>
            <w:gridSpan w:val="11"/>
          </w:tcPr>
          <w:p>
            <w:pPr>
              <w:spacing w:after="0"/>
              <w:rPr>
                <w:sz w:val="20"/>
                <w:szCs w:val="20"/>
                <w:color w:val="auto"/>
              </w:rPr>
            </w:pPr>
            <w:r>
              <w:rPr>
                <w:rFonts w:ascii="Times New Roman" w:cs="Times New Roman" w:eastAsia="Times New Roman" w:hAnsi="Times New Roman"/>
                <w:sz w:val="15"/>
                <w:szCs w:val="15"/>
                <w:b w:val="1"/>
                <w:bCs w:val="1"/>
                <w:color w:val="auto"/>
              </w:rPr>
              <w:t>Portfolio Investments*</w:t>
            </w:r>
          </w:p>
        </w:tc>
        <w:tc>
          <w:tcPr>
            <w:tcW w:w="1420" w:type="dxa"/>
            <w:vAlign w:val="bottom"/>
            <w:gridSpan w:val="2"/>
          </w:tcPr>
          <w:p>
            <w:pPr>
              <w:jc w:val="center"/>
              <w:ind w:right="200"/>
              <w:spacing w:after="0" w:line="228" w:lineRule="exact"/>
              <w:rPr>
                <w:sz w:val="20"/>
                <w:szCs w:val="20"/>
                <w:color w:val="auto"/>
              </w:rPr>
            </w:pPr>
            <w:r>
              <w:rPr>
                <w:rFonts w:ascii="Times New Roman" w:cs="Times New Roman" w:eastAsia="Times New Roman" w:hAnsi="Times New Roman"/>
                <w:sz w:val="15"/>
                <w:szCs w:val="15"/>
                <w:b w:val="1"/>
                <w:bCs w:val="1"/>
                <w:color w:val="auto"/>
                <w:w w:val="93"/>
              </w:rPr>
              <w:t>Industry</w:t>
            </w:r>
            <w:r>
              <w:rPr>
                <w:rFonts w:ascii="Times New Roman" w:cs="Times New Roman" w:eastAsia="Times New Roman" w:hAnsi="Times New Roman"/>
                <w:sz w:val="25"/>
                <w:szCs w:val="25"/>
                <w:b w:val="1"/>
                <w:bCs w:val="1"/>
                <w:color w:val="auto"/>
                <w:w w:val="93"/>
                <w:vertAlign w:val="superscript"/>
              </w:rPr>
              <w:t>(15)</w:t>
            </w:r>
          </w:p>
        </w:tc>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1740" w:type="dxa"/>
            <w:vAlign w:val="bottom"/>
            <w:gridSpan w:val="4"/>
          </w:tcPr>
          <w:p>
            <w:pPr>
              <w:ind w:left="220"/>
              <w:spacing w:after="0" w:line="228" w:lineRule="exact"/>
              <w:rPr>
                <w:sz w:val="20"/>
                <w:szCs w:val="20"/>
                <w:color w:val="auto"/>
              </w:rPr>
            </w:pPr>
            <w:r>
              <w:rPr>
                <w:rFonts w:ascii="Times New Roman" w:cs="Times New Roman" w:eastAsia="Times New Roman" w:hAnsi="Times New Roman"/>
                <w:sz w:val="15"/>
                <w:szCs w:val="15"/>
                <w:b w:val="1"/>
                <w:bCs w:val="1"/>
                <w:color w:val="auto"/>
              </w:rPr>
              <w:t>Principal/Quantity</w:t>
            </w:r>
            <w:r>
              <w:rPr>
                <w:rFonts w:ascii="Times New Roman" w:cs="Times New Roman" w:eastAsia="Times New Roman" w:hAnsi="Times New Roman"/>
                <w:sz w:val="25"/>
                <w:szCs w:val="25"/>
                <w:b w:val="1"/>
                <w:bCs w:val="1"/>
                <w:color w:val="auto"/>
                <w:vertAlign w:val="superscript"/>
              </w:rPr>
              <w:t>(5)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40" w:type="dxa"/>
            <w:vAlign w:val="bottom"/>
          </w:tcPr>
          <w:p>
            <w:pPr>
              <w:spacing w:after="0"/>
              <w:rPr>
                <w:sz w:val="19"/>
                <w:szCs w:val="19"/>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260" w:type="dxa"/>
            <w:vAlign w:val="bottom"/>
            <w:gridSpan w:val="2"/>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0" w:type="dxa"/>
            <w:vAlign w:val="bottom"/>
          </w:tcPr>
          <w:p>
            <w:pPr>
              <w:spacing w:after="0"/>
              <w:rPr>
                <w:sz w:val="1"/>
                <w:szCs w:val="1"/>
                <w:color w:val="auto"/>
              </w:rPr>
            </w:pPr>
          </w:p>
        </w:tc>
      </w:tr>
      <w:tr>
        <w:trPr>
          <w:trHeight w:val="154"/>
        </w:trPr>
        <w:tc>
          <w:tcPr>
            <w:tcW w:w="1000" w:type="dxa"/>
            <w:vAlign w:val="bottom"/>
            <w:tcBorders>
              <w:top w:val="single" w:sz="8" w:color="auto"/>
              <w:bottom w:val="single" w:sz="8" w:color="auto"/>
            </w:tcBorders>
            <w:gridSpan w:val="2"/>
            <w:shd w:val="clear" w:color="auto" w:fill="CCEEFF"/>
          </w:tcPr>
          <w:p>
            <w:pPr>
              <w:spacing w:after="0" w:line="140" w:lineRule="exact"/>
              <w:rPr>
                <w:sz w:val="20"/>
                <w:szCs w:val="20"/>
                <w:color w:val="auto"/>
              </w:rPr>
            </w:pPr>
            <w:r>
              <w:rPr>
                <w:rFonts w:ascii="Times New Roman" w:cs="Times New Roman" w:eastAsia="Times New Roman" w:hAnsi="Times New Roman"/>
                <w:sz w:val="15"/>
                <w:szCs w:val="15"/>
                <w:b w:val="1"/>
                <w:bCs w:val="1"/>
                <w:color w:val="auto"/>
                <w:w w:val="98"/>
              </w:rPr>
              <w:t>Fullbridge, Inc.</w:t>
            </w:r>
          </w:p>
        </w:tc>
        <w:tc>
          <w:tcPr>
            <w:tcW w:w="1420" w:type="dxa"/>
            <w:vAlign w:val="bottom"/>
            <w:tcBorders>
              <w:top w:val="single" w:sz="8" w:color="auto"/>
              <w:bottom w:val="single" w:sz="8" w:color="CCEEFF"/>
            </w:tcBorders>
            <w:gridSpan w:val="8"/>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20" w:type="dxa"/>
            <w:vAlign w:val="bottom"/>
            <w:tcBorders>
              <w:top w:val="single" w:sz="8" w:color="auto"/>
              <w:bottom w:val="single" w:sz="8" w:color="CCEEFF"/>
            </w:tcBorders>
            <w:shd w:val="clear" w:color="auto" w:fill="CCEEFF"/>
          </w:tcPr>
          <w:p>
            <w:pPr>
              <w:jc w:val="center"/>
              <w:spacing w:after="0" w:line="140" w:lineRule="exact"/>
              <w:rPr>
                <w:sz w:val="20"/>
                <w:szCs w:val="20"/>
                <w:color w:val="auto"/>
              </w:rPr>
            </w:pPr>
            <w:r>
              <w:rPr>
                <w:rFonts w:ascii="Times New Roman" w:cs="Times New Roman" w:eastAsia="Times New Roman" w:hAnsi="Times New Roman"/>
                <w:sz w:val="15"/>
                <w:szCs w:val="15"/>
                <w:color w:val="auto"/>
              </w:rPr>
              <w:t>Cambridge, MA</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200" w:type="dxa"/>
            <w:vAlign w:val="bottom"/>
            <w:tcBorders>
              <w:top w:val="single" w:sz="8" w:color="auto"/>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CCEEFF"/>
            </w:tcBorders>
            <w:shd w:val="clear" w:color="auto" w:fill="CCEEFF"/>
          </w:tcPr>
          <w:p>
            <w:pPr>
              <w:spacing w:after="0"/>
              <w:rPr>
                <w:sz w:val="13"/>
                <w:szCs w:val="13"/>
                <w:color w:val="auto"/>
              </w:rPr>
            </w:pPr>
          </w:p>
        </w:tc>
        <w:tc>
          <w:tcPr>
            <w:tcW w:w="1280" w:type="dxa"/>
            <w:vAlign w:val="bottom"/>
            <w:tcBorders>
              <w:top w:val="single" w:sz="8" w:color="auto"/>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CCEEFF"/>
            </w:tcBorders>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CCEEFF"/>
            </w:tcBorders>
            <w:shd w:val="clear" w:color="auto" w:fill="CCEEFF"/>
          </w:tcPr>
          <w:p>
            <w:pPr>
              <w:spacing w:after="0"/>
              <w:rPr>
                <w:sz w:val="13"/>
                <w:szCs w:val="13"/>
                <w:color w:val="auto"/>
              </w:rPr>
            </w:pPr>
          </w:p>
        </w:tc>
        <w:tc>
          <w:tcPr>
            <w:tcW w:w="960" w:type="dxa"/>
            <w:vAlign w:val="bottom"/>
            <w:tcBorders>
              <w:top w:val="single" w:sz="8" w:color="auto"/>
              <w:bottom w:val="single" w:sz="8" w:color="CCEEFF"/>
            </w:tcBorders>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1100" w:type="dxa"/>
            <w:vAlign w:val="bottom"/>
            <w:tcBorders>
              <w:top w:val="single" w:sz="8" w:color="auto"/>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640" w:type="dxa"/>
            <w:vAlign w:val="bottom"/>
            <w:gridSpan w:val="11"/>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Business Education</w:t>
            </w:r>
          </w:p>
        </w:tc>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5/13/2012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517,917</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6,150,506</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9"/>
        </w:trPr>
        <w:tc>
          <w:tcPr>
            <w:tcW w:w="2640" w:type="dxa"/>
            <w:vAlign w:val="bottom"/>
            <w:gridSpan w:val="11"/>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Promissory Note 1.47%, Due</w:t>
            </w:r>
          </w:p>
        </w:tc>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100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5"/>
                <w:szCs w:val="15"/>
                <w:color w:val="auto"/>
                <w:w w:val="90"/>
              </w:rPr>
              <w:t>11/9/2021</w:t>
            </w:r>
            <w:r>
              <w:rPr>
                <w:rFonts w:ascii="Times New Roman" w:cs="Times New Roman" w:eastAsia="Times New Roman" w:hAnsi="Times New Roman"/>
                <w:sz w:val="25"/>
                <w:szCs w:val="25"/>
                <w:color w:val="auto"/>
                <w:w w:val="90"/>
                <w:vertAlign w:val="superscript"/>
              </w:rPr>
              <w:t>(4)(14)</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3/3/2016</w:t>
            </w:r>
          </w:p>
        </w:tc>
        <w:tc>
          <w:tcPr>
            <w:tcW w:w="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2,270,458</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2,270,858</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4"/>
        </w:trPr>
        <w:tc>
          <w:tcPr>
            <w:tcW w:w="2640" w:type="dxa"/>
            <w:vAlign w:val="bottom"/>
            <w:tcBorders>
              <w:bottom w:val="single" w:sz="8" w:color="CCEEFF"/>
            </w:tcBorders>
            <w:gridSpan w:val="11"/>
          </w:tcPr>
          <w:p>
            <w:pPr>
              <w:spacing w:after="0"/>
              <w:rPr>
                <w:sz w:val="20"/>
                <w:szCs w:val="20"/>
                <w:color w:val="auto"/>
              </w:rPr>
            </w:pPr>
            <w:r>
              <w:rPr>
                <w:rFonts w:ascii="Times New Roman" w:cs="Times New Roman" w:eastAsia="Times New Roman" w:hAnsi="Times New Roman"/>
                <w:sz w:val="15"/>
                <w:szCs w:val="15"/>
                <w:color w:val="auto"/>
              </w:rPr>
              <w:t>Total</w:t>
            </w:r>
          </w:p>
        </w:tc>
        <w:tc>
          <w:tcPr>
            <w:tcW w:w="12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8,421,364</w:t>
            </w:r>
          </w:p>
        </w:tc>
        <w:tc>
          <w:tcPr>
            <w:tcW w:w="3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28"/>
        </w:trPr>
        <w:tc>
          <w:tcPr>
            <w:tcW w:w="2200" w:type="dxa"/>
            <w:vAlign w:val="bottom"/>
            <w:tcBorders>
              <w:bottom w:val="single" w:sz="8" w:color="auto"/>
            </w:tcBorders>
            <w:gridSpan w:val="9"/>
            <w:shd w:val="clear" w:color="auto" w:fill="CCEEFF"/>
          </w:tcPr>
          <w:p>
            <w:pPr>
              <w:spacing w:after="0" w:line="128" w:lineRule="exact"/>
              <w:rPr>
                <w:sz w:val="20"/>
                <w:szCs w:val="20"/>
                <w:color w:val="auto"/>
              </w:rPr>
            </w:pPr>
            <w:r>
              <w:rPr>
                <w:rFonts w:ascii="Times New Roman" w:cs="Times New Roman" w:eastAsia="Times New Roman" w:hAnsi="Times New Roman"/>
                <w:sz w:val="14"/>
                <w:szCs w:val="14"/>
                <w:b w:val="1"/>
                <w:bCs w:val="1"/>
                <w:color w:val="auto"/>
              </w:rPr>
              <w:t>Treehouse Real Estate Investment</w:t>
            </w:r>
          </w:p>
        </w:tc>
        <w:tc>
          <w:tcPr>
            <w:tcW w:w="440" w:type="dxa"/>
            <w:vAlign w:val="bottom"/>
            <w:tcBorders>
              <w:bottom w:val="single" w:sz="8" w:color="CCEEFF"/>
            </w:tcBorders>
            <w:gridSpan w:val="2"/>
            <w:shd w:val="clear" w:color="auto" w:fill="CCEEFF"/>
          </w:tcPr>
          <w:p>
            <w:pPr>
              <w:spacing w:after="0"/>
              <w:rPr>
                <w:sz w:val="11"/>
                <w:szCs w:val="11"/>
                <w:color w:val="auto"/>
              </w:rPr>
            </w:pPr>
          </w:p>
        </w:tc>
        <w:tc>
          <w:tcPr>
            <w:tcW w:w="12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640" w:type="dxa"/>
            <w:vAlign w:val="bottom"/>
            <w:gridSpan w:val="11"/>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Trust, Inc.</w:t>
            </w:r>
          </w:p>
        </w:tc>
        <w:tc>
          <w:tcPr>
            <w:tcW w:w="1420" w:type="dxa"/>
            <w:vAlign w:val="bottom"/>
            <w:gridSpan w:val="2"/>
            <w:shd w:val="clear" w:color="auto" w:fill="CCEEFF"/>
          </w:tcPr>
          <w:p>
            <w:pPr>
              <w:jc w:val="center"/>
              <w:ind w:right="220"/>
              <w:spacing w:after="0" w:line="162" w:lineRule="exact"/>
              <w:rPr>
                <w:sz w:val="20"/>
                <w:szCs w:val="20"/>
                <w:color w:val="auto"/>
              </w:rPr>
            </w:pPr>
            <w:r>
              <w:rPr>
                <w:rFonts w:ascii="Times New Roman" w:cs="Times New Roman" w:eastAsia="Times New Roman" w:hAnsi="Times New Roman"/>
                <w:sz w:val="15"/>
                <w:szCs w:val="15"/>
                <w:color w:val="auto"/>
              </w:rPr>
              <w:t>Chicago, IL</w:t>
            </w: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66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640" w:type="dxa"/>
            <w:vAlign w:val="bottom"/>
            <w:gridSpan w:val="11"/>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Cannabis REIT</w:t>
            </w:r>
          </w:p>
        </w:tc>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9/11/2019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312,500</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4,919,250</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640" w:type="dxa"/>
            <w:vAlign w:val="bottom"/>
            <w:gridSpan w:val="11"/>
          </w:tcPr>
          <w:p>
            <w:pPr>
              <w:ind w:left="140"/>
              <w:spacing w:after="0"/>
              <w:rPr>
                <w:sz w:val="20"/>
                <w:szCs w:val="20"/>
                <w:color w:val="auto"/>
              </w:rPr>
            </w:pPr>
            <w:r>
              <w:rPr>
                <w:rFonts w:ascii="Times New Roman" w:cs="Times New Roman" w:eastAsia="Times New Roman" w:hAnsi="Times New Roman"/>
                <w:sz w:val="15"/>
                <w:szCs w:val="15"/>
                <w:b w:val="1"/>
                <w:bCs w:val="1"/>
                <w:color w:val="auto"/>
              </w:rPr>
              <w:t>Total Non-controlled/Non-affiliate</w:t>
            </w: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219,324,308</w:t>
            </w:r>
          </w:p>
        </w:tc>
        <w:tc>
          <w:tcPr>
            <w:tcW w:w="3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189,057,313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120.08%</w:t>
            </w:r>
          </w:p>
        </w:tc>
        <w:tc>
          <w:tcPr>
            <w:tcW w:w="0" w:type="dxa"/>
            <w:vAlign w:val="bottom"/>
          </w:tcPr>
          <w:p>
            <w:pPr>
              <w:spacing w:after="0"/>
              <w:rPr>
                <w:sz w:val="1"/>
                <w:szCs w:val="1"/>
                <w:color w:val="auto"/>
              </w:rPr>
            </w:pPr>
          </w:p>
        </w:tc>
      </w:tr>
      <w:tr>
        <w:trPr>
          <w:trHeight w:val="167"/>
        </w:trPr>
        <w:tc>
          <w:tcPr>
            <w:tcW w:w="2640" w:type="dxa"/>
            <w:vAlign w:val="bottom"/>
            <w:gridSpan w:val="11"/>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NON-</w:t>
            </w:r>
          </w:p>
        </w:tc>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640" w:type="dxa"/>
            <w:vAlign w:val="bottom"/>
            <w:gridSpan w:val="11"/>
            <w:shd w:val="clear" w:color="auto" w:fill="CCEEFF"/>
          </w:tcPr>
          <w:p>
            <w:pPr>
              <w:spacing w:after="0" w:line="232" w:lineRule="exact"/>
              <w:rPr>
                <w:sz w:val="20"/>
                <w:szCs w:val="20"/>
                <w:color w:val="auto"/>
              </w:rPr>
            </w:pPr>
            <w:r>
              <w:rPr>
                <w:rFonts w:ascii="Times New Roman" w:cs="Times New Roman" w:eastAsia="Times New Roman" w:hAnsi="Times New Roman"/>
                <w:sz w:val="15"/>
                <w:szCs w:val="15"/>
                <w:b w:val="1"/>
                <w:bCs w:val="1"/>
                <w:color w:val="auto"/>
              </w:rPr>
              <w:t>CONTROLLED/AFFILIATE</w:t>
            </w:r>
            <w:r>
              <w:rPr>
                <w:rFonts w:ascii="Times New Roman" w:cs="Times New Roman" w:eastAsia="Times New Roman" w:hAnsi="Times New Roman"/>
                <w:sz w:val="25"/>
                <w:szCs w:val="25"/>
                <w:b w:val="1"/>
                <w:bCs w:val="1"/>
                <w:color w:val="auto"/>
                <w:vertAlign w:val="superscript"/>
              </w:rPr>
              <w:t>(1)</w:t>
            </w:r>
          </w:p>
        </w:tc>
        <w:tc>
          <w:tcPr>
            <w:tcW w:w="1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25"/>
        </w:trPr>
        <w:tc>
          <w:tcPr>
            <w:tcW w:w="114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b w:val="1"/>
                <w:bCs w:val="1"/>
                <w:color w:val="auto"/>
                <w:w w:val="98"/>
              </w:rPr>
              <w:t>StormWind, LLC</w:t>
            </w:r>
          </w:p>
        </w:tc>
        <w:tc>
          <w:tcPr>
            <w:tcW w:w="220" w:type="dxa"/>
            <w:vAlign w:val="bottom"/>
            <w:tcBorders>
              <w:bottom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w w:val="99"/>
              </w:rPr>
              <w:t>(15)</w:t>
            </w:r>
          </w:p>
        </w:tc>
        <w:tc>
          <w:tcPr>
            <w:tcW w:w="40" w:type="dxa"/>
            <w:vAlign w:val="bottom"/>
            <w:vMerge w:val="restart"/>
          </w:tcPr>
          <w:p>
            <w:pPr>
              <w:spacing w:after="0"/>
              <w:rPr>
                <w:sz w:val="10"/>
                <w:szCs w:val="10"/>
                <w:color w:val="auto"/>
              </w:rPr>
            </w:pPr>
          </w:p>
        </w:tc>
        <w:tc>
          <w:tcPr>
            <w:tcW w:w="520" w:type="dxa"/>
            <w:vAlign w:val="bottom"/>
            <w:vMerge w:val="restart"/>
          </w:tcPr>
          <w:p>
            <w:pPr>
              <w:spacing w:after="0"/>
              <w:rPr>
                <w:sz w:val="10"/>
                <w:szCs w:val="10"/>
                <w:color w:val="auto"/>
              </w:rPr>
            </w:pPr>
          </w:p>
        </w:tc>
        <w:tc>
          <w:tcPr>
            <w:tcW w:w="140" w:type="dxa"/>
            <w:vAlign w:val="bottom"/>
            <w:vMerge w:val="restart"/>
          </w:tcPr>
          <w:p>
            <w:pPr>
              <w:spacing w:after="0"/>
              <w:rPr>
                <w:sz w:val="10"/>
                <w:szCs w:val="10"/>
                <w:color w:val="auto"/>
              </w:rPr>
            </w:pPr>
          </w:p>
        </w:tc>
        <w:tc>
          <w:tcPr>
            <w:tcW w:w="580" w:type="dxa"/>
            <w:vAlign w:val="bottom"/>
            <w:gridSpan w:val="3"/>
            <w:vMerge w:val="restart"/>
          </w:tcPr>
          <w:p>
            <w:pPr>
              <w:spacing w:after="0"/>
              <w:rPr>
                <w:sz w:val="10"/>
                <w:szCs w:val="10"/>
                <w:color w:val="auto"/>
              </w:rPr>
            </w:pPr>
          </w:p>
        </w:tc>
        <w:tc>
          <w:tcPr>
            <w:tcW w:w="1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5"/>
                <w:szCs w:val="15"/>
                <w:color w:val="auto"/>
              </w:rPr>
              <w:t>Scottsdale, AZ</w:t>
            </w:r>
          </w:p>
        </w:tc>
        <w:tc>
          <w:tcPr>
            <w:tcW w:w="1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1140" w:type="dxa"/>
            <w:vAlign w:val="bottom"/>
            <w:tcBorders>
              <w:bottom w:val="single" w:sz="8" w:color="auto"/>
            </w:tcBorders>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580" w:type="dxa"/>
            <w:vAlign w:val="bottom"/>
            <w:gridSpan w:val="3"/>
            <w:vMerge w:val="continue"/>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1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9"/>
              </w:rPr>
              <w:t>Interactive</w:t>
            </w: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6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D 8%</w:t>
            </w:r>
          </w:p>
        </w:tc>
        <w:tc>
          <w:tcPr>
            <w:tcW w:w="14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Learning</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11/26/2019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329,337</w:t>
            </w:r>
          </w:p>
        </w:tc>
        <w:tc>
          <w:tcPr>
            <w:tcW w:w="3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257,267</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472,557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0.30%</w:t>
            </w:r>
          </w:p>
        </w:tc>
        <w:tc>
          <w:tcPr>
            <w:tcW w:w="0" w:type="dxa"/>
            <w:vAlign w:val="bottom"/>
          </w:tcPr>
          <w:p>
            <w:pPr>
              <w:spacing w:after="0"/>
              <w:rPr>
                <w:sz w:val="1"/>
                <w:szCs w:val="1"/>
                <w:color w:val="auto"/>
              </w:rPr>
            </w:pPr>
          </w:p>
        </w:tc>
      </w:tr>
      <w:tr>
        <w:trPr>
          <w:trHeight w:val="182"/>
        </w:trPr>
        <w:tc>
          <w:tcPr>
            <w:tcW w:w="2640" w:type="dxa"/>
            <w:vAlign w:val="bottom"/>
            <w:gridSpan w:val="11"/>
          </w:tcPr>
          <w:p>
            <w:pPr>
              <w:spacing w:after="0"/>
              <w:rPr>
                <w:sz w:val="20"/>
                <w:szCs w:val="20"/>
                <w:color w:val="auto"/>
              </w:rPr>
            </w:pPr>
            <w:r>
              <w:rPr>
                <w:rFonts w:ascii="Times New Roman" w:cs="Times New Roman" w:eastAsia="Times New Roman" w:hAnsi="Times New Roman"/>
                <w:sz w:val="15"/>
                <w:szCs w:val="15"/>
                <w:color w:val="auto"/>
              </w:rPr>
              <w:t>Preferred shares, Series C 8%</w:t>
            </w: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1/7/2014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2,779,134</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4,000,787</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5,104,539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3.24%</w:t>
            </w:r>
          </w:p>
        </w:tc>
        <w:tc>
          <w:tcPr>
            <w:tcW w:w="0" w:type="dxa"/>
            <w:vAlign w:val="bottom"/>
          </w:tcPr>
          <w:p>
            <w:pPr>
              <w:spacing w:after="0"/>
              <w:rPr>
                <w:sz w:val="1"/>
                <w:szCs w:val="1"/>
                <w:color w:val="auto"/>
              </w:rPr>
            </w:pPr>
          </w:p>
        </w:tc>
      </w:tr>
      <w:tr>
        <w:trPr>
          <w:trHeight w:val="182"/>
        </w:trPr>
        <w:tc>
          <w:tcPr>
            <w:tcW w:w="26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B 8%</w:t>
            </w: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12/16/2011</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3,279,629</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2,019,687</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2,944,447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w:t>
            </w:r>
          </w:p>
        </w:tc>
        <w:tc>
          <w:tcPr>
            <w:tcW w:w="0" w:type="dxa"/>
            <w:vAlign w:val="bottom"/>
          </w:tcPr>
          <w:p>
            <w:pPr>
              <w:spacing w:after="0"/>
              <w:rPr>
                <w:sz w:val="1"/>
                <w:szCs w:val="1"/>
                <w:color w:val="auto"/>
              </w:rPr>
            </w:pPr>
          </w:p>
        </w:tc>
      </w:tr>
      <w:tr>
        <w:trPr>
          <w:trHeight w:val="194"/>
        </w:trPr>
        <w:tc>
          <w:tcPr>
            <w:tcW w:w="2640" w:type="dxa"/>
            <w:vAlign w:val="bottom"/>
            <w:gridSpan w:val="11"/>
          </w:tcPr>
          <w:p>
            <w:pPr>
              <w:spacing w:after="0"/>
              <w:rPr>
                <w:sz w:val="20"/>
                <w:szCs w:val="20"/>
                <w:color w:val="auto"/>
              </w:rPr>
            </w:pPr>
            <w:r>
              <w:rPr>
                <w:rFonts w:ascii="Times New Roman" w:cs="Times New Roman" w:eastAsia="Times New Roman" w:hAnsi="Times New Roman"/>
                <w:sz w:val="15"/>
                <w:szCs w:val="15"/>
                <w:color w:val="auto"/>
              </w:rPr>
              <w:t>Preferred shares, Series A 8%</w:t>
            </w: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2/25/2014</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366,666</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110,000</w:t>
            </w:r>
          </w:p>
        </w:tc>
        <w:tc>
          <w:tcPr>
            <w:tcW w:w="140" w:type="dxa"/>
            <w:vAlign w:val="bottom"/>
          </w:tcPr>
          <w:p>
            <w:pPr>
              <w:spacing w:after="0"/>
              <w:rPr>
                <w:sz w:val="16"/>
                <w:szCs w:val="16"/>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123,922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0.08%</w:t>
            </w:r>
          </w:p>
        </w:tc>
        <w:tc>
          <w:tcPr>
            <w:tcW w:w="0" w:type="dxa"/>
            <w:vAlign w:val="bottom"/>
          </w:tcPr>
          <w:p>
            <w:pPr>
              <w:spacing w:after="0"/>
              <w:rPr>
                <w:sz w:val="1"/>
                <w:szCs w:val="1"/>
                <w:color w:val="auto"/>
              </w:rPr>
            </w:pPr>
          </w:p>
        </w:tc>
      </w:tr>
      <w:tr>
        <w:trPr>
          <w:trHeight w:val="174"/>
        </w:trPr>
        <w:tc>
          <w:tcPr>
            <w:tcW w:w="2640" w:type="dxa"/>
            <w:vAlign w:val="bottom"/>
            <w:tcBorders>
              <w:top w:val="single" w:sz="8" w:color="CCEEFF"/>
            </w:tcBorders>
            <w:gridSpan w:val="11"/>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1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6,387,741</w:t>
            </w: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8,645,465</w:t>
            </w:r>
          </w:p>
        </w:tc>
        <w:tc>
          <w:tcPr>
            <w:tcW w:w="3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5.49</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47"/>
        </w:trPr>
        <w:tc>
          <w:tcPr>
            <w:tcW w:w="2640" w:type="dxa"/>
            <w:vAlign w:val="bottom"/>
            <w:gridSpan w:val="11"/>
          </w:tcPr>
          <w:p>
            <w:pPr>
              <w:spacing w:after="0" w:line="140" w:lineRule="exact"/>
              <w:rPr>
                <w:sz w:val="20"/>
                <w:szCs w:val="20"/>
                <w:color w:val="auto"/>
              </w:rPr>
            </w:pPr>
            <w:r>
              <w:rPr>
                <w:rFonts w:ascii="Times New Roman" w:cs="Times New Roman" w:eastAsia="Times New Roman" w:hAnsi="Times New Roman"/>
                <w:sz w:val="15"/>
                <w:szCs w:val="15"/>
                <w:b w:val="1"/>
                <w:bCs w:val="1"/>
                <w:color w:val="auto"/>
              </w:rPr>
              <w:t>Maven Research, Inc.</w:t>
            </w:r>
          </w:p>
        </w:tc>
        <w:tc>
          <w:tcPr>
            <w:tcW w:w="1420" w:type="dxa"/>
            <w:vAlign w:val="bottom"/>
            <w:gridSpan w:val="2"/>
          </w:tcPr>
          <w:p>
            <w:pPr>
              <w:jc w:val="center"/>
              <w:ind w:right="200"/>
              <w:spacing w:after="0" w:line="140" w:lineRule="exact"/>
              <w:rPr>
                <w:sz w:val="20"/>
                <w:szCs w:val="20"/>
                <w:color w:val="auto"/>
              </w:rPr>
            </w:pPr>
            <w:r>
              <w:rPr>
                <w:rFonts w:ascii="Times New Roman" w:cs="Times New Roman" w:eastAsia="Times New Roman" w:hAnsi="Times New Roman"/>
                <w:sz w:val="15"/>
                <w:szCs w:val="15"/>
                <w:color w:val="auto"/>
              </w:rPr>
              <w:t>San Francisco, CA</w:t>
            </w: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color w:val="auto"/>
              </w:rPr>
              <w:t>Knowledge</w:t>
            </w: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6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C</w:t>
            </w:r>
          </w:p>
        </w:tc>
        <w:tc>
          <w:tcPr>
            <w:tcW w:w="14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Networks</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7/2/2012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318,979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2,000,447</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4"/>
        </w:trPr>
        <w:tc>
          <w:tcPr>
            <w:tcW w:w="2640" w:type="dxa"/>
            <w:vAlign w:val="bottom"/>
            <w:gridSpan w:val="11"/>
          </w:tcPr>
          <w:p>
            <w:pPr>
              <w:spacing w:after="0"/>
              <w:rPr>
                <w:sz w:val="20"/>
                <w:szCs w:val="20"/>
                <w:color w:val="auto"/>
              </w:rPr>
            </w:pPr>
            <w:r>
              <w:rPr>
                <w:rFonts w:ascii="Times New Roman" w:cs="Times New Roman" w:eastAsia="Times New Roman" w:hAnsi="Times New Roman"/>
                <w:sz w:val="15"/>
                <w:szCs w:val="15"/>
                <w:color w:val="auto"/>
              </w:rPr>
              <w:t>Preferred shares, Series B</w:t>
            </w: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2/28/2012</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49,505</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217,206</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4"/>
        </w:trPr>
        <w:tc>
          <w:tcPr>
            <w:tcW w:w="2640" w:type="dxa"/>
            <w:vAlign w:val="bottom"/>
            <w:tcBorders>
              <w:top w:val="single" w:sz="8" w:color="CCEEFF"/>
            </w:tcBorders>
            <w:gridSpan w:val="11"/>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1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2,217,653</w:t>
            </w: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47"/>
        </w:trPr>
        <w:tc>
          <w:tcPr>
            <w:tcW w:w="1160" w:type="dxa"/>
            <w:vAlign w:val="bottom"/>
            <w:tcBorders>
              <w:bottom w:val="single" w:sz="8" w:color="auto"/>
            </w:tcBorders>
            <w:gridSpan w:val="4"/>
          </w:tcPr>
          <w:p>
            <w:pPr>
              <w:spacing w:after="0" w:line="140" w:lineRule="exact"/>
              <w:rPr>
                <w:sz w:val="20"/>
                <w:szCs w:val="20"/>
                <w:color w:val="auto"/>
              </w:rPr>
            </w:pPr>
            <w:r>
              <w:rPr>
                <w:rFonts w:ascii="Times New Roman" w:cs="Times New Roman" w:eastAsia="Times New Roman" w:hAnsi="Times New Roman"/>
                <w:sz w:val="15"/>
                <w:szCs w:val="15"/>
                <w:b w:val="1"/>
                <w:bCs w:val="1"/>
                <w:color w:val="auto"/>
                <w:w w:val="99"/>
              </w:rPr>
              <w:t>Curious.com, Inc.</w:t>
            </w:r>
          </w:p>
        </w:tc>
        <w:tc>
          <w:tcPr>
            <w:tcW w:w="1480" w:type="dxa"/>
            <w:vAlign w:val="bottom"/>
            <w:gridSpan w:val="7"/>
          </w:tcPr>
          <w:p>
            <w:pPr>
              <w:spacing w:after="0"/>
              <w:rPr>
                <w:sz w:val="12"/>
                <w:szCs w:val="12"/>
                <w:color w:val="auto"/>
              </w:rPr>
            </w:pPr>
          </w:p>
        </w:tc>
        <w:tc>
          <w:tcPr>
            <w:tcW w:w="1420" w:type="dxa"/>
            <w:vAlign w:val="bottom"/>
            <w:gridSpan w:val="2"/>
          </w:tcPr>
          <w:p>
            <w:pPr>
              <w:jc w:val="center"/>
              <w:ind w:right="220"/>
              <w:spacing w:after="0" w:line="140" w:lineRule="exact"/>
              <w:rPr>
                <w:sz w:val="20"/>
                <w:szCs w:val="20"/>
                <w:color w:val="auto"/>
              </w:rPr>
            </w:pPr>
            <w:r>
              <w:rPr>
                <w:rFonts w:ascii="Times New Roman" w:cs="Times New Roman" w:eastAsia="Times New Roman" w:hAnsi="Times New Roman"/>
                <w:sz w:val="15"/>
                <w:szCs w:val="15"/>
                <w:color w:val="auto"/>
              </w:rPr>
              <w:t>Menlo Park, CA</w:t>
            </w: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14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Online Education</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11/22/2013</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1,135,944</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12,000,006</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640" w:type="dxa"/>
            <w:vAlign w:val="bottom"/>
            <w:gridSpan w:val="11"/>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 Non-controlled/Affiliate</w:t>
            </w: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20,605,400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8,645,465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5.49%</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40" w:type="dxa"/>
            <w:vAlign w:val="bottom"/>
            <w:gridSpan w:val="11"/>
            <w:shd w:val="clear" w:color="auto" w:fill="CCEEFF"/>
          </w:tcPr>
          <w:p>
            <w:pPr>
              <w:spacing w:after="0" w:line="216" w:lineRule="exact"/>
              <w:rPr>
                <w:sz w:val="20"/>
                <w:szCs w:val="20"/>
                <w:color w:val="auto"/>
              </w:rPr>
            </w:pPr>
            <w:r>
              <w:rPr>
                <w:rFonts w:ascii="Times New Roman" w:cs="Times New Roman" w:eastAsia="Times New Roman" w:hAnsi="Times New Roman"/>
                <w:sz w:val="15"/>
                <w:szCs w:val="15"/>
                <w:b w:val="1"/>
                <w:bCs w:val="1"/>
                <w:color w:val="auto"/>
              </w:rPr>
              <w:t>CONTROLLED</w:t>
            </w:r>
            <w:r>
              <w:rPr>
                <w:rFonts w:ascii="Times New Roman" w:cs="Times New Roman" w:eastAsia="Times New Roman" w:hAnsi="Times New Roman"/>
                <w:sz w:val="25"/>
                <w:szCs w:val="25"/>
                <w:b w:val="1"/>
                <w:bCs w:val="1"/>
                <w:color w:val="auto"/>
                <w:vertAlign w:val="superscript"/>
              </w:rPr>
              <w:t>(2)</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1920" w:type="dxa"/>
            <w:vAlign w:val="bottom"/>
            <w:gridSpan w:val="7"/>
            <w:vMerge w:val="restart"/>
          </w:tcPr>
          <w:p>
            <w:pPr>
              <w:spacing w:after="0"/>
              <w:rPr>
                <w:sz w:val="20"/>
                <w:szCs w:val="20"/>
                <w:color w:val="auto"/>
              </w:rPr>
            </w:pPr>
            <w:r>
              <w:rPr>
                <w:rFonts w:ascii="Times New Roman" w:cs="Times New Roman" w:eastAsia="Times New Roman" w:hAnsi="Times New Roman"/>
                <w:sz w:val="15"/>
                <w:szCs w:val="15"/>
                <w:b w:val="1"/>
                <w:bCs w:val="1"/>
                <w:color w:val="auto"/>
              </w:rPr>
              <w:t>Colombier Sponsor II LLC**</w:t>
            </w:r>
          </w:p>
        </w:tc>
        <w:tc>
          <w:tcPr>
            <w:tcW w:w="14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w w:val="85"/>
              </w:rPr>
              <w:t>(6)</w:t>
            </w:r>
          </w:p>
        </w:tc>
        <w:tc>
          <w:tcPr>
            <w:tcW w:w="580" w:type="dxa"/>
            <w:vAlign w:val="bottom"/>
            <w:gridSpan w:val="3"/>
            <w:vMerge w:val="restart"/>
          </w:tcPr>
          <w:p>
            <w:pPr>
              <w:spacing w:after="0"/>
              <w:rPr>
                <w:sz w:val="10"/>
                <w:szCs w:val="10"/>
                <w:color w:val="auto"/>
              </w:rPr>
            </w:pPr>
          </w:p>
        </w:tc>
        <w:tc>
          <w:tcPr>
            <w:tcW w:w="1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5"/>
                <w:szCs w:val="15"/>
                <w:color w:val="auto"/>
              </w:rPr>
              <w:t>Palm Beach, FL</w:t>
            </w:r>
          </w:p>
        </w:tc>
        <w:tc>
          <w:tcPr>
            <w:tcW w:w="1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1920" w:type="dxa"/>
            <w:vAlign w:val="bottom"/>
            <w:tcBorders>
              <w:bottom w:val="single" w:sz="8" w:color="auto"/>
            </w:tcBorders>
            <w:gridSpan w:val="7"/>
            <w:vMerge w:val="continue"/>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gridSpan w:val="3"/>
            <w:vMerge w:val="continue"/>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1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color w:val="auto"/>
              </w:rPr>
              <w:t>Special Purpose</w:t>
            </w: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Acquisition</w:t>
            </w: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6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5"/>
                <w:szCs w:val="15"/>
                <w:color w:val="auto"/>
              </w:rPr>
              <w:t>Class B Units</w:t>
            </w:r>
          </w:p>
        </w:tc>
        <w:tc>
          <w:tcPr>
            <w:tcW w:w="14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Company</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11/20/2023</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1,040,000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1,103,719</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1,101,695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0.70%</w:t>
            </w:r>
          </w:p>
        </w:tc>
        <w:tc>
          <w:tcPr>
            <w:tcW w:w="0" w:type="dxa"/>
            <w:vAlign w:val="bottom"/>
          </w:tcPr>
          <w:p>
            <w:pPr>
              <w:spacing w:after="0"/>
              <w:rPr>
                <w:sz w:val="1"/>
                <w:szCs w:val="1"/>
                <w:color w:val="auto"/>
              </w:rPr>
            </w:pPr>
          </w:p>
        </w:tc>
      </w:tr>
      <w:tr>
        <w:trPr>
          <w:trHeight w:val="194"/>
        </w:trPr>
        <w:tc>
          <w:tcPr>
            <w:tcW w:w="2640" w:type="dxa"/>
            <w:vAlign w:val="bottom"/>
            <w:gridSpan w:val="11"/>
          </w:tcPr>
          <w:p>
            <w:pPr>
              <w:spacing w:after="0"/>
              <w:rPr>
                <w:sz w:val="20"/>
                <w:szCs w:val="20"/>
                <w:color w:val="auto"/>
              </w:rPr>
            </w:pPr>
            <w:r>
              <w:rPr>
                <w:rFonts w:ascii="Times New Roman" w:cs="Times New Roman" w:eastAsia="Times New Roman" w:hAnsi="Times New Roman"/>
                <w:sz w:val="15"/>
                <w:szCs w:val="15"/>
                <w:color w:val="auto"/>
              </w:rPr>
              <w:t>Class W Units</w:t>
            </w: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1,600,000</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499,221</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498,305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0.32%</w:t>
            </w:r>
          </w:p>
        </w:tc>
        <w:tc>
          <w:tcPr>
            <w:tcW w:w="0" w:type="dxa"/>
            <w:vAlign w:val="bottom"/>
          </w:tcPr>
          <w:p>
            <w:pPr>
              <w:spacing w:after="0"/>
              <w:rPr>
                <w:sz w:val="1"/>
                <w:szCs w:val="1"/>
                <w:color w:val="auto"/>
              </w:rPr>
            </w:pPr>
          </w:p>
        </w:tc>
      </w:tr>
      <w:tr>
        <w:trPr>
          <w:trHeight w:val="174"/>
        </w:trPr>
        <w:tc>
          <w:tcPr>
            <w:tcW w:w="2640" w:type="dxa"/>
            <w:vAlign w:val="bottom"/>
            <w:tcBorders>
              <w:top w:val="single" w:sz="8" w:color="CCEEFF"/>
            </w:tcBorders>
            <w:gridSpan w:val="11"/>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1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1,602,940</w:t>
            </w: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1,600,000</w:t>
            </w:r>
          </w:p>
        </w:tc>
        <w:tc>
          <w:tcPr>
            <w:tcW w:w="3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74"/>
        </w:trPr>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640" w:type="dxa"/>
            <w:vAlign w:val="bottom"/>
            <w:gridSpan w:val="11"/>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 Controlled</w:t>
            </w: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1,602,940</w:t>
            </w: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1,600,000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1.02%</w:t>
            </w:r>
          </w:p>
        </w:tc>
        <w:tc>
          <w:tcPr>
            <w:tcW w:w="0" w:type="dxa"/>
            <w:vAlign w:val="bottom"/>
          </w:tcPr>
          <w:p>
            <w:pPr>
              <w:spacing w:after="0"/>
              <w:rPr>
                <w:sz w:val="1"/>
                <w:szCs w:val="1"/>
                <w:color w:val="auto"/>
              </w:rPr>
            </w:pPr>
          </w:p>
        </w:tc>
      </w:tr>
      <w:tr>
        <w:trPr>
          <w:trHeight w:val="174"/>
        </w:trPr>
        <w:tc>
          <w:tcPr>
            <w:tcW w:w="66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640" w:type="dxa"/>
            <w:vAlign w:val="bottom"/>
            <w:tcBorders>
              <w:bottom w:val="single" w:sz="8" w:color="CCEEFF"/>
            </w:tcBorders>
            <w:gridSpan w:val="11"/>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 Portfolio Investments</w:t>
            </w:r>
          </w:p>
        </w:tc>
        <w:tc>
          <w:tcPr>
            <w:tcW w:w="1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241,532,648</w:t>
            </w:r>
          </w:p>
        </w:tc>
        <w:tc>
          <w:tcPr>
            <w:tcW w:w="3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199,302,778</w:t>
            </w: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126.59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11"/>
          </w:tcPr>
          <w:p>
            <w:pPr>
              <w:jc w:val="right"/>
              <w:ind w:right="740"/>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104"/>
              <w:spacing w:after="0"/>
              <w:rPr>
                <w:sz w:val="20"/>
                <w:szCs w:val="20"/>
                <w:color w:val="auto"/>
              </w:rPr>
            </w:pPr>
            <w:r>
              <w:rPr>
                <w:rFonts w:ascii="Times New Roman" w:cs="Times New Roman" w:eastAsia="Times New Roman" w:hAnsi="Times New Roman"/>
                <w:sz w:val="15"/>
                <w:szCs w:val="15"/>
                <w:color w:val="auto"/>
              </w:rPr>
              <w:t>8</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16" w:right="319" w:bottom="1440" w:gutter="0" w:footer="0" w:header="0"/>
        </w:sectPr>
      </w:pPr>
    </w:p>
    <w:bookmarkStart w:id="9" w:name="page10"/>
    <w:bookmarkEnd w:id="9"/>
    <w:p>
      <w:pPr>
        <w:ind w:left="9"/>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2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CONDENSED CONSOLIDATED SCHEDULE OF INVESTMENTS (UNAUDITED) - continued</w:t>
      </w:r>
    </w:p>
    <w:p>
      <w:pPr>
        <w:spacing w:after="0" w:line="1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178689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6890" cy="6985"/>
                    </a:xfrm>
                    <a:prstGeom prst="rect">
                      <a:avLst/>
                    </a:prstGeom>
                    <a:noFill/>
                  </pic:spPr>
                </pic:pic>
              </a:graphicData>
            </a:graphic>
          </wp:anchor>
        </w:drawing>
      </w:r>
    </w:p>
    <w:p>
      <w:pPr>
        <w:spacing w:after="0" w:line="362" w:lineRule="exact"/>
        <w:rPr>
          <w:sz w:val="20"/>
          <w:szCs w:val="20"/>
          <w:color w:val="auto"/>
        </w:rPr>
      </w:pPr>
    </w:p>
    <w:p>
      <w:pPr>
        <w:jc w:val="both"/>
        <w:ind w:left="269" w:hanging="269"/>
        <w:spacing w:after="0" w:line="264" w:lineRule="auto"/>
        <w:tabs>
          <w:tab w:leader="none" w:pos="269"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portfolio investments are non-control/non-affiliated and non-income-producing, unless otherwise identified. Equity investments may be subject to lock-up restrictions upon their initial public offering (“IPO”). Preferred dividends are generally only payable when declared and paid by the portfolio company’s board of directors. The Company’s directors,</w:t>
      </w:r>
    </w:p>
    <w:p>
      <w:pPr>
        <w:jc w:val="both"/>
        <w:ind w:left="269"/>
        <w:spacing w:after="0" w:line="253" w:lineRule="auto"/>
        <w:rPr>
          <w:sz w:val="20"/>
          <w:szCs w:val="20"/>
          <w:color w:val="auto"/>
        </w:rPr>
      </w:pPr>
      <w:r>
        <w:rPr>
          <w:rFonts w:ascii="Times New Roman" w:cs="Times New Roman" w:eastAsia="Times New Roman" w:hAnsi="Times New Roman"/>
          <w:sz w:val="15"/>
          <w:szCs w:val="15"/>
          <w:color w:val="auto"/>
        </w:rPr>
        <w:t>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Times New Roman" w:cs="Times New Roman" w:eastAsia="Times New Roman" w:hAnsi="Times New Roman"/>
          <w:sz w:val="15"/>
          <w:szCs w:val="15"/>
          <w:i w:val="1"/>
          <w:iCs w:val="1"/>
          <w:color w:val="auto"/>
        </w:rPr>
        <w:t>Investments at Fair Value</w:t>
      </w:r>
      <w:r>
        <w:rPr>
          <w:rFonts w:ascii="Times New Roman" w:cs="Times New Roman" w:eastAsia="Times New Roman" w:hAnsi="Times New Roman"/>
          <w:sz w:val="15"/>
          <w:szCs w:val="15"/>
          <w:color w:val="auto"/>
        </w:rPr>
        <w:t>”).</w:t>
      </w:r>
    </w:p>
    <w:p>
      <w:pPr>
        <w:spacing w:after="0" w:line="2" w:lineRule="exact"/>
        <w:rPr>
          <w:sz w:val="20"/>
          <w:szCs w:val="20"/>
          <w:color w:val="auto"/>
        </w:rPr>
      </w:pPr>
    </w:p>
    <w:p>
      <w:pPr>
        <w:ind w:left="269" w:hanging="269"/>
        <w:spacing w:after="0" w:line="253" w:lineRule="auto"/>
        <w:tabs>
          <w:tab w:leader="none" w:pos="269"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Indicates assets that SuRo Capital Corp. believes do not represent “qualifying assets” under Section 55(a) of the Investment Company Act of 1940, as amended (the “1940 Act”). Of the Company’s total investments as of September 30, 2024, 28.23% of its total investments are non-qualifying assets.</w:t>
      </w:r>
    </w:p>
    <w:p>
      <w:pPr>
        <w:ind w:left="269" w:hanging="269"/>
        <w:spacing w:after="0"/>
        <w:tabs>
          <w:tab w:leader="none" w:pos="269"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 is income-producing.</w:t>
      </w:r>
    </w:p>
    <w:p>
      <w:pPr>
        <w:spacing w:after="0" w:line="177" w:lineRule="exact"/>
        <w:rPr>
          <w:sz w:val="20"/>
          <w:szCs w:val="20"/>
          <w:color w:val="auto"/>
        </w:rPr>
      </w:pPr>
    </w:p>
    <w:p>
      <w:pPr>
        <w:jc w:val="both"/>
        <w:ind w:left="269" w:hanging="269"/>
        <w:spacing w:after="0" w:line="265" w:lineRule="auto"/>
        <w:tabs>
          <w:tab w:leader="none" w:pos="269"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securities with the right to elect directors) of such company. For the Schedule of Investments In, and Advances To, Affiliates, as required by SEC Regulation S-X, Rule 12-14, refer to “Note 4—Investments at Fair Value”.</w:t>
      </w:r>
    </w:p>
    <w:p>
      <w:pPr>
        <w:spacing w:after="0" w:line="149" w:lineRule="exact"/>
        <w:rPr>
          <w:rFonts w:ascii="Times New Roman" w:cs="Times New Roman" w:eastAsia="Times New Roman" w:hAnsi="Times New Roman"/>
          <w:sz w:val="15"/>
          <w:szCs w:val="15"/>
          <w:color w:val="auto"/>
        </w:rPr>
      </w:pPr>
    </w:p>
    <w:p>
      <w:pPr>
        <w:jc w:val="both"/>
        <w:ind w:left="269" w:hanging="269"/>
        <w:spacing w:after="0" w:line="265" w:lineRule="auto"/>
        <w:tabs>
          <w:tab w:leader="none" w:pos="269"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4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Denotes an investment considered Level 1 or Level 2 and valued using observable inputs. Refer to “Note 4—Investments at Fair Value”.</w:t>
      </w:r>
    </w:p>
    <w:p>
      <w:pPr>
        <w:spacing w:after="0" w:line="192"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September 30, 2024, the investments noted had been placed on non-accrual status.</w:t>
      </w:r>
    </w:p>
    <w:p>
      <w:pPr>
        <w:spacing w:after="0" w:line="192"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respective number of shares, principal amount, fund commitment, or membership interest.</w:t>
      </w:r>
    </w:p>
    <w:p>
      <w:pPr>
        <w:spacing w:after="0" w:line="192" w:lineRule="exact"/>
        <w:rPr>
          <w:rFonts w:ascii="Times New Roman" w:cs="Times New Roman" w:eastAsia="Times New Roman" w:hAnsi="Times New Roman"/>
          <w:sz w:val="15"/>
          <w:szCs w:val="15"/>
          <w:color w:val="auto"/>
        </w:rPr>
      </w:pPr>
    </w:p>
    <w:p>
      <w:pPr>
        <w:ind w:left="269" w:hanging="269"/>
        <w:spacing w:after="0" w:line="288" w:lineRule="auto"/>
        <w:tabs>
          <w:tab w:leader="none" w:pos="269"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Denotes an investment that is the sponsor of a special purpose acquisition company formed for the purpose of effecting a merger, capital stock exchange, asset acquisition, stock purchase, reorganization or similar business combination with one or more businesses.</w:t>
      </w:r>
    </w:p>
    <w:p>
      <w:pPr>
        <w:spacing w:after="0" w:line="132" w:lineRule="exact"/>
        <w:rPr>
          <w:rFonts w:ascii="Times New Roman" w:cs="Times New Roman" w:eastAsia="Times New Roman" w:hAnsi="Times New Roman"/>
          <w:sz w:val="15"/>
          <w:szCs w:val="15"/>
          <w:color w:val="auto"/>
        </w:rPr>
      </w:pPr>
    </w:p>
    <w:p>
      <w:pPr>
        <w:ind w:left="269" w:hanging="269"/>
        <w:spacing w:after="0" w:line="288" w:lineRule="auto"/>
        <w:tabs>
          <w:tab w:leader="none" w:pos="269"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SuRo Capital Corp.’s investments in Commercial Streaming Solutions Inc. (d/b/a BettorView), Rebric, Inc. (d/b/a Compliable), EDGE Markets, Inc., Xgroup Holdings Limited (d/b/a Xpoint), and Stake Trade, Inc. (d/b/a Prophet Exchange) are held through SuRo Capital Corp.’s wholly owned subsidiary, SuRo Capital Sports, LLC (“SuRo Sports”).</w:t>
      </w:r>
    </w:p>
    <w:p>
      <w:pPr>
        <w:spacing w:after="0" w:line="132" w:lineRule="exact"/>
        <w:rPr>
          <w:rFonts w:ascii="Times New Roman" w:cs="Times New Roman" w:eastAsia="Times New Roman" w:hAnsi="Times New Roman"/>
          <w:sz w:val="15"/>
          <w:szCs w:val="15"/>
          <w:color w:val="auto"/>
        </w:rPr>
      </w:pPr>
    </w:p>
    <w:p>
      <w:pPr>
        <w:jc w:val="both"/>
        <w:ind w:left="269" w:hanging="269"/>
        <w:spacing w:after="0" w:line="265" w:lineRule="auto"/>
        <w:tabs>
          <w:tab w:leader="none" w:pos="269"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CW Opportunity 2 LP is a special purpose vehicle (“SPV”) for which the Class A Interest is solely invested in the Series C Preferred Shares of CoreWeave, Inc. SuRo Capital is invested in the Series C Preferred Shares of CoreWeave, Inc. through its investment in the Class A Interest of CW Opportunity 2 LP. The Series C Preferred Shares of CoreWeave, Inc. accrue a 10% per annum dividend, paid quarterly in cash or in-kind. The SPV does not charge a management fee but does charge an incentive fee of 20%, subject to an annual 15% IRR hurdle rate.</w:t>
      </w:r>
    </w:p>
    <w:p>
      <w:pPr>
        <w:spacing w:after="0" w:line="149" w:lineRule="exact"/>
        <w:rPr>
          <w:rFonts w:ascii="Times New Roman" w:cs="Times New Roman" w:eastAsia="Times New Roman" w:hAnsi="Times New Roman"/>
          <w:sz w:val="15"/>
          <w:szCs w:val="15"/>
          <w:color w:val="auto"/>
        </w:rPr>
      </w:pPr>
    </w:p>
    <w:p>
      <w:pPr>
        <w:jc w:val="both"/>
        <w:ind w:left="269" w:hanging="269"/>
        <w:spacing w:after="0" w:line="268" w:lineRule="auto"/>
        <w:tabs>
          <w:tab w:leader="none" w:pos="269"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ARK Type One Deep Ventures Fund LLC is an investment fund for which the Class A Interest is solely invested in the Convertible Equity of OpenAI Global, LLC. SuRo Capital Corp. is invested in the Convertible Equity of OpenAI Global, LLC through its investment in the Class A Interest of ARK Type One Deep Ventures Fund LLC. ARK Type One Deep Ventures Fund LLC charges a 1% management fee per year, and an incentive fee of 10%. The management fees will adjust the cost of SuRo Capital Corp.’s investment in the fund.</w:t>
      </w:r>
    </w:p>
    <w:p>
      <w:pPr>
        <w:spacing w:after="0" w:line="333"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SuRo Capital Corp.’s investments in True Global Ventures 4 Plus Pte Ltd are held through SuRo Capital Corp.’s wholly owned subsidiary, GSVC SVDS Holdings, Inc.</w:t>
      </w:r>
    </w:p>
    <w:p>
      <w:pPr>
        <w:spacing w:after="0" w:line="192" w:lineRule="exact"/>
        <w:rPr>
          <w:rFonts w:ascii="Times New Roman" w:cs="Times New Roman" w:eastAsia="Times New Roman" w:hAnsi="Times New Roman"/>
          <w:sz w:val="15"/>
          <w:szCs w:val="15"/>
          <w:color w:val="auto"/>
        </w:rPr>
      </w:pPr>
    </w:p>
    <w:p>
      <w:pPr>
        <w:ind w:left="269" w:hanging="269"/>
        <w:spacing w:after="0" w:line="288" w:lineRule="auto"/>
        <w:tabs>
          <w:tab w:leader="none" w:pos="269"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SuRo Capital Corp.’s investment in Residential Homes for Rent, LLC (d/b/a Second Avenue) is held through SuRo Capital Corp.’s wholly owned subsidiary, GSVC AV Holdings, Inc.</w:t>
      </w:r>
    </w:p>
    <w:p>
      <w:pPr>
        <w:spacing w:after="0" w:line="132" w:lineRule="exact"/>
        <w:rPr>
          <w:rFonts w:ascii="Times New Roman" w:cs="Times New Roman" w:eastAsia="Times New Roman" w:hAnsi="Times New Roman"/>
          <w:sz w:val="15"/>
          <w:szCs w:val="15"/>
          <w:color w:val="auto"/>
        </w:rPr>
      </w:pPr>
    </w:p>
    <w:p>
      <w:pPr>
        <w:ind w:left="269" w:hanging="269"/>
        <w:spacing w:after="0" w:line="288" w:lineRule="auto"/>
        <w:tabs>
          <w:tab w:leader="none" w:pos="269"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May 14, 2024, as part of Xgroup Holding Limited (d/b/a Xpoint)’s most recent financing round, SuRo Capital Corp.’s 6% Convertible Note due October 17, 2024 was converted into Series A Warrants, Series A-1 Warrants, and Series A-1 Shares.</w:t>
      </w:r>
    </w:p>
    <w:p>
      <w:pPr>
        <w:spacing w:after="0" w:line="132" w:lineRule="exact"/>
        <w:rPr>
          <w:rFonts w:ascii="Times New Roman" w:cs="Times New Roman" w:eastAsia="Times New Roman" w:hAnsi="Times New Roman"/>
          <w:sz w:val="15"/>
          <w:szCs w:val="15"/>
          <w:color w:val="auto"/>
        </w:rPr>
      </w:pPr>
    </w:p>
    <w:p>
      <w:pPr>
        <w:jc w:val="both"/>
        <w:ind w:left="269" w:hanging="269"/>
        <w:spacing w:after="0" w:line="265" w:lineRule="auto"/>
        <w:tabs>
          <w:tab w:leader="none" w:pos="269"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May 7, 2024, AltC Acquisition Corp. (“AltC”) stockholders approved a business combination with Oklo, Inc. (“Oklo”) and related proposals at a special meeting. On May 9, 2024, Oklo announced that it had consummated the business combination with AltC pursuant to a merger agreement between the parties, creating the resultant combined company Oklo, Inc. Upon closing of the business combination with Oklo, SuRo Capital Corp.’s Class A common shares and Class B common shares of AltC Sponsor LLC were converted into Class A shares of the post-closing company. SuRo Capital Corp.’s shares of Oklo, Inc. are subject to certain vesting conditions.</w:t>
      </w:r>
    </w:p>
    <w:p>
      <w:pPr>
        <w:spacing w:after="0" w:line="14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November 9, 2021, Fullbridge, Inc.’s obligations under its financing arrangements with the Company became past due.</w:t>
      </w:r>
    </w:p>
    <w:p>
      <w:pPr>
        <w:spacing w:after="0" w:line="192"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SuRo Capital Corp.’s investments in StormWind, LLC are held through SuRo Capital Corp.’s wholly owned subsidiary, GSVC SW Holdings, Inc.</w:t>
      </w:r>
    </w:p>
    <w:p>
      <w:pPr>
        <w:spacing w:after="0" w:line="21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5391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216" w:right="319" w:bottom="1440" w:gutter="0" w:footer="0" w:header="0"/>
        </w:sectPr>
      </w:pPr>
    </w:p>
    <w:bookmarkStart w:id="10" w:name="page11"/>
    <w:bookmarkEnd w:id="10"/>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SCHEDULE OF INVESTMENTS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Headquarters/</w:t>
            </w:r>
          </w:p>
        </w:tc>
        <w:tc>
          <w:tcPr>
            <w:tcW w:w="68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Date of Initial</w:t>
            </w:r>
          </w:p>
        </w:tc>
        <w:tc>
          <w:tcPr>
            <w:tcW w:w="220" w:type="dxa"/>
            <w:vAlign w:val="bottom"/>
          </w:tcPr>
          <w:p>
            <w:pPr>
              <w:spacing w:after="0"/>
              <w:rPr>
                <w:sz w:val="15"/>
                <w:szCs w:val="15"/>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 of Net</w:t>
            </w:r>
          </w:p>
        </w:tc>
        <w:tc>
          <w:tcPr>
            <w:tcW w:w="0" w:type="dxa"/>
            <w:vAlign w:val="bottom"/>
          </w:tcPr>
          <w:p>
            <w:pPr>
              <w:spacing w:after="0"/>
              <w:rPr>
                <w:sz w:val="1"/>
                <w:szCs w:val="1"/>
                <w:color w:val="auto"/>
              </w:rPr>
            </w:pPr>
          </w:p>
        </w:tc>
      </w:tr>
      <w:tr>
        <w:trPr>
          <w:trHeight w:val="201"/>
        </w:trPr>
        <w:tc>
          <w:tcPr>
            <w:tcW w:w="2460" w:type="dxa"/>
            <w:vAlign w:val="bottom"/>
            <w:gridSpan w:val="23"/>
          </w:tcPr>
          <w:p>
            <w:pPr>
              <w:spacing w:after="0"/>
              <w:rPr>
                <w:sz w:val="20"/>
                <w:szCs w:val="20"/>
                <w:color w:val="auto"/>
              </w:rPr>
            </w:pPr>
            <w:r>
              <w:rPr>
                <w:rFonts w:ascii="Times New Roman" w:cs="Times New Roman" w:eastAsia="Times New Roman" w:hAnsi="Times New Roman"/>
                <w:sz w:val="15"/>
                <w:szCs w:val="15"/>
                <w:b w:val="1"/>
                <w:bCs w:val="1"/>
                <w:color w:val="auto"/>
              </w:rPr>
              <w:t>Portfolio Investments*</w:t>
            </w: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Industry</w:t>
            </w:r>
          </w:p>
        </w:tc>
        <w:tc>
          <w:tcPr>
            <w:tcW w:w="68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220" w:type="dxa"/>
            <w:vAlign w:val="bottom"/>
          </w:tcPr>
          <w:p>
            <w:pPr>
              <w:spacing w:after="0"/>
              <w:rPr>
                <w:sz w:val="17"/>
                <w:szCs w:val="17"/>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rPr>
              <w:t>Principal</w:t>
            </w:r>
          </w:p>
        </w:tc>
        <w:tc>
          <w:tcPr>
            <w:tcW w:w="320" w:type="dxa"/>
            <w:vAlign w:val="bottom"/>
          </w:tcPr>
          <w:p>
            <w:pPr>
              <w:spacing w:after="0"/>
              <w:rPr>
                <w:sz w:val="17"/>
                <w:szCs w:val="17"/>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080" w:type="dxa"/>
            <w:vAlign w:val="bottom"/>
            <w:gridSpan w:val="2"/>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0" w:type="dxa"/>
            <w:vAlign w:val="bottom"/>
          </w:tcPr>
          <w:p>
            <w:pPr>
              <w:spacing w:after="0"/>
              <w:rPr>
                <w:sz w:val="1"/>
                <w:szCs w:val="1"/>
                <w:color w:val="auto"/>
              </w:rPr>
            </w:pPr>
          </w:p>
        </w:tc>
      </w:tr>
      <w:tr>
        <w:trPr>
          <w:trHeight w:val="155"/>
        </w:trPr>
        <w:tc>
          <w:tcPr>
            <w:tcW w:w="1920" w:type="dxa"/>
            <w:vAlign w:val="bottom"/>
            <w:tcBorders>
              <w:top w:val="single" w:sz="8" w:color="auto"/>
            </w:tcBorders>
            <w:gridSpan w:val="22"/>
            <w:shd w:val="clear" w:color="auto" w:fill="CCEEFF"/>
          </w:tcPr>
          <w:p>
            <w:pPr>
              <w:spacing w:after="0" w:line="155" w:lineRule="exact"/>
              <w:rPr>
                <w:sz w:val="20"/>
                <w:szCs w:val="20"/>
                <w:color w:val="auto"/>
              </w:rPr>
            </w:pPr>
            <w:r>
              <w:rPr>
                <w:rFonts w:ascii="Times New Roman" w:cs="Times New Roman" w:eastAsia="Times New Roman" w:hAnsi="Times New Roman"/>
                <w:sz w:val="15"/>
                <w:szCs w:val="15"/>
                <w:b w:val="1"/>
                <w:bCs w:val="1"/>
                <w:color w:val="auto"/>
              </w:rPr>
              <w:t>NON-CONTROLLED/NON-</w:t>
            </w:r>
          </w:p>
        </w:tc>
        <w:tc>
          <w:tcPr>
            <w:tcW w:w="54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46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AFFILIATE</w:t>
            </w: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920" w:type="dxa"/>
            <w:vAlign w:val="bottom"/>
            <w:tcBorders>
              <w:top w:val="single" w:sz="8" w:color="auto"/>
            </w:tcBorders>
            <w:gridSpan w:val="22"/>
          </w:tcPr>
          <w:p>
            <w:pPr>
              <w:spacing w:after="0" w:line="140" w:lineRule="exact"/>
              <w:rPr>
                <w:sz w:val="20"/>
                <w:szCs w:val="20"/>
                <w:color w:val="auto"/>
              </w:rPr>
            </w:pPr>
            <w:r>
              <w:rPr>
                <w:rFonts w:ascii="Times New Roman" w:cs="Times New Roman" w:eastAsia="Times New Roman" w:hAnsi="Times New Roman"/>
                <w:sz w:val="15"/>
                <w:szCs w:val="15"/>
                <w:b w:val="1"/>
                <w:bCs w:val="1"/>
                <w:color w:val="auto"/>
              </w:rPr>
              <w:t>Learneo, Inc. (f/k/a Course</w:t>
            </w:r>
          </w:p>
        </w:tc>
        <w:tc>
          <w:tcPr>
            <w:tcW w:w="540" w:type="dxa"/>
            <w:vAlign w:val="bottom"/>
          </w:tcPr>
          <w:p>
            <w:pPr>
              <w:spacing w:after="0"/>
              <w:rPr>
                <w:sz w:val="12"/>
                <w:szCs w:val="12"/>
                <w:color w:val="auto"/>
              </w:rPr>
            </w:pPr>
          </w:p>
        </w:tc>
        <w:tc>
          <w:tcPr>
            <w:tcW w:w="1080" w:type="dxa"/>
            <w:vAlign w:val="bottom"/>
          </w:tcPr>
          <w:p>
            <w:pPr>
              <w:jc w:val="center"/>
              <w:spacing w:after="0" w:line="140" w:lineRule="exact"/>
              <w:rPr>
                <w:sz w:val="20"/>
                <w:szCs w:val="20"/>
                <w:color w:val="auto"/>
              </w:rPr>
            </w:pPr>
            <w:r>
              <w:rPr>
                <w:rFonts w:ascii="Times New Roman" w:cs="Times New Roman" w:eastAsia="Times New Roman" w:hAnsi="Times New Roman"/>
                <w:sz w:val="15"/>
                <w:szCs w:val="15"/>
                <w:color w:val="auto"/>
                <w:w w:val="99"/>
              </w:rPr>
              <w:t>Redwood City,</w:t>
            </w: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00" w:type="dxa"/>
            <w:vAlign w:val="bottom"/>
            <w:tcBorders>
              <w:top w:val="single" w:sz="8" w:color="auto"/>
              <w:bottom w:val="single" w:sz="8" w:color="auto"/>
            </w:tcBorders>
            <w:gridSpan w:val="4"/>
          </w:tcPr>
          <w:p>
            <w:pPr>
              <w:spacing w:after="0" w:line="162" w:lineRule="exact"/>
              <w:rPr>
                <w:sz w:val="20"/>
                <w:szCs w:val="20"/>
                <w:color w:val="auto"/>
              </w:rPr>
            </w:pPr>
            <w:r>
              <w:rPr>
                <w:rFonts w:ascii="Times New Roman" w:cs="Times New Roman" w:eastAsia="Times New Roman" w:hAnsi="Times New Roman"/>
                <w:sz w:val="15"/>
                <w:szCs w:val="15"/>
                <w:b w:val="1"/>
                <w:bCs w:val="1"/>
                <w:color w:val="auto"/>
                <w:w w:val="97"/>
              </w:rPr>
              <w:t>Hero, Inc.)</w:t>
            </w:r>
          </w:p>
        </w:tc>
        <w:tc>
          <w:tcPr>
            <w:tcW w:w="1040" w:type="dxa"/>
            <w:vAlign w:val="bottom"/>
            <w:tcBorders>
              <w:top w:val="single" w:sz="8" w:color="auto"/>
            </w:tcBorders>
            <w:gridSpan w:val="14"/>
          </w:tcPr>
          <w:p>
            <w:pPr>
              <w:spacing w:after="0"/>
              <w:rPr>
                <w:sz w:val="14"/>
                <w:szCs w:val="14"/>
                <w:color w:val="auto"/>
              </w:rPr>
            </w:pPr>
          </w:p>
        </w:tc>
        <w:tc>
          <w:tcPr>
            <w:tcW w:w="720" w:type="dxa"/>
            <w:vAlign w:val="bottom"/>
            <w:gridSpan w:val="5"/>
          </w:tcPr>
          <w:p>
            <w:pPr>
              <w:spacing w:after="0"/>
              <w:rPr>
                <w:sz w:val="14"/>
                <w:szCs w:val="14"/>
                <w:color w:val="auto"/>
              </w:rPr>
            </w:pPr>
          </w:p>
        </w:tc>
        <w:tc>
          <w:tcPr>
            <w:tcW w:w="10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CA</w:t>
            </w: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6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A 8%</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Online Education</w:t>
            </w:r>
          </w:p>
        </w:tc>
        <w:tc>
          <w:tcPr>
            <w:tcW w:w="1640" w:type="dxa"/>
            <w:vAlign w:val="bottom"/>
            <w:gridSpan w:val="2"/>
            <w:shd w:val="clear" w:color="auto" w:fill="CCEEFF"/>
          </w:tcPr>
          <w:p>
            <w:pPr>
              <w:jc w:val="center"/>
              <w:ind w:left="624"/>
              <w:spacing w:after="0"/>
              <w:rPr>
                <w:sz w:val="20"/>
                <w:szCs w:val="20"/>
                <w:color w:val="auto"/>
              </w:rPr>
            </w:pPr>
            <w:r>
              <w:rPr>
                <w:rFonts w:ascii="Times New Roman" w:cs="Times New Roman" w:eastAsia="Times New Roman" w:hAnsi="Times New Roman"/>
                <w:sz w:val="15"/>
                <w:szCs w:val="15"/>
                <w:color w:val="auto"/>
              </w:rPr>
              <w:t>9/18/2014</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2,145,509</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5,000,001</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45,982,580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22.61%</w:t>
            </w:r>
          </w:p>
        </w:tc>
        <w:tc>
          <w:tcPr>
            <w:tcW w:w="0" w:type="dxa"/>
            <w:vAlign w:val="bottom"/>
          </w:tcPr>
          <w:p>
            <w:pPr>
              <w:spacing w:after="0"/>
              <w:rPr>
                <w:sz w:val="1"/>
                <w:szCs w:val="1"/>
                <w:color w:val="auto"/>
              </w:rPr>
            </w:pPr>
          </w:p>
        </w:tc>
      </w:tr>
      <w:tr>
        <w:trPr>
          <w:trHeight w:val="194"/>
        </w:trPr>
        <w:tc>
          <w:tcPr>
            <w:tcW w:w="2460" w:type="dxa"/>
            <w:vAlign w:val="bottom"/>
            <w:gridSpan w:val="23"/>
          </w:tcPr>
          <w:p>
            <w:pPr>
              <w:spacing w:after="0"/>
              <w:rPr>
                <w:sz w:val="20"/>
                <w:szCs w:val="20"/>
                <w:color w:val="auto"/>
              </w:rPr>
            </w:pPr>
            <w:r>
              <w:rPr>
                <w:rFonts w:ascii="Times New Roman" w:cs="Times New Roman" w:eastAsia="Times New Roman" w:hAnsi="Times New Roman"/>
                <w:sz w:val="15"/>
                <w:szCs w:val="15"/>
                <w:color w:val="auto"/>
              </w:rPr>
              <w:t>Preferred shares, Series C 8%</w:t>
            </w:r>
          </w:p>
        </w:tc>
        <w:tc>
          <w:tcPr>
            <w:tcW w:w="1080" w:type="dxa"/>
            <w:vAlign w:val="bottom"/>
          </w:tcPr>
          <w:p>
            <w:pPr>
              <w:spacing w:after="0"/>
              <w:rPr>
                <w:sz w:val="16"/>
                <w:szCs w:val="16"/>
                <w:color w:val="auto"/>
              </w:rPr>
            </w:pPr>
          </w:p>
        </w:tc>
        <w:tc>
          <w:tcPr>
            <w:tcW w:w="1640" w:type="dxa"/>
            <w:vAlign w:val="bottom"/>
            <w:gridSpan w:val="2"/>
          </w:tcPr>
          <w:p>
            <w:pPr>
              <w:jc w:val="center"/>
              <w:ind w:left="624"/>
              <w:spacing w:after="0"/>
              <w:rPr>
                <w:sz w:val="20"/>
                <w:szCs w:val="20"/>
                <w:color w:val="auto"/>
              </w:rPr>
            </w:pPr>
            <w:r>
              <w:rPr>
                <w:rFonts w:ascii="Times New Roman" w:cs="Times New Roman" w:eastAsia="Times New Roman" w:hAnsi="Times New Roman"/>
                <w:sz w:val="15"/>
                <w:szCs w:val="15"/>
                <w:color w:val="auto"/>
              </w:rPr>
              <w:t>11/5/2021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275,659</w:t>
            </w:r>
          </w:p>
        </w:tc>
        <w:tc>
          <w:tcPr>
            <w:tcW w:w="32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9,999,971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9,999,971</w:t>
            </w:r>
          </w:p>
        </w:tc>
        <w:tc>
          <w:tcPr>
            <w:tcW w:w="20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4.92%</w:t>
            </w:r>
          </w:p>
        </w:tc>
        <w:tc>
          <w:tcPr>
            <w:tcW w:w="0" w:type="dxa"/>
            <w:vAlign w:val="bottom"/>
          </w:tcPr>
          <w:p>
            <w:pPr>
              <w:spacing w:after="0"/>
              <w:rPr>
                <w:sz w:val="1"/>
                <w:szCs w:val="1"/>
                <w:color w:val="auto"/>
              </w:rPr>
            </w:pPr>
          </w:p>
        </w:tc>
      </w:tr>
      <w:tr>
        <w:trPr>
          <w:trHeight w:val="174"/>
        </w:trPr>
        <w:tc>
          <w:tcPr>
            <w:tcW w:w="2460" w:type="dxa"/>
            <w:vAlign w:val="bottom"/>
            <w:tcBorders>
              <w:top w:val="single" w:sz="8" w:color="CCEEFF"/>
            </w:tcBorders>
            <w:gridSpan w:val="2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10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14,999,972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55,982,551</w:t>
            </w:r>
          </w:p>
        </w:tc>
        <w:tc>
          <w:tcPr>
            <w:tcW w:w="2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27.53</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47"/>
        </w:trPr>
        <w:tc>
          <w:tcPr>
            <w:tcW w:w="2460" w:type="dxa"/>
            <w:vAlign w:val="bottom"/>
            <w:gridSpan w:val="23"/>
          </w:tcPr>
          <w:p>
            <w:pPr>
              <w:spacing w:after="0" w:line="140" w:lineRule="exact"/>
              <w:rPr>
                <w:sz w:val="20"/>
                <w:szCs w:val="20"/>
                <w:color w:val="auto"/>
              </w:rPr>
            </w:pPr>
            <w:r>
              <w:rPr>
                <w:rFonts w:ascii="Times New Roman" w:cs="Times New Roman" w:eastAsia="Times New Roman" w:hAnsi="Times New Roman"/>
                <w:sz w:val="15"/>
                <w:szCs w:val="15"/>
                <w:b w:val="1"/>
                <w:bCs w:val="1"/>
                <w:color w:val="auto"/>
              </w:rPr>
              <w:t>ServiceTitan, Inc.</w:t>
            </w:r>
          </w:p>
        </w:tc>
        <w:tc>
          <w:tcPr>
            <w:tcW w:w="1080" w:type="dxa"/>
            <w:vAlign w:val="bottom"/>
          </w:tcPr>
          <w:p>
            <w:pPr>
              <w:jc w:val="center"/>
              <w:spacing w:after="0" w:line="140" w:lineRule="exact"/>
              <w:rPr>
                <w:sz w:val="20"/>
                <w:szCs w:val="20"/>
                <w:color w:val="auto"/>
              </w:rPr>
            </w:pPr>
            <w:r>
              <w:rPr>
                <w:rFonts w:ascii="Times New Roman" w:cs="Times New Roman" w:eastAsia="Times New Roman" w:hAnsi="Times New Roman"/>
                <w:sz w:val="15"/>
                <w:szCs w:val="15"/>
                <w:color w:val="auto"/>
              </w:rPr>
              <w:t>Glendale, CA</w:t>
            </w: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Contractor</w:t>
            </w: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Management</w:t>
            </w: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46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Software</w:t>
            </w:r>
          </w:p>
        </w:tc>
        <w:tc>
          <w:tcPr>
            <w:tcW w:w="1640" w:type="dxa"/>
            <w:vAlign w:val="bottom"/>
            <w:gridSpan w:val="2"/>
            <w:shd w:val="clear" w:color="auto" w:fill="CCEEFF"/>
          </w:tcPr>
          <w:p>
            <w:pPr>
              <w:jc w:val="center"/>
              <w:ind w:left="624"/>
              <w:spacing w:after="0"/>
              <w:rPr>
                <w:sz w:val="20"/>
                <w:szCs w:val="20"/>
                <w:color w:val="auto"/>
              </w:rPr>
            </w:pPr>
            <w:r>
              <w:rPr>
                <w:rFonts w:ascii="Times New Roman" w:cs="Times New Roman" w:eastAsia="Times New Roman" w:hAnsi="Times New Roman"/>
                <w:sz w:val="15"/>
                <w:szCs w:val="15"/>
                <w:color w:val="auto"/>
              </w:rPr>
              <w:t>6/30/2023</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151,515</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10,008,233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11,960,975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5.88%</w:t>
            </w:r>
          </w:p>
        </w:tc>
        <w:tc>
          <w:tcPr>
            <w:tcW w:w="0" w:type="dxa"/>
            <w:vAlign w:val="bottom"/>
          </w:tcPr>
          <w:p>
            <w:pPr>
              <w:spacing w:after="0"/>
              <w:rPr>
                <w:sz w:val="1"/>
                <w:szCs w:val="1"/>
                <w:color w:val="auto"/>
              </w:rPr>
            </w:pPr>
          </w:p>
        </w:tc>
      </w:tr>
      <w:tr>
        <w:trPr>
          <w:trHeight w:val="155"/>
        </w:trPr>
        <w:tc>
          <w:tcPr>
            <w:tcW w:w="2460" w:type="dxa"/>
            <w:vAlign w:val="bottom"/>
            <w:gridSpan w:val="23"/>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Blink Health, Inc.</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color w:val="auto"/>
                <w:w w:val="99"/>
              </w:rPr>
              <w:t>New York, NY</w:t>
            </w: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Pharmaceutical</w:t>
            </w: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46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A</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Technology</w:t>
            </w:r>
          </w:p>
        </w:tc>
        <w:tc>
          <w:tcPr>
            <w:tcW w:w="1640" w:type="dxa"/>
            <w:vAlign w:val="bottom"/>
            <w:gridSpan w:val="2"/>
            <w:shd w:val="clear" w:color="auto" w:fill="CCEEFF"/>
          </w:tcPr>
          <w:p>
            <w:pPr>
              <w:jc w:val="center"/>
              <w:ind w:left="624"/>
              <w:spacing w:after="0"/>
              <w:rPr>
                <w:sz w:val="20"/>
                <w:szCs w:val="20"/>
                <w:color w:val="auto"/>
              </w:rPr>
            </w:pPr>
            <w:r>
              <w:rPr>
                <w:rFonts w:ascii="Times New Roman" w:cs="Times New Roman" w:eastAsia="Times New Roman" w:hAnsi="Times New Roman"/>
                <w:sz w:val="15"/>
                <w:szCs w:val="15"/>
                <w:color w:val="auto"/>
              </w:rPr>
              <w:t>10/27/2020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238,095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5,000,423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1,692,855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0.83%</w:t>
            </w:r>
          </w:p>
        </w:tc>
        <w:tc>
          <w:tcPr>
            <w:tcW w:w="0" w:type="dxa"/>
            <w:vAlign w:val="bottom"/>
          </w:tcPr>
          <w:p>
            <w:pPr>
              <w:spacing w:after="0"/>
              <w:rPr>
                <w:sz w:val="1"/>
                <w:szCs w:val="1"/>
                <w:color w:val="auto"/>
              </w:rPr>
            </w:pPr>
          </w:p>
        </w:tc>
      </w:tr>
      <w:tr>
        <w:trPr>
          <w:trHeight w:val="174"/>
        </w:trPr>
        <w:tc>
          <w:tcPr>
            <w:tcW w:w="2460" w:type="dxa"/>
            <w:vAlign w:val="bottom"/>
            <w:tcBorders>
              <w:bottom w:val="single" w:sz="8" w:color="CCEEFF"/>
            </w:tcBorders>
            <w:gridSpan w:val="23"/>
          </w:tcPr>
          <w:p>
            <w:pPr>
              <w:spacing w:after="0"/>
              <w:rPr>
                <w:sz w:val="20"/>
                <w:szCs w:val="20"/>
                <w:color w:val="auto"/>
              </w:rPr>
            </w:pPr>
            <w:r>
              <w:rPr>
                <w:rFonts w:ascii="Times New Roman" w:cs="Times New Roman" w:eastAsia="Times New Roman" w:hAnsi="Times New Roman"/>
                <w:sz w:val="15"/>
                <w:szCs w:val="15"/>
                <w:color w:val="auto"/>
              </w:rPr>
              <w:t>Preferred shares, Series C</w:t>
            </w:r>
          </w:p>
        </w:tc>
        <w:tc>
          <w:tcPr>
            <w:tcW w:w="1080" w:type="dxa"/>
            <w:vAlign w:val="bottom"/>
            <w:tcBorders>
              <w:bottom w:val="single" w:sz="8" w:color="CCEEFF"/>
            </w:tcBorders>
          </w:tcPr>
          <w:p>
            <w:pPr>
              <w:spacing w:after="0"/>
              <w:rPr>
                <w:sz w:val="15"/>
                <w:szCs w:val="15"/>
                <w:color w:val="auto"/>
              </w:rPr>
            </w:pPr>
          </w:p>
        </w:tc>
        <w:tc>
          <w:tcPr>
            <w:tcW w:w="1640" w:type="dxa"/>
            <w:vAlign w:val="bottom"/>
            <w:tcBorders>
              <w:bottom w:val="single" w:sz="8" w:color="CCEEFF"/>
            </w:tcBorders>
            <w:gridSpan w:val="2"/>
          </w:tcPr>
          <w:p>
            <w:pPr>
              <w:jc w:val="center"/>
              <w:ind w:left="624"/>
              <w:spacing w:after="0"/>
              <w:rPr>
                <w:sz w:val="20"/>
                <w:szCs w:val="20"/>
                <w:color w:val="auto"/>
              </w:rPr>
            </w:pPr>
            <w:r>
              <w:rPr>
                <w:rFonts w:ascii="Times New Roman" w:cs="Times New Roman" w:eastAsia="Times New Roman" w:hAnsi="Times New Roman"/>
                <w:sz w:val="15"/>
                <w:szCs w:val="15"/>
                <w:color w:val="auto"/>
              </w:rPr>
              <w:t>10/27/2020</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261,944</w:t>
            </w:r>
          </w:p>
        </w:tc>
        <w:tc>
          <w:tcPr>
            <w:tcW w:w="3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10,003,917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9,999,975</w:t>
            </w:r>
          </w:p>
        </w:tc>
        <w:tc>
          <w:tcPr>
            <w:tcW w:w="20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4.92</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74"/>
        </w:trPr>
        <w:tc>
          <w:tcPr>
            <w:tcW w:w="2460" w:type="dxa"/>
            <w:vAlign w:val="bottom"/>
            <w:gridSpan w:val="2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15,004,340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11,692,830</w:t>
            </w:r>
          </w:p>
        </w:tc>
        <w:tc>
          <w:tcPr>
            <w:tcW w:w="2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47"/>
        </w:trPr>
        <w:tc>
          <w:tcPr>
            <w:tcW w:w="2460" w:type="dxa"/>
            <w:vAlign w:val="bottom"/>
            <w:gridSpan w:val="23"/>
          </w:tcPr>
          <w:p>
            <w:pPr>
              <w:spacing w:after="0" w:line="140" w:lineRule="exact"/>
              <w:rPr>
                <w:sz w:val="20"/>
                <w:szCs w:val="20"/>
                <w:color w:val="auto"/>
              </w:rPr>
            </w:pPr>
            <w:r>
              <w:rPr>
                <w:rFonts w:ascii="Times New Roman" w:cs="Times New Roman" w:eastAsia="Times New Roman" w:hAnsi="Times New Roman"/>
                <w:sz w:val="15"/>
                <w:szCs w:val="15"/>
                <w:b w:val="1"/>
                <w:bCs w:val="1"/>
                <w:color w:val="auto"/>
              </w:rPr>
              <w:t>Locus Robotics Corp.</w:t>
            </w:r>
          </w:p>
        </w:tc>
        <w:tc>
          <w:tcPr>
            <w:tcW w:w="1080" w:type="dxa"/>
            <w:vAlign w:val="bottom"/>
          </w:tcPr>
          <w:p>
            <w:pPr>
              <w:jc w:val="center"/>
              <w:spacing w:after="0" w:line="140" w:lineRule="exact"/>
              <w:rPr>
                <w:sz w:val="20"/>
                <w:szCs w:val="20"/>
                <w:color w:val="auto"/>
              </w:rPr>
            </w:pPr>
            <w:r>
              <w:rPr>
                <w:rFonts w:ascii="Times New Roman" w:cs="Times New Roman" w:eastAsia="Times New Roman" w:hAnsi="Times New Roman"/>
                <w:sz w:val="15"/>
                <w:szCs w:val="15"/>
                <w:color w:val="auto"/>
              </w:rPr>
              <w:t>Wilmington, MA</w:t>
            </w: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Warehouse</w:t>
            </w: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46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F 6%</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Automation</w:t>
            </w:r>
          </w:p>
        </w:tc>
        <w:tc>
          <w:tcPr>
            <w:tcW w:w="1640" w:type="dxa"/>
            <w:vAlign w:val="bottom"/>
            <w:gridSpan w:val="2"/>
            <w:shd w:val="clear" w:color="auto" w:fill="CCEEFF"/>
          </w:tcPr>
          <w:p>
            <w:pPr>
              <w:jc w:val="center"/>
              <w:ind w:left="624"/>
              <w:spacing w:after="0"/>
              <w:rPr>
                <w:sz w:val="20"/>
                <w:szCs w:val="20"/>
                <w:color w:val="auto"/>
              </w:rPr>
            </w:pPr>
            <w:r>
              <w:rPr>
                <w:rFonts w:ascii="Times New Roman" w:cs="Times New Roman" w:eastAsia="Times New Roman" w:hAnsi="Times New Roman"/>
                <w:sz w:val="15"/>
                <w:szCs w:val="15"/>
                <w:color w:val="auto"/>
              </w:rPr>
              <w:t>11/30/2022</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232,568</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10,004,286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10,675,766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5.25%</w:t>
            </w:r>
          </w:p>
        </w:tc>
        <w:tc>
          <w:tcPr>
            <w:tcW w:w="0" w:type="dxa"/>
            <w:vAlign w:val="bottom"/>
          </w:tcPr>
          <w:p>
            <w:pPr>
              <w:spacing w:after="0"/>
              <w:rPr>
                <w:sz w:val="1"/>
                <w:szCs w:val="1"/>
                <w:color w:val="auto"/>
              </w:rPr>
            </w:pPr>
          </w:p>
        </w:tc>
      </w:tr>
      <w:tr>
        <w:trPr>
          <w:trHeight w:val="155"/>
        </w:trPr>
        <w:tc>
          <w:tcPr>
            <w:tcW w:w="2460" w:type="dxa"/>
            <w:vAlign w:val="bottom"/>
            <w:gridSpan w:val="23"/>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Whoop, Inc.</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color w:val="auto"/>
                <w:w w:val="99"/>
              </w:rPr>
              <w:t>Boston, MA</w:t>
            </w: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Fitness</w:t>
            </w: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46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C</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Technology</w:t>
            </w:r>
          </w:p>
        </w:tc>
        <w:tc>
          <w:tcPr>
            <w:tcW w:w="1640" w:type="dxa"/>
            <w:vAlign w:val="bottom"/>
            <w:gridSpan w:val="2"/>
            <w:shd w:val="clear" w:color="auto" w:fill="CCEEFF"/>
          </w:tcPr>
          <w:p>
            <w:pPr>
              <w:jc w:val="center"/>
              <w:ind w:left="624"/>
              <w:spacing w:after="0"/>
              <w:rPr>
                <w:sz w:val="20"/>
                <w:szCs w:val="20"/>
                <w:color w:val="auto"/>
              </w:rPr>
            </w:pPr>
            <w:r>
              <w:rPr>
                <w:rFonts w:ascii="Times New Roman" w:cs="Times New Roman" w:eastAsia="Times New Roman" w:hAnsi="Times New Roman"/>
                <w:sz w:val="15"/>
                <w:szCs w:val="15"/>
                <w:color w:val="auto"/>
              </w:rPr>
              <w:t>6/30/2022</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13,293,450</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10,011,460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9,612,887</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w:t>
            </w:r>
          </w:p>
        </w:tc>
        <w:tc>
          <w:tcPr>
            <w:tcW w:w="0" w:type="dxa"/>
            <w:vAlign w:val="bottom"/>
          </w:tcPr>
          <w:p>
            <w:pPr>
              <w:spacing w:after="0"/>
              <w:rPr>
                <w:sz w:val="1"/>
                <w:szCs w:val="1"/>
                <w:color w:val="auto"/>
              </w:rPr>
            </w:pPr>
          </w:p>
        </w:tc>
      </w:tr>
      <w:tr>
        <w:trPr>
          <w:trHeight w:val="148"/>
        </w:trPr>
        <w:tc>
          <w:tcPr>
            <w:tcW w:w="1600" w:type="dxa"/>
            <w:vAlign w:val="bottom"/>
            <w:tcBorders>
              <w:bottom w:val="single" w:sz="8" w:color="auto"/>
            </w:tcBorders>
            <w:gridSpan w:val="17"/>
          </w:tcPr>
          <w:p>
            <w:pPr>
              <w:spacing w:after="0" w:line="149" w:lineRule="exact"/>
              <w:rPr>
                <w:sz w:val="20"/>
                <w:szCs w:val="20"/>
                <w:color w:val="auto"/>
              </w:rPr>
            </w:pPr>
            <w:r>
              <w:rPr>
                <w:rFonts w:ascii="Times New Roman" w:cs="Times New Roman" w:eastAsia="Times New Roman" w:hAnsi="Times New Roman"/>
                <w:sz w:val="15"/>
                <w:szCs w:val="15"/>
                <w:b w:val="1"/>
                <w:bCs w:val="1"/>
                <w:color w:val="auto"/>
                <w:w w:val="99"/>
              </w:rPr>
              <w:t>Shogun Enterprises, Inc.</w:t>
            </w:r>
          </w:p>
        </w:tc>
        <w:tc>
          <w:tcPr>
            <w:tcW w:w="860" w:type="dxa"/>
            <w:vAlign w:val="bottom"/>
            <w:gridSpan w:val="6"/>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20" w:type="dxa"/>
            <w:vAlign w:val="bottom"/>
            <w:gridSpan w:val="7"/>
            <w:vMerge w:val="restart"/>
          </w:tcPr>
          <w:p>
            <w:pPr>
              <w:spacing w:after="0"/>
              <w:rPr>
                <w:sz w:val="20"/>
                <w:szCs w:val="20"/>
                <w:color w:val="auto"/>
              </w:rPr>
            </w:pPr>
            <w:r>
              <w:rPr>
                <w:rFonts w:ascii="Times New Roman" w:cs="Times New Roman" w:eastAsia="Times New Roman" w:hAnsi="Times New Roman"/>
                <w:sz w:val="15"/>
                <w:szCs w:val="15"/>
                <w:b w:val="1"/>
                <w:bCs w:val="1"/>
                <w:color w:val="auto"/>
                <w:w w:val="97"/>
              </w:rPr>
              <w:t>(d/b/a Hearth)</w:t>
            </w:r>
          </w:p>
        </w:tc>
        <w:tc>
          <w:tcPr>
            <w:tcW w:w="220" w:type="dxa"/>
            <w:vAlign w:val="bottom"/>
            <w:tcBorders>
              <w:bottom w:val="single" w:sz="8" w:color="auto"/>
            </w:tcBorders>
            <w:gridSpan w:val="3"/>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w w:val="92"/>
              </w:rPr>
              <w:t>(13)</w:t>
            </w:r>
          </w:p>
        </w:tc>
        <w:tc>
          <w:tcPr>
            <w:tcW w:w="40" w:type="dxa"/>
            <w:vAlign w:val="bottom"/>
            <w:gridSpan w:val="2"/>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180" w:type="dxa"/>
            <w:vAlign w:val="bottom"/>
            <w:gridSpan w:val="2"/>
            <w:vMerge w:val="restart"/>
          </w:tcPr>
          <w:p>
            <w:pPr>
              <w:spacing w:after="0"/>
              <w:rPr>
                <w:sz w:val="12"/>
                <w:szCs w:val="12"/>
                <w:color w:val="auto"/>
              </w:rPr>
            </w:pPr>
          </w:p>
        </w:tc>
        <w:tc>
          <w:tcPr>
            <w:tcW w:w="260" w:type="dxa"/>
            <w:vAlign w:val="bottom"/>
            <w:gridSpan w:val="2"/>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20" w:type="dxa"/>
            <w:vAlign w:val="bottom"/>
            <w:gridSpan w:val="2"/>
            <w:vMerge w:val="restart"/>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Austin, TX</w:t>
            </w: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920" w:type="dxa"/>
            <w:vAlign w:val="bottom"/>
            <w:tcBorders>
              <w:bottom w:val="single" w:sz="8" w:color="auto"/>
            </w:tcBorders>
            <w:gridSpan w:val="7"/>
            <w:vMerge w:val="continue"/>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gridSpan w:val="2"/>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260" w:type="dxa"/>
            <w:vAlign w:val="bottom"/>
            <w:gridSpan w:val="2"/>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Home</w:t>
            </w: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Improvement</w:t>
            </w: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46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B-1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Finance</w:t>
            </w:r>
          </w:p>
        </w:tc>
        <w:tc>
          <w:tcPr>
            <w:tcW w:w="1640" w:type="dxa"/>
            <w:vAlign w:val="bottom"/>
            <w:gridSpan w:val="2"/>
            <w:shd w:val="clear" w:color="auto" w:fill="CCEEFF"/>
          </w:tcPr>
          <w:p>
            <w:pPr>
              <w:jc w:val="center"/>
              <w:ind w:left="624"/>
              <w:spacing w:after="0"/>
              <w:rPr>
                <w:sz w:val="20"/>
                <w:szCs w:val="20"/>
                <w:color w:val="auto"/>
              </w:rPr>
            </w:pPr>
            <w:r>
              <w:rPr>
                <w:rFonts w:ascii="Times New Roman" w:cs="Times New Roman" w:eastAsia="Times New Roman" w:hAnsi="Times New Roman"/>
                <w:sz w:val="15"/>
                <w:szCs w:val="15"/>
                <w:color w:val="auto"/>
              </w:rPr>
              <w:t>2/26/2021</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436,844</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3,501,657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3,132,942</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0" w:type="dxa"/>
            <w:vAlign w:val="bottom"/>
          </w:tcPr>
          <w:p>
            <w:pPr>
              <w:spacing w:after="0"/>
              <w:rPr>
                <w:sz w:val="1"/>
                <w:szCs w:val="1"/>
                <w:color w:val="auto"/>
              </w:rPr>
            </w:pPr>
          </w:p>
        </w:tc>
      </w:tr>
      <w:tr>
        <w:trPr>
          <w:trHeight w:val="194"/>
        </w:trPr>
        <w:tc>
          <w:tcPr>
            <w:tcW w:w="2460" w:type="dxa"/>
            <w:vAlign w:val="bottom"/>
            <w:gridSpan w:val="23"/>
          </w:tcPr>
          <w:p>
            <w:pPr>
              <w:spacing w:after="0"/>
              <w:rPr>
                <w:sz w:val="20"/>
                <w:szCs w:val="20"/>
                <w:color w:val="auto"/>
              </w:rPr>
            </w:pPr>
            <w:r>
              <w:rPr>
                <w:rFonts w:ascii="Times New Roman" w:cs="Times New Roman" w:eastAsia="Times New Roman" w:hAnsi="Times New Roman"/>
                <w:sz w:val="15"/>
                <w:szCs w:val="15"/>
                <w:color w:val="auto"/>
              </w:rPr>
              <w:t>Preferred shares, Series B-2</w:t>
            </w:r>
          </w:p>
        </w:tc>
        <w:tc>
          <w:tcPr>
            <w:tcW w:w="1080" w:type="dxa"/>
            <w:vAlign w:val="bottom"/>
          </w:tcPr>
          <w:p>
            <w:pPr>
              <w:spacing w:after="0"/>
              <w:rPr>
                <w:sz w:val="16"/>
                <w:szCs w:val="16"/>
                <w:color w:val="auto"/>
              </w:rPr>
            </w:pPr>
          </w:p>
        </w:tc>
        <w:tc>
          <w:tcPr>
            <w:tcW w:w="1640" w:type="dxa"/>
            <w:vAlign w:val="bottom"/>
            <w:gridSpan w:val="2"/>
          </w:tcPr>
          <w:p>
            <w:pPr>
              <w:jc w:val="center"/>
              <w:ind w:left="624"/>
              <w:spacing w:after="0"/>
              <w:rPr>
                <w:sz w:val="20"/>
                <w:szCs w:val="20"/>
                <w:color w:val="auto"/>
              </w:rPr>
            </w:pPr>
            <w:r>
              <w:rPr>
                <w:rFonts w:ascii="Times New Roman" w:cs="Times New Roman" w:eastAsia="Times New Roman" w:hAnsi="Times New Roman"/>
                <w:sz w:val="15"/>
                <w:szCs w:val="15"/>
                <w:color w:val="auto"/>
              </w:rPr>
              <w:t>2/26/2021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301,750</w:t>
            </w:r>
          </w:p>
        </w:tc>
        <w:tc>
          <w:tcPr>
            <w:tcW w:w="32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3,501,661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3,132,946</w:t>
            </w:r>
          </w:p>
        </w:tc>
        <w:tc>
          <w:tcPr>
            <w:tcW w:w="20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0" w:type="dxa"/>
            <w:vAlign w:val="bottom"/>
          </w:tcPr>
          <w:p>
            <w:pPr>
              <w:spacing w:after="0"/>
              <w:rPr>
                <w:sz w:val="1"/>
                <w:szCs w:val="1"/>
                <w:color w:val="auto"/>
              </w:rPr>
            </w:pPr>
          </w:p>
        </w:tc>
      </w:tr>
      <w:tr>
        <w:trPr>
          <w:trHeight w:val="174"/>
        </w:trPr>
        <w:tc>
          <w:tcPr>
            <w:tcW w:w="2460" w:type="dxa"/>
            <w:vAlign w:val="bottom"/>
            <w:tcBorders>
              <w:top w:val="single" w:sz="8" w:color="CCEEFF"/>
            </w:tcBorders>
            <w:gridSpan w:val="23"/>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B-3</w:t>
            </w:r>
          </w:p>
        </w:tc>
        <w:tc>
          <w:tcPr>
            <w:tcW w:w="108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CCEEFF"/>
            </w:tcBorders>
            <w:gridSpan w:val="2"/>
            <w:shd w:val="clear" w:color="auto" w:fill="CCEEFF"/>
          </w:tcPr>
          <w:p>
            <w:pPr>
              <w:jc w:val="center"/>
              <w:ind w:left="624"/>
              <w:spacing w:after="0"/>
              <w:rPr>
                <w:sz w:val="20"/>
                <w:szCs w:val="20"/>
                <w:color w:val="auto"/>
              </w:rPr>
            </w:pPr>
            <w:r>
              <w:rPr>
                <w:rFonts w:ascii="Times New Roman" w:cs="Times New Roman" w:eastAsia="Times New Roman" w:hAnsi="Times New Roman"/>
                <w:sz w:val="15"/>
                <w:szCs w:val="15"/>
                <w:color w:val="auto"/>
              </w:rPr>
              <w:t>5/2/2022</w:t>
            </w: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56,936</w:t>
            </w: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530,822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475,152</w:t>
            </w:r>
          </w:p>
        </w:tc>
        <w:tc>
          <w:tcPr>
            <w:tcW w:w="2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0.23</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74"/>
        </w:trPr>
        <w:tc>
          <w:tcPr>
            <w:tcW w:w="2460" w:type="dxa"/>
            <w:vAlign w:val="bottom"/>
            <w:gridSpan w:val="23"/>
          </w:tcPr>
          <w:p>
            <w:pPr>
              <w:spacing w:after="0"/>
              <w:rPr>
                <w:sz w:val="20"/>
                <w:szCs w:val="20"/>
                <w:color w:val="auto"/>
              </w:rPr>
            </w:pPr>
            <w:r>
              <w:rPr>
                <w:rFonts w:ascii="Times New Roman" w:cs="Times New Roman" w:eastAsia="Times New Roman" w:hAnsi="Times New Roman"/>
                <w:sz w:val="15"/>
                <w:szCs w:val="15"/>
                <w:color w:val="auto"/>
              </w:rPr>
              <w:t>Preferred shares, Series B-4</w:t>
            </w:r>
          </w:p>
        </w:tc>
        <w:tc>
          <w:tcPr>
            <w:tcW w:w="1080" w:type="dxa"/>
            <w:vAlign w:val="bottom"/>
          </w:tcPr>
          <w:p>
            <w:pPr>
              <w:spacing w:after="0"/>
              <w:rPr>
                <w:sz w:val="15"/>
                <w:szCs w:val="15"/>
                <w:color w:val="auto"/>
              </w:rPr>
            </w:pPr>
          </w:p>
        </w:tc>
        <w:tc>
          <w:tcPr>
            <w:tcW w:w="1640" w:type="dxa"/>
            <w:vAlign w:val="bottom"/>
            <w:gridSpan w:val="2"/>
          </w:tcPr>
          <w:p>
            <w:pPr>
              <w:jc w:val="center"/>
              <w:ind w:left="624"/>
              <w:spacing w:after="0"/>
              <w:rPr>
                <w:sz w:val="20"/>
                <w:szCs w:val="20"/>
                <w:color w:val="auto"/>
              </w:rPr>
            </w:pPr>
            <w:r>
              <w:rPr>
                <w:rFonts w:ascii="Times New Roman" w:cs="Times New Roman" w:eastAsia="Times New Roman" w:hAnsi="Times New Roman"/>
                <w:sz w:val="15"/>
                <w:szCs w:val="15"/>
                <w:color w:val="auto"/>
              </w:rPr>
              <w:t>7/12/2023</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48,267</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366,606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342,517</w:t>
            </w:r>
          </w:p>
        </w:tc>
        <w:tc>
          <w:tcPr>
            <w:tcW w:w="20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0.17%</w:t>
            </w:r>
          </w:p>
        </w:tc>
        <w:tc>
          <w:tcPr>
            <w:tcW w:w="0" w:type="dxa"/>
            <w:vAlign w:val="bottom"/>
          </w:tcPr>
          <w:p>
            <w:pPr>
              <w:spacing w:after="0"/>
              <w:rPr>
                <w:sz w:val="1"/>
                <w:szCs w:val="1"/>
                <w:color w:val="auto"/>
              </w:rPr>
            </w:pPr>
          </w:p>
        </w:tc>
      </w:tr>
      <w:tr>
        <w:trPr>
          <w:trHeight w:val="168"/>
        </w:trPr>
        <w:tc>
          <w:tcPr>
            <w:tcW w:w="2460" w:type="dxa"/>
            <w:vAlign w:val="bottom"/>
            <w:gridSpan w:val="23"/>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Common Warrants, Strike</w:t>
            </w:r>
          </w:p>
        </w:tc>
        <w:tc>
          <w:tcPr>
            <w:tcW w:w="10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46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5"/>
                <w:szCs w:val="15"/>
                <w:color w:val="auto"/>
              </w:rPr>
              <w:t>Price $0.01, Expiration Date</w:t>
            </w: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7/12/2026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left="624"/>
              <w:spacing w:after="0"/>
              <w:rPr>
                <w:sz w:val="20"/>
                <w:szCs w:val="20"/>
                <w:color w:val="auto"/>
              </w:rPr>
            </w:pPr>
            <w:r>
              <w:rPr>
                <w:rFonts w:ascii="Times New Roman" w:cs="Times New Roman" w:eastAsia="Times New Roman" w:hAnsi="Times New Roman"/>
                <w:sz w:val="15"/>
                <w:szCs w:val="15"/>
                <w:color w:val="auto"/>
              </w:rPr>
              <w:t>7/12/2023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86,076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140,060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4"/>
        </w:trPr>
        <w:tc>
          <w:tcPr>
            <w:tcW w:w="2460" w:type="dxa"/>
            <w:vAlign w:val="bottom"/>
            <w:tcBorders>
              <w:bottom w:val="single" w:sz="8" w:color="CCEEFF"/>
            </w:tcBorders>
            <w:gridSpan w:val="23"/>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10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8,040,806</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7,083,557</w:t>
            </w:r>
          </w:p>
        </w:tc>
        <w:tc>
          <w:tcPr>
            <w:tcW w:w="20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3.48</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65"/>
        </w:trPr>
        <w:tc>
          <w:tcPr>
            <w:tcW w:w="2460" w:type="dxa"/>
            <w:vAlign w:val="bottom"/>
            <w:gridSpan w:val="23"/>
            <w:shd w:val="clear" w:color="auto" w:fill="CCEEFF"/>
          </w:tcPr>
          <w:p>
            <w:pPr>
              <w:spacing w:after="0" w:line="140" w:lineRule="exact"/>
              <w:rPr>
                <w:sz w:val="20"/>
                <w:szCs w:val="20"/>
                <w:color w:val="auto"/>
              </w:rPr>
            </w:pPr>
            <w:r>
              <w:rPr>
                <w:rFonts w:ascii="Times New Roman" w:cs="Times New Roman" w:eastAsia="Times New Roman" w:hAnsi="Times New Roman"/>
                <w:sz w:val="15"/>
                <w:szCs w:val="15"/>
                <w:b w:val="1"/>
                <w:bCs w:val="1"/>
                <w:color w:val="auto"/>
              </w:rPr>
              <w:t>FourKites, Inc.</w:t>
            </w:r>
          </w:p>
        </w:tc>
        <w:tc>
          <w:tcPr>
            <w:tcW w:w="1080" w:type="dxa"/>
            <w:vAlign w:val="bottom"/>
            <w:shd w:val="clear" w:color="auto" w:fill="CCEEFF"/>
          </w:tcPr>
          <w:p>
            <w:pPr>
              <w:jc w:val="center"/>
              <w:spacing w:after="0" w:line="140" w:lineRule="exact"/>
              <w:rPr>
                <w:sz w:val="20"/>
                <w:szCs w:val="20"/>
                <w:color w:val="auto"/>
              </w:rPr>
            </w:pPr>
            <w:r>
              <w:rPr>
                <w:rFonts w:ascii="Times New Roman" w:cs="Times New Roman" w:eastAsia="Times New Roman" w:hAnsi="Times New Roman"/>
                <w:sz w:val="15"/>
                <w:szCs w:val="15"/>
                <w:color w:val="auto"/>
              </w:rPr>
              <w:t>Chicago, IL</w:t>
            </w:r>
          </w:p>
        </w:tc>
        <w:tc>
          <w:tcPr>
            <w:tcW w:w="6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080" w:type="dxa"/>
            <w:vAlign w:val="bottom"/>
            <w:tcBorders>
              <w:top w:val="single" w:sz="8" w:color="CCEEFF"/>
            </w:tcBorders>
          </w:tcPr>
          <w:p>
            <w:pPr>
              <w:jc w:val="center"/>
              <w:spacing w:after="0" w:line="168" w:lineRule="exact"/>
              <w:rPr>
                <w:sz w:val="20"/>
                <w:szCs w:val="20"/>
                <w:color w:val="auto"/>
              </w:rPr>
            </w:pPr>
            <w:r>
              <w:rPr>
                <w:rFonts w:ascii="Times New Roman" w:cs="Times New Roman" w:eastAsia="Times New Roman" w:hAnsi="Times New Roman"/>
                <w:sz w:val="15"/>
                <w:szCs w:val="15"/>
                <w:color w:val="auto"/>
                <w:w w:val="99"/>
              </w:rPr>
              <w:t>Supply Chain</w:t>
            </w:r>
          </w:p>
        </w:tc>
        <w:tc>
          <w:tcPr>
            <w:tcW w:w="68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460" w:type="dxa"/>
            <w:vAlign w:val="bottom"/>
            <w:gridSpan w:val="23"/>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Technology</w:t>
            </w:r>
          </w:p>
        </w:tc>
        <w:tc>
          <w:tcPr>
            <w:tcW w:w="1640" w:type="dxa"/>
            <w:vAlign w:val="bottom"/>
            <w:gridSpan w:val="2"/>
          </w:tcPr>
          <w:p>
            <w:pPr>
              <w:jc w:val="center"/>
              <w:ind w:left="624"/>
              <w:spacing w:after="0"/>
              <w:rPr>
                <w:sz w:val="20"/>
                <w:szCs w:val="20"/>
                <w:color w:val="auto"/>
              </w:rPr>
            </w:pPr>
            <w:r>
              <w:rPr>
                <w:rFonts w:ascii="Times New Roman" w:cs="Times New Roman" w:eastAsia="Times New Roman" w:hAnsi="Times New Roman"/>
                <w:sz w:val="15"/>
                <w:szCs w:val="15"/>
                <w:color w:val="auto"/>
              </w:rPr>
              <w:t>7/7/2023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1,398,024</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8,530,389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6,926,176</w:t>
            </w:r>
          </w:p>
        </w:tc>
        <w:tc>
          <w:tcPr>
            <w:tcW w:w="2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3.41%</w:t>
            </w:r>
          </w:p>
        </w:tc>
        <w:tc>
          <w:tcPr>
            <w:tcW w:w="0" w:type="dxa"/>
            <w:vAlign w:val="bottom"/>
          </w:tcPr>
          <w:p>
            <w:pPr>
              <w:spacing w:after="0"/>
              <w:rPr>
                <w:sz w:val="1"/>
                <w:szCs w:val="1"/>
                <w:color w:val="auto"/>
              </w:rPr>
            </w:pPr>
          </w:p>
        </w:tc>
      </w:tr>
      <w:tr>
        <w:trPr>
          <w:trHeight w:val="148"/>
        </w:trPr>
        <w:tc>
          <w:tcPr>
            <w:tcW w:w="2460" w:type="dxa"/>
            <w:vAlign w:val="bottom"/>
            <w:gridSpan w:val="23"/>
            <w:shd w:val="clear" w:color="auto" w:fill="CCEEFF"/>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Orchard Technologies, Inc.</w:t>
            </w: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New York, NY</w:t>
            </w:r>
          </w:p>
        </w:tc>
        <w:tc>
          <w:tcPr>
            <w:tcW w:w="6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80" w:type="dxa"/>
            <w:vAlign w:val="bottom"/>
            <w:tcBorders>
              <w:top w:val="single" w:sz="8" w:color="auto"/>
            </w:tcBorders>
            <w:gridSpan w:val="2"/>
            <w:shd w:val="clear" w:color="auto" w:fill="CCEEFF"/>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(12)</w:t>
            </w: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CCEEFF"/>
            </w:tcBorders>
            <w:vMerge w:val="continue"/>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0" w:type="dxa"/>
            <w:vAlign w:val="bottom"/>
            <w:tcBorders>
              <w:top w:val="single" w:sz="8" w:color="auto"/>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080" w:type="dxa"/>
            <w:vAlign w:val="bottom"/>
            <w:tcBorders>
              <w:top w:val="single" w:sz="8" w:color="CCEEFF"/>
            </w:tcBorders>
          </w:tcPr>
          <w:p>
            <w:pPr>
              <w:jc w:val="center"/>
              <w:spacing w:after="0" w:line="168" w:lineRule="exact"/>
              <w:rPr>
                <w:sz w:val="20"/>
                <w:szCs w:val="20"/>
                <w:color w:val="auto"/>
              </w:rPr>
            </w:pPr>
            <w:r>
              <w:rPr>
                <w:rFonts w:ascii="Times New Roman" w:cs="Times New Roman" w:eastAsia="Times New Roman" w:hAnsi="Times New Roman"/>
                <w:sz w:val="15"/>
                <w:szCs w:val="15"/>
                <w:color w:val="auto"/>
              </w:rPr>
              <w:t>Real Estate</w:t>
            </w:r>
          </w:p>
        </w:tc>
        <w:tc>
          <w:tcPr>
            <w:tcW w:w="68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460" w:type="dxa"/>
            <w:vAlign w:val="bottom"/>
            <w:gridSpan w:val="23"/>
          </w:tcPr>
          <w:p>
            <w:pPr>
              <w:spacing w:after="0"/>
              <w:rPr>
                <w:sz w:val="20"/>
                <w:szCs w:val="20"/>
                <w:color w:val="auto"/>
              </w:rPr>
            </w:pPr>
            <w:r>
              <w:rPr>
                <w:rFonts w:ascii="Times New Roman" w:cs="Times New Roman" w:eastAsia="Times New Roman" w:hAnsi="Times New Roman"/>
                <w:sz w:val="15"/>
                <w:szCs w:val="15"/>
                <w:color w:val="auto"/>
              </w:rPr>
              <w:t>Preferred shares, Series D 8%</w:t>
            </w: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Platform</w:t>
            </w:r>
          </w:p>
        </w:tc>
        <w:tc>
          <w:tcPr>
            <w:tcW w:w="1640" w:type="dxa"/>
            <w:vAlign w:val="bottom"/>
            <w:gridSpan w:val="2"/>
          </w:tcPr>
          <w:p>
            <w:pPr>
              <w:jc w:val="center"/>
              <w:ind w:left="624"/>
              <w:spacing w:after="0"/>
              <w:rPr>
                <w:sz w:val="20"/>
                <w:szCs w:val="20"/>
                <w:color w:val="auto"/>
              </w:rPr>
            </w:pPr>
            <w:r>
              <w:rPr>
                <w:rFonts w:ascii="Times New Roman" w:cs="Times New Roman" w:eastAsia="Times New Roman" w:hAnsi="Times New Roman"/>
                <w:sz w:val="15"/>
                <w:szCs w:val="15"/>
                <w:color w:val="auto"/>
              </w:rPr>
              <w:t>8/9/2021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558,053</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3,751,518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8"/>
        </w:trPr>
        <w:tc>
          <w:tcPr>
            <w:tcW w:w="2460" w:type="dxa"/>
            <w:vAlign w:val="bottom"/>
            <w:gridSpan w:val="23"/>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Senior Preferred shares, Series</w:t>
            </w:r>
          </w:p>
        </w:tc>
        <w:tc>
          <w:tcPr>
            <w:tcW w:w="10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center"/>
              <w:ind w:left="624"/>
              <w:spacing w:after="0"/>
              <w:rPr>
                <w:sz w:val="20"/>
                <w:szCs w:val="20"/>
                <w:color w:val="auto"/>
              </w:rPr>
            </w:pPr>
            <w:r>
              <w:rPr>
                <w:rFonts w:ascii="Times New Roman" w:cs="Times New Roman" w:eastAsia="Times New Roman" w:hAnsi="Times New Roman"/>
                <w:sz w:val="15"/>
                <w:szCs w:val="15"/>
                <w:color w:val="auto"/>
              </w:rPr>
              <w:t>8/9/2021</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58,771</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587,951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8"/>
        </w:trPr>
        <w:tc>
          <w:tcPr>
            <w:tcW w:w="2460" w:type="dxa"/>
            <w:vAlign w:val="bottom"/>
            <w:gridSpan w:val="23"/>
          </w:tcPr>
          <w:p>
            <w:pPr>
              <w:spacing w:after="0" w:line="168" w:lineRule="exact"/>
              <w:rPr>
                <w:sz w:val="20"/>
                <w:szCs w:val="20"/>
                <w:color w:val="auto"/>
              </w:rPr>
            </w:pPr>
            <w:r>
              <w:rPr>
                <w:rFonts w:ascii="Times New Roman" w:cs="Times New Roman" w:eastAsia="Times New Roman" w:hAnsi="Times New Roman"/>
                <w:sz w:val="15"/>
                <w:szCs w:val="15"/>
                <w:color w:val="auto"/>
              </w:rPr>
              <w:t>Senior Preferred shares, Series</w:t>
            </w: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1 7%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40" w:type="dxa"/>
            <w:vAlign w:val="bottom"/>
            <w:gridSpan w:val="2"/>
          </w:tcPr>
          <w:p>
            <w:pPr>
              <w:jc w:val="center"/>
              <w:ind w:left="624"/>
              <w:spacing w:after="0"/>
              <w:rPr>
                <w:sz w:val="20"/>
                <w:szCs w:val="20"/>
                <w:color w:val="auto"/>
              </w:rPr>
            </w:pPr>
            <w:r>
              <w:rPr>
                <w:rFonts w:ascii="Times New Roman" w:cs="Times New Roman" w:eastAsia="Times New Roman" w:hAnsi="Times New Roman"/>
                <w:sz w:val="15"/>
                <w:szCs w:val="15"/>
                <w:color w:val="auto"/>
              </w:rPr>
              <w:t>1/13/2023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441,228</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4,418,406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4,854,086</w:t>
            </w:r>
          </w:p>
        </w:tc>
        <w:tc>
          <w:tcPr>
            <w:tcW w:w="2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2.39%</w:t>
            </w:r>
          </w:p>
        </w:tc>
        <w:tc>
          <w:tcPr>
            <w:tcW w:w="0" w:type="dxa"/>
            <w:vAlign w:val="bottom"/>
          </w:tcPr>
          <w:p>
            <w:pPr>
              <w:spacing w:after="0"/>
              <w:rPr>
                <w:sz w:val="1"/>
                <w:szCs w:val="1"/>
                <w:color w:val="auto"/>
              </w:rPr>
            </w:pPr>
          </w:p>
        </w:tc>
      </w:tr>
      <w:tr>
        <w:trPr>
          <w:trHeight w:val="194"/>
        </w:trPr>
        <w:tc>
          <w:tcPr>
            <w:tcW w:w="246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108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center"/>
              <w:ind w:left="624"/>
              <w:spacing w:after="0"/>
              <w:rPr>
                <w:sz w:val="20"/>
                <w:szCs w:val="20"/>
                <w:color w:val="auto"/>
              </w:rPr>
            </w:pPr>
            <w:r>
              <w:rPr>
                <w:rFonts w:ascii="Times New Roman" w:cs="Times New Roman" w:eastAsia="Times New Roman" w:hAnsi="Times New Roman"/>
                <w:sz w:val="15"/>
                <w:szCs w:val="15"/>
                <w:color w:val="auto"/>
              </w:rPr>
              <w:t>8/9/2021</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558,053</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3,751,518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4"/>
        </w:trPr>
        <w:tc>
          <w:tcPr>
            <w:tcW w:w="2460" w:type="dxa"/>
            <w:vAlign w:val="bottom"/>
            <w:tcBorders>
              <w:bottom w:val="single" w:sz="8" w:color="CCEEFF"/>
            </w:tcBorders>
            <w:gridSpan w:val="23"/>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10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12,509,393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4,854,086</w:t>
            </w:r>
          </w:p>
        </w:tc>
        <w:tc>
          <w:tcPr>
            <w:tcW w:w="20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2.39</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28"/>
        </w:trPr>
        <w:tc>
          <w:tcPr>
            <w:tcW w:w="1820" w:type="dxa"/>
            <w:vAlign w:val="bottom"/>
            <w:tcBorders>
              <w:bottom w:val="single" w:sz="8" w:color="auto"/>
            </w:tcBorders>
            <w:gridSpan w:val="20"/>
            <w:shd w:val="clear" w:color="auto" w:fill="CCEEFF"/>
          </w:tcPr>
          <w:p>
            <w:pPr>
              <w:spacing w:after="0" w:line="108" w:lineRule="exact"/>
              <w:rPr>
                <w:sz w:val="20"/>
                <w:szCs w:val="20"/>
                <w:color w:val="auto"/>
              </w:rPr>
            </w:pPr>
            <w:r>
              <w:rPr>
                <w:rFonts w:ascii="Times New Roman" w:cs="Times New Roman" w:eastAsia="Times New Roman" w:hAnsi="Times New Roman"/>
                <w:sz w:val="12"/>
                <w:szCs w:val="12"/>
                <w:b w:val="1"/>
                <w:bCs w:val="1"/>
                <w:color w:val="auto"/>
              </w:rPr>
              <w:t>True Global Ventures 4 Plus</w:t>
            </w: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620" w:type="dxa"/>
            <w:vAlign w:val="bottom"/>
            <w:tcBorders>
              <w:bottom w:val="single" w:sz="8" w:color="CCEEFF"/>
            </w:tcBorders>
            <w:gridSpan w:val="2"/>
            <w:vMerge w:val="restart"/>
            <w:shd w:val="clear" w:color="auto" w:fill="CCEEFF"/>
          </w:tcPr>
          <w:p>
            <w:pPr>
              <w:spacing w:after="0"/>
              <w:rPr>
                <w:sz w:val="11"/>
                <w:szCs w:val="11"/>
                <w:color w:val="auto"/>
              </w:rPr>
            </w:pPr>
          </w:p>
        </w:tc>
        <w:tc>
          <w:tcPr>
            <w:tcW w:w="1080" w:type="dxa"/>
            <w:vAlign w:val="bottom"/>
            <w:tcBorders>
              <w:bottom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Singapore,</w:t>
            </w:r>
          </w:p>
        </w:tc>
        <w:tc>
          <w:tcPr>
            <w:tcW w:w="68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12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4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5"/>
              </w:rPr>
              <w:t>Pte Ltd</w:t>
            </w:r>
          </w:p>
        </w:tc>
        <w:tc>
          <w:tcPr>
            <w:tcW w:w="120" w:type="dxa"/>
            <w:vAlign w:val="bottom"/>
            <w:vMerge w:val="restart"/>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180" w:type="dxa"/>
            <w:vAlign w:val="bottom"/>
            <w:gridSpan w:val="2"/>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60" w:type="dxa"/>
            <w:vAlign w:val="bottom"/>
            <w:gridSpan w:val="3"/>
            <w:shd w:val="clear" w:color="auto" w:fill="CCEEFF"/>
          </w:tcPr>
          <w:p>
            <w:pPr>
              <w:spacing w:after="0"/>
              <w:rPr>
                <w:sz w:val="2"/>
                <w:szCs w:val="2"/>
                <w:color w:val="auto"/>
              </w:rPr>
            </w:pPr>
          </w:p>
        </w:tc>
        <w:tc>
          <w:tcPr>
            <w:tcW w:w="80" w:type="dxa"/>
            <w:vAlign w:val="bottom"/>
            <w:gridSpan w:val="3"/>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80" w:type="dxa"/>
            <w:vAlign w:val="bottom"/>
            <w:gridSpan w:val="2"/>
            <w:shd w:val="clear" w:color="auto" w:fill="CCEEFF"/>
          </w:tcPr>
          <w:p>
            <w:pPr>
              <w:spacing w:after="0"/>
              <w:rPr>
                <w:sz w:val="2"/>
                <w:szCs w:val="2"/>
                <w:color w:val="auto"/>
              </w:rPr>
            </w:pPr>
          </w:p>
        </w:tc>
        <w:tc>
          <w:tcPr>
            <w:tcW w:w="300" w:type="dxa"/>
            <w:vAlign w:val="bottom"/>
            <w:gridSpan w:val="3"/>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vMerge w:val="continue"/>
            <w:shd w:val="clear" w:color="auto" w:fill="CCEEFF"/>
          </w:tcPr>
          <w:p>
            <w:pPr>
              <w:spacing w:after="0"/>
              <w:rPr>
                <w:sz w:val="2"/>
                <w:szCs w:val="2"/>
                <w:color w:val="auto"/>
              </w:rPr>
            </w:pPr>
          </w:p>
        </w:tc>
        <w:tc>
          <w:tcPr>
            <w:tcW w:w="620" w:type="dxa"/>
            <w:vAlign w:val="bottom"/>
            <w:gridSpan w:val="2"/>
            <w:vMerge w:val="continue"/>
            <w:shd w:val="clear" w:color="auto" w:fill="CCEEFF"/>
          </w:tcPr>
          <w:p>
            <w:pPr>
              <w:spacing w:after="0"/>
              <w:rPr>
                <w:sz w:val="2"/>
                <w:szCs w:val="2"/>
                <w:color w:val="auto"/>
              </w:rPr>
            </w:pPr>
          </w:p>
        </w:tc>
        <w:tc>
          <w:tcPr>
            <w:tcW w:w="1080" w:type="dxa"/>
            <w:vAlign w:val="bottom"/>
            <w:vMerge w:val="continue"/>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6"/>
        </w:trPr>
        <w:tc>
          <w:tcPr>
            <w:tcW w:w="480" w:type="dxa"/>
            <w:vAlign w:val="bottom"/>
            <w:tcBorders>
              <w:bottom w:val="single" w:sz="8" w:color="CCEEFF"/>
            </w:tcBorders>
            <w:gridSpan w:val="2"/>
            <w:vMerge w:val="continue"/>
            <w:shd w:val="clear" w:color="auto" w:fill="CCEEFF"/>
          </w:tcPr>
          <w:p>
            <w:pPr>
              <w:spacing w:after="0"/>
              <w:rPr>
                <w:sz w:val="9"/>
                <w:szCs w:val="9"/>
                <w:color w:val="auto"/>
              </w:rPr>
            </w:pPr>
          </w:p>
        </w:tc>
        <w:tc>
          <w:tcPr>
            <w:tcW w:w="120" w:type="dxa"/>
            <w:vAlign w:val="bottom"/>
            <w:tcBorders>
              <w:bottom w:val="single" w:sz="8" w:color="auto"/>
            </w:tcBorders>
            <w:vMerge w:val="continue"/>
            <w:shd w:val="clear" w:color="auto" w:fill="CCEEFF"/>
          </w:tcPr>
          <w:p>
            <w:pPr>
              <w:spacing w:after="0"/>
              <w:rPr>
                <w:sz w:val="9"/>
                <w:szCs w:val="9"/>
                <w:color w:val="auto"/>
              </w:rPr>
            </w:pPr>
          </w:p>
        </w:tc>
        <w:tc>
          <w:tcPr>
            <w:tcW w:w="180" w:type="dxa"/>
            <w:vAlign w:val="bottom"/>
            <w:tcBorders>
              <w:bottom w:val="single" w:sz="8" w:color="CCEEFF"/>
            </w:tcBorders>
            <w:gridSpan w:val="2"/>
            <w:vMerge w:val="restart"/>
            <w:shd w:val="clear" w:color="auto" w:fill="CCEEFF"/>
          </w:tcPr>
          <w:p>
            <w:pPr>
              <w:spacing w:after="0"/>
              <w:rPr>
                <w:sz w:val="9"/>
                <w:szCs w:val="9"/>
                <w:color w:val="auto"/>
              </w:rPr>
            </w:pPr>
          </w:p>
        </w:tc>
        <w:tc>
          <w:tcPr>
            <w:tcW w:w="60" w:type="dxa"/>
            <w:vAlign w:val="bottom"/>
            <w:tcBorders>
              <w:bottom w:val="single" w:sz="8" w:color="CCEEFF"/>
            </w:tcBorders>
            <w:vMerge w:val="restart"/>
            <w:shd w:val="clear" w:color="auto" w:fill="CCEEFF"/>
          </w:tcPr>
          <w:p>
            <w:pPr>
              <w:spacing w:after="0"/>
              <w:rPr>
                <w:sz w:val="9"/>
                <w:szCs w:val="9"/>
                <w:color w:val="auto"/>
              </w:rPr>
            </w:pPr>
          </w:p>
        </w:tc>
        <w:tc>
          <w:tcPr>
            <w:tcW w:w="260" w:type="dxa"/>
            <w:vAlign w:val="bottom"/>
            <w:tcBorders>
              <w:bottom w:val="single" w:sz="8" w:color="CCEEFF"/>
            </w:tcBorders>
            <w:gridSpan w:val="3"/>
            <w:vMerge w:val="restart"/>
            <w:shd w:val="clear" w:color="auto" w:fill="CCEEFF"/>
          </w:tcPr>
          <w:p>
            <w:pPr>
              <w:spacing w:after="0"/>
              <w:rPr>
                <w:sz w:val="9"/>
                <w:szCs w:val="9"/>
                <w:color w:val="auto"/>
              </w:rPr>
            </w:pPr>
          </w:p>
        </w:tc>
        <w:tc>
          <w:tcPr>
            <w:tcW w:w="80" w:type="dxa"/>
            <w:vAlign w:val="bottom"/>
            <w:tcBorders>
              <w:bottom w:val="single" w:sz="8" w:color="CCEEFF"/>
            </w:tcBorders>
            <w:gridSpan w:val="3"/>
            <w:vMerge w:val="restart"/>
            <w:shd w:val="clear" w:color="auto" w:fill="CCEEFF"/>
          </w:tcPr>
          <w:p>
            <w:pPr>
              <w:spacing w:after="0"/>
              <w:rPr>
                <w:sz w:val="9"/>
                <w:szCs w:val="9"/>
                <w:color w:val="auto"/>
              </w:rPr>
            </w:pPr>
          </w:p>
        </w:tc>
        <w:tc>
          <w:tcPr>
            <w:tcW w:w="60" w:type="dxa"/>
            <w:vAlign w:val="bottom"/>
            <w:tcBorders>
              <w:bottom w:val="single" w:sz="8" w:color="CCEEFF"/>
            </w:tcBorders>
            <w:vMerge w:val="restart"/>
            <w:shd w:val="clear" w:color="auto" w:fill="CCEEFF"/>
          </w:tcPr>
          <w:p>
            <w:pPr>
              <w:spacing w:after="0"/>
              <w:rPr>
                <w:sz w:val="9"/>
                <w:szCs w:val="9"/>
                <w:color w:val="auto"/>
              </w:rPr>
            </w:pPr>
          </w:p>
        </w:tc>
        <w:tc>
          <w:tcPr>
            <w:tcW w:w="60" w:type="dxa"/>
            <w:vAlign w:val="bottom"/>
            <w:tcBorders>
              <w:bottom w:val="single" w:sz="8" w:color="CCEEFF"/>
            </w:tcBorders>
            <w:vMerge w:val="restart"/>
            <w:shd w:val="clear" w:color="auto" w:fill="CCEEFF"/>
          </w:tcPr>
          <w:p>
            <w:pPr>
              <w:spacing w:after="0"/>
              <w:rPr>
                <w:sz w:val="9"/>
                <w:szCs w:val="9"/>
                <w:color w:val="auto"/>
              </w:rPr>
            </w:pPr>
          </w:p>
        </w:tc>
        <w:tc>
          <w:tcPr>
            <w:tcW w:w="180" w:type="dxa"/>
            <w:vAlign w:val="bottom"/>
            <w:tcBorders>
              <w:bottom w:val="single" w:sz="8" w:color="CCEEFF"/>
            </w:tcBorders>
            <w:gridSpan w:val="2"/>
            <w:vMerge w:val="restart"/>
            <w:shd w:val="clear" w:color="auto" w:fill="CCEEFF"/>
          </w:tcPr>
          <w:p>
            <w:pPr>
              <w:spacing w:after="0"/>
              <w:rPr>
                <w:sz w:val="9"/>
                <w:szCs w:val="9"/>
                <w:color w:val="auto"/>
              </w:rPr>
            </w:pPr>
          </w:p>
        </w:tc>
        <w:tc>
          <w:tcPr>
            <w:tcW w:w="300" w:type="dxa"/>
            <w:vAlign w:val="bottom"/>
            <w:tcBorders>
              <w:bottom w:val="single" w:sz="8" w:color="CCEEFF"/>
            </w:tcBorders>
            <w:gridSpan w:val="3"/>
            <w:vMerge w:val="restart"/>
            <w:shd w:val="clear" w:color="auto" w:fill="CCEEFF"/>
          </w:tcPr>
          <w:p>
            <w:pPr>
              <w:spacing w:after="0"/>
              <w:rPr>
                <w:sz w:val="9"/>
                <w:szCs w:val="9"/>
                <w:color w:val="auto"/>
              </w:rPr>
            </w:pPr>
          </w:p>
        </w:tc>
        <w:tc>
          <w:tcPr>
            <w:tcW w:w="60" w:type="dxa"/>
            <w:vAlign w:val="bottom"/>
            <w:tcBorders>
              <w:bottom w:val="single" w:sz="8" w:color="CCEEFF"/>
            </w:tcBorders>
            <w:gridSpan w:val="2"/>
            <w:vMerge w:val="restart"/>
            <w:shd w:val="clear" w:color="auto" w:fill="CCEEFF"/>
          </w:tcPr>
          <w:p>
            <w:pPr>
              <w:spacing w:after="0"/>
              <w:rPr>
                <w:sz w:val="9"/>
                <w:szCs w:val="9"/>
                <w:color w:val="auto"/>
              </w:rPr>
            </w:pPr>
          </w:p>
        </w:tc>
        <w:tc>
          <w:tcPr>
            <w:tcW w:w="620" w:type="dxa"/>
            <w:vAlign w:val="bottom"/>
            <w:tcBorders>
              <w:bottom w:val="single" w:sz="8" w:color="CCEEFF"/>
            </w:tcBorders>
            <w:gridSpan w:val="2"/>
            <w:vMerge w:val="restart"/>
            <w:shd w:val="clear" w:color="auto" w:fill="CCEEFF"/>
          </w:tcPr>
          <w:p>
            <w:pPr>
              <w:spacing w:after="0"/>
              <w:rPr>
                <w:sz w:val="9"/>
                <w:szCs w:val="9"/>
                <w:color w:val="auto"/>
              </w:rPr>
            </w:pPr>
          </w:p>
        </w:tc>
        <w:tc>
          <w:tcPr>
            <w:tcW w:w="1080" w:type="dxa"/>
            <w:vAlign w:val="bottom"/>
            <w:tcBorders>
              <w:bottom w:val="single" w:sz="8" w:color="CCEEFF"/>
            </w:tcBorders>
            <w:vMerge w:val="restart"/>
            <w:shd w:val="clear" w:color="auto" w:fill="CCEEFF"/>
          </w:tcPr>
          <w:p>
            <w:pPr>
              <w:jc w:val="center"/>
              <w:spacing w:after="0" w:line="163" w:lineRule="exact"/>
              <w:rPr>
                <w:sz w:val="20"/>
                <w:szCs w:val="20"/>
                <w:color w:val="auto"/>
              </w:rPr>
            </w:pPr>
            <w:r>
              <w:rPr>
                <w:rFonts w:ascii="Times New Roman" w:cs="Times New Roman" w:eastAsia="Times New Roman" w:hAnsi="Times New Roman"/>
                <w:sz w:val="15"/>
                <w:szCs w:val="15"/>
                <w:color w:val="auto"/>
              </w:rPr>
              <w:t>Singapore</w:t>
            </w:r>
          </w:p>
        </w:tc>
        <w:tc>
          <w:tcPr>
            <w:tcW w:w="680" w:type="dxa"/>
            <w:vAlign w:val="bottom"/>
            <w:tcBorders>
              <w:bottom w:val="single" w:sz="8" w:color="CCEEFF"/>
            </w:tcBorders>
            <w:shd w:val="clear" w:color="auto" w:fill="CCEEFF"/>
          </w:tcPr>
          <w:p>
            <w:pPr>
              <w:spacing w:after="0"/>
              <w:rPr>
                <w:sz w:val="9"/>
                <w:szCs w:val="9"/>
                <w:color w:val="auto"/>
              </w:rPr>
            </w:pPr>
          </w:p>
        </w:tc>
        <w:tc>
          <w:tcPr>
            <w:tcW w:w="96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112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11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40" w:type="dxa"/>
            <w:vAlign w:val="bottom"/>
            <w:tcBorders>
              <w:bottom w:val="single" w:sz="8" w:color="CCEEFF"/>
            </w:tcBorders>
            <w:shd w:val="clear" w:color="auto" w:fill="CCEEFF"/>
          </w:tcPr>
          <w:p>
            <w:pPr>
              <w:spacing w:after="0"/>
              <w:rPr>
                <w:sz w:val="9"/>
                <w:szCs w:val="9"/>
                <w:color w:val="auto"/>
              </w:rPr>
            </w:pPr>
          </w:p>
        </w:tc>
        <w:tc>
          <w:tcPr>
            <w:tcW w:w="122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94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480" w:type="dxa"/>
            <w:vAlign w:val="bottom"/>
            <w:tcBorders>
              <w:bottom w:val="single" w:sz="8" w:color="auto"/>
            </w:tcBorders>
            <w:gridSpan w:val="2"/>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gridSpan w:val="2"/>
            <w:vMerge w:val="continue"/>
            <w:shd w:val="clear" w:color="auto" w:fill="CCEEFF"/>
          </w:tcPr>
          <w:p>
            <w:pPr>
              <w:spacing w:after="0"/>
              <w:rPr>
                <w:sz w:val="4"/>
                <w:szCs w:val="4"/>
                <w:color w:val="auto"/>
              </w:rPr>
            </w:pPr>
          </w:p>
        </w:tc>
        <w:tc>
          <w:tcPr>
            <w:tcW w:w="60" w:type="dxa"/>
            <w:vAlign w:val="bottom"/>
            <w:tcBorders>
              <w:bottom w:val="single" w:sz="8" w:color="CCEEFF"/>
            </w:tcBorders>
            <w:vMerge w:val="continue"/>
            <w:shd w:val="clear" w:color="auto" w:fill="CCEEFF"/>
          </w:tcPr>
          <w:p>
            <w:pPr>
              <w:spacing w:after="0"/>
              <w:rPr>
                <w:sz w:val="4"/>
                <w:szCs w:val="4"/>
                <w:color w:val="auto"/>
              </w:rPr>
            </w:pPr>
          </w:p>
        </w:tc>
        <w:tc>
          <w:tcPr>
            <w:tcW w:w="260" w:type="dxa"/>
            <w:vAlign w:val="bottom"/>
            <w:tcBorders>
              <w:bottom w:val="single" w:sz="8" w:color="CCEEFF"/>
            </w:tcBorders>
            <w:gridSpan w:val="3"/>
            <w:vMerge w:val="continue"/>
            <w:shd w:val="clear" w:color="auto" w:fill="CCEEFF"/>
          </w:tcPr>
          <w:p>
            <w:pPr>
              <w:spacing w:after="0"/>
              <w:rPr>
                <w:sz w:val="4"/>
                <w:szCs w:val="4"/>
                <w:color w:val="auto"/>
              </w:rPr>
            </w:pPr>
          </w:p>
        </w:tc>
        <w:tc>
          <w:tcPr>
            <w:tcW w:w="80" w:type="dxa"/>
            <w:vAlign w:val="bottom"/>
            <w:tcBorders>
              <w:bottom w:val="single" w:sz="8" w:color="CCEEFF"/>
            </w:tcBorders>
            <w:gridSpan w:val="3"/>
            <w:vMerge w:val="continue"/>
            <w:shd w:val="clear" w:color="auto" w:fill="CCEEFF"/>
          </w:tcPr>
          <w:p>
            <w:pPr>
              <w:spacing w:after="0"/>
              <w:rPr>
                <w:sz w:val="4"/>
                <w:szCs w:val="4"/>
                <w:color w:val="auto"/>
              </w:rPr>
            </w:pPr>
          </w:p>
        </w:tc>
        <w:tc>
          <w:tcPr>
            <w:tcW w:w="60" w:type="dxa"/>
            <w:vAlign w:val="bottom"/>
            <w:tcBorders>
              <w:bottom w:val="single" w:sz="8" w:color="CCEEFF"/>
            </w:tcBorders>
            <w:vMerge w:val="continue"/>
            <w:shd w:val="clear" w:color="auto" w:fill="CCEEFF"/>
          </w:tcPr>
          <w:p>
            <w:pPr>
              <w:spacing w:after="0"/>
              <w:rPr>
                <w:sz w:val="4"/>
                <w:szCs w:val="4"/>
                <w:color w:val="auto"/>
              </w:rPr>
            </w:pPr>
          </w:p>
        </w:tc>
        <w:tc>
          <w:tcPr>
            <w:tcW w:w="60" w:type="dxa"/>
            <w:vAlign w:val="bottom"/>
            <w:tcBorders>
              <w:bottom w:val="single" w:sz="8" w:color="CCEEFF"/>
            </w:tcBorders>
            <w:vMerge w:val="continue"/>
            <w:shd w:val="clear" w:color="auto" w:fill="CCEEFF"/>
          </w:tcPr>
          <w:p>
            <w:pPr>
              <w:spacing w:after="0"/>
              <w:rPr>
                <w:sz w:val="4"/>
                <w:szCs w:val="4"/>
                <w:color w:val="auto"/>
              </w:rPr>
            </w:pPr>
          </w:p>
        </w:tc>
        <w:tc>
          <w:tcPr>
            <w:tcW w:w="180" w:type="dxa"/>
            <w:vAlign w:val="bottom"/>
            <w:tcBorders>
              <w:bottom w:val="single" w:sz="8" w:color="CCEEFF"/>
            </w:tcBorders>
            <w:gridSpan w:val="2"/>
            <w:vMerge w:val="continue"/>
            <w:shd w:val="clear" w:color="auto" w:fill="CCEEFF"/>
          </w:tcPr>
          <w:p>
            <w:pPr>
              <w:spacing w:after="0"/>
              <w:rPr>
                <w:sz w:val="4"/>
                <w:szCs w:val="4"/>
                <w:color w:val="auto"/>
              </w:rPr>
            </w:pPr>
          </w:p>
        </w:tc>
        <w:tc>
          <w:tcPr>
            <w:tcW w:w="300" w:type="dxa"/>
            <w:vAlign w:val="bottom"/>
            <w:tcBorders>
              <w:bottom w:val="single" w:sz="8" w:color="CCEEFF"/>
            </w:tcBorders>
            <w:gridSpan w:val="3"/>
            <w:vMerge w:val="continue"/>
            <w:shd w:val="clear" w:color="auto" w:fill="CCEEFF"/>
          </w:tcPr>
          <w:p>
            <w:pPr>
              <w:spacing w:after="0"/>
              <w:rPr>
                <w:sz w:val="4"/>
                <w:szCs w:val="4"/>
                <w:color w:val="auto"/>
              </w:rPr>
            </w:pPr>
          </w:p>
        </w:tc>
        <w:tc>
          <w:tcPr>
            <w:tcW w:w="60" w:type="dxa"/>
            <w:vAlign w:val="bottom"/>
            <w:tcBorders>
              <w:bottom w:val="single" w:sz="8" w:color="CCEEFF"/>
            </w:tcBorders>
            <w:gridSpan w:val="2"/>
            <w:vMerge w:val="continue"/>
            <w:shd w:val="clear" w:color="auto" w:fill="CCEEFF"/>
          </w:tcPr>
          <w:p>
            <w:pPr>
              <w:spacing w:after="0"/>
              <w:rPr>
                <w:sz w:val="4"/>
                <w:szCs w:val="4"/>
                <w:color w:val="auto"/>
              </w:rPr>
            </w:pPr>
          </w:p>
        </w:tc>
        <w:tc>
          <w:tcPr>
            <w:tcW w:w="620" w:type="dxa"/>
            <w:vAlign w:val="bottom"/>
            <w:tcBorders>
              <w:bottom w:val="single" w:sz="8" w:color="CCEEFF"/>
            </w:tcBorders>
            <w:gridSpan w:val="2"/>
            <w:vMerge w:val="continue"/>
            <w:shd w:val="clear" w:color="auto" w:fill="CCEEFF"/>
          </w:tcPr>
          <w:p>
            <w:pPr>
              <w:spacing w:after="0"/>
              <w:rPr>
                <w:sz w:val="4"/>
                <w:szCs w:val="4"/>
                <w:color w:val="auto"/>
              </w:rPr>
            </w:pPr>
          </w:p>
        </w:tc>
        <w:tc>
          <w:tcPr>
            <w:tcW w:w="1080" w:type="dxa"/>
            <w:vAlign w:val="bottom"/>
            <w:tcBorders>
              <w:bottom w:val="single" w:sz="8" w:color="CCEEFF"/>
            </w:tcBorders>
            <w:vMerge w:val="continue"/>
            <w:shd w:val="clear" w:color="auto" w:fill="CCEEFF"/>
          </w:tcPr>
          <w:p>
            <w:pPr>
              <w:spacing w:after="0"/>
              <w:rPr>
                <w:sz w:val="4"/>
                <w:szCs w:val="4"/>
                <w:color w:val="auto"/>
              </w:rPr>
            </w:pPr>
          </w:p>
        </w:tc>
        <w:tc>
          <w:tcPr>
            <w:tcW w:w="680" w:type="dxa"/>
            <w:vAlign w:val="bottom"/>
            <w:tcBorders>
              <w:bottom w:val="single" w:sz="8" w:color="CCEEFF"/>
            </w:tcBorders>
            <w:shd w:val="clear" w:color="auto" w:fill="CCEEFF"/>
          </w:tcPr>
          <w:p>
            <w:pPr>
              <w:spacing w:after="0"/>
              <w:rPr>
                <w:sz w:val="4"/>
                <w:szCs w:val="4"/>
                <w:color w:val="auto"/>
              </w:rPr>
            </w:pPr>
          </w:p>
        </w:tc>
        <w:tc>
          <w:tcPr>
            <w:tcW w:w="96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1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12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94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460" w:type="dxa"/>
            <w:vAlign w:val="bottom"/>
            <w:gridSpan w:val="23"/>
          </w:tcPr>
          <w:p>
            <w:pPr>
              <w:spacing w:after="0" w:line="171" w:lineRule="exact"/>
              <w:rPr>
                <w:sz w:val="20"/>
                <w:szCs w:val="20"/>
                <w:color w:val="auto"/>
              </w:rPr>
            </w:pPr>
            <w:r>
              <w:rPr>
                <w:rFonts w:ascii="Times New Roman" w:cs="Times New Roman" w:eastAsia="Times New Roman" w:hAnsi="Times New Roman"/>
                <w:sz w:val="15"/>
                <w:szCs w:val="15"/>
                <w:color w:val="auto"/>
              </w:rPr>
              <w:t>Limited Partner Fund</w:t>
            </w:r>
          </w:p>
        </w:tc>
        <w:tc>
          <w:tcPr>
            <w:tcW w:w="1080" w:type="dxa"/>
            <w:vAlign w:val="bottom"/>
          </w:tcPr>
          <w:p>
            <w:pPr>
              <w:jc w:val="center"/>
              <w:spacing w:after="0" w:line="171" w:lineRule="exact"/>
              <w:rPr>
                <w:sz w:val="20"/>
                <w:szCs w:val="20"/>
                <w:color w:val="auto"/>
              </w:rPr>
            </w:pPr>
            <w:r>
              <w:rPr>
                <w:rFonts w:ascii="Times New Roman" w:cs="Times New Roman" w:eastAsia="Times New Roman" w:hAnsi="Times New Roman"/>
                <w:sz w:val="15"/>
                <w:szCs w:val="15"/>
                <w:color w:val="auto"/>
                <w:w w:val="95"/>
              </w:rPr>
              <w:t>Venture</w:t>
            </w: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460" w:type="dxa"/>
            <w:vAlign w:val="bottom"/>
            <w:gridSpan w:val="23"/>
          </w:tcPr>
          <w:p>
            <w:pPr>
              <w:spacing w:after="0" w:line="228" w:lineRule="exact"/>
              <w:rPr>
                <w:sz w:val="20"/>
                <w:szCs w:val="20"/>
                <w:color w:val="auto"/>
              </w:rPr>
            </w:pPr>
            <w:r>
              <w:rPr>
                <w:rFonts w:ascii="Times New Roman" w:cs="Times New Roman" w:eastAsia="Times New Roman" w:hAnsi="Times New Roman"/>
                <w:sz w:val="15"/>
                <w:szCs w:val="15"/>
                <w:color w:val="auto"/>
              </w:rPr>
              <w:t>Investment</w:t>
            </w:r>
            <w:r>
              <w:rPr>
                <w:rFonts w:ascii="Times New Roman" w:cs="Times New Roman" w:eastAsia="Times New Roman" w:hAnsi="Times New Roman"/>
                <w:sz w:val="25"/>
                <w:szCs w:val="25"/>
                <w:color w:val="auto"/>
                <w:vertAlign w:val="superscript"/>
              </w:rPr>
              <w:t>(8)</w:t>
            </w: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Investment Fund</w:t>
            </w:r>
          </w:p>
        </w:tc>
        <w:tc>
          <w:tcPr>
            <w:tcW w:w="1640" w:type="dxa"/>
            <w:vAlign w:val="bottom"/>
            <w:gridSpan w:val="2"/>
          </w:tcPr>
          <w:p>
            <w:pPr>
              <w:jc w:val="center"/>
              <w:ind w:left="624"/>
              <w:spacing w:after="0"/>
              <w:rPr>
                <w:sz w:val="20"/>
                <w:szCs w:val="20"/>
                <w:color w:val="auto"/>
              </w:rPr>
            </w:pPr>
            <w:r>
              <w:rPr>
                <w:rFonts w:ascii="Times New Roman" w:cs="Times New Roman" w:eastAsia="Times New Roman" w:hAnsi="Times New Roman"/>
                <w:sz w:val="15"/>
                <w:szCs w:val="15"/>
                <w:color w:val="auto"/>
              </w:rPr>
              <w:t>8/27/2021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w:t>
            </w: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960,778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4,054,309</w:t>
            </w:r>
          </w:p>
        </w:tc>
        <w:tc>
          <w:tcPr>
            <w:tcW w:w="2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1.99%</w:t>
            </w:r>
          </w:p>
        </w:tc>
        <w:tc>
          <w:tcPr>
            <w:tcW w:w="0" w:type="dxa"/>
            <w:vAlign w:val="bottom"/>
          </w:tcPr>
          <w:p>
            <w:pPr>
              <w:spacing w:after="0"/>
              <w:rPr>
                <w:sz w:val="1"/>
                <w:szCs w:val="1"/>
                <w:color w:val="auto"/>
              </w:rPr>
            </w:pPr>
          </w:p>
        </w:tc>
      </w:tr>
      <w:tr>
        <w:trPr>
          <w:trHeight w:val="148"/>
        </w:trPr>
        <w:tc>
          <w:tcPr>
            <w:tcW w:w="1480" w:type="dxa"/>
            <w:vAlign w:val="bottom"/>
            <w:tcBorders>
              <w:bottom w:val="single" w:sz="8" w:color="auto"/>
            </w:tcBorders>
            <w:gridSpan w:val="16"/>
            <w:shd w:val="clear" w:color="auto" w:fill="CCEEFF"/>
          </w:tcPr>
          <w:p>
            <w:pPr>
              <w:spacing w:after="0" w:line="149" w:lineRule="exact"/>
              <w:rPr>
                <w:sz w:val="20"/>
                <w:szCs w:val="20"/>
                <w:color w:val="auto"/>
              </w:rPr>
            </w:pPr>
            <w:r>
              <w:rPr>
                <w:rFonts w:ascii="Times New Roman" w:cs="Times New Roman" w:eastAsia="Times New Roman" w:hAnsi="Times New Roman"/>
                <w:sz w:val="15"/>
                <w:szCs w:val="15"/>
                <w:b w:val="1"/>
                <w:bCs w:val="1"/>
                <w:color w:val="auto"/>
                <w:w w:val="99"/>
              </w:rPr>
              <w:t>Neutron Holdings, Inc.</w:t>
            </w:r>
          </w:p>
        </w:tc>
        <w:tc>
          <w:tcPr>
            <w:tcW w:w="980" w:type="dxa"/>
            <w:vAlign w:val="bottom"/>
            <w:tcBorders>
              <w:bottom w:val="single" w:sz="8" w:color="CCEEFF"/>
            </w:tcBorders>
            <w:gridSpan w:val="7"/>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5"/>
                <w:szCs w:val="15"/>
                <w:color w:val="auto"/>
              </w:rPr>
              <w:t>San Francisco,</w:t>
            </w:r>
          </w:p>
        </w:tc>
        <w:tc>
          <w:tcPr>
            <w:tcW w:w="6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40" w:type="dxa"/>
            <w:vAlign w:val="bottom"/>
            <w:tcBorders>
              <w:bottom w:val="single" w:sz="8" w:color="auto"/>
            </w:tcBorders>
            <w:gridSpan w:val="6"/>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w w:val="97"/>
              </w:rPr>
              <w:t>(d/b/a/ Lime)</w:t>
            </w:r>
          </w:p>
        </w:tc>
        <w:tc>
          <w:tcPr>
            <w:tcW w:w="1620" w:type="dxa"/>
            <w:vAlign w:val="bottom"/>
            <w:tcBorders>
              <w:bottom w:val="single" w:sz="8" w:color="CCEEFF"/>
            </w:tcBorders>
            <w:gridSpan w:val="17"/>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CA</w:t>
            </w:r>
          </w:p>
        </w:tc>
        <w:tc>
          <w:tcPr>
            <w:tcW w:w="6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460" w:type="dxa"/>
            <w:vAlign w:val="bottom"/>
            <w:gridSpan w:val="23"/>
          </w:tcPr>
          <w:p>
            <w:pPr>
              <w:spacing w:after="0" w:line="168" w:lineRule="exact"/>
              <w:rPr>
                <w:sz w:val="20"/>
                <w:szCs w:val="20"/>
                <w:color w:val="auto"/>
              </w:rPr>
            </w:pPr>
            <w:r>
              <w:rPr>
                <w:rFonts w:ascii="Times New Roman" w:cs="Times New Roman" w:eastAsia="Times New Roman" w:hAnsi="Times New Roman"/>
                <w:sz w:val="15"/>
                <w:szCs w:val="15"/>
                <w:color w:val="auto"/>
              </w:rPr>
              <w:t>Junior Preferred shares, Series</w:t>
            </w: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460" w:type="dxa"/>
            <w:vAlign w:val="bottom"/>
            <w:gridSpan w:val="23"/>
          </w:tcPr>
          <w:p>
            <w:pPr>
              <w:spacing w:after="0"/>
              <w:rPr>
                <w:sz w:val="20"/>
                <w:szCs w:val="20"/>
                <w:color w:val="auto"/>
              </w:rPr>
            </w:pPr>
            <w:r>
              <w:rPr>
                <w:rFonts w:ascii="Times New Roman" w:cs="Times New Roman" w:eastAsia="Times New Roman" w:hAnsi="Times New Roman"/>
                <w:sz w:val="15"/>
                <w:szCs w:val="15"/>
                <w:color w:val="auto"/>
              </w:rPr>
              <w:t>1-D</w:t>
            </w: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Micromobility</w:t>
            </w:r>
          </w:p>
        </w:tc>
        <w:tc>
          <w:tcPr>
            <w:tcW w:w="1640" w:type="dxa"/>
            <w:vAlign w:val="bottom"/>
            <w:gridSpan w:val="2"/>
          </w:tcPr>
          <w:p>
            <w:pPr>
              <w:jc w:val="center"/>
              <w:ind w:left="624"/>
              <w:spacing w:after="0"/>
              <w:rPr>
                <w:sz w:val="20"/>
                <w:szCs w:val="20"/>
                <w:color w:val="auto"/>
              </w:rPr>
            </w:pPr>
            <w:r>
              <w:rPr>
                <w:rFonts w:ascii="Times New Roman" w:cs="Times New Roman" w:eastAsia="Times New Roman" w:hAnsi="Times New Roman"/>
                <w:sz w:val="15"/>
                <w:szCs w:val="15"/>
                <w:color w:val="auto"/>
              </w:rPr>
              <w:t>1/25/2019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41,237,113</w:t>
            </w: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10,007,322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3,485,014</w:t>
            </w:r>
          </w:p>
        </w:tc>
        <w:tc>
          <w:tcPr>
            <w:tcW w:w="2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1.71%</w:t>
            </w:r>
          </w:p>
        </w:tc>
        <w:tc>
          <w:tcPr>
            <w:tcW w:w="0" w:type="dxa"/>
            <w:vAlign w:val="bottom"/>
          </w:tcPr>
          <w:p>
            <w:pPr>
              <w:spacing w:after="0"/>
              <w:rPr>
                <w:sz w:val="1"/>
                <w:szCs w:val="1"/>
                <w:color w:val="auto"/>
              </w:rPr>
            </w:pPr>
          </w:p>
        </w:tc>
      </w:tr>
      <w:tr>
        <w:trPr>
          <w:trHeight w:val="169"/>
        </w:trPr>
        <w:tc>
          <w:tcPr>
            <w:tcW w:w="2460" w:type="dxa"/>
            <w:vAlign w:val="bottom"/>
            <w:gridSpan w:val="23"/>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Junior Preferred Convertible</w:t>
            </w:r>
          </w:p>
        </w:tc>
        <w:tc>
          <w:tcPr>
            <w:tcW w:w="10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460" w:type="dxa"/>
            <w:vAlign w:val="bottom"/>
            <w:gridSpan w:val="23"/>
            <w:shd w:val="clear" w:color="auto" w:fill="CCEEFF"/>
          </w:tcPr>
          <w:p>
            <w:pPr>
              <w:spacing w:after="0" w:line="240" w:lineRule="exact"/>
              <w:rPr>
                <w:sz w:val="20"/>
                <w:szCs w:val="20"/>
                <w:color w:val="auto"/>
              </w:rPr>
            </w:pPr>
            <w:r>
              <w:rPr>
                <w:rFonts w:ascii="Times New Roman" w:cs="Times New Roman" w:eastAsia="Times New Roman" w:hAnsi="Times New Roman"/>
                <w:sz w:val="15"/>
                <w:szCs w:val="15"/>
                <w:color w:val="auto"/>
              </w:rPr>
              <w:t>Note 4% Due 5/11/2027</w:t>
            </w:r>
            <w:r>
              <w:rPr>
                <w:rFonts w:ascii="Times New Roman" w:cs="Times New Roman" w:eastAsia="Times New Roman" w:hAnsi="Times New Roman"/>
                <w:sz w:val="25"/>
                <w:szCs w:val="25"/>
                <w:color w:val="auto"/>
                <w:vertAlign w:val="superscript"/>
              </w:rPr>
              <w:t>***</w:t>
            </w:r>
          </w:p>
        </w:tc>
        <w:tc>
          <w:tcPr>
            <w:tcW w:w="10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center"/>
              <w:ind w:left="624"/>
              <w:spacing w:after="0"/>
              <w:rPr>
                <w:sz w:val="20"/>
                <w:szCs w:val="20"/>
                <w:color w:val="auto"/>
              </w:rPr>
            </w:pPr>
            <w:r>
              <w:rPr>
                <w:rFonts w:ascii="Times New Roman" w:cs="Times New Roman" w:eastAsia="Times New Roman" w:hAnsi="Times New Roman"/>
                <w:sz w:val="15"/>
                <w:szCs w:val="15"/>
                <w:color w:val="auto"/>
              </w:rPr>
              <w:t>5/11/2020</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506,339</w:t>
            </w: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506,339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506,339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0.25%</w:t>
            </w:r>
          </w:p>
        </w:tc>
        <w:tc>
          <w:tcPr>
            <w:tcW w:w="0" w:type="dxa"/>
            <w:vAlign w:val="bottom"/>
          </w:tcPr>
          <w:p>
            <w:pPr>
              <w:spacing w:after="0"/>
              <w:rPr>
                <w:sz w:val="1"/>
                <w:szCs w:val="1"/>
                <w:color w:val="auto"/>
              </w:rPr>
            </w:pPr>
          </w:p>
        </w:tc>
      </w:tr>
      <w:tr>
        <w:trPr>
          <w:trHeight w:val="148"/>
        </w:trPr>
        <w:tc>
          <w:tcPr>
            <w:tcW w:w="2460" w:type="dxa"/>
            <w:vAlign w:val="bottom"/>
            <w:gridSpan w:val="23"/>
          </w:tcPr>
          <w:p>
            <w:pPr>
              <w:spacing w:after="0" w:line="148" w:lineRule="exact"/>
              <w:rPr>
                <w:sz w:val="20"/>
                <w:szCs w:val="20"/>
                <w:color w:val="auto"/>
              </w:rPr>
            </w:pPr>
            <w:r>
              <w:rPr>
                <w:rFonts w:ascii="Times New Roman" w:cs="Times New Roman" w:eastAsia="Times New Roman" w:hAnsi="Times New Roman"/>
                <w:sz w:val="15"/>
                <w:szCs w:val="15"/>
                <w:color w:val="auto"/>
              </w:rPr>
              <w:t>Common Warrants, Strike</w:t>
            </w: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60" w:type="dxa"/>
            <w:vAlign w:val="bottom"/>
            <w:gridSpan w:val="23"/>
          </w:tcPr>
          <w:p>
            <w:pPr>
              <w:spacing w:after="0"/>
              <w:rPr>
                <w:sz w:val="20"/>
                <w:szCs w:val="20"/>
                <w:color w:val="auto"/>
              </w:rPr>
            </w:pPr>
            <w:r>
              <w:rPr>
                <w:rFonts w:ascii="Times New Roman" w:cs="Times New Roman" w:eastAsia="Times New Roman" w:hAnsi="Times New Roman"/>
                <w:sz w:val="15"/>
                <w:szCs w:val="15"/>
                <w:color w:val="auto"/>
              </w:rPr>
              <w:t>Price $0.01, Expiration Date</w:t>
            </w: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00" w:type="dxa"/>
            <w:vAlign w:val="bottom"/>
            <w:gridSpan w:val="3"/>
          </w:tcPr>
          <w:p>
            <w:pPr>
              <w:spacing w:after="0"/>
              <w:rPr>
                <w:sz w:val="20"/>
                <w:szCs w:val="20"/>
                <w:color w:val="auto"/>
              </w:rPr>
            </w:pPr>
            <w:r>
              <w:rPr>
                <w:rFonts w:ascii="Times New Roman" w:cs="Times New Roman" w:eastAsia="Times New Roman" w:hAnsi="Times New Roman"/>
                <w:sz w:val="15"/>
                <w:szCs w:val="15"/>
                <w:color w:val="auto"/>
                <w:w w:val="95"/>
              </w:rPr>
              <w:t>5/11/2027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40" w:type="dxa"/>
            <w:vAlign w:val="bottom"/>
            <w:gridSpan w:val="2"/>
          </w:tcPr>
          <w:p>
            <w:pPr>
              <w:jc w:val="center"/>
              <w:ind w:left="624"/>
              <w:spacing w:after="0"/>
              <w:rPr>
                <w:sz w:val="20"/>
                <w:szCs w:val="20"/>
                <w:color w:val="auto"/>
              </w:rPr>
            </w:pPr>
            <w:r>
              <w:rPr>
                <w:rFonts w:ascii="Times New Roman" w:cs="Times New Roman" w:eastAsia="Times New Roman" w:hAnsi="Times New Roman"/>
                <w:sz w:val="15"/>
                <w:szCs w:val="15"/>
                <w:color w:val="auto"/>
              </w:rPr>
              <w:t>5/11/2020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2,032,967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4"/>
        </w:trPr>
        <w:tc>
          <w:tcPr>
            <w:tcW w:w="2460" w:type="dxa"/>
            <w:vAlign w:val="bottom"/>
            <w:tcBorders>
              <w:top w:val="single" w:sz="8" w:color="CCEEFF"/>
            </w:tcBorders>
            <w:gridSpan w:val="2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10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10,513,661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3,991,353</w:t>
            </w:r>
          </w:p>
        </w:tc>
        <w:tc>
          <w:tcPr>
            <w:tcW w:w="2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48"/>
        </w:trPr>
        <w:tc>
          <w:tcPr>
            <w:tcW w:w="1180" w:type="dxa"/>
            <w:vAlign w:val="bottom"/>
            <w:gridSpan w:val="12"/>
            <w:vMerge w:val="restart"/>
          </w:tcPr>
          <w:p>
            <w:pPr>
              <w:spacing w:after="0"/>
              <w:rPr>
                <w:sz w:val="20"/>
                <w:szCs w:val="20"/>
                <w:color w:val="auto"/>
              </w:rPr>
            </w:pPr>
            <w:r>
              <w:rPr>
                <w:rFonts w:ascii="Times New Roman" w:cs="Times New Roman" w:eastAsia="Times New Roman" w:hAnsi="Times New Roman"/>
                <w:sz w:val="15"/>
                <w:szCs w:val="15"/>
                <w:b w:val="1"/>
                <w:bCs w:val="1"/>
                <w:color w:val="auto"/>
                <w:w w:val="99"/>
              </w:rPr>
              <w:t>Forge Global, Inc.</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76"/>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Times New Roman" w:cs="Times New Roman" w:eastAsia="Times New Roman" w:hAnsi="Times New Roman"/>
                <w:sz w:val="15"/>
                <w:szCs w:val="15"/>
                <w:color w:val="auto"/>
              </w:rPr>
              <w:t>San Francisco,</w:t>
            </w: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1180" w:type="dxa"/>
            <w:vAlign w:val="bottom"/>
            <w:gridSpan w:val="12"/>
            <w:vMerge w:val="continue"/>
          </w:tcPr>
          <w:p>
            <w:pPr>
              <w:spacing w:after="0"/>
              <w:rPr>
                <w:sz w:val="9"/>
                <w:szCs w:val="9"/>
                <w:color w:val="auto"/>
              </w:rPr>
            </w:pPr>
          </w:p>
        </w:tc>
        <w:tc>
          <w:tcPr>
            <w:tcW w:w="120" w:type="dxa"/>
            <w:vAlign w:val="bottom"/>
            <w:tcBorders>
              <w:bottom w:val="single" w:sz="8" w:color="auto"/>
            </w:tcBorders>
            <w:gridSpan w:val="2"/>
            <w:vMerge w:val="continue"/>
          </w:tcPr>
          <w:p>
            <w:pPr>
              <w:spacing w:after="0"/>
              <w:rPr>
                <w:sz w:val="9"/>
                <w:szCs w:val="9"/>
                <w:color w:val="auto"/>
              </w:rPr>
            </w:pPr>
          </w:p>
        </w:tc>
        <w:tc>
          <w:tcPr>
            <w:tcW w:w="480" w:type="dxa"/>
            <w:vAlign w:val="bottom"/>
            <w:gridSpan w:val="5"/>
            <w:vMerge w:val="restart"/>
          </w:tcPr>
          <w:p>
            <w:pPr>
              <w:spacing w:after="0"/>
              <w:rPr>
                <w:sz w:val="9"/>
                <w:szCs w:val="9"/>
                <w:color w:val="auto"/>
              </w:rPr>
            </w:pPr>
          </w:p>
        </w:tc>
        <w:tc>
          <w:tcPr>
            <w:tcW w:w="60" w:type="dxa"/>
            <w:vAlign w:val="bottom"/>
            <w:gridSpan w:val="2"/>
            <w:vMerge w:val="restart"/>
          </w:tcPr>
          <w:p>
            <w:pPr>
              <w:spacing w:after="0"/>
              <w:rPr>
                <w:sz w:val="9"/>
                <w:szCs w:val="9"/>
                <w:color w:val="auto"/>
              </w:rPr>
            </w:pPr>
          </w:p>
        </w:tc>
        <w:tc>
          <w:tcPr>
            <w:tcW w:w="620" w:type="dxa"/>
            <w:vAlign w:val="bottom"/>
            <w:gridSpan w:val="2"/>
            <w:vMerge w:val="restart"/>
          </w:tcPr>
          <w:p>
            <w:pPr>
              <w:spacing w:after="0"/>
              <w:rPr>
                <w:sz w:val="9"/>
                <w:szCs w:val="9"/>
                <w:color w:val="auto"/>
              </w:rPr>
            </w:pPr>
          </w:p>
        </w:tc>
        <w:tc>
          <w:tcPr>
            <w:tcW w:w="1080" w:type="dxa"/>
            <w:vAlign w:val="bottom"/>
            <w:vMerge w:val="restart"/>
          </w:tcPr>
          <w:p>
            <w:pPr>
              <w:jc w:val="center"/>
              <w:spacing w:after="0" w:line="163" w:lineRule="exact"/>
              <w:rPr>
                <w:sz w:val="20"/>
                <w:szCs w:val="20"/>
                <w:color w:val="auto"/>
              </w:rPr>
            </w:pPr>
            <w:r>
              <w:rPr>
                <w:rFonts w:ascii="Times New Roman" w:cs="Times New Roman" w:eastAsia="Times New Roman" w:hAnsi="Times New Roman"/>
                <w:sz w:val="15"/>
                <w:szCs w:val="15"/>
                <w:color w:val="auto"/>
              </w:rPr>
              <w:t>CA</w:t>
            </w: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1180" w:type="dxa"/>
            <w:vAlign w:val="bottom"/>
            <w:tcBorders>
              <w:bottom w:val="single" w:sz="8" w:color="auto"/>
            </w:tcBorders>
            <w:gridSpan w:val="12"/>
            <w:vMerge w:val="continue"/>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gridSpan w:val="5"/>
            <w:vMerge w:val="continue"/>
          </w:tcPr>
          <w:p>
            <w:pPr>
              <w:spacing w:after="0"/>
              <w:rPr>
                <w:sz w:val="3"/>
                <w:szCs w:val="3"/>
                <w:color w:val="auto"/>
              </w:rPr>
            </w:pPr>
          </w:p>
        </w:tc>
        <w:tc>
          <w:tcPr>
            <w:tcW w:w="60" w:type="dxa"/>
            <w:vAlign w:val="bottom"/>
            <w:gridSpan w:val="2"/>
            <w:vMerge w:val="continue"/>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
        </w:trPr>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8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5"/>
                <w:szCs w:val="15"/>
                <w:color w:val="auto"/>
              </w:rPr>
              <w:t>Online</w:t>
            </w:r>
          </w:p>
        </w:tc>
        <w:tc>
          <w:tcPr>
            <w:tcW w:w="6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460" w:type="dxa"/>
            <w:vAlign w:val="bottom"/>
            <w:gridSpan w:val="23"/>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w:t>
            </w:r>
            <w:r>
              <w:rPr>
                <w:rFonts w:ascii="Times New Roman" w:cs="Times New Roman" w:eastAsia="Times New Roman" w:hAnsi="Times New Roman"/>
                <w:sz w:val="25"/>
                <w:szCs w:val="25"/>
                <w:color w:val="auto"/>
                <w:vertAlign w:val="superscript"/>
              </w:rPr>
              <w:t>(3)</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Marketplace</w:t>
            </w: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460" w:type="dxa"/>
            <w:vAlign w:val="bottom"/>
            <w:gridSpan w:val="23"/>
            <w:vMerge w:val="continue"/>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Finance</w:t>
            </w:r>
          </w:p>
        </w:tc>
        <w:tc>
          <w:tcPr>
            <w:tcW w:w="1640" w:type="dxa"/>
            <w:vAlign w:val="bottom"/>
            <w:gridSpan w:val="2"/>
            <w:shd w:val="clear" w:color="auto" w:fill="CCEEFF"/>
          </w:tcPr>
          <w:p>
            <w:pPr>
              <w:jc w:val="center"/>
              <w:ind w:left="624"/>
              <w:spacing w:after="0"/>
              <w:rPr>
                <w:sz w:val="20"/>
                <w:szCs w:val="20"/>
                <w:color w:val="auto"/>
              </w:rPr>
            </w:pPr>
            <w:r>
              <w:rPr>
                <w:rFonts w:ascii="Times New Roman" w:cs="Times New Roman" w:eastAsia="Times New Roman" w:hAnsi="Times New Roman"/>
                <w:sz w:val="15"/>
                <w:szCs w:val="15"/>
                <w:color w:val="auto"/>
              </w:rPr>
              <w:t>7/20/2011</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1,145,875</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2,093,988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3,930,351</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w:t>
            </w:r>
          </w:p>
        </w:tc>
        <w:tc>
          <w:tcPr>
            <w:tcW w:w="0" w:type="dxa"/>
            <w:vAlign w:val="bottom"/>
          </w:tcPr>
          <w:p>
            <w:pPr>
              <w:spacing w:after="0"/>
              <w:rPr>
                <w:sz w:val="1"/>
                <w:szCs w:val="1"/>
                <w:color w:val="auto"/>
              </w:rPr>
            </w:pPr>
          </w:p>
        </w:tc>
      </w:tr>
      <w:tr>
        <w:trPr>
          <w:trHeight w:val="168"/>
        </w:trPr>
        <w:tc>
          <w:tcPr>
            <w:tcW w:w="2460" w:type="dxa"/>
            <w:vAlign w:val="bottom"/>
            <w:gridSpan w:val="23"/>
            <w:vMerge w:val="restart"/>
          </w:tcPr>
          <w:p>
            <w:pPr>
              <w:spacing w:after="0"/>
              <w:rPr>
                <w:sz w:val="20"/>
                <w:szCs w:val="20"/>
                <w:color w:val="auto"/>
              </w:rPr>
            </w:pPr>
            <w:r>
              <w:rPr>
                <w:rFonts w:ascii="Times New Roman" w:cs="Times New Roman" w:eastAsia="Times New Roman" w:hAnsi="Times New Roman"/>
                <w:sz w:val="15"/>
                <w:szCs w:val="15"/>
                <w:b w:val="1"/>
                <w:bCs w:val="1"/>
                <w:color w:val="auto"/>
              </w:rPr>
              <w:t>PayJoy, Inc.</w:t>
            </w:r>
          </w:p>
        </w:tc>
        <w:tc>
          <w:tcPr>
            <w:tcW w:w="1080" w:type="dxa"/>
            <w:vAlign w:val="bottom"/>
          </w:tcPr>
          <w:p>
            <w:pPr>
              <w:jc w:val="center"/>
              <w:spacing w:after="0" w:line="168" w:lineRule="exact"/>
              <w:rPr>
                <w:sz w:val="20"/>
                <w:szCs w:val="20"/>
                <w:color w:val="auto"/>
              </w:rPr>
            </w:pPr>
            <w:r>
              <w:rPr>
                <w:rFonts w:ascii="Times New Roman" w:cs="Times New Roman" w:eastAsia="Times New Roman" w:hAnsi="Times New Roman"/>
                <w:sz w:val="15"/>
                <w:szCs w:val="15"/>
                <w:color w:val="auto"/>
              </w:rPr>
              <w:t>San Francisco,</w:t>
            </w: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60" w:type="dxa"/>
            <w:vAlign w:val="bottom"/>
            <w:gridSpan w:val="23"/>
            <w:vMerge w:val="continue"/>
          </w:tcPr>
          <w:p>
            <w:pPr>
              <w:spacing w:after="0"/>
              <w:rPr>
                <w:sz w:val="14"/>
                <w:szCs w:val="14"/>
                <w:color w:val="auto"/>
              </w:rPr>
            </w:pPr>
          </w:p>
        </w:tc>
        <w:tc>
          <w:tcPr>
            <w:tcW w:w="1080" w:type="dxa"/>
            <w:vAlign w:val="bottom"/>
          </w:tcPr>
          <w:p>
            <w:pPr>
              <w:jc w:val="center"/>
              <w:spacing w:after="0" w:line="163" w:lineRule="exact"/>
              <w:rPr>
                <w:sz w:val="20"/>
                <w:szCs w:val="20"/>
                <w:color w:val="auto"/>
              </w:rPr>
            </w:pPr>
            <w:r>
              <w:rPr>
                <w:rFonts w:ascii="Times New Roman" w:cs="Times New Roman" w:eastAsia="Times New Roman" w:hAnsi="Times New Roman"/>
                <w:sz w:val="15"/>
                <w:szCs w:val="15"/>
                <w:color w:val="auto"/>
              </w:rPr>
              <w:t>CA</w:t>
            </w: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Mobile Access</w:t>
            </w: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46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Technology</w:t>
            </w:r>
          </w:p>
        </w:tc>
        <w:tc>
          <w:tcPr>
            <w:tcW w:w="1640" w:type="dxa"/>
            <w:vAlign w:val="bottom"/>
            <w:gridSpan w:val="2"/>
            <w:shd w:val="clear" w:color="auto" w:fill="CCEEFF"/>
          </w:tcPr>
          <w:p>
            <w:pPr>
              <w:jc w:val="center"/>
              <w:ind w:left="624"/>
              <w:spacing w:after="0"/>
              <w:rPr>
                <w:sz w:val="20"/>
                <w:szCs w:val="20"/>
                <w:color w:val="auto"/>
              </w:rPr>
            </w:pPr>
            <w:r>
              <w:rPr>
                <w:rFonts w:ascii="Times New Roman" w:cs="Times New Roman" w:eastAsia="Times New Roman" w:hAnsi="Times New Roman"/>
                <w:sz w:val="15"/>
                <w:szCs w:val="15"/>
                <w:color w:val="auto"/>
              </w:rPr>
              <w:t>7/23/2021</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244,117</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2,501,570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2,500,002</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0" w:type="dxa"/>
            <w:vAlign w:val="bottom"/>
          </w:tcPr>
          <w:p>
            <w:pPr>
              <w:spacing w:after="0"/>
              <w:rPr>
                <w:sz w:val="1"/>
                <w:szCs w:val="1"/>
                <w:color w:val="auto"/>
              </w:rPr>
            </w:pPr>
          </w:p>
        </w:tc>
      </w:tr>
      <w:tr>
        <w:trPr>
          <w:trHeight w:val="168"/>
        </w:trPr>
        <w:tc>
          <w:tcPr>
            <w:tcW w:w="2460" w:type="dxa"/>
            <w:vAlign w:val="bottom"/>
            <w:gridSpan w:val="23"/>
          </w:tcPr>
          <w:p>
            <w:pPr>
              <w:spacing w:after="0" w:line="168" w:lineRule="exact"/>
              <w:rPr>
                <w:sz w:val="20"/>
                <w:szCs w:val="20"/>
                <w:color w:val="auto"/>
              </w:rPr>
            </w:pPr>
            <w:r>
              <w:rPr>
                <w:rFonts w:ascii="Times New Roman" w:cs="Times New Roman" w:eastAsia="Times New Roman" w:hAnsi="Times New Roman"/>
                <w:sz w:val="15"/>
                <w:szCs w:val="15"/>
                <w:color w:val="auto"/>
              </w:rPr>
              <w:t>Simple Agreement for Future</w:t>
            </w: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460" w:type="dxa"/>
            <w:vAlign w:val="bottom"/>
            <w:gridSpan w:val="23"/>
          </w:tcPr>
          <w:p>
            <w:pPr>
              <w:spacing w:after="0"/>
              <w:rPr>
                <w:sz w:val="20"/>
                <w:szCs w:val="20"/>
                <w:color w:val="auto"/>
              </w:rPr>
            </w:pPr>
            <w:r>
              <w:rPr>
                <w:rFonts w:ascii="Times New Roman" w:cs="Times New Roman" w:eastAsia="Times New Roman" w:hAnsi="Times New Roman"/>
                <w:sz w:val="15"/>
                <w:szCs w:val="15"/>
                <w:color w:val="auto"/>
              </w:rPr>
              <w:t>Equity</w:t>
            </w:r>
          </w:p>
        </w:tc>
        <w:tc>
          <w:tcPr>
            <w:tcW w:w="1080" w:type="dxa"/>
            <w:vAlign w:val="bottom"/>
          </w:tcPr>
          <w:p>
            <w:pPr>
              <w:spacing w:after="0"/>
              <w:rPr>
                <w:sz w:val="18"/>
                <w:szCs w:val="18"/>
                <w:color w:val="auto"/>
              </w:rPr>
            </w:pPr>
          </w:p>
        </w:tc>
        <w:tc>
          <w:tcPr>
            <w:tcW w:w="1640" w:type="dxa"/>
            <w:vAlign w:val="bottom"/>
            <w:gridSpan w:val="2"/>
          </w:tcPr>
          <w:p>
            <w:pPr>
              <w:jc w:val="center"/>
              <w:ind w:left="624"/>
              <w:spacing w:after="0"/>
              <w:rPr>
                <w:sz w:val="20"/>
                <w:szCs w:val="20"/>
                <w:color w:val="auto"/>
              </w:rPr>
            </w:pPr>
            <w:r>
              <w:rPr>
                <w:rFonts w:ascii="Times New Roman" w:cs="Times New Roman" w:eastAsia="Times New Roman" w:hAnsi="Times New Roman"/>
                <w:sz w:val="15"/>
                <w:szCs w:val="15"/>
                <w:color w:val="auto"/>
              </w:rPr>
              <w:t>5/25/2023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501,470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500,000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0.25%</w:t>
            </w:r>
          </w:p>
        </w:tc>
        <w:tc>
          <w:tcPr>
            <w:tcW w:w="0" w:type="dxa"/>
            <w:vAlign w:val="bottom"/>
          </w:tcPr>
          <w:p>
            <w:pPr>
              <w:spacing w:after="0"/>
              <w:rPr>
                <w:sz w:val="1"/>
                <w:szCs w:val="1"/>
                <w:color w:val="auto"/>
              </w:rPr>
            </w:pPr>
          </w:p>
        </w:tc>
      </w:tr>
      <w:tr>
        <w:trPr>
          <w:trHeight w:val="174"/>
        </w:trPr>
        <w:tc>
          <w:tcPr>
            <w:tcW w:w="2460" w:type="dxa"/>
            <w:vAlign w:val="bottom"/>
            <w:tcBorders>
              <w:top w:val="single" w:sz="8" w:color="CCEEFF"/>
            </w:tcBorders>
            <w:gridSpan w:val="2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10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3,003,040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3,000,002</w:t>
            </w:r>
          </w:p>
        </w:tc>
        <w:tc>
          <w:tcPr>
            <w:tcW w:w="2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28"/>
        </w:trPr>
        <w:tc>
          <w:tcPr>
            <w:tcW w:w="1840" w:type="dxa"/>
            <w:vAlign w:val="bottom"/>
            <w:tcBorders>
              <w:bottom w:val="single" w:sz="8" w:color="auto"/>
            </w:tcBorders>
            <w:gridSpan w:val="21"/>
          </w:tcPr>
          <w:p>
            <w:pPr>
              <w:spacing w:after="0" w:line="128" w:lineRule="exact"/>
              <w:rPr>
                <w:sz w:val="20"/>
                <w:szCs w:val="20"/>
                <w:color w:val="auto"/>
              </w:rPr>
            </w:pPr>
            <w:r>
              <w:rPr>
                <w:rFonts w:ascii="Times New Roman" w:cs="Times New Roman" w:eastAsia="Times New Roman" w:hAnsi="Times New Roman"/>
                <w:sz w:val="14"/>
                <w:szCs w:val="14"/>
                <w:b w:val="1"/>
                <w:bCs w:val="1"/>
                <w:color w:val="auto"/>
              </w:rPr>
              <w:t>Residential Homes for Rent,</w:t>
            </w:r>
          </w:p>
        </w:tc>
        <w:tc>
          <w:tcPr>
            <w:tcW w:w="620" w:type="dxa"/>
            <w:vAlign w:val="bottom"/>
            <w:gridSpan w:val="2"/>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460" w:type="dxa"/>
            <w:vAlign w:val="bottom"/>
            <w:gridSpan w:val="23"/>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LLC (d/b/a Second Avenue)</w:t>
            </w:r>
          </w:p>
        </w:tc>
        <w:tc>
          <w:tcPr>
            <w:tcW w:w="10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Chicago, IL</w:t>
            </w: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5"/>
                <w:szCs w:val="15"/>
                <w:color w:val="auto"/>
              </w:rPr>
              <w:t>Real</w:t>
            </w:r>
          </w:p>
        </w:tc>
        <w:tc>
          <w:tcPr>
            <w:tcW w:w="10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center"/>
              <w:spacing w:after="0" w:line="151" w:lineRule="exact"/>
              <w:rPr>
                <w:sz w:val="20"/>
                <w:szCs w:val="20"/>
                <w:color w:val="auto"/>
              </w:rPr>
            </w:pPr>
            <w:r>
              <w:rPr>
                <w:rFonts w:ascii="Times New Roman" w:cs="Times New Roman" w:eastAsia="Times New Roman" w:hAnsi="Times New Roman"/>
                <w:sz w:val="15"/>
                <w:szCs w:val="15"/>
                <w:color w:val="auto"/>
                <w:w w:val="98"/>
              </w:rPr>
              <w:t>Estate</w:t>
            </w:r>
          </w:p>
        </w:tc>
        <w:tc>
          <w:tcPr>
            <w:tcW w:w="10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460" w:type="dxa"/>
            <w:vAlign w:val="bottom"/>
            <w:gridSpan w:val="23"/>
            <w:shd w:val="clear" w:color="auto" w:fill="CCEEFF"/>
          </w:tcPr>
          <w:p>
            <w:pPr>
              <w:spacing w:after="0" w:line="228" w:lineRule="exact"/>
              <w:rPr>
                <w:sz w:val="20"/>
                <w:szCs w:val="20"/>
                <w:color w:val="auto"/>
              </w:rPr>
            </w:pPr>
            <w:r>
              <w:rPr>
                <w:rFonts w:ascii="Times New Roman" w:cs="Times New Roman" w:eastAsia="Times New Roman" w:hAnsi="Times New Roman"/>
                <w:sz w:val="15"/>
                <w:szCs w:val="15"/>
                <w:color w:val="auto"/>
              </w:rPr>
              <w:t>Preferred shares, Series A</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5"/>
                <w:szCs w:val="15"/>
                <w:color w:val="auto"/>
              </w:rPr>
              <w:t xml:space="preserve">   Platform</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12/23/2020</w:t>
            </w: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150,000</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764"/>
              <w:spacing w:after="0"/>
              <w:rPr>
                <w:sz w:val="20"/>
                <w:szCs w:val="20"/>
                <w:color w:val="auto"/>
              </w:rPr>
            </w:pPr>
            <w:r>
              <w:rPr>
                <w:rFonts w:ascii="Times New Roman" w:cs="Times New Roman" w:eastAsia="Times New Roman" w:hAnsi="Times New Roman"/>
                <w:sz w:val="15"/>
                <w:szCs w:val="15"/>
                <w:color w:val="auto"/>
                <w:w w:val="99"/>
              </w:rPr>
              <w:t>1,500,000</w:t>
            </w:r>
          </w:p>
        </w:tc>
        <w:tc>
          <w:tcPr>
            <w:tcW w:w="10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764"/>
              <w:spacing w:after="0"/>
              <w:rPr>
                <w:sz w:val="20"/>
                <w:szCs w:val="20"/>
                <w:color w:val="auto"/>
              </w:rPr>
            </w:pPr>
            <w:r>
              <w:rPr>
                <w:rFonts w:ascii="Times New Roman" w:cs="Times New Roman" w:eastAsia="Times New Roman" w:hAnsi="Times New Roman"/>
                <w:sz w:val="15"/>
                <w:szCs w:val="15"/>
                <w:color w:val="auto"/>
              </w:rPr>
              <w:t>2,452,792</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64"/>
              <w:spacing w:after="0"/>
              <w:rPr>
                <w:sz w:val="20"/>
                <w:szCs w:val="20"/>
                <w:color w:val="auto"/>
              </w:rPr>
            </w:pPr>
            <w:r>
              <w:rPr>
                <w:rFonts w:ascii="Times New Roman" w:cs="Times New Roman" w:eastAsia="Times New Roman" w:hAnsi="Times New Roman"/>
                <w:sz w:val="15"/>
                <w:szCs w:val="15"/>
                <w:color w:val="auto"/>
                <w:w w:val="97"/>
              </w:rPr>
              <w:t>1.21%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1100" w:type="dxa"/>
            <w:vAlign w:val="bottom"/>
            <w:gridSpan w:val="9"/>
            <w:vMerge w:val="restart"/>
          </w:tcPr>
          <w:p>
            <w:pPr>
              <w:spacing w:after="0"/>
              <w:rPr>
                <w:sz w:val="20"/>
                <w:szCs w:val="20"/>
                <w:color w:val="auto"/>
              </w:rPr>
            </w:pPr>
            <w:r>
              <w:rPr>
                <w:rFonts w:ascii="Times New Roman" w:cs="Times New Roman" w:eastAsia="Times New Roman" w:hAnsi="Times New Roman"/>
                <w:sz w:val="15"/>
                <w:szCs w:val="15"/>
                <w:b w:val="1"/>
                <w:bCs w:val="1"/>
                <w:color w:val="auto"/>
                <w:w w:val="95"/>
              </w:rPr>
              <w:t>Varo Money, Inc.</w:t>
            </w:r>
          </w:p>
        </w:tc>
        <w:tc>
          <w:tcPr>
            <w:tcW w:w="1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jc w:val="center"/>
              <w:spacing w:after="0" w:line="168" w:lineRule="exact"/>
              <w:rPr>
                <w:sz w:val="20"/>
                <w:szCs w:val="20"/>
                <w:color w:val="auto"/>
              </w:rPr>
            </w:pPr>
            <w:r>
              <w:rPr>
                <w:rFonts w:ascii="Times New Roman" w:cs="Times New Roman" w:eastAsia="Times New Roman" w:hAnsi="Times New Roman"/>
                <w:sz w:val="15"/>
                <w:szCs w:val="15"/>
                <w:color w:val="auto"/>
              </w:rPr>
              <w:t>San Francisco,</w:t>
            </w: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1100" w:type="dxa"/>
            <w:vAlign w:val="bottom"/>
            <w:gridSpan w:val="9"/>
            <w:vMerge w:val="continue"/>
          </w:tcPr>
          <w:p>
            <w:pPr>
              <w:spacing w:after="0"/>
              <w:rPr>
                <w:sz w:val="9"/>
                <w:szCs w:val="9"/>
                <w:color w:val="auto"/>
              </w:rPr>
            </w:pPr>
          </w:p>
        </w:tc>
        <w:tc>
          <w:tcPr>
            <w:tcW w:w="140" w:type="dxa"/>
            <w:vAlign w:val="bottom"/>
            <w:tcBorders>
              <w:bottom w:val="single" w:sz="8" w:color="auto"/>
            </w:tcBorders>
            <w:gridSpan w:val="4"/>
            <w:vMerge w:val="continue"/>
          </w:tcPr>
          <w:p>
            <w:pPr>
              <w:spacing w:after="0"/>
              <w:rPr>
                <w:sz w:val="9"/>
                <w:szCs w:val="9"/>
                <w:color w:val="auto"/>
              </w:rPr>
            </w:pPr>
          </w:p>
        </w:tc>
        <w:tc>
          <w:tcPr>
            <w:tcW w:w="1220" w:type="dxa"/>
            <w:vAlign w:val="bottom"/>
            <w:gridSpan w:val="10"/>
            <w:vMerge w:val="restart"/>
          </w:tcPr>
          <w:p>
            <w:pPr>
              <w:spacing w:after="0"/>
              <w:rPr>
                <w:sz w:val="9"/>
                <w:szCs w:val="9"/>
                <w:color w:val="auto"/>
              </w:rPr>
            </w:pPr>
          </w:p>
        </w:tc>
        <w:tc>
          <w:tcPr>
            <w:tcW w:w="1080" w:type="dxa"/>
            <w:vAlign w:val="bottom"/>
            <w:vMerge w:val="restart"/>
          </w:tcPr>
          <w:p>
            <w:pPr>
              <w:jc w:val="center"/>
              <w:spacing w:after="0" w:line="163" w:lineRule="exact"/>
              <w:rPr>
                <w:sz w:val="20"/>
                <w:szCs w:val="20"/>
                <w:color w:val="auto"/>
              </w:rPr>
            </w:pPr>
            <w:r>
              <w:rPr>
                <w:rFonts w:ascii="Times New Roman" w:cs="Times New Roman" w:eastAsia="Times New Roman" w:hAnsi="Times New Roman"/>
                <w:sz w:val="15"/>
                <w:szCs w:val="15"/>
                <w:color w:val="auto"/>
              </w:rPr>
              <w:t>CA</w:t>
            </w: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1100" w:type="dxa"/>
            <w:vAlign w:val="bottom"/>
            <w:tcBorders>
              <w:bottom w:val="single" w:sz="8" w:color="auto"/>
            </w:tcBorders>
            <w:gridSpan w:val="9"/>
            <w:vMerge w:val="continue"/>
          </w:tcPr>
          <w:p>
            <w:pPr>
              <w:spacing w:after="0"/>
              <w:rPr>
                <w:sz w:val="3"/>
                <w:szCs w:val="3"/>
                <w:color w:val="auto"/>
              </w:rPr>
            </w:pPr>
          </w:p>
        </w:tc>
        <w:tc>
          <w:tcPr>
            <w:tcW w:w="140" w:type="dxa"/>
            <w:vAlign w:val="bottom"/>
            <w:gridSpan w:val="4"/>
          </w:tcPr>
          <w:p>
            <w:pPr>
              <w:spacing w:after="0"/>
              <w:rPr>
                <w:sz w:val="3"/>
                <w:szCs w:val="3"/>
                <w:color w:val="auto"/>
              </w:rPr>
            </w:pPr>
          </w:p>
        </w:tc>
        <w:tc>
          <w:tcPr>
            <w:tcW w:w="1220" w:type="dxa"/>
            <w:vAlign w:val="bottom"/>
            <w:gridSpan w:val="10"/>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260"/>
          </w:cols>
          <w:pgMar w:left="320" w:top="216" w:right="319" w:bottom="0" w:gutter="0" w:footer="0" w:header="0"/>
        </w:sectPr>
      </w:pPr>
    </w:p>
    <w:bookmarkStart w:id="11" w:name="page12"/>
    <w:bookmarkEnd w:id="11"/>
    <w:p>
      <w:pPr>
        <w:ind w:left="2720" w:hanging="2743"/>
        <w:spacing w:after="0" w:line="264" w:lineRule="auto"/>
        <w:tabs>
          <w:tab w:leader="none" w:pos="2700" w:val="left"/>
        </w:tabs>
        <w:rPr>
          <w:sz w:val="20"/>
          <w:szCs w:val="20"/>
          <w:color w:val="auto"/>
        </w:rPr>
      </w:pPr>
      <w:r>
        <w:rPr>
          <w:rFonts w:ascii="Times New Roman" w:cs="Times New Roman" w:eastAsia="Times New Roman" w:hAnsi="Times New Roman"/>
          <w:sz w:val="15"/>
          <w:szCs w:val="15"/>
          <w:color w:val="auto"/>
        </w:rPr>
        <w:t>Common shares</w:t>
      </w:r>
      <w:r>
        <w:rPr>
          <w:sz w:val="20"/>
          <w:szCs w:val="20"/>
          <w:color w:val="auto"/>
        </w:rPr>
        <w:tab/>
      </w:r>
      <w:r>
        <w:rPr>
          <w:rFonts w:ascii="Times New Roman" w:cs="Times New Roman" w:eastAsia="Times New Roman" w:hAnsi="Times New Roman"/>
          <w:sz w:val="15"/>
          <w:szCs w:val="15"/>
          <w:color w:val="auto"/>
        </w:rPr>
        <w:t>Financial 8/11/2021 1,079,266 10,005,548 2,316,590 1.14%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53910" cy="2533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910" cy="253365"/>
                    </a:xfrm>
                    <a:prstGeom prst="rect">
                      <a:avLst/>
                    </a:prstGeom>
                    <a:noFill/>
                  </pic:spPr>
                </pic:pic>
              </a:graphicData>
            </a:graphic>
          </wp:anchor>
        </w:drawing>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SCHEDULE OF INVESTMENTS -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Headquarters/</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Date of Initial</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3"/>
          </w:tcPr>
          <w:p>
            <w:pPr>
              <w:jc w:val="center"/>
              <w:ind w:right="720"/>
              <w:spacing w:after="0"/>
              <w:rPr>
                <w:sz w:val="20"/>
                <w:szCs w:val="20"/>
                <w:color w:val="auto"/>
              </w:rPr>
            </w:pPr>
            <w:r>
              <w:rPr>
                <w:rFonts w:ascii="Times New Roman" w:cs="Times New Roman" w:eastAsia="Times New Roman" w:hAnsi="Times New Roman"/>
                <w:sz w:val="15"/>
                <w:szCs w:val="15"/>
                <w:b w:val="1"/>
                <w:bCs w:val="1"/>
                <w:color w:val="auto"/>
                <w:w w:val="96"/>
              </w:rPr>
              <w:t>Shares/</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2"/>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 of Net</w:t>
            </w:r>
          </w:p>
        </w:tc>
        <w:tc>
          <w:tcPr>
            <w:tcW w:w="0" w:type="dxa"/>
            <w:vAlign w:val="bottom"/>
          </w:tcPr>
          <w:p>
            <w:pPr>
              <w:spacing w:after="0"/>
              <w:rPr>
                <w:sz w:val="1"/>
                <w:szCs w:val="1"/>
                <w:color w:val="auto"/>
              </w:rPr>
            </w:pPr>
          </w:p>
        </w:tc>
      </w:tr>
      <w:tr>
        <w:trPr>
          <w:trHeight w:val="201"/>
        </w:trPr>
        <w:tc>
          <w:tcPr>
            <w:tcW w:w="2700" w:type="dxa"/>
            <w:vAlign w:val="bottom"/>
            <w:gridSpan w:val="26"/>
          </w:tcPr>
          <w:p>
            <w:pPr>
              <w:spacing w:after="0"/>
              <w:rPr>
                <w:sz w:val="20"/>
                <w:szCs w:val="20"/>
                <w:color w:val="auto"/>
              </w:rPr>
            </w:pPr>
            <w:r>
              <w:rPr>
                <w:rFonts w:ascii="Times New Roman" w:cs="Times New Roman" w:eastAsia="Times New Roman" w:hAnsi="Times New Roman"/>
                <w:sz w:val="15"/>
                <w:szCs w:val="15"/>
                <w:b w:val="1"/>
                <w:bCs w:val="1"/>
                <w:color w:val="auto"/>
              </w:rPr>
              <w:t>Portfolio Investments*</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Industry</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3"/>
          </w:tcPr>
          <w:p>
            <w:pPr>
              <w:jc w:val="center"/>
              <w:ind w:right="700"/>
              <w:spacing w:after="0"/>
              <w:rPr>
                <w:sz w:val="20"/>
                <w:szCs w:val="20"/>
                <w:color w:val="auto"/>
              </w:rPr>
            </w:pPr>
            <w:r>
              <w:rPr>
                <w:rFonts w:ascii="Times New Roman" w:cs="Times New Roman" w:eastAsia="Times New Roman" w:hAnsi="Times New Roman"/>
                <w:sz w:val="15"/>
                <w:szCs w:val="15"/>
                <w:b w:val="1"/>
                <w:bCs w:val="1"/>
                <w:color w:val="auto"/>
              </w:rPr>
              <w:t>Principal</w:t>
            </w: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280" w:type="dxa"/>
            <w:vAlign w:val="bottom"/>
            <w:gridSpan w:val="2"/>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0" w:type="dxa"/>
            <w:vAlign w:val="bottom"/>
          </w:tcPr>
          <w:p>
            <w:pPr>
              <w:spacing w:after="0"/>
              <w:rPr>
                <w:sz w:val="1"/>
                <w:szCs w:val="1"/>
                <w:color w:val="auto"/>
              </w:rPr>
            </w:pPr>
          </w:p>
        </w:tc>
      </w:tr>
      <w:tr>
        <w:trPr>
          <w:trHeight w:val="154"/>
        </w:trPr>
        <w:tc>
          <w:tcPr>
            <w:tcW w:w="2480" w:type="dxa"/>
            <w:vAlign w:val="bottom"/>
            <w:tcBorders>
              <w:top w:val="single" w:sz="8" w:color="auto"/>
            </w:tcBorders>
            <w:gridSpan w:val="25"/>
            <w:shd w:val="clear" w:color="auto" w:fill="CCEEFF"/>
          </w:tcPr>
          <w:p>
            <w:pPr>
              <w:spacing w:after="0" w:line="140" w:lineRule="exact"/>
              <w:rPr>
                <w:sz w:val="20"/>
                <w:szCs w:val="20"/>
                <w:color w:val="auto"/>
              </w:rPr>
            </w:pPr>
            <w:r>
              <w:rPr>
                <w:rFonts w:ascii="Times New Roman" w:cs="Times New Roman" w:eastAsia="Times New Roman" w:hAnsi="Times New Roman"/>
                <w:sz w:val="15"/>
                <w:szCs w:val="15"/>
                <w:b w:val="1"/>
                <w:bCs w:val="1"/>
                <w:color w:val="auto"/>
              </w:rPr>
              <w:t>Aventine Property Group, Inc.</w:t>
            </w:r>
          </w:p>
        </w:tc>
        <w:tc>
          <w:tcPr>
            <w:tcW w:w="22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jc w:val="center"/>
              <w:spacing w:after="0" w:line="140" w:lineRule="exact"/>
              <w:rPr>
                <w:sz w:val="20"/>
                <w:szCs w:val="20"/>
                <w:color w:val="auto"/>
              </w:rPr>
            </w:pPr>
            <w:r>
              <w:rPr>
                <w:rFonts w:ascii="Times New Roman" w:cs="Times New Roman" w:eastAsia="Times New Roman" w:hAnsi="Times New Roman"/>
                <w:sz w:val="15"/>
                <w:szCs w:val="15"/>
                <w:color w:val="auto"/>
              </w:rPr>
              <w:t>Chicago, IL</w:t>
            </w:r>
          </w:p>
        </w:tc>
        <w:tc>
          <w:tcPr>
            <w:tcW w:w="24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960" w:type="dxa"/>
            <w:vAlign w:val="bottom"/>
            <w:tcBorders>
              <w:top w:val="single" w:sz="8" w:color="auto"/>
            </w:tcBorders>
            <w:gridSpan w:val="17"/>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740" w:type="dxa"/>
            <w:vAlign w:val="bottom"/>
            <w:tcBorders>
              <w:top w:val="single" w:sz="8" w:color="CCEEFF"/>
            </w:tcBorders>
            <w:gridSpan w:val="9"/>
          </w:tcPr>
          <w:p>
            <w:pPr>
              <w:spacing w:after="0"/>
              <w:rPr>
                <w:sz w:val="15"/>
                <w:szCs w:val="15"/>
                <w:color w:val="auto"/>
              </w:rPr>
            </w:pPr>
          </w:p>
        </w:tc>
        <w:tc>
          <w:tcPr>
            <w:tcW w:w="1480" w:type="dxa"/>
            <w:vAlign w:val="bottom"/>
            <w:tcBorders>
              <w:top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Cannabis REIT</w:t>
            </w:r>
          </w:p>
        </w:tc>
        <w:tc>
          <w:tcPr>
            <w:tcW w:w="12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9/11/2019</w:t>
            </w:r>
          </w:p>
        </w:tc>
        <w:tc>
          <w:tcPr>
            <w:tcW w:w="2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300" w:type="dxa"/>
            <w:vAlign w:val="bottom"/>
            <w:tcBorders>
              <w:top w:val="single" w:sz="8" w:color="CCEEFF"/>
            </w:tcBorders>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312,500</w:t>
            </w:r>
          </w:p>
        </w:tc>
        <w:tc>
          <w:tcPr>
            <w:tcW w:w="2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2,580,750</w:t>
            </w:r>
          </w:p>
        </w:tc>
        <w:tc>
          <w:tcPr>
            <w:tcW w:w="1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28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1,418,723</w:t>
            </w:r>
          </w:p>
        </w:tc>
        <w:tc>
          <w:tcPr>
            <w:tcW w:w="12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0.70%</w:t>
            </w:r>
          </w:p>
        </w:tc>
        <w:tc>
          <w:tcPr>
            <w:tcW w:w="0" w:type="dxa"/>
            <w:vAlign w:val="bottom"/>
          </w:tcPr>
          <w:p>
            <w:pPr>
              <w:spacing w:after="0"/>
              <w:rPr>
                <w:sz w:val="1"/>
                <w:szCs w:val="1"/>
                <w:color w:val="auto"/>
              </w:rPr>
            </w:pPr>
          </w:p>
        </w:tc>
      </w:tr>
      <w:tr>
        <w:trPr>
          <w:trHeight w:val="148"/>
        </w:trPr>
        <w:tc>
          <w:tcPr>
            <w:tcW w:w="2700" w:type="dxa"/>
            <w:vAlign w:val="bottom"/>
            <w:gridSpan w:val="26"/>
            <w:shd w:val="clear" w:color="auto" w:fill="CCEEFF"/>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Xgroup Holdings Limited (d/b/a</w:t>
            </w:r>
          </w:p>
        </w:tc>
        <w:tc>
          <w:tcPr>
            <w:tcW w:w="1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00" w:type="dxa"/>
            <w:vAlign w:val="bottom"/>
            <w:tcBorders>
              <w:top w:val="single" w:sz="8" w:color="auto"/>
              <w:bottom w:val="single" w:sz="8" w:color="auto"/>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Xpoint)**</w:t>
            </w:r>
          </w:p>
        </w:tc>
        <w:tc>
          <w:tcPr>
            <w:tcW w:w="8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7"/>
                <w:szCs w:val="7"/>
                <w:b w:val="1"/>
                <w:bCs w:val="1"/>
                <w:color w:val="auto"/>
                <w:w w:val="72"/>
              </w:rPr>
              <w:t>(7)</w:t>
            </w:r>
          </w:p>
        </w:tc>
        <w:tc>
          <w:tcPr>
            <w:tcW w:w="4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4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14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8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12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14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2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2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10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2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12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8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10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14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40" w:type="dxa"/>
            <w:vAlign w:val="bottom"/>
            <w:tcBorders>
              <w:top w:val="single" w:sz="8" w:color="auto"/>
              <w:bottom w:val="single" w:sz="8" w:color="auto"/>
            </w:tcBorders>
            <w:gridSpan w:val="2"/>
            <w:vMerge w:val="restart"/>
            <w:shd w:val="clear" w:color="auto" w:fill="CCEEFF"/>
          </w:tcPr>
          <w:p>
            <w:pPr>
              <w:spacing w:after="0"/>
              <w:rPr>
                <w:sz w:val="12"/>
                <w:szCs w:val="12"/>
                <w:color w:val="auto"/>
              </w:rPr>
            </w:pPr>
          </w:p>
        </w:tc>
        <w:tc>
          <w:tcPr>
            <w:tcW w:w="4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6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80" w:type="dxa"/>
            <w:vAlign w:val="bottom"/>
            <w:tcBorders>
              <w:top w:val="single" w:sz="8" w:color="CCEEFF"/>
              <w:bottom w:val="single" w:sz="8" w:color="CCEEFF"/>
            </w:tcBorders>
            <w:vMerge w:val="restart"/>
            <w:shd w:val="clear" w:color="auto" w:fill="CCEEFF"/>
          </w:tcPr>
          <w:p>
            <w:pPr>
              <w:spacing w:after="0"/>
              <w:rPr>
                <w:sz w:val="12"/>
                <w:szCs w:val="12"/>
                <w:color w:val="auto"/>
              </w:rPr>
            </w:pPr>
          </w:p>
        </w:tc>
        <w:tc>
          <w:tcPr>
            <w:tcW w:w="20" w:type="dxa"/>
            <w:vAlign w:val="bottom"/>
            <w:tcBorders>
              <w:top w:val="single" w:sz="8" w:color="CCEEFF"/>
              <w:bottom w:val="single" w:sz="8" w:color="CCEEFF"/>
            </w:tcBorders>
            <w:vMerge w:val="restart"/>
            <w:shd w:val="clear" w:color="auto" w:fill="CCEEFF"/>
          </w:tcPr>
          <w:p>
            <w:pPr>
              <w:spacing w:after="0"/>
              <w:rPr>
                <w:sz w:val="12"/>
                <w:szCs w:val="12"/>
                <w:color w:val="auto"/>
              </w:rPr>
            </w:pPr>
          </w:p>
        </w:tc>
        <w:tc>
          <w:tcPr>
            <w:tcW w:w="20" w:type="dxa"/>
            <w:vAlign w:val="bottom"/>
            <w:tcBorders>
              <w:top w:val="single" w:sz="8" w:color="CCEEFF"/>
              <w:bottom w:val="single" w:sz="8" w:color="CCEEFF"/>
            </w:tcBorders>
            <w:vMerge w:val="restart"/>
            <w:shd w:val="clear" w:color="auto" w:fill="CCEEFF"/>
          </w:tcPr>
          <w:p>
            <w:pPr>
              <w:spacing w:after="0"/>
              <w:rPr>
                <w:sz w:val="12"/>
                <w:szCs w:val="12"/>
                <w:color w:val="auto"/>
              </w:rPr>
            </w:pPr>
          </w:p>
        </w:tc>
        <w:tc>
          <w:tcPr>
            <w:tcW w:w="220" w:type="dxa"/>
            <w:vAlign w:val="bottom"/>
            <w:tcBorders>
              <w:top w:val="single" w:sz="8" w:color="CCEEFF"/>
              <w:bottom w:val="single" w:sz="8" w:color="CCEEFF"/>
            </w:tcBorders>
            <w:vMerge w:val="restart"/>
            <w:shd w:val="clear" w:color="auto" w:fill="CCEEFF"/>
          </w:tcPr>
          <w:p>
            <w:pPr>
              <w:spacing w:after="0"/>
              <w:rPr>
                <w:sz w:val="12"/>
                <w:szCs w:val="12"/>
                <w:color w:val="auto"/>
              </w:rPr>
            </w:pPr>
          </w:p>
        </w:tc>
        <w:tc>
          <w:tcPr>
            <w:tcW w:w="280" w:type="dxa"/>
            <w:vAlign w:val="bottom"/>
            <w:tcBorders>
              <w:top w:val="single" w:sz="8" w:color="CCEEFF"/>
              <w:bottom w:val="single" w:sz="8" w:color="CCEEFF"/>
            </w:tcBorders>
            <w:gridSpan w:val="2"/>
            <w:vMerge w:val="restart"/>
            <w:shd w:val="clear" w:color="auto" w:fill="CCEEFF"/>
          </w:tcPr>
          <w:p>
            <w:pPr>
              <w:spacing w:after="0"/>
              <w:rPr>
                <w:sz w:val="12"/>
                <w:szCs w:val="12"/>
                <w:color w:val="auto"/>
              </w:rPr>
            </w:pPr>
          </w:p>
        </w:tc>
        <w:tc>
          <w:tcPr>
            <w:tcW w:w="1480" w:type="dxa"/>
            <w:vAlign w:val="bottom"/>
            <w:tcBorders>
              <w:top w:val="single" w:sz="8" w:color="CCEEFF"/>
              <w:bottom w:val="single" w:sz="8" w:color="CCEEFF"/>
            </w:tcBorders>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Philadelphia, PA</w:t>
            </w:r>
          </w:p>
        </w:tc>
        <w:tc>
          <w:tcPr>
            <w:tcW w:w="12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96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96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CCEEFF"/>
              <w:bottom w:val="single" w:sz="8" w:color="CCEEFF"/>
            </w:tcBorders>
            <w:shd w:val="clear" w:color="auto" w:fill="CCEEFF"/>
          </w:tcPr>
          <w:p>
            <w:pPr>
              <w:spacing w:after="0"/>
              <w:rPr>
                <w:sz w:val="12"/>
                <w:szCs w:val="12"/>
                <w:color w:val="auto"/>
              </w:rPr>
            </w:pPr>
          </w:p>
        </w:tc>
        <w:tc>
          <w:tcPr>
            <w:tcW w:w="11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1"/>
        </w:trPr>
        <w:tc>
          <w:tcPr>
            <w:tcW w:w="700" w:type="dxa"/>
            <w:vAlign w:val="bottom"/>
            <w:tcBorders>
              <w:bottom w:val="single" w:sz="8" w:color="auto"/>
              <w:right w:val="single" w:sz="8" w:color="CCEEFF"/>
            </w:tcBorders>
            <w:vMerge w:val="continue"/>
            <w:shd w:val="clear" w:color="auto" w:fill="CCEEFF"/>
          </w:tcPr>
          <w:p>
            <w:pPr>
              <w:spacing w:after="0"/>
              <w:rPr>
                <w:sz w:val="4"/>
                <w:szCs w:val="4"/>
                <w:color w:val="auto"/>
              </w:rPr>
            </w:pPr>
          </w:p>
        </w:tc>
        <w:tc>
          <w:tcPr>
            <w:tcW w:w="80" w:type="dxa"/>
            <w:vAlign w:val="bottom"/>
            <w:tcBorders>
              <w:left w:val="single" w:sz="8" w:color="CCEEFF"/>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vMerge w:val="continue"/>
            <w:shd w:val="clear" w:color="auto" w:fill="CCEEFF"/>
          </w:tcPr>
          <w:p>
            <w:pPr>
              <w:spacing w:after="0"/>
              <w:rPr>
                <w:sz w:val="4"/>
                <w:szCs w:val="4"/>
                <w:color w:val="auto"/>
              </w:rPr>
            </w:pPr>
          </w:p>
        </w:tc>
        <w:tc>
          <w:tcPr>
            <w:tcW w:w="40" w:type="dxa"/>
            <w:vAlign w:val="bottom"/>
            <w:tcBorders>
              <w:bottom w:val="single" w:sz="8" w:color="CCEEFF"/>
            </w:tcBorders>
            <w:vMerge w:val="continue"/>
            <w:shd w:val="clear" w:color="auto" w:fill="CCEEFF"/>
          </w:tcPr>
          <w:p>
            <w:pPr>
              <w:spacing w:after="0"/>
              <w:rPr>
                <w:sz w:val="4"/>
                <w:szCs w:val="4"/>
                <w:color w:val="auto"/>
              </w:rPr>
            </w:pPr>
          </w:p>
        </w:tc>
        <w:tc>
          <w:tcPr>
            <w:tcW w:w="14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vMerge w:val="continue"/>
            <w:shd w:val="clear" w:color="auto" w:fill="CCEEFF"/>
          </w:tcPr>
          <w:p>
            <w:pPr>
              <w:spacing w:after="0"/>
              <w:rPr>
                <w:sz w:val="4"/>
                <w:szCs w:val="4"/>
                <w:color w:val="auto"/>
              </w:rPr>
            </w:pPr>
          </w:p>
        </w:tc>
        <w:tc>
          <w:tcPr>
            <w:tcW w:w="14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140" w:type="dxa"/>
            <w:vAlign w:val="bottom"/>
            <w:tcBorders>
              <w:bottom w:val="single" w:sz="8" w:color="CCEEFF"/>
            </w:tcBorders>
            <w:vMerge w:val="continue"/>
            <w:shd w:val="clear" w:color="auto" w:fill="CCEEFF"/>
          </w:tcPr>
          <w:p>
            <w:pPr>
              <w:spacing w:after="0"/>
              <w:rPr>
                <w:sz w:val="4"/>
                <w:szCs w:val="4"/>
                <w:color w:val="auto"/>
              </w:rPr>
            </w:pPr>
          </w:p>
        </w:tc>
        <w:tc>
          <w:tcPr>
            <w:tcW w:w="40" w:type="dxa"/>
            <w:vAlign w:val="bottom"/>
            <w:tcBorders>
              <w:bottom w:val="single" w:sz="8" w:color="CCEEFF"/>
            </w:tcBorders>
            <w:gridSpan w:val="2"/>
            <w:vMerge w:val="continue"/>
            <w:shd w:val="clear" w:color="auto" w:fill="CCEEFF"/>
          </w:tcPr>
          <w:p>
            <w:pPr>
              <w:spacing w:after="0"/>
              <w:rPr>
                <w:sz w:val="4"/>
                <w:szCs w:val="4"/>
                <w:color w:val="auto"/>
              </w:rPr>
            </w:pPr>
          </w:p>
        </w:tc>
        <w:tc>
          <w:tcPr>
            <w:tcW w:w="40" w:type="dxa"/>
            <w:vAlign w:val="bottom"/>
            <w:tcBorders>
              <w:bottom w:val="single" w:sz="8" w:color="CCEEFF"/>
            </w:tcBorders>
            <w:vMerge w:val="continue"/>
            <w:shd w:val="clear" w:color="auto" w:fill="CCEEFF"/>
          </w:tcPr>
          <w:p>
            <w:pPr>
              <w:spacing w:after="0"/>
              <w:rPr>
                <w:sz w:val="4"/>
                <w:szCs w:val="4"/>
                <w:color w:val="auto"/>
              </w:rPr>
            </w:pPr>
          </w:p>
        </w:tc>
        <w:tc>
          <w:tcPr>
            <w:tcW w:w="6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220" w:type="dxa"/>
            <w:vAlign w:val="bottom"/>
            <w:tcBorders>
              <w:bottom w:val="single" w:sz="8" w:color="CCEEFF"/>
            </w:tcBorders>
            <w:vMerge w:val="continue"/>
            <w:shd w:val="clear" w:color="auto" w:fill="CCEEFF"/>
          </w:tcPr>
          <w:p>
            <w:pPr>
              <w:spacing w:after="0"/>
              <w:rPr>
                <w:sz w:val="4"/>
                <w:szCs w:val="4"/>
                <w:color w:val="auto"/>
              </w:rPr>
            </w:pPr>
          </w:p>
        </w:tc>
        <w:tc>
          <w:tcPr>
            <w:tcW w:w="280" w:type="dxa"/>
            <w:vAlign w:val="bottom"/>
            <w:tcBorders>
              <w:bottom w:val="single" w:sz="8" w:color="CCEEFF"/>
            </w:tcBorders>
            <w:gridSpan w:val="2"/>
            <w:vMerge w:val="continue"/>
            <w:shd w:val="clear" w:color="auto" w:fill="CCEEFF"/>
          </w:tcPr>
          <w:p>
            <w:pPr>
              <w:spacing w:after="0"/>
              <w:rPr>
                <w:sz w:val="4"/>
                <w:szCs w:val="4"/>
                <w:color w:val="auto"/>
              </w:rPr>
            </w:pPr>
          </w:p>
        </w:tc>
        <w:tc>
          <w:tcPr>
            <w:tcW w:w="1480" w:type="dxa"/>
            <w:vAlign w:val="bottom"/>
            <w:tcBorders>
              <w:bottom w:val="single" w:sz="8" w:color="CCEEFF"/>
            </w:tcBorders>
            <w:gridSpan w:val="2"/>
            <w:vMerge w:val="continue"/>
            <w:shd w:val="clear" w:color="auto" w:fill="CCEEFF"/>
          </w:tcPr>
          <w:p>
            <w:pPr>
              <w:spacing w:after="0"/>
              <w:rPr>
                <w:sz w:val="4"/>
                <w:szCs w:val="4"/>
                <w:color w:val="auto"/>
              </w:rPr>
            </w:pPr>
          </w:p>
        </w:tc>
        <w:tc>
          <w:tcPr>
            <w:tcW w:w="12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96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9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96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700" w:type="dxa"/>
            <w:vAlign w:val="bottom"/>
            <w:gridSpan w:val="26"/>
          </w:tcPr>
          <w:p>
            <w:pPr>
              <w:spacing w:after="0" w:line="171" w:lineRule="exact"/>
              <w:rPr>
                <w:sz w:val="20"/>
                <w:szCs w:val="20"/>
                <w:color w:val="auto"/>
              </w:rPr>
            </w:pPr>
            <w:r>
              <w:rPr>
                <w:rFonts w:ascii="Times New Roman" w:cs="Times New Roman" w:eastAsia="Times New Roman" w:hAnsi="Times New Roman"/>
                <w:sz w:val="15"/>
                <w:szCs w:val="15"/>
                <w:color w:val="auto"/>
              </w:rPr>
              <w:t>Convertible Note 6%, Due</w:t>
            </w:r>
          </w:p>
        </w:tc>
        <w:tc>
          <w:tcPr>
            <w:tcW w:w="1480" w:type="dxa"/>
            <w:vAlign w:val="bottom"/>
            <w:gridSpan w:val="2"/>
          </w:tcPr>
          <w:p>
            <w:pPr>
              <w:jc w:val="center"/>
              <w:ind w:right="220"/>
              <w:spacing w:after="0" w:line="171" w:lineRule="exact"/>
              <w:rPr>
                <w:sz w:val="20"/>
                <w:szCs w:val="20"/>
                <w:color w:val="auto"/>
              </w:rPr>
            </w:pPr>
            <w:r>
              <w:rPr>
                <w:rFonts w:ascii="Times New Roman" w:cs="Times New Roman" w:eastAsia="Times New Roman" w:hAnsi="Times New Roman"/>
                <w:sz w:val="15"/>
                <w:szCs w:val="15"/>
                <w:color w:val="auto"/>
              </w:rPr>
              <w:t>Geolocation</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860" w:type="dxa"/>
            <w:vAlign w:val="bottom"/>
            <w:gridSpan w:val="4"/>
          </w:tcPr>
          <w:p>
            <w:pPr>
              <w:spacing w:after="0" w:line="228" w:lineRule="exact"/>
              <w:rPr>
                <w:sz w:val="20"/>
                <w:szCs w:val="20"/>
                <w:color w:val="auto"/>
              </w:rPr>
            </w:pPr>
            <w:r>
              <w:rPr>
                <w:rFonts w:ascii="Times New Roman" w:cs="Times New Roman" w:eastAsia="Times New Roman" w:hAnsi="Times New Roman"/>
                <w:sz w:val="15"/>
                <w:szCs w:val="15"/>
                <w:color w:val="auto"/>
                <w:w w:val="95"/>
              </w:rPr>
              <w:t>10/17/2024</w:t>
            </w:r>
            <w:r>
              <w:rPr>
                <w:rFonts w:ascii="Times New Roman" w:cs="Times New Roman" w:eastAsia="Times New Roman" w:hAnsi="Times New Roman"/>
                <w:sz w:val="25"/>
                <w:szCs w:val="25"/>
                <w:color w:val="auto"/>
                <w:w w:val="95"/>
                <w:vertAlign w:val="superscript"/>
              </w:rPr>
              <w:t>(4)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Technology</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8/17/2022</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1,000,000</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1,338,976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1,325,000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0.65%</w:t>
            </w:r>
          </w:p>
        </w:tc>
        <w:tc>
          <w:tcPr>
            <w:tcW w:w="0" w:type="dxa"/>
            <w:vAlign w:val="bottom"/>
          </w:tcPr>
          <w:p>
            <w:pPr>
              <w:spacing w:after="0"/>
              <w:rPr>
                <w:sz w:val="1"/>
                <w:szCs w:val="1"/>
                <w:color w:val="auto"/>
              </w:rPr>
            </w:pPr>
          </w:p>
        </w:tc>
      </w:tr>
      <w:tr>
        <w:trPr>
          <w:trHeight w:val="148"/>
        </w:trPr>
        <w:tc>
          <w:tcPr>
            <w:tcW w:w="2700" w:type="dxa"/>
            <w:vAlign w:val="bottom"/>
            <w:gridSpan w:val="26"/>
            <w:shd w:val="clear" w:color="auto" w:fill="CCEEFF"/>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Commercial Streaming Solutions Inc.</w:t>
            </w:r>
          </w:p>
        </w:tc>
        <w:tc>
          <w:tcPr>
            <w:tcW w:w="1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00" w:type="dxa"/>
            <w:vAlign w:val="bottom"/>
            <w:tcBorders>
              <w:top w:val="single" w:sz="8" w:color="auto"/>
              <w:bottom w:val="single" w:sz="8" w:color="auto"/>
            </w:tcBorders>
            <w:gridSpan w:val="7"/>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8"/>
              </w:rPr>
              <w:t>(d/b/a BettorView)</w:t>
            </w:r>
          </w:p>
        </w:tc>
        <w:tc>
          <w:tcPr>
            <w:tcW w:w="160" w:type="dxa"/>
            <w:vAlign w:val="bottom"/>
            <w:tcBorders>
              <w:top w:val="single" w:sz="8" w:color="auto"/>
              <w:bottom w:val="single" w:sz="8" w:color="auto"/>
            </w:tcBorders>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w w:val="78"/>
              </w:rPr>
              <w:t>(7)</w:t>
            </w:r>
          </w:p>
        </w:tc>
        <w:tc>
          <w:tcPr>
            <w:tcW w:w="2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10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2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12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8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10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14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40" w:type="dxa"/>
            <w:vAlign w:val="bottom"/>
            <w:tcBorders>
              <w:top w:val="single" w:sz="8" w:color="auto"/>
              <w:bottom w:val="single" w:sz="8" w:color="auto"/>
            </w:tcBorders>
            <w:gridSpan w:val="2"/>
            <w:vMerge w:val="restart"/>
            <w:shd w:val="clear" w:color="auto" w:fill="CCEEFF"/>
          </w:tcPr>
          <w:p>
            <w:pPr>
              <w:spacing w:after="0"/>
              <w:rPr>
                <w:sz w:val="12"/>
                <w:szCs w:val="12"/>
                <w:color w:val="auto"/>
              </w:rPr>
            </w:pPr>
          </w:p>
        </w:tc>
        <w:tc>
          <w:tcPr>
            <w:tcW w:w="4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6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8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2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2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22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280" w:type="dxa"/>
            <w:vAlign w:val="bottom"/>
            <w:tcBorders>
              <w:top w:val="single" w:sz="8" w:color="CCEEFF"/>
              <w:bottom w:val="single" w:sz="8" w:color="CCEEFF"/>
            </w:tcBorders>
            <w:gridSpan w:val="2"/>
            <w:vMerge w:val="restart"/>
            <w:shd w:val="clear" w:color="auto" w:fill="CCEEFF"/>
          </w:tcPr>
          <w:p>
            <w:pPr>
              <w:spacing w:after="0"/>
              <w:rPr>
                <w:sz w:val="12"/>
                <w:szCs w:val="12"/>
                <w:color w:val="auto"/>
              </w:rPr>
            </w:pPr>
          </w:p>
        </w:tc>
        <w:tc>
          <w:tcPr>
            <w:tcW w:w="1480" w:type="dxa"/>
            <w:vAlign w:val="bottom"/>
            <w:tcBorders>
              <w:top w:val="single" w:sz="8" w:color="CCEEFF"/>
              <w:bottom w:val="single" w:sz="8" w:color="CCEEFF"/>
            </w:tcBorders>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9"/>
              </w:rPr>
              <w:t>Las Vegas, NV</w:t>
            </w:r>
          </w:p>
        </w:tc>
        <w:tc>
          <w:tcPr>
            <w:tcW w:w="12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96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96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CCEEFF"/>
              <w:bottom w:val="single" w:sz="8" w:color="CCEEFF"/>
            </w:tcBorders>
            <w:shd w:val="clear" w:color="auto" w:fill="CCEEFF"/>
          </w:tcPr>
          <w:p>
            <w:pPr>
              <w:spacing w:after="0"/>
              <w:rPr>
                <w:sz w:val="12"/>
                <w:szCs w:val="12"/>
                <w:color w:val="auto"/>
              </w:rPr>
            </w:pPr>
          </w:p>
        </w:tc>
        <w:tc>
          <w:tcPr>
            <w:tcW w:w="11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1"/>
        </w:trPr>
        <w:tc>
          <w:tcPr>
            <w:tcW w:w="1200" w:type="dxa"/>
            <w:vAlign w:val="bottom"/>
            <w:tcBorders>
              <w:bottom w:val="single" w:sz="8" w:color="auto"/>
            </w:tcBorders>
            <w:gridSpan w:val="7"/>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140" w:type="dxa"/>
            <w:vAlign w:val="bottom"/>
            <w:tcBorders>
              <w:bottom w:val="single" w:sz="8" w:color="CCEEFF"/>
            </w:tcBorders>
            <w:vMerge w:val="continue"/>
            <w:shd w:val="clear" w:color="auto" w:fill="CCEEFF"/>
          </w:tcPr>
          <w:p>
            <w:pPr>
              <w:spacing w:after="0"/>
              <w:rPr>
                <w:sz w:val="4"/>
                <w:szCs w:val="4"/>
                <w:color w:val="auto"/>
              </w:rPr>
            </w:pPr>
          </w:p>
        </w:tc>
        <w:tc>
          <w:tcPr>
            <w:tcW w:w="40" w:type="dxa"/>
            <w:vAlign w:val="bottom"/>
            <w:tcBorders>
              <w:bottom w:val="single" w:sz="8" w:color="CCEEFF"/>
            </w:tcBorders>
            <w:gridSpan w:val="2"/>
            <w:vMerge w:val="continue"/>
            <w:shd w:val="clear" w:color="auto" w:fill="CCEEFF"/>
          </w:tcPr>
          <w:p>
            <w:pPr>
              <w:spacing w:after="0"/>
              <w:rPr>
                <w:sz w:val="4"/>
                <w:szCs w:val="4"/>
                <w:color w:val="auto"/>
              </w:rPr>
            </w:pPr>
          </w:p>
        </w:tc>
        <w:tc>
          <w:tcPr>
            <w:tcW w:w="40" w:type="dxa"/>
            <w:vAlign w:val="bottom"/>
            <w:tcBorders>
              <w:bottom w:val="single" w:sz="8" w:color="CCEEFF"/>
            </w:tcBorders>
            <w:vMerge w:val="continue"/>
            <w:shd w:val="clear" w:color="auto" w:fill="CCEEFF"/>
          </w:tcPr>
          <w:p>
            <w:pPr>
              <w:spacing w:after="0"/>
              <w:rPr>
                <w:sz w:val="4"/>
                <w:szCs w:val="4"/>
                <w:color w:val="auto"/>
              </w:rPr>
            </w:pPr>
          </w:p>
        </w:tc>
        <w:tc>
          <w:tcPr>
            <w:tcW w:w="6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220" w:type="dxa"/>
            <w:vAlign w:val="bottom"/>
            <w:tcBorders>
              <w:bottom w:val="single" w:sz="8" w:color="CCEEFF"/>
            </w:tcBorders>
            <w:vMerge w:val="continue"/>
            <w:shd w:val="clear" w:color="auto" w:fill="CCEEFF"/>
          </w:tcPr>
          <w:p>
            <w:pPr>
              <w:spacing w:after="0"/>
              <w:rPr>
                <w:sz w:val="4"/>
                <w:szCs w:val="4"/>
                <w:color w:val="auto"/>
              </w:rPr>
            </w:pPr>
          </w:p>
        </w:tc>
        <w:tc>
          <w:tcPr>
            <w:tcW w:w="280" w:type="dxa"/>
            <w:vAlign w:val="bottom"/>
            <w:tcBorders>
              <w:bottom w:val="single" w:sz="8" w:color="CCEEFF"/>
            </w:tcBorders>
            <w:gridSpan w:val="2"/>
            <w:vMerge w:val="continue"/>
            <w:shd w:val="clear" w:color="auto" w:fill="CCEEFF"/>
          </w:tcPr>
          <w:p>
            <w:pPr>
              <w:spacing w:after="0"/>
              <w:rPr>
                <w:sz w:val="4"/>
                <w:szCs w:val="4"/>
                <w:color w:val="auto"/>
              </w:rPr>
            </w:pPr>
          </w:p>
        </w:tc>
        <w:tc>
          <w:tcPr>
            <w:tcW w:w="1480" w:type="dxa"/>
            <w:vAlign w:val="bottom"/>
            <w:tcBorders>
              <w:bottom w:val="single" w:sz="8" w:color="CCEEFF"/>
            </w:tcBorders>
            <w:gridSpan w:val="2"/>
            <w:vMerge w:val="continue"/>
            <w:shd w:val="clear" w:color="auto" w:fill="CCEEFF"/>
          </w:tcPr>
          <w:p>
            <w:pPr>
              <w:spacing w:after="0"/>
              <w:rPr>
                <w:sz w:val="4"/>
                <w:szCs w:val="4"/>
                <w:color w:val="auto"/>
              </w:rPr>
            </w:pPr>
          </w:p>
        </w:tc>
        <w:tc>
          <w:tcPr>
            <w:tcW w:w="12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96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9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96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240"/>
              <w:spacing w:after="0" w:line="168" w:lineRule="exact"/>
              <w:rPr>
                <w:sz w:val="20"/>
                <w:szCs w:val="20"/>
                <w:color w:val="auto"/>
              </w:rPr>
            </w:pPr>
            <w:r>
              <w:rPr>
                <w:rFonts w:ascii="Times New Roman" w:cs="Times New Roman" w:eastAsia="Times New Roman" w:hAnsi="Times New Roman"/>
                <w:sz w:val="15"/>
                <w:szCs w:val="15"/>
                <w:color w:val="auto"/>
              </w:rPr>
              <w:t>Interactive Media &amp;</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700" w:type="dxa"/>
            <w:vAlign w:val="bottom"/>
            <w:gridSpan w:val="26"/>
          </w:tcPr>
          <w:p>
            <w:pPr>
              <w:spacing w:after="0"/>
              <w:rPr>
                <w:sz w:val="20"/>
                <w:szCs w:val="20"/>
                <w:color w:val="auto"/>
              </w:rPr>
            </w:pPr>
            <w:r>
              <w:rPr>
                <w:rFonts w:ascii="Times New Roman" w:cs="Times New Roman" w:eastAsia="Times New Roman" w:hAnsi="Times New Roman"/>
                <w:sz w:val="15"/>
                <w:szCs w:val="15"/>
                <w:color w:val="auto"/>
              </w:rPr>
              <w:t>Simple Agreement for Future Equity</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Services</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3/26/2021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1,004,240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1,000,000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0.49%</w:t>
            </w:r>
          </w:p>
        </w:tc>
        <w:tc>
          <w:tcPr>
            <w:tcW w:w="0" w:type="dxa"/>
            <w:vAlign w:val="bottom"/>
          </w:tcPr>
          <w:p>
            <w:pPr>
              <w:spacing w:after="0"/>
              <w:rPr>
                <w:sz w:val="1"/>
                <w:szCs w:val="1"/>
                <w:color w:val="auto"/>
              </w:rPr>
            </w:pPr>
          </w:p>
        </w:tc>
      </w:tr>
      <w:tr>
        <w:trPr>
          <w:trHeight w:val="148"/>
        </w:trPr>
        <w:tc>
          <w:tcPr>
            <w:tcW w:w="2080" w:type="dxa"/>
            <w:vAlign w:val="bottom"/>
            <w:tcBorders>
              <w:bottom w:val="single" w:sz="8" w:color="auto"/>
            </w:tcBorders>
            <w:gridSpan w:val="20"/>
            <w:shd w:val="clear" w:color="auto" w:fill="CCEEFF"/>
          </w:tcPr>
          <w:p>
            <w:pPr>
              <w:spacing w:after="0" w:line="149" w:lineRule="exact"/>
              <w:rPr>
                <w:sz w:val="20"/>
                <w:szCs w:val="20"/>
                <w:color w:val="auto"/>
              </w:rPr>
            </w:pPr>
            <w:r>
              <w:rPr>
                <w:rFonts w:ascii="Times New Roman" w:cs="Times New Roman" w:eastAsia="Times New Roman" w:hAnsi="Times New Roman"/>
                <w:sz w:val="15"/>
                <w:szCs w:val="15"/>
                <w:b w:val="1"/>
                <w:bCs w:val="1"/>
                <w:color w:val="auto"/>
                <w:w w:val="99"/>
              </w:rPr>
              <w:t>Stake Trade, Inc. (d/b/a Prophet</w:t>
            </w:r>
          </w:p>
        </w:tc>
        <w:tc>
          <w:tcPr>
            <w:tcW w:w="620" w:type="dxa"/>
            <w:vAlign w:val="bottom"/>
            <w:tcBorders>
              <w:bottom w:val="single" w:sz="8" w:color="CCEEFF"/>
            </w:tcBorders>
            <w:gridSpan w:val="6"/>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00" w:type="dxa"/>
            <w:vAlign w:val="bottom"/>
            <w:tcBorders>
              <w:bottom w:val="single" w:sz="8" w:color="CCEEFF"/>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7"/>
              </w:rPr>
              <w:t>Exchange)</w:t>
            </w:r>
          </w:p>
        </w:tc>
        <w:tc>
          <w:tcPr>
            <w:tcW w:w="120" w:type="dxa"/>
            <w:vAlign w:val="bottom"/>
            <w:tcBorders>
              <w:left w:val="single" w:sz="8" w:color="CCEEFF"/>
              <w:bottom w:val="single" w:sz="8" w:color="auto"/>
            </w:tcBorders>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w w:val="71"/>
              </w:rPr>
              <w:t>(7)</w:t>
            </w: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260" w:type="dxa"/>
            <w:vAlign w:val="bottom"/>
            <w:tcBorders>
              <w:bottom w:val="single" w:sz="8" w:color="CCEEFF"/>
            </w:tcBorders>
            <w:gridSpan w:val="2"/>
            <w:vMerge w:val="restart"/>
            <w:shd w:val="clear" w:color="auto" w:fill="CCEEFF"/>
          </w:tcPr>
          <w:p>
            <w:pPr>
              <w:spacing w:after="0"/>
              <w:rPr>
                <w:sz w:val="12"/>
                <w:szCs w:val="12"/>
                <w:color w:val="auto"/>
              </w:rPr>
            </w:pPr>
          </w:p>
        </w:tc>
        <w:tc>
          <w:tcPr>
            <w:tcW w:w="40" w:type="dxa"/>
            <w:vAlign w:val="bottom"/>
            <w:tcBorders>
              <w:bottom w:val="single" w:sz="8" w:color="CCEEFF"/>
            </w:tcBorders>
            <w:gridSpan w:val="2"/>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120" w:type="dxa"/>
            <w:vAlign w:val="bottom"/>
            <w:tcBorders>
              <w:bottom w:val="single" w:sz="8" w:color="CCEEFF"/>
            </w:tcBorders>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gridSpan w:val="2"/>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tcBorders>
            <w:gridSpan w:val="2"/>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500" w:type="dxa"/>
            <w:vAlign w:val="bottom"/>
            <w:tcBorders>
              <w:bottom w:val="single" w:sz="8" w:color="CCEEFF"/>
            </w:tcBorders>
            <w:gridSpan w:val="3"/>
            <w:vMerge w:val="restart"/>
            <w:shd w:val="clear" w:color="auto" w:fill="CCEEFF"/>
          </w:tcPr>
          <w:p>
            <w:pPr>
              <w:spacing w:after="0"/>
              <w:rPr>
                <w:sz w:val="12"/>
                <w:szCs w:val="12"/>
                <w:color w:val="auto"/>
              </w:rPr>
            </w:pPr>
          </w:p>
        </w:tc>
        <w:tc>
          <w:tcPr>
            <w:tcW w:w="1480" w:type="dxa"/>
            <w:vAlign w:val="bottom"/>
            <w:tcBorders>
              <w:bottom w:val="single" w:sz="8" w:color="CCEEFF"/>
            </w:tcBorders>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9"/>
              </w:rPr>
              <w:t>New York, NY</w:t>
            </w:r>
          </w:p>
        </w:tc>
        <w:tc>
          <w:tcPr>
            <w:tcW w:w="12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1"/>
        </w:trPr>
        <w:tc>
          <w:tcPr>
            <w:tcW w:w="700" w:type="dxa"/>
            <w:vAlign w:val="bottom"/>
            <w:tcBorders>
              <w:bottom w:val="single" w:sz="8" w:color="auto"/>
              <w:right w:val="single" w:sz="8" w:color="CCEEFF"/>
            </w:tcBorders>
            <w:vMerge w:val="continue"/>
            <w:shd w:val="clear" w:color="auto" w:fill="CCEEFF"/>
          </w:tcPr>
          <w:p>
            <w:pPr>
              <w:spacing w:after="0"/>
              <w:rPr>
                <w:sz w:val="4"/>
                <w:szCs w:val="4"/>
                <w:color w:val="auto"/>
              </w:rPr>
            </w:pPr>
          </w:p>
        </w:tc>
        <w:tc>
          <w:tcPr>
            <w:tcW w:w="120" w:type="dxa"/>
            <w:vAlign w:val="bottom"/>
            <w:tcBorders>
              <w:left w:val="single" w:sz="8" w:color="CCEEFF"/>
              <w:bottom w:val="single" w:sz="8" w:color="CCEEFF"/>
            </w:tcBorders>
            <w:gridSpan w:val="2"/>
            <w:shd w:val="clear" w:color="auto" w:fill="CCEEFF"/>
          </w:tcPr>
          <w:p>
            <w:pPr>
              <w:spacing w:after="0"/>
              <w:rPr>
                <w:sz w:val="4"/>
                <w:szCs w:val="4"/>
                <w:color w:val="auto"/>
              </w:rPr>
            </w:pPr>
          </w:p>
        </w:tc>
        <w:tc>
          <w:tcPr>
            <w:tcW w:w="40" w:type="dxa"/>
            <w:vAlign w:val="bottom"/>
            <w:tcBorders>
              <w:bottom w:val="single" w:sz="8" w:color="CCEEFF"/>
            </w:tcBorders>
            <w:vMerge w:val="continue"/>
            <w:shd w:val="clear" w:color="auto" w:fill="CCEEFF"/>
          </w:tcPr>
          <w:p>
            <w:pPr>
              <w:spacing w:after="0"/>
              <w:rPr>
                <w:sz w:val="4"/>
                <w:szCs w:val="4"/>
                <w:color w:val="auto"/>
              </w:rPr>
            </w:pPr>
          </w:p>
        </w:tc>
        <w:tc>
          <w:tcPr>
            <w:tcW w:w="14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vMerge w:val="continue"/>
            <w:shd w:val="clear" w:color="auto" w:fill="CCEEFF"/>
          </w:tcPr>
          <w:p>
            <w:pPr>
              <w:spacing w:after="0"/>
              <w:rPr>
                <w:sz w:val="4"/>
                <w:szCs w:val="4"/>
                <w:color w:val="auto"/>
              </w:rPr>
            </w:pPr>
          </w:p>
        </w:tc>
        <w:tc>
          <w:tcPr>
            <w:tcW w:w="260" w:type="dxa"/>
            <w:vAlign w:val="bottom"/>
            <w:tcBorders>
              <w:bottom w:val="single" w:sz="8" w:color="CCEEFF"/>
            </w:tcBorders>
            <w:gridSpan w:val="2"/>
            <w:vMerge w:val="continue"/>
            <w:shd w:val="clear" w:color="auto" w:fill="CCEEFF"/>
          </w:tcPr>
          <w:p>
            <w:pPr>
              <w:spacing w:after="0"/>
              <w:rPr>
                <w:sz w:val="4"/>
                <w:szCs w:val="4"/>
                <w:color w:val="auto"/>
              </w:rPr>
            </w:pPr>
          </w:p>
        </w:tc>
        <w:tc>
          <w:tcPr>
            <w:tcW w:w="40" w:type="dxa"/>
            <w:vAlign w:val="bottom"/>
            <w:tcBorders>
              <w:bottom w:val="single" w:sz="8" w:color="CCEEFF"/>
            </w:tcBorders>
            <w:gridSpan w:val="2"/>
            <w:vMerge w:val="continue"/>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140" w:type="dxa"/>
            <w:vAlign w:val="bottom"/>
            <w:tcBorders>
              <w:bottom w:val="single" w:sz="8" w:color="CCEEFF"/>
            </w:tcBorders>
            <w:vMerge w:val="continue"/>
            <w:shd w:val="clear" w:color="auto" w:fill="CCEEFF"/>
          </w:tcPr>
          <w:p>
            <w:pPr>
              <w:spacing w:after="0"/>
              <w:rPr>
                <w:sz w:val="4"/>
                <w:szCs w:val="4"/>
                <w:color w:val="auto"/>
              </w:rPr>
            </w:pPr>
          </w:p>
        </w:tc>
        <w:tc>
          <w:tcPr>
            <w:tcW w:w="40" w:type="dxa"/>
            <w:vAlign w:val="bottom"/>
            <w:tcBorders>
              <w:bottom w:val="single" w:sz="8" w:color="CCEEFF"/>
            </w:tcBorders>
            <w:gridSpan w:val="2"/>
            <w:vMerge w:val="continue"/>
            <w:shd w:val="clear" w:color="auto" w:fill="CCEEFF"/>
          </w:tcPr>
          <w:p>
            <w:pPr>
              <w:spacing w:after="0"/>
              <w:rPr>
                <w:sz w:val="4"/>
                <w:szCs w:val="4"/>
                <w:color w:val="auto"/>
              </w:rPr>
            </w:pPr>
          </w:p>
        </w:tc>
        <w:tc>
          <w:tcPr>
            <w:tcW w:w="40" w:type="dxa"/>
            <w:vAlign w:val="bottom"/>
            <w:tcBorders>
              <w:bottom w:val="single" w:sz="8" w:color="CCEEFF"/>
            </w:tcBorders>
            <w:vMerge w:val="continue"/>
            <w:shd w:val="clear" w:color="auto" w:fill="CCEEFF"/>
          </w:tcPr>
          <w:p>
            <w:pPr>
              <w:spacing w:after="0"/>
              <w:rPr>
                <w:sz w:val="4"/>
                <w:szCs w:val="4"/>
                <w:color w:val="auto"/>
              </w:rPr>
            </w:pPr>
          </w:p>
        </w:tc>
        <w:tc>
          <w:tcPr>
            <w:tcW w:w="140" w:type="dxa"/>
            <w:vAlign w:val="bottom"/>
            <w:tcBorders>
              <w:bottom w:val="single" w:sz="8" w:color="CCEEFF"/>
            </w:tcBorders>
            <w:gridSpan w:val="2"/>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500" w:type="dxa"/>
            <w:vAlign w:val="bottom"/>
            <w:tcBorders>
              <w:bottom w:val="single" w:sz="8" w:color="CCEEFF"/>
            </w:tcBorders>
            <w:gridSpan w:val="3"/>
            <w:vMerge w:val="continue"/>
            <w:shd w:val="clear" w:color="auto" w:fill="CCEEFF"/>
          </w:tcPr>
          <w:p>
            <w:pPr>
              <w:spacing w:after="0"/>
              <w:rPr>
                <w:sz w:val="4"/>
                <w:szCs w:val="4"/>
                <w:color w:val="auto"/>
              </w:rPr>
            </w:pPr>
          </w:p>
        </w:tc>
        <w:tc>
          <w:tcPr>
            <w:tcW w:w="1480" w:type="dxa"/>
            <w:vAlign w:val="bottom"/>
            <w:tcBorders>
              <w:bottom w:val="single" w:sz="8" w:color="CCEEFF"/>
            </w:tcBorders>
            <w:gridSpan w:val="2"/>
            <w:vMerge w:val="continue"/>
            <w:shd w:val="clear" w:color="auto" w:fill="CCEEFF"/>
          </w:tcPr>
          <w:p>
            <w:pPr>
              <w:spacing w:after="0"/>
              <w:rPr>
                <w:sz w:val="4"/>
                <w:szCs w:val="4"/>
                <w:color w:val="auto"/>
              </w:rPr>
            </w:pPr>
          </w:p>
        </w:tc>
        <w:tc>
          <w:tcPr>
            <w:tcW w:w="12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96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9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96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700" w:type="dxa"/>
            <w:vAlign w:val="bottom"/>
            <w:gridSpan w:val="26"/>
          </w:tcPr>
          <w:p>
            <w:pPr>
              <w:spacing w:after="0"/>
              <w:rPr>
                <w:sz w:val="20"/>
                <w:szCs w:val="20"/>
                <w:color w:val="auto"/>
              </w:rPr>
            </w:pPr>
            <w:r>
              <w:rPr>
                <w:rFonts w:ascii="Times New Roman" w:cs="Times New Roman" w:eastAsia="Times New Roman" w:hAnsi="Times New Roman"/>
                <w:sz w:val="15"/>
                <w:szCs w:val="15"/>
                <w:color w:val="auto"/>
              </w:rPr>
              <w:t>Simple Agreement for Future Equity</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Sports Betting</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7/26/2023</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1,002,153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1,000,000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0.49%</w:t>
            </w:r>
          </w:p>
        </w:tc>
        <w:tc>
          <w:tcPr>
            <w:tcW w:w="0" w:type="dxa"/>
            <w:vAlign w:val="bottom"/>
          </w:tcPr>
          <w:p>
            <w:pPr>
              <w:spacing w:after="0"/>
              <w:rPr>
                <w:sz w:val="1"/>
                <w:szCs w:val="1"/>
                <w:color w:val="auto"/>
              </w:rPr>
            </w:pPr>
          </w:p>
        </w:tc>
      </w:tr>
      <w:tr>
        <w:trPr>
          <w:trHeight w:val="125"/>
        </w:trPr>
        <w:tc>
          <w:tcPr>
            <w:tcW w:w="1380" w:type="dxa"/>
            <w:vAlign w:val="bottom"/>
            <w:tcBorders>
              <w:bottom w:val="single" w:sz="8" w:color="CCEEFF"/>
            </w:tcBorders>
            <w:gridSpan w:val="10"/>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9"/>
              </w:rPr>
              <w:t>AltC Sponsor LLC**</w:t>
            </w:r>
          </w:p>
        </w:tc>
        <w:tc>
          <w:tcPr>
            <w:tcW w:w="420" w:type="dxa"/>
            <w:vAlign w:val="bottom"/>
            <w:tcBorders>
              <w:bottom w:val="single" w:sz="8" w:color="auto"/>
            </w:tcBorders>
            <w:gridSpan w:val="5"/>
            <w:shd w:val="clear" w:color="auto" w:fill="CCEEFF"/>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w w:val="99"/>
              </w:rPr>
              <w:t>(10)(14)</w:t>
            </w:r>
          </w:p>
        </w:tc>
        <w:tc>
          <w:tcPr>
            <w:tcW w:w="140" w:type="dxa"/>
            <w:vAlign w:val="bottom"/>
            <w:tcBorders>
              <w:bottom w:val="single" w:sz="8" w:color="CCEEFF"/>
            </w:tcBorders>
            <w:vMerge w:val="restart"/>
            <w:shd w:val="clear" w:color="auto" w:fill="CCEEFF"/>
          </w:tcPr>
          <w:p>
            <w:pPr>
              <w:spacing w:after="0"/>
              <w:rPr>
                <w:sz w:val="10"/>
                <w:szCs w:val="10"/>
                <w:color w:val="auto"/>
              </w:rPr>
            </w:pPr>
          </w:p>
        </w:tc>
        <w:tc>
          <w:tcPr>
            <w:tcW w:w="40" w:type="dxa"/>
            <w:vAlign w:val="bottom"/>
            <w:tcBorders>
              <w:bottom w:val="single" w:sz="8" w:color="CCEEFF"/>
            </w:tcBorders>
            <w:gridSpan w:val="2"/>
            <w:vMerge w:val="restart"/>
            <w:shd w:val="clear" w:color="auto" w:fill="CCEEFF"/>
          </w:tcPr>
          <w:p>
            <w:pPr>
              <w:spacing w:after="0"/>
              <w:rPr>
                <w:sz w:val="10"/>
                <w:szCs w:val="10"/>
                <w:color w:val="auto"/>
              </w:rPr>
            </w:pPr>
          </w:p>
        </w:tc>
        <w:tc>
          <w:tcPr>
            <w:tcW w:w="40" w:type="dxa"/>
            <w:vAlign w:val="bottom"/>
            <w:tcBorders>
              <w:bottom w:val="single" w:sz="8" w:color="CCEEFF"/>
            </w:tcBorders>
            <w:vMerge w:val="restart"/>
            <w:shd w:val="clear" w:color="auto" w:fill="CCEEFF"/>
          </w:tcPr>
          <w:p>
            <w:pPr>
              <w:spacing w:after="0"/>
              <w:rPr>
                <w:sz w:val="10"/>
                <w:szCs w:val="10"/>
                <w:color w:val="auto"/>
              </w:rPr>
            </w:pPr>
          </w:p>
        </w:tc>
        <w:tc>
          <w:tcPr>
            <w:tcW w:w="140" w:type="dxa"/>
            <w:vAlign w:val="bottom"/>
            <w:tcBorders>
              <w:bottom w:val="single" w:sz="8" w:color="CCEEFF"/>
            </w:tcBorders>
            <w:gridSpan w:val="2"/>
            <w:vMerge w:val="restart"/>
            <w:shd w:val="clear" w:color="auto" w:fill="CCEEFF"/>
          </w:tcPr>
          <w:p>
            <w:pPr>
              <w:spacing w:after="0"/>
              <w:rPr>
                <w:sz w:val="10"/>
                <w:szCs w:val="10"/>
                <w:color w:val="auto"/>
              </w:rPr>
            </w:pP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500" w:type="dxa"/>
            <w:vAlign w:val="bottom"/>
            <w:tcBorders>
              <w:bottom w:val="single" w:sz="8" w:color="CCEEFF"/>
            </w:tcBorders>
            <w:gridSpan w:val="3"/>
            <w:vMerge w:val="restart"/>
            <w:shd w:val="clear" w:color="auto" w:fill="CCEEFF"/>
          </w:tcPr>
          <w:p>
            <w:pPr>
              <w:spacing w:after="0"/>
              <w:rPr>
                <w:sz w:val="10"/>
                <w:szCs w:val="10"/>
                <w:color w:val="auto"/>
              </w:rPr>
            </w:pPr>
          </w:p>
        </w:tc>
        <w:tc>
          <w:tcPr>
            <w:tcW w:w="1480" w:type="dxa"/>
            <w:vAlign w:val="bottom"/>
            <w:tcBorders>
              <w:bottom w:val="single" w:sz="8" w:color="CCEEFF"/>
            </w:tcBorders>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9"/>
              </w:rPr>
              <w:t>New York, NY</w:t>
            </w:r>
          </w:p>
        </w:tc>
        <w:tc>
          <w:tcPr>
            <w:tcW w:w="12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1380" w:type="dxa"/>
            <w:vAlign w:val="bottom"/>
            <w:tcBorders>
              <w:bottom w:val="single" w:sz="8" w:color="auto"/>
            </w:tcBorders>
            <w:gridSpan w:val="10"/>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vMerge w:val="continue"/>
            <w:shd w:val="clear" w:color="auto" w:fill="CCEEFF"/>
          </w:tcPr>
          <w:p>
            <w:pPr>
              <w:spacing w:after="0"/>
              <w:rPr>
                <w:sz w:val="4"/>
                <w:szCs w:val="4"/>
                <w:color w:val="auto"/>
              </w:rPr>
            </w:pPr>
          </w:p>
        </w:tc>
        <w:tc>
          <w:tcPr>
            <w:tcW w:w="40" w:type="dxa"/>
            <w:vAlign w:val="bottom"/>
            <w:tcBorders>
              <w:bottom w:val="single" w:sz="8" w:color="CCEEFF"/>
            </w:tcBorders>
            <w:gridSpan w:val="2"/>
            <w:vMerge w:val="continue"/>
            <w:shd w:val="clear" w:color="auto" w:fill="CCEEFF"/>
          </w:tcPr>
          <w:p>
            <w:pPr>
              <w:spacing w:after="0"/>
              <w:rPr>
                <w:sz w:val="4"/>
                <w:szCs w:val="4"/>
                <w:color w:val="auto"/>
              </w:rPr>
            </w:pPr>
          </w:p>
        </w:tc>
        <w:tc>
          <w:tcPr>
            <w:tcW w:w="40" w:type="dxa"/>
            <w:vAlign w:val="bottom"/>
            <w:tcBorders>
              <w:bottom w:val="single" w:sz="8" w:color="CCEEFF"/>
            </w:tcBorders>
            <w:vMerge w:val="continue"/>
            <w:shd w:val="clear" w:color="auto" w:fill="CCEEFF"/>
          </w:tcPr>
          <w:p>
            <w:pPr>
              <w:spacing w:after="0"/>
              <w:rPr>
                <w:sz w:val="4"/>
                <w:szCs w:val="4"/>
                <w:color w:val="auto"/>
              </w:rPr>
            </w:pPr>
          </w:p>
        </w:tc>
        <w:tc>
          <w:tcPr>
            <w:tcW w:w="140" w:type="dxa"/>
            <w:vAlign w:val="bottom"/>
            <w:tcBorders>
              <w:bottom w:val="single" w:sz="8" w:color="CCEEFF"/>
            </w:tcBorders>
            <w:gridSpan w:val="2"/>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500" w:type="dxa"/>
            <w:vAlign w:val="bottom"/>
            <w:tcBorders>
              <w:bottom w:val="single" w:sz="8" w:color="CCEEFF"/>
            </w:tcBorders>
            <w:gridSpan w:val="3"/>
            <w:vMerge w:val="continue"/>
            <w:shd w:val="clear" w:color="auto" w:fill="CCEEFF"/>
          </w:tcPr>
          <w:p>
            <w:pPr>
              <w:spacing w:after="0"/>
              <w:rPr>
                <w:sz w:val="4"/>
                <w:szCs w:val="4"/>
                <w:color w:val="auto"/>
              </w:rPr>
            </w:pPr>
          </w:p>
        </w:tc>
        <w:tc>
          <w:tcPr>
            <w:tcW w:w="1480" w:type="dxa"/>
            <w:vAlign w:val="bottom"/>
            <w:tcBorders>
              <w:bottom w:val="single" w:sz="8" w:color="CCEEFF"/>
            </w:tcBorders>
            <w:gridSpan w:val="2"/>
            <w:vMerge w:val="continue"/>
            <w:shd w:val="clear" w:color="auto" w:fill="CCEEFF"/>
          </w:tcPr>
          <w:p>
            <w:pPr>
              <w:spacing w:after="0"/>
              <w:rPr>
                <w:sz w:val="4"/>
                <w:szCs w:val="4"/>
                <w:color w:val="auto"/>
              </w:rPr>
            </w:pPr>
          </w:p>
        </w:tc>
        <w:tc>
          <w:tcPr>
            <w:tcW w:w="12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96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9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96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220"/>
              <w:spacing w:after="0" w:line="168" w:lineRule="exact"/>
              <w:rPr>
                <w:sz w:val="20"/>
                <w:szCs w:val="20"/>
                <w:color w:val="auto"/>
              </w:rPr>
            </w:pPr>
            <w:r>
              <w:rPr>
                <w:rFonts w:ascii="Times New Roman" w:cs="Times New Roman" w:eastAsia="Times New Roman" w:hAnsi="Times New Roman"/>
                <w:sz w:val="15"/>
                <w:szCs w:val="15"/>
                <w:color w:val="auto"/>
              </w:rPr>
              <w:t>Special Purpose</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Acquisition</w:t>
            </w: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00" w:type="dxa"/>
            <w:vAlign w:val="bottom"/>
            <w:gridSpan w:val="26"/>
          </w:tcPr>
          <w:p>
            <w:pPr>
              <w:spacing w:after="0"/>
              <w:rPr>
                <w:sz w:val="20"/>
                <w:szCs w:val="20"/>
                <w:color w:val="auto"/>
              </w:rPr>
            </w:pPr>
            <w:r>
              <w:rPr>
                <w:rFonts w:ascii="Times New Roman" w:cs="Times New Roman" w:eastAsia="Times New Roman" w:hAnsi="Times New Roman"/>
                <w:sz w:val="15"/>
                <w:szCs w:val="15"/>
                <w:color w:val="auto"/>
              </w:rPr>
              <w:t>Common shares, Class B</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Company</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7/21/2021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214,400</w:t>
            </w: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224,753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759,076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0.37%</w:t>
            </w:r>
          </w:p>
        </w:tc>
        <w:tc>
          <w:tcPr>
            <w:tcW w:w="0" w:type="dxa"/>
            <w:vAlign w:val="bottom"/>
          </w:tcPr>
          <w:p>
            <w:pPr>
              <w:spacing w:after="0"/>
              <w:rPr>
                <w:sz w:val="1"/>
                <w:szCs w:val="1"/>
                <w:color w:val="auto"/>
              </w:rPr>
            </w:pPr>
          </w:p>
        </w:tc>
      </w:tr>
      <w:tr>
        <w:trPr>
          <w:trHeight w:val="194"/>
        </w:trPr>
        <w:tc>
          <w:tcPr>
            <w:tcW w:w="270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 Class A</w:t>
            </w:r>
          </w:p>
        </w:tc>
        <w:tc>
          <w:tcPr>
            <w:tcW w:w="1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7/21/2021</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24,900</w:t>
            </w: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26,102</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176,315</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0.09%</w:t>
            </w:r>
          </w:p>
        </w:tc>
        <w:tc>
          <w:tcPr>
            <w:tcW w:w="0" w:type="dxa"/>
            <w:vAlign w:val="bottom"/>
          </w:tcPr>
          <w:p>
            <w:pPr>
              <w:spacing w:after="0"/>
              <w:rPr>
                <w:sz w:val="1"/>
                <w:szCs w:val="1"/>
                <w:color w:val="auto"/>
              </w:rPr>
            </w:pPr>
          </w:p>
        </w:tc>
      </w:tr>
      <w:tr>
        <w:trPr>
          <w:trHeight w:val="174"/>
        </w:trPr>
        <w:tc>
          <w:tcPr>
            <w:tcW w:w="2700" w:type="dxa"/>
            <w:vAlign w:val="bottom"/>
            <w:tcBorders>
              <w:bottom w:val="single" w:sz="8" w:color="CCEEFF"/>
            </w:tcBorders>
            <w:gridSpan w:val="26"/>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124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250,855</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935,391</w:t>
            </w:r>
          </w:p>
        </w:tc>
        <w:tc>
          <w:tcPr>
            <w:tcW w:w="32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0.46</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39"/>
        </w:trPr>
        <w:tc>
          <w:tcPr>
            <w:tcW w:w="2700" w:type="dxa"/>
            <w:vAlign w:val="bottom"/>
            <w:gridSpan w:val="26"/>
            <w:shd w:val="clear" w:color="auto" w:fill="CCEEFF"/>
          </w:tcPr>
          <w:p>
            <w:pPr>
              <w:spacing w:after="0" w:line="140" w:lineRule="exact"/>
              <w:rPr>
                <w:sz w:val="20"/>
                <w:szCs w:val="20"/>
                <w:color w:val="auto"/>
              </w:rPr>
            </w:pPr>
            <w:r>
              <w:rPr>
                <w:rFonts w:ascii="Times New Roman" w:cs="Times New Roman" w:eastAsia="Times New Roman" w:hAnsi="Times New Roman"/>
                <w:sz w:val="15"/>
                <w:szCs w:val="15"/>
                <w:b w:val="1"/>
                <w:bCs w:val="1"/>
                <w:color w:val="auto"/>
              </w:rPr>
              <w:t>Skillsoft Corp.**</w:t>
            </w:r>
          </w:p>
        </w:tc>
        <w:tc>
          <w:tcPr>
            <w:tcW w:w="1480" w:type="dxa"/>
            <w:vAlign w:val="bottom"/>
            <w:gridSpan w:val="2"/>
            <w:shd w:val="clear" w:color="auto" w:fill="CCEEFF"/>
          </w:tcPr>
          <w:p>
            <w:pPr>
              <w:jc w:val="center"/>
              <w:ind w:right="240"/>
              <w:spacing w:after="0" w:line="140" w:lineRule="exact"/>
              <w:rPr>
                <w:sz w:val="20"/>
                <w:szCs w:val="20"/>
                <w:color w:val="auto"/>
              </w:rPr>
            </w:pPr>
            <w:r>
              <w:rPr>
                <w:rFonts w:ascii="Times New Roman" w:cs="Times New Roman" w:eastAsia="Times New Roman" w:hAnsi="Times New Roman"/>
                <w:sz w:val="15"/>
                <w:szCs w:val="15"/>
                <w:color w:val="auto"/>
              </w:rPr>
              <w:t>Nashua, NH</w:t>
            </w: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70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00" w:type="dxa"/>
            <w:vAlign w:val="bottom"/>
            <w:gridSpan w:val="26"/>
          </w:tcPr>
          <w:p>
            <w:pPr>
              <w:spacing w:after="0" w:line="216" w:lineRule="exact"/>
              <w:rPr>
                <w:sz w:val="20"/>
                <w:szCs w:val="20"/>
                <w:color w:val="auto"/>
              </w:rPr>
            </w:pPr>
            <w:r>
              <w:rPr>
                <w:rFonts w:ascii="Times New Roman" w:cs="Times New Roman" w:eastAsia="Times New Roman" w:hAnsi="Times New Roman"/>
                <w:sz w:val="15"/>
                <w:szCs w:val="15"/>
                <w:color w:val="auto"/>
              </w:rPr>
              <w:t>Common shares</w:t>
            </w:r>
            <w:r>
              <w:rPr>
                <w:rFonts w:ascii="Times New Roman" w:cs="Times New Roman" w:eastAsia="Times New Roman" w:hAnsi="Times New Roman"/>
                <w:sz w:val="25"/>
                <w:szCs w:val="25"/>
                <w:color w:val="auto"/>
                <w:vertAlign w:val="superscript"/>
              </w:rPr>
              <w:t>(3)</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Online Education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6/8/2021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49,092</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9,818,428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863,037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0.42%</w:t>
            </w:r>
          </w:p>
        </w:tc>
        <w:tc>
          <w:tcPr>
            <w:tcW w:w="0" w:type="dxa"/>
            <w:vAlign w:val="bottom"/>
          </w:tcPr>
          <w:p>
            <w:pPr>
              <w:spacing w:after="0"/>
              <w:rPr>
                <w:sz w:val="1"/>
                <w:szCs w:val="1"/>
                <w:color w:val="auto"/>
              </w:rPr>
            </w:pPr>
          </w:p>
        </w:tc>
      </w:tr>
      <w:tr>
        <w:trPr>
          <w:trHeight w:val="125"/>
        </w:trPr>
        <w:tc>
          <w:tcPr>
            <w:tcW w:w="2020" w:type="dxa"/>
            <w:vAlign w:val="bottom"/>
            <w:tcBorders>
              <w:bottom w:val="single" w:sz="8" w:color="CCEEFF"/>
            </w:tcBorders>
            <w:gridSpan w:val="19"/>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Rebric, Inc. (d/b/a Compliable)</w:t>
            </w:r>
          </w:p>
        </w:tc>
        <w:tc>
          <w:tcPr>
            <w:tcW w:w="140" w:type="dxa"/>
            <w:vAlign w:val="bottom"/>
            <w:tcBorders>
              <w:bottom w:val="single" w:sz="8" w:color="auto"/>
            </w:tcBorders>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w w:val="85"/>
              </w:rPr>
              <w:t>(7)</w:t>
            </w: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500" w:type="dxa"/>
            <w:vAlign w:val="bottom"/>
            <w:tcBorders>
              <w:bottom w:val="single" w:sz="8" w:color="CCEEFF"/>
            </w:tcBorders>
            <w:gridSpan w:val="3"/>
            <w:vMerge w:val="restart"/>
            <w:shd w:val="clear" w:color="auto" w:fill="CCEEFF"/>
          </w:tcPr>
          <w:p>
            <w:pPr>
              <w:spacing w:after="0"/>
              <w:rPr>
                <w:sz w:val="10"/>
                <w:szCs w:val="10"/>
                <w:color w:val="auto"/>
              </w:rPr>
            </w:pPr>
          </w:p>
        </w:tc>
        <w:tc>
          <w:tcPr>
            <w:tcW w:w="1480" w:type="dxa"/>
            <w:vAlign w:val="bottom"/>
            <w:tcBorders>
              <w:bottom w:val="single" w:sz="8" w:color="CCEEFF"/>
            </w:tcBorders>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9"/>
              </w:rPr>
              <w:t>Denver, CO</w:t>
            </w:r>
          </w:p>
        </w:tc>
        <w:tc>
          <w:tcPr>
            <w:tcW w:w="12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2020" w:type="dxa"/>
            <w:vAlign w:val="bottom"/>
            <w:tcBorders>
              <w:bottom w:val="single" w:sz="8" w:color="auto"/>
            </w:tcBorders>
            <w:gridSpan w:val="19"/>
            <w:vMerge w:val="continue"/>
            <w:shd w:val="clear" w:color="auto" w:fill="CCEEFF"/>
          </w:tcPr>
          <w:p>
            <w:pPr>
              <w:spacing w:after="0"/>
              <w:rPr>
                <w:sz w:val="4"/>
                <w:szCs w:val="4"/>
                <w:color w:val="auto"/>
              </w:rPr>
            </w:pPr>
          </w:p>
        </w:tc>
        <w:tc>
          <w:tcPr>
            <w:tcW w:w="140" w:type="dxa"/>
            <w:vAlign w:val="bottom"/>
            <w:tcBorders>
              <w:bottom w:val="single" w:sz="8" w:color="CCEEFF"/>
            </w:tcBorders>
            <w:gridSpan w:val="2"/>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500" w:type="dxa"/>
            <w:vAlign w:val="bottom"/>
            <w:tcBorders>
              <w:bottom w:val="single" w:sz="8" w:color="CCEEFF"/>
            </w:tcBorders>
            <w:gridSpan w:val="3"/>
            <w:vMerge w:val="continue"/>
            <w:shd w:val="clear" w:color="auto" w:fill="CCEEFF"/>
          </w:tcPr>
          <w:p>
            <w:pPr>
              <w:spacing w:after="0"/>
              <w:rPr>
                <w:sz w:val="4"/>
                <w:szCs w:val="4"/>
                <w:color w:val="auto"/>
              </w:rPr>
            </w:pPr>
          </w:p>
        </w:tc>
        <w:tc>
          <w:tcPr>
            <w:tcW w:w="1480" w:type="dxa"/>
            <w:vAlign w:val="bottom"/>
            <w:tcBorders>
              <w:bottom w:val="single" w:sz="8" w:color="CCEEFF"/>
            </w:tcBorders>
            <w:gridSpan w:val="2"/>
            <w:vMerge w:val="continue"/>
            <w:shd w:val="clear" w:color="auto" w:fill="CCEEFF"/>
          </w:tcPr>
          <w:p>
            <w:pPr>
              <w:spacing w:after="0"/>
              <w:rPr>
                <w:sz w:val="4"/>
                <w:szCs w:val="4"/>
                <w:color w:val="auto"/>
              </w:rPr>
            </w:pPr>
          </w:p>
        </w:tc>
        <w:tc>
          <w:tcPr>
            <w:tcW w:w="12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96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9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96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700" w:type="dxa"/>
            <w:vAlign w:val="bottom"/>
            <w:gridSpan w:val="26"/>
          </w:tcPr>
          <w:p>
            <w:pPr>
              <w:spacing w:after="0"/>
              <w:rPr>
                <w:sz w:val="20"/>
                <w:szCs w:val="20"/>
                <w:color w:val="auto"/>
              </w:rPr>
            </w:pPr>
            <w:r>
              <w:rPr>
                <w:rFonts w:ascii="Times New Roman" w:cs="Times New Roman" w:eastAsia="Times New Roman" w:hAnsi="Times New Roman"/>
                <w:sz w:val="15"/>
                <w:szCs w:val="15"/>
                <w:color w:val="auto"/>
              </w:rPr>
              <w:t>Preferred shares, Series Seed-4</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Gaming Licensing</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10/12/2021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2,406,492</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1,002,755</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799,323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0.39%</w:t>
            </w:r>
          </w:p>
        </w:tc>
        <w:tc>
          <w:tcPr>
            <w:tcW w:w="0" w:type="dxa"/>
            <w:vAlign w:val="bottom"/>
          </w:tcPr>
          <w:p>
            <w:pPr>
              <w:spacing w:after="0"/>
              <w:rPr>
                <w:sz w:val="1"/>
                <w:szCs w:val="1"/>
                <w:color w:val="auto"/>
              </w:rPr>
            </w:pPr>
          </w:p>
        </w:tc>
      </w:tr>
      <w:tr>
        <w:trPr>
          <w:trHeight w:val="125"/>
        </w:trPr>
        <w:tc>
          <w:tcPr>
            <w:tcW w:w="1340" w:type="dxa"/>
            <w:vAlign w:val="bottom"/>
            <w:tcBorders>
              <w:bottom w:val="single" w:sz="8" w:color="CCEEFF"/>
            </w:tcBorders>
            <w:gridSpan w:val="8"/>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9"/>
              </w:rPr>
              <w:t>EDGE Markets, Inc.</w:t>
            </w:r>
          </w:p>
        </w:tc>
        <w:tc>
          <w:tcPr>
            <w:tcW w:w="140" w:type="dxa"/>
            <w:vAlign w:val="bottom"/>
            <w:tcBorders>
              <w:bottom w:val="single" w:sz="8" w:color="auto"/>
            </w:tcBorders>
            <w:gridSpan w:val="3"/>
            <w:shd w:val="clear" w:color="auto" w:fill="CCEEFF"/>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w w:val="85"/>
              </w:rPr>
              <w:t>(7)</w:t>
            </w: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120" w:type="dxa"/>
            <w:vAlign w:val="bottom"/>
            <w:tcBorders>
              <w:bottom w:val="single" w:sz="8" w:color="CCEEFF"/>
            </w:tcBorders>
            <w:vMerge w:val="restart"/>
            <w:shd w:val="clear" w:color="auto" w:fill="CCEEFF"/>
          </w:tcPr>
          <w:p>
            <w:pPr>
              <w:spacing w:after="0"/>
              <w:rPr>
                <w:sz w:val="10"/>
                <w:szCs w:val="10"/>
                <w:color w:val="auto"/>
              </w:rPr>
            </w:pPr>
          </w:p>
        </w:tc>
        <w:tc>
          <w:tcPr>
            <w:tcW w:w="80" w:type="dxa"/>
            <w:vAlign w:val="bottom"/>
            <w:tcBorders>
              <w:bottom w:val="single" w:sz="8" w:color="CCEEFF"/>
            </w:tcBorders>
            <w:vMerge w:val="restart"/>
            <w:shd w:val="clear" w:color="auto" w:fill="CCEEFF"/>
          </w:tcPr>
          <w:p>
            <w:pPr>
              <w:spacing w:after="0"/>
              <w:rPr>
                <w:sz w:val="10"/>
                <w:szCs w:val="10"/>
                <w:color w:val="auto"/>
              </w:rPr>
            </w:pPr>
          </w:p>
        </w:tc>
        <w:tc>
          <w:tcPr>
            <w:tcW w:w="240" w:type="dxa"/>
            <w:vAlign w:val="bottom"/>
            <w:tcBorders>
              <w:bottom w:val="single" w:sz="8" w:color="CCEEFF"/>
            </w:tcBorders>
            <w:gridSpan w:val="2"/>
            <w:vMerge w:val="restart"/>
            <w:shd w:val="clear" w:color="auto" w:fill="CCEEFF"/>
          </w:tcPr>
          <w:p>
            <w:pPr>
              <w:spacing w:after="0"/>
              <w:rPr>
                <w:sz w:val="10"/>
                <w:szCs w:val="10"/>
                <w:color w:val="auto"/>
              </w:rPr>
            </w:pPr>
          </w:p>
        </w:tc>
        <w:tc>
          <w:tcPr>
            <w:tcW w:w="40" w:type="dxa"/>
            <w:vAlign w:val="bottom"/>
            <w:tcBorders>
              <w:bottom w:val="single" w:sz="8" w:color="CCEEFF"/>
            </w:tcBorders>
            <w:gridSpan w:val="2"/>
            <w:vMerge w:val="restart"/>
            <w:shd w:val="clear" w:color="auto" w:fill="CCEEFF"/>
          </w:tcPr>
          <w:p>
            <w:pPr>
              <w:spacing w:after="0"/>
              <w:rPr>
                <w:sz w:val="10"/>
                <w:szCs w:val="10"/>
                <w:color w:val="auto"/>
              </w:rPr>
            </w:pPr>
          </w:p>
        </w:tc>
        <w:tc>
          <w:tcPr>
            <w:tcW w:w="200" w:type="dxa"/>
            <w:vAlign w:val="bottom"/>
            <w:tcBorders>
              <w:bottom w:val="single" w:sz="8" w:color="CCEEFF"/>
            </w:tcBorders>
            <w:gridSpan w:val="4"/>
            <w:vMerge w:val="restart"/>
            <w:shd w:val="clear" w:color="auto" w:fill="CCEEFF"/>
          </w:tcPr>
          <w:p>
            <w:pPr>
              <w:spacing w:after="0"/>
              <w:rPr>
                <w:sz w:val="10"/>
                <w:szCs w:val="10"/>
                <w:color w:val="auto"/>
              </w:rPr>
            </w:pP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500" w:type="dxa"/>
            <w:vAlign w:val="bottom"/>
            <w:tcBorders>
              <w:bottom w:val="single" w:sz="8" w:color="CCEEFF"/>
            </w:tcBorders>
            <w:gridSpan w:val="3"/>
            <w:vMerge w:val="restart"/>
            <w:shd w:val="clear" w:color="auto" w:fill="CCEEFF"/>
          </w:tcPr>
          <w:p>
            <w:pPr>
              <w:spacing w:after="0"/>
              <w:rPr>
                <w:sz w:val="10"/>
                <w:szCs w:val="10"/>
                <w:color w:val="auto"/>
              </w:rPr>
            </w:pPr>
          </w:p>
        </w:tc>
        <w:tc>
          <w:tcPr>
            <w:tcW w:w="1480" w:type="dxa"/>
            <w:vAlign w:val="bottom"/>
            <w:tcBorders>
              <w:bottom w:val="single" w:sz="8" w:color="CCEEFF"/>
            </w:tcBorders>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rPr>
              <w:t>San Diego, CA</w:t>
            </w:r>
          </w:p>
        </w:tc>
        <w:tc>
          <w:tcPr>
            <w:tcW w:w="12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1340" w:type="dxa"/>
            <w:vAlign w:val="bottom"/>
            <w:tcBorders>
              <w:bottom w:val="single" w:sz="8" w:color="auto"/>
            </w:tcBorders>
            <w:gridSpan w:val="8"/>
            <w:vMerge w:val="continue"/>
            <w:shd w:val="clear" w:color="auto" w:fill="CCEEFF"/>
          </w:tcPr>
          <w:p>
            <w:pPr>
              <w:spacing w:after="0"/>
              <w:rPr>
                <w:sz w:val="4"/>
                <w:szCs w:val="4"/>
                <w:color w:val="auto"/>
              </w:rPr>
            </w:pPr>
          </w:p>
        </w:tc>
        <w:tc>
          <w:tcPr>
            <w:tcW w:w="140" w:type="dxa"/>
            <w:vAlign w:val="bottom"/>
            <w:tcBorders>
              <w:bottom w:val="single" w:sz="8" w:color="CCEEFF"/>
            </w:tcBorders>
            <w:gridSpan w:val="3"/>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vMerge w:val="continue"/>
            <w:shd w:val="clear" w:color="auto" w:fill="CCEEFF"/>
          </w:tcPr>
          <w:p>
            <w:pPr>
              <w:spacing w:after="0"/>
              <w:rPr>
                <w:sz w:val="4"/>
                <w:szCs w:val="4"/>
                <w:color w:val="auto"/>
              </w:rPr>
            </w:pPr>
          </w:p>
        </w:tc>
        <w:tc>
          <w:tcPr>
            <w:tcW w:w="240" w:type="dxa"/>
            <w:vAlign w:val="bottom"/>
            <w:tcBorders>
              <w:bottom w:val="single" w:sz="8" w:color="CCEEFF"/>
            </w:tcBorders>
            <w:gridSpan w:val="2"/>
            <w:vMerge w:val="continue"/>
            <w:shd w:val="clear" w:color="auto" w:fill="CCEEFF"/>
          </w:tcPr>
          <w:p>
            <w:pPr>
              <w:spacing w:after="0"/>
              <w:rPr>
                <w:sz w:val="4"/>
                <w:szCs w:val="4"/>
                <w:color w:val="auto"/>
              </w:rPr>
            </w:pPr>
          </w:p>
        </w:tc>
        <w:tc>
          <w:tcPr>
            <w:tcW w:w="40" w:type="dxa"/>
            <w:vAlign w:val="bottom"/>
            <w:tcBorders>
              <w:bottom w:val="single" w:sz="8" w:color="CCEEFF"/>
            </w:tcBorders>
            <w:gridSpan w:val="2"/>
            <w:vMerge w:val="continue"/>
            <w:shd w:val="clear" w:color="auto" w:fill="CCEEFF"/>
          </w:tcPr>
          <w:p>
            <w:pPr>
              <w:spacing w:after="0"/>
              <w:rPr>
                <w:sz w:val="4"/>
                <w:szCs w:val="4"/>
                <w:color w:val="auto"/>
              </w:rPr>
            </w:pPr>
          </w:p>
        </w:tc>
        <w:tc>
          <w:tcPr>
            <w:tcW w:w="200" w:type="dxa"/>
            <w:vAlign w:val="bottom"/>
            <w:tcBorders>
              <w:bottom w:val="single" w:sz="8" w:color="CCEEFF"/>
            </w:tcBorders>
            <w:gridSpan w:val="4"/>
            <w:vMerge w:val="continue"/>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500" w:type="dxa"/>
            <w:vAlign w:val="bottom"/>
            <w:tcBorders>
              <w:bottom w:val="single" w:sz="8" w:color="CCEEFF"/>
            </w:tcBorders>
            <w:gridSpan w:val="3"/>
            <w:vMerge w:val="continue"/>
            <w:shd w:val="clear" w:color="auto" w:fill="CCEEFF"/>
          </w:tcPr>
          <w:p>
            <w:pPr>
              <w:spacing w:after="0"/>
              <w:rPr>
                <w:sz w:val="4"/>
                <w:szCs w:val="4"/>
                <w:color w:val="auto"/>
              </w:rPr>
            </w:pPr>
          </w:p>
        </w:tc>
        <w:tc>
          <w:tcPr>
            <w:tcW w:w="1480" w:type="dxa"/>
            <w:vAlign w:val="bottom"/>
            <w:tcBorders>
              <w:bottom w:val="single" w:sz="8" w:color="CCEEFF"/>
            </w:tcBorders>
            <w:gridSpan w:val="2"/>
            <w:vMerge w:val="continue"/>
            <w:shd w:val="clear" w:color="auto" w:fill="CCEEFF"/>
          </w:tcPr>
          <w:p>
            <w:pPr>
              <w:spacing w:after="0"/>
              <w:rPr>
                <w:sz w:val="4"/>
                <w:szCs w:val="4"/>
                <w:color w:val="auto"/>
              </w:rPr>
            </w:pPr>
          </w:p>
        </w:tc>
        <w:tc>
          <w:tcPr>
            <w:tcW w:w="12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96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9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96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700" w:type="dxa"/>
            <w:vAlign w:val="bottom"/>
            <w:gridSpan w:val="26"/>
          </w:tcPr>
          <w:p>
            <w:pPr>
              <w:spacing w:after="0"/>
              <w:rPr>
                <w:sz w:val="20"/>
                <w:szCs w:val="20"/>
                <w:color w:val="auto"/>
              </w:rPr>
            </w:pPr>
            <w:r>
              <w:rPr>
                <w:rFonts w:ascii="Times New Roman" w:cs="Times New Roman" w:eastAsia="Times New Roman" w:hAnsi="Times New Roman"/>
                <w:sz w:val="15"/>
                <w:szCs w:val="15"/>
                <w:color w:val="auto"/>
              </w:rPr>
              <w:t>Preferred shares, Series Seed</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Gaming Technology</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5/18/2022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456,704</w:t>
            </w:r>
          </w:p>
        </w:tc>
        <w:tc>
          <w:tcPr>
            <w:tcW w:w="2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501,330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500,000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0.25%</w:t>
            </w:r>
          </w:p>
        </w:tc>
        <w:tc>
          <w:tcPr>
            <w:tcW w:w="0" w:type="dxa"/>
            <w:vAlign w:val="bottom"/>
          </w:tcPr>
          <w:p>
            <w:pPr>
              <w:spacing w:after="0"/>
              <w:rPr>
                <w:sz w:val="1"/>
                <w:szCs w:val="1"/>
                <w:color w:val="auto"/>
              </w:rPr>
            </w:pPr>
          </w:p>
        </w:tc>
      </w:tr>
      <w:tr>
        <w:trPr>
          <w:trHeight w:val="125"/>
        </w:trPr>
        <w:tc>
          <w:tcPr>
            <w:tcW w:w="1940" w:type="dxa"/>
            <w:vAlign w:val="bottom"/>
            <w:tcBorders>
              <w:bottom w:val="single" w:sz="8" w:color="CCEEFF"/>
            </w:tcBorders>
            <w:gridSpan w:val="16"/>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9"/>
              </w:rPr>
              <w:t>Churchill Sponsor VII LLC**</w:t>
            </w:r>
          </w:p>
        </w:tc>
        <w:tc>
          <w:tcPr>
            <w:tcW w:w="240" w:type="dxa"/>
            <w:vAlign w:val="bottom"/>
            <w:tcBorders>
              <w:bottom w:val="single" w:sz="8" w:color="auto"/>
            </w:tcBorders>
            <w:gridSpan w:val="6"/>
            <w:shd w:val="clear" w:color="auto" w:fill="CCEEFF"/>
          </w:tcPr>
          <w:p>
            <w:pPr>
              <w:jc w:val="right"/>
              <w:ind w:right="20"/>
              <w:spacing w:after="0" w:line="106" w:lineRule="exact"/>
              <w:rPr>
                <w:sz w:val="20"/>
                <w:szCs w:val="20"/>
                <w:color w:val="auto"/>
              </w:rPr>
            </w:pPr>
            <w:r>
              <w:rPr>
                <w:rFonts w:ascii="Times New Roman" w:cs="Times New Roman" w:eastAsia="Times New Roman" w:hAnsi="Times New Roman"/>
                <w:sz w:val="12"/>
                <w:szCs w:val="12"/>
                <w:b w:val="1"/>
                <w:bCs w:val="1"/>
                <w:color w:val="auto"/>
                <w:w w:val="99"/>
              </w:rPr>
              <w:t>(10)</w:t>
            </w: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500" w:type="dxa"/>
            <w:vAlign w:val="bottom"/>
            <w:tcBorders>
              <w:bottom w:val="single" w:sz="8" w:color="CCEEFF"/>
            </w:tcBorders>
            <w:gridSpan w:val="3"/>
            <w:vMerge w:val="restart"/>
            <w:shd w:val="clear" w:color="auto" w:fill="CCEEFF"/>
          </w:tcPr>
          <w:p>
            <w:pPr>
              <w:spacing w:after="0"/>
              <w:rPr>
                <w:sz w:val="10"/>
                <w:szCs w:val="10"/>
                <w:color w:val="auto"/>
              </w:rPr>
            </w:pPr>
          </w:p>
        </w:tc>
        <w:tc>
          <w:tcPr>
            <w:tcW w:w="1480" w:type="dxa"/>
            <w:vAlign w:val="bottom"/>
            <w:tcBorders>
              <w:bottom w:val="single" w:sz="8" w:color="CCEEFF"/>
            </w:tcBorders>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9"/>
              </w:rPr>
              <w:t>New York, NY</w:t>
            </w:r>
          </w:p>
        </w:tc>
        <w:tc>
          <w:tcPr>
            <w:tcW w:w="12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1940" w:type="dxa"/>
            <w:vAlign w:val="bottom"/>
            <w:tcBorders>
              <w:bottom w:val="single" w:sz="8" w:color="auto"/>
            </w:tcBorders>
            <w:gridSpan w:val="16"/>
            <w:vMerge w:val="continue"/>
            <w:shd w:val="clear" w:color="auto" w:fill="CCEEFF"/>
          </w:tcPr>
          <w:p>
            <w:pPr>
              <w:spacing w:after="0"/>
              <w:rPr>
                <w:sz w:val="4"/>
                <w:szCs w:val="4"/>
                <w:color w:val="auto"/>
              </w:rPr>
            </w:pPr>
          </w:p>
        </w:tc>
        <w:tc>
          <w:tcPr>
            <w:tcW w:w="40" w:type="dxa"/>
            <w:vAlign w:val="bottom"/>
            <w:tcBorders>
              <w:bottom w:val="single" w:sz="8" w:color="CCEEFF"/>
            </w:tcBorders>
            <w:gridSpan w:val="2"/>
            <w:shd w:val="clear" w:color="auto" w:fill="CCEEFF"/>
          </w:tcPr>
          <w:p>
            <w:pPr>
              <w:spacing w:after="0"/>
              <w:rPr>
                <w:sz w:val="4"/>
                <w:szCs w:val="4"/>
                <w:color w:val="auto"/>
              </w:rPr>
            </w:pPr>
          </w:p>
        </w:tc>
        <w:tc>
          <w:tcPr>
            <w:tcW w:w="200" w:type="dxa"/>
            <w:vAlign w:val="bottom"/>
            <w:tcBorders>
              <w:bottom w:val="single" w:sz="8" w:color="CCEEFF"/>
            </w:tcBorders>
            <w:gridSpan w:val="4"/>
            <w:shd w:val="clear" w:color="auto" w:fill="CCEEFF"/>
          </w:tcPr>
          <w:p>
            <w:pPr>
              <w:spacing w:after="0"/>
              <w:rPr>
                <w:sz w:val="4"/>
                <w:szCs w:val="4"/>
                <w:color w:val="auto"/>
              </w:rPr>
            </w:pPr>
          </w:p>
        </w:tc>
        <w:tc>
          <w:tcPr>
            <w:tcW w:w="20" w:type="dxa"/>
            <w:vAlign w:val="bottom"/>
            <w:tcBorders>
              <w:bottom w:val="single" w:sz="8" w:color="CCEEFF"/>
            </w:tcBorders>
            <w:vMerge w:val="continue"/>
            <w:shd w:val="clear" w:color="auto" w:fill="CCEEFF"/>
          </w:tcPr>
          <w:p>
            <w:pPr>
              <w:spacing w:after="0"/>
              <w:rPr>
                <w:sz w:val="4"/>
                <w:szCs w:val="4"/>
                <w:color w:val="auto"/>
              </w:rPr>
            </w:pPr>
          </w:p>
        </w:tc>
        <w:tc>
          <w:tcPr>
            <w:tcW w:w="500" w:type="dxa"/>
            <w:vAlign w:val="bottom"/>
            <w:tcBorders>
              <w:bottom w:val="single" w:sz="8" w:color="CCEEFF"/>
            </w:tcBorders>
            <w:gridSpan w:val="3"/>
            <w:vMerge w:val="continue"/>
            <w:shd w:val="clear" w:color="auto" w:fill="CCEEFF"/>
          </w:tcPr>
          <w:p>
            <w:pPr>
              <w:spacing w:after="0"/>
              <w:rPr>
                <w:sz w:val="4"/>
                <w:szCs w:val="4"/>
                <w:color w:val="auto"/>
              </w:rPr>
            </w:pPr>
          </w:p>
        </w:tc>
        <w:tc>
          <w:tcPr>
            <w:tcW w:w="1480" w:type="dxa"/>
            <w:vAlign w:val="bottom"/>
            <w:tcBorders>
              <w:bottom w:val="single" w:sz="8" w:color="CCEEFF"/>
            </w:tcBorders>
            <w:gridSpan w:val="2"/>
            <w:vMerge w:val="continue"/>
            <w:shd w:val="clear" w:color="auto" w:fill="CCEEFF"/>
          </w:tcPr>
          <w:p>
            <w:pPr>
              <w:spacing w:after="0"/>
              <w:rPr>
                <w:sz w:val="4"/>
                <w:szCs w:val="4"/>
                <w:color w:val="auto"/>
              </w:rPr>
            </w:pPr>
          </w:p>
        </w:tc>
        <w:tc>
          <w:tcPr>
            <w:tcW w:w="12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96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9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96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220"/>
              <w:spacing w:after="0" w:line="168" w:lineRule="exact"/>
              <w:rPr>
                <w:sz w:val="20"/>
                <w:szCs w:val="20"/>
                <w:color w:val="auto"/>
              </w:rPr>
            </w:pPr>
            <w:r>
              <w:rPr>
                <w:rFonts w:ascii="Times New Roman" w:cs="Times New Roman" w:eastAsia="Times New Roman" w:hAnsi="Times New Roman"/>
                <w:sz w:val="15"/>
                <w:szCs w:val="15"/>
                <w:color w:val="auto"/>
              </w:rPr>
              <w:t>Special Purpose</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Acquisition</w:t>
            </w: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00" w:type="dxa"/>
            <w:vAlign w:val="bottom"/>
            <w:gridSpan w:val="26"/>
          </w:tcPr>
          <w:p>
            <w:pPr>
              <w:spacing w:after="0"/>
              <w:rPr>
                <w:sz w:val="20"/>
                <w:szCs w:val="20"/>
                <w:color w:val="auto"/>
              </w:rPr>
            </w:pPr>
            <w:r>
              <w:rPr>
                <w:rFonts w:ascii="Times New Roman" w:cs="Times New Roman" w:eastAsia="Times New Roman" w:hAnsi="Times New Roman"/>
                <w:sz w:val="15"/>
                <w:szCs w:val="15"/>
                <w:color w:val="auto"/>
              </w:rPr>
              <w:t>Common share units</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Company</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2/25/2021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292,100</w:t>
            </w: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205,820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344,097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0.17%</w:t>
            </w:r>
          </w:p>
        </w:tc>
        <w:tc>
          <w:tcPr>
            <w:tcW w:w="0" w:type="dxa"/>
            <w:vAlign w:val="bottom"/>
          </w:tcPr>
          <w:p>
            <w:pPr>
              <w:spacing w:after="0"/>
              <w:rPr>
                <w:sz w:val="1"/>
                <w:szCs w:val="1"/>
                <w:color w:val="auto"/>
              </w:rPr>
            </w:pPr>
          </w:p>
        </w:tc>
      </w:tr>
      <w:tr>
        <w:trPr>
          <w:trHeight w:val="194"/>
        </w:trPr>
        <w:tc>
          <w:tcPr>
            <w:tcW w:w="270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5"/>
                <w:szCs w:val="15"/>
                <w:color w:val="auto"/>
              </w:rPr>
              <w:t>Warrant units</w:t>
            </w:r>
          </w:p>
        </w:tc>
        <w:tc>
          <w:tcPr>
            <w:tcW w:w="1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2/25/2021</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277,000</w:t>
            </w: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94,180</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18,929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0" w:type="dxa"/>
            <w:vAlign w:val="bottom"/>
          </w:tcPr>
          <w:p>
            <w:pPr>
              <w:spacing w:after="0"/>
              <w:rPr>
                <w:sz w:val="1"/>
                <w:szCs w:val="1"/>
                <w:color w:val="auto"/>
              </w:rPr>
            </w:pPr>
          </w:p>
        </w:tc>
      </w:tr>
      <w:tr>
        <w:trPr>
          <w:trHeight w:val="174"/>
        </w:trPr>
        <w:tc>
          <w:tcPr>
            <w:tcW w:w="2700" w:type="dxa"/>
            <w:vAlign w:val="bottom"/>
            <w:tcBorders>
              <w:bottom w:val="single" w:sz="8" w:color="CCEEFF"/>
            </w:tcBorders>
            <w:gridSpan w:val="26"/>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124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300,000</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363,026</w:t>
            </w:r>
          </w:p>
        </w:tc>
        <w:tc>
          <w:tcPr>
            <w:tcW w:w="32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0.18</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54"/>
        </w:trPr>
        <w:tc>
          <w:tcPr>
            <w:tcW w:w="1700" w:type="dxa"/>
            <w:vAlign w:val="bottom"/>
            <w:tcBorders>
              <w:bottom w:val="single" w:sz="8" w:color="auto"/>
            </w:tcBorders>
            <w:gridSpan w:val="14"/>
            <w:shd w:val="clear" w:color="auto" w:fill="CCEEFF"/>
          </w:tcPr>
          <w:p>
            <w:pPr>
              <w:spacing w:after="0" w:line="140" w:lineRule="exact"/>
              <w:rPr>
                <w:sz w:val="20"/>
                <w:szCs w:val="20"/>
                <w:color w:val="auto"/>
              </w:rPr>
            </w:pPr>
            <w:r>
              <w:rPr>
                <w:rFonts w:ascii="Times New Roman" w:cs="Times New Roman" w:eastAsia="Times New Roman" w:hAnsi="Times New Roman"/>
                <w:sz w:val="15"/>
                <w:szCs w:val="15"/>
                <w:b w:val="1"/>
                <w:bCs w:val="1"/>
                <w:color w:val="auto"/>
                <w:w w:val="99"/>
              </w:rPr>
              <w:t>Nextdoor Holdings, Inc.**</w:t>
            </w:r>
          </w:p>
        </w:tc>
        <w:tc>
          <w:tcPr>
            <w:tcW w:w="1000" w:type="dxa"/>
            <w:vAlign w:val="bottom"/>
            <w:tcBorders>
              <w:bottom w:val="single" w:sz="8" w:color="CCEEFF"/>
            </w:tcBorders>
            <w:gridSpan w:val="12"/>
            <w:shd w:val="clear" w:color="auto" w:fill="CCEEFF"/>
          </w:tcPr>
          <w:p>
            <w:pPr>
              <w:spacing w:after="0"/>
              <w:rPr>
                <w:sz w:val="13"/>
                <w:szCs w:val="13"/>
                <w:color w:val="auto"/>
              </w:rPr>
            </w:pPr>
          </w:p>
        </w:tc>
        <w:tc>
          <w:tcPr>
            <w:tcW w:w="1480" w:type="dxa"/>
            <w:vAlign w:val="bottom"/>
            <w:tcBorders>
              <w:bottom w:val="single" w:sz="8" w:color="CCEEFF"/>
            </w:tcBorders>
            <w:gridSpan w:val="2"/>
            <w:shd w:val="clear" w:color="auto" w:fill="CCEEFF"/>
          </w:tcPr>
          <w:p>
            <w:pPr>
              <w:jc w:val="center"/>
              <w:ind w:right="220"/>
              <w:spacing w:after="0" w:line="140" w:lineRule="exact"/>
              <w:rPr>
                <w:sz w:val="20"/>
                <w:szCs w:val="20"/>
                <w:color w:val="auto"/>
              </w:rPr>
            </w:pPr>
            <w:r>
              <w:rPr>
                <w:rFonts w:ascii="Times New Roman" w:cs="Times New Roman" w:eastAsia="Times New Roman" w:hAnsi="Times New Roman"/>
                <w:sz w:val="15"/>
                <w:szCs w:val="15"/>
                <w:color w:val="auto"/>
              </w:rPr>
              <w:t>San Francisco, CA</w:t>
            </w:r>
          </w:p>
        </w:tc>
        <w:tc>
          <w:tcPr>
            <w:tcW w:w="12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700" w:type="dxa"/>
            <w:vAlign w:val="bottom"/>
            <w:gridSpan w:val="26"/>
          </w:tcPr>
          <w:p>
            <w:pPr>
              <w:spacing w:after="0" w:line="228" w:lineRule="exact"/>
              <w:rPr>
                <w:sz w:val="20"/>
                <w:szCs w:val="20"/>
                <w:color w:val="auto"/>
              </w:rPr>
            </w:pPr>
            <w:r>
              <w:rPr>
                <w:rFonts w:ascii="Times New Roman" w:cs="Times New Roman" w:eastAsia="Times New Roman" w:hAnsi="Times New Roman"/>
                <w:sz w:val="15"/>
                <w:szCs w:val="15"/>
                <w:color w:val="auto"/>
              </w:rPr>
              <w:t>Common shares, Class B</w:t>
            </w:r>
            <w:r>
              <w:rPr>
                <w:rFonts w:ascii="Times New Roman" w:cs="Times New Roman" w:eastAsia="Times New Roman" w:hAnsi="Times New Roman"/>
                <w:sz w:val="25"/>
                <w:szCs w:val="25"/>
                <w:color w:val="auto"/>
                <w:vertAlign w:val="superscript"/>
              </w:rPr>
              <w:t>(3)</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Social Networking</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9/27/2018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112,420</w:t>
            </w: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626,470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212,474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0.10%</w:t>
            </w:r>
          </w:p>
        </w:tc>
        <w:tc>
          <w:tcPr>
            <w:tcW w:w="0" w:type="dxa"/>
            <w:vAlign w:val="bottom"/>
          </w:tcPr>
          <w:p>
            <w:pPr>
              <w:spacing w:after="0"/>
              <w:rPr>
                <w:sz w:val="1"/>
                <w:szCs w:val="1"/>
                <w:color w:val="auto"/>
              </w:rPr>
            </w:pPr>
          </w:p>
        </w:tc>
      </w:tr>
      <w:tr>
        <w:trPr>
          <w:trHeight w:val="128"/>
        </w:trPr>
        <w:tc>
          <w:tcPr>
            <w:tcW w:w="1980" w:type="dxa"/>
            <w:vAlign w:val="bottom"/>
            <w:tcBorders>
              <w:top w:val="single" w:sz="8" w:color="CCEEFF"/>
              <w:bottom w:val="single" w:sz="8" w:color="auto"/>
            </w:tcBorders>
            <w:gridSpan w:val="18"/>
            <w:shd w:val="clear" w:color="auto" w:fill="CCEEFF"/>
          </w:tcPr>
          <w:p>
            <w:pPr>
              <w:spacing w:after="0" w:line="128" w:lineRule="exact"/>
              <w:rPr>
                <w:sz w:val="20"/>
                <w:szCs w:val="20"/>
                <w:color w:val="auto"/>
              </w:rPr>
            </w:pPr>
            <w:r>
              <w:rPr>
                <w:rFonts w:ascii="Times New Roman" w:cs="Times New Roman" w:eastAsia="Times New Roman" w:hAnsi="Times New Roman"/>
                <w:sz w:val="14"/>
                <w:szCs w:val="14"/>
                <w:b w:val="1"/>
                <w:bCs w:val="1"/>
                <w:color w:val="auto"/>
              </w:rPr>
              <w:t>YouBet Technology, Inc. (d/b/a</w:t>
            </w:r>
          </w:p>
        </w:tc>
        <w:tc>
          <w:tcPr>
            <w:tcW w:w="720" w:type="dxa"/>
            <w:vAlign w:val="bottom"/>
            <w:tcBorders>
              <w:top w:val="single" w:sz="8" w:color="CCEEFF"/>
              <w:bottom w:val="single" w:sz="8" w:color="CCEEFF"/>
            </w:tcBorders>
            <w:gridSpan w:val="8"/>
            <w:shd w:val="clear" w:color="auto" w:fill="CCEEFF"/>
          </w:tcPr>
          <w:p>
            <w:pPr>
              <w:spacing w:after="0"/>
              <w:rPr>
                <w:sz w:val="11"/>
                <w:szCs w:val="11"/>
                <w:color w:val="auto"/>
              </w:rPr>
            </w:pPr>
          </w:p>
        </w:tc>
        <w:tc>
          <w:tcPr>
            <w:tcW w:w="12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24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960" w:type="dxa"/>
            <w:vAlign w:val="bottom"/>
            <w:tcBorders>
              <w:top w:val="single" w:sz="8" w:color="CCEEFF"/>
              <w:bottom w:val="single" w:sz="8" w:color="CCEEFF"/>
            </w:tcBorders>
            <w:shd w:val="clear" w:color="auto" w:fill="CCEEFF"/>
          </w:tcPr>
          <w:p>
            <w:pPr>
              <w:spacing w:after="0"/>
              <w:rPr>
                <w:sz w:val="11"/>
                <w:szCs w:val="11"/>
                <w:color w:val="auto"/>
              </w:rPr>
            </w:pP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spacing w:after="0"/>
              <w:rPr>
                <w:sz w:val="11"/>
                <w:szCs w:val="11"/>
                <w:color w:val="auto"/>
              </w:rPr>
            </w:pPr>
          </w:p>
        </w:tc>
        <w:tc>
          <w:tcPr>
            <w:tcW w:w="960" w:type="dxa"/>
            <w:vAlign w:val="bottom"/>
            <w:tcBorders>
              <w:top w:val="single" w:sz="8" w:color="auto"/>
              <w:bottom w:val="single" w:sz="8" w:color="CCEEFF"/>
            </w:tcBorders>
            <w:shd w:val="clear" w:color="auto" w:fill="CCEEFF"/>
          </w:tcPr>
          <w:p>
            <w:pPr>
              <w:spacing w:after="0"/>
              <w:rPr>
                <w:sz w:val="11"/>
                <w:szCs w:val="11"/>
                <w:color w:val="auto"/>
              </w:rPr>
            </w:pP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1120" w:type="dxa"/>
            <w:vAlign w:val="bottom"/>
            <w:tcBorders>
              <w:top w:val="single" w:sz="8" w:color="auto"/>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700" w:type="dxa"/>
            <w:vAlign w:val="bottom"/>
            <w:tcBorders>
              <w:bottom w:val="single" w:sz="8" w:color="CCEEFF"/>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3"/>
              </w:rPr>
              <w:t>FanPower)</w:t>
            </w:r>
          </w:p>
        </w:tc>
        <w:tc>
          <w:tcPr>
            <w:tcW w:w="160" w:type="dxa"/>
            <w:vAlign w:val="bottom"/>
            <w:tcBorders>
              <w:left w:val="single" w:sz="8" w:color="CCEEFF"/>
              <w:bottom w:val="single" w:sz="8" w:color="auto"/>
            </w:tcBorders>
            <w:gridSpan w:val="3"/>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w w:val="92"/>
              </w:rPr>
              <w:t>(7)</w:t>
            </w: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500" w:type="dxa"/>
            <w:vAlign w:val="bottom"/>
            <w:tcBorders>
              <w:bottom w:val="single" w:sz="8" w:color="CCEEFF"/>
            </w:tcBorders>
            <w:gridSpan w:val="7"/>
            <w:vMerge w:val="restart"/>
            <w:shd w:val="clear" w:color="auto" w:fill="CCEEFF"/>
          </w:tcPr>
          <w:p>
            <w:pPr>
              <w:spacing w:after="0"/>
              <w:rPr>
                <w:sz w:val="12"/>
                <w:szCs w:val="12"/>
                <w:color w:val="auto"/>
              </w:rPr>
            </w:pPr>
          </w:p>
        </w:tc>
        <w:tc>
          <w:tcPr>
            <w:tcW w:w="120" w:type="dxa"/>
            <w:vAlign w:val="bottom"/>
            <w:tcBorders>
              <w:bottom w:val="single" w:sz="8" w:color="CCEEFF"/>
            </w:tcBorders>
            <w:vMerge w:val="restart"/>
            <w:shd w:val="clear" w:color="auto" w:fill="CCEEFF"/>
          </w:tcPr>
          <w:p>
            <w:pPr>
              <w:spacing w:after="0"/>
              <w:rPr>
                <w:sz w:val="12"/>
                <w:szCs w:val="12"/>
                <w:color w:val="auto"/>
              </w:rPr>
            </w:pPr>
          </w:p>
        </w:tc>
        <w:tc>
          <w:tcPr>
            <w:tcW w:w="580" w:type="dxa"/>
            <w:vAlign w:val="bottom"/>
            <w:tcBorders>
              <w:bottom w:val="single" w:sz="8" w:color="CCEEFF"/>
            </w:tcBorders>
            <w:gridSpan w:val="10"/>
            <w:vMerge w:val="restart"/>
            <w:shd w:val="clear" w:color="auto" w:fill="CCEEFF"/>
          </w:tcPr>
          <w:p>
            <w:pPr>
              <w:spacing w:after="0"/>
              <w:rPr>
                <w:sz w:val="12"/>
                <w:szCs w:val="12"/>
                <w:color w:val="auto"/>
              </w:rPr>
            </w:pPr>
          </w:p>
        </w:tc>
        <w:tc>
          <w:tcPr>
            <w:tcW w:w="500" w:type="dxa"/>
            <w:vAlign w:val="bottom"/>
            <w:tcBorders>
              <w:bottom w:val="single" w:sz="8" w:color="CCEEFF"/>
            </w:tcBorders>
            <w:gridSpan w:val="3"/>
            <w:vMerge w:val="restart"/>
            <w:shd w:val="clear" w:color="auto" w:fill="CCEEFF"/>
          </w:tcPr>
          <w:p>
            <w:pPr>
              <w:spacing w:after="0"/>
              <w:rPr>
                <w:sz w:val="12"/>
                <w:szCs w:val="12"/>
                <w:color w:val="auto"/>
              </w:rPr>
            </w:pPr>
          </w:p>
        </w:tc>
        <w:tc>
          <w:tcPr>
            <w:tcW w:w="1480" w:type="dxa"/>
            <w:vAlign w:val="bottom"/>
            <w:tcBorders>
              <w:bottom w:val="single" w:sz="8" w:color="CCEEFF"/>
            </w:tcBorders>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9"/>
              </w:rPr>
              <w:t>New York, NY</w:t>
            </w:r>
          </w:p>
        </w:tc>
        <w:tc>
          <w:tcPr>
            <w:tcW w:w="12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1"/>
        </w:trPr>
        <w:tc>
          <w:tcPr>
            <w:tcW w:w="700" w:type="dxa"/>
            <w:vAlign w:val="bottom"/>
            <w:tcBorders>
              <w:bottom w:val="single" w:sz="8" w:color="auto"/>
              <w:right w:val="single" w:sz="8" w:color="CCEEFF"/>
            </w:tcBorders>
            <w:vMerge w:val="continue"/>
            <w:shd w:val="clear" w:color="auto" w:fill="CCEEFF"/>
          </w:tcPr>
          <w:p>
            <w:pPr>
              <w:spacing w:after="0"/>
              <w:rPr>
                <w:sz w:val="4"/>
                <w:szCs w:val="4"/>
                <w:color w:val="auto"/>
              </w:rPr>
            </w:pPr>
          </w:p>
        </w:tc>
        <w:tc>
          <w:tcPr>
            <w:tcW w:w="160" w:type="dxa"/>
            <w:vAlign w:val="bottom"/>
            <w:tcBorders>
              <w:left w:val="single" w:sz="8" w:color="CCEEFF"/>
              <w:bottom w:val="single" w:sz="8" w:color="CCEEFF"/>
            </w:tcBorders>
            <w:gridSpan w:val="3"/>
            <w:shd w:val="clear" w:color="auto" w:fill="CCEEFF"/>
          </w:tcPr>
          <w:p>
            <w:pPr>
              <w:spacing w:after="0"/>
              <w:rPr>
                <w:sz w:val="4"/>
                <w:szCs w:val="4"/>
                <w:color w:val="auto"/>
              </w:rPr>
            </w:pPr>
          </w:p>
        </w:tc>
        <w:tc>
          <w:tcPr>
            <w:tcW w:w="140" w:type="dxa"/>
            <w:vAlign w:val="bottom"/>
            <w:tcBorders>
              <w:bottom w:val="single" w:sz="8" w:color="CCEEFF"/>
            </w:tcBorders>
            <w:vMerge w:val="continue"/>
            <w:shd w:val="clear" w:color="auto" w:fill="CCEEFF"/>
          </w:tcPr>
          <w:p>
            <w:pPr>
              <w:spacing w:after="0"/>
              <w:rPr>
                <w:sz w:val="4"/>
                <w:szCs w:val="4"/>
                <w:color w:val="auto"/>
              </w:rPr>
            </w:pPr>
          </w:p>
        </w:tc>
        <w:tc>
          <w:tcPr>
            <w:tcW w:w="500" w:type="dxa"/>
            <w:vAlign w:val="bottom"/>
            <w:tcBorders>
              <w:bottom w:val="single" w:sz="8" w:color="CCEEFF"/>
            </w:tcBorders>
            <w:gridSpan w:val="7"/>
            <w:vMerge w:val="continue"/>
            <w:shd w:val="clear" w:color="auto" w:fill="CCEEFF"/>
          </w:tcPr>
          <w:p>
            <w:pPr>
              <w:spacing w:after="0"/>
              <w:rPr>
                <w:sz w:val="4"/>
                <w:szCs w:val="4"/>
                <w:color w:val="auto"/>
              </w:rPr>
            </w:pPr>
          </w:p>
        </w:tc>
        <w:tc>
          <w:tcPr>
            <w:tcW w:w="120" w:type="dxa"/>
            <w:vAlign w:val="bottom"/>
            <w:tcBorders>
              <w:bottom w:val="single" w:sz="8" w:color="CCEEFF"/>
            </w:tcBorders>
            <w:vMerge w:val="continue"/>
            <w:shd w:val="clear" w:color="auto" w:fill="CCEEFF"/>
          </w:tcPr>
          <w:p>
            <w:pPr>
              <w:spacing w:after="0"/>
              <w:rPr>
                <w:sz w:val="4"/>
                <w:szCs w:val="4"/>
                <w:color w:val="auto"/>
              </w:rPr>
            </w:pPr>
          </w:p>
        </w:tc>
        <w:tc>
          <w:tcPr>
            <w:tcW w:w="580" w:type="dxa"/>
            <w:vAlign w:val="bottom"/>
            <w:tcBorders>
              <w:bottom w:val="single" w:sz="8" w:color="CCEEFF"/>
            </w:tcBorders>
            <w:gridSpan w:val="10"/>
            <w:vMerge w:val="continue"/>
            <w:shd w:val="clear" w:color="auto" w:fill="CCEEFF"/>
          </w:tcPr>
          <w:p>
            <w:pPr>
              <w:spacing w:after="0"/>
              <w:rPr>
                <w:sz w:val="4"/>
                <w:szCs w:val="4"/>
                <w:color w:val="auto"/>
              </w:rPr>
            </w:pPr>
          </w:p>
        </w:tc>
        <w:tc>
          <w:tcPr>
            <w:tcW w:w="500" w:type="dxa"/>
            <w:vAlign w:val="bottom"/>
            <w:tcBorders>
              <w:bottom w:val="single" w:sz="8" w:color="CCEEFF"/>
            </w:tcBorders>
            <w:gridSpan w:val="3"/>
            <w:vMerge w:val="continue"/>
            <w:shd w:val="clear" w:color="auto" w:fill="CCEEFF"/>
          </w:tcPr>
          <w:p>
            <w:pPr>
              <w:spacing w:after="0"/>
              <w:rPr>
                <w:sz w:val="4"/>
                <w:szCs w:val="4"/>
                <w:color w:val="auto"/>
              </w:rPr>
            </w:pPr>
          </w:p>
        </w:tc>
        <w:tc>
          <w:tcPr>
            <w:tcW w:w="1480" w:type="dxa"/>
            <w:vAlign w:val="bottom"/>
            <w:tcBorders>
              <w:bottom w:val="single" w:sz="8" w:color="CCEEFF"/>
            </w:tcBorders>
            <w:gridSpan w:val="2"/>
            <w:vMerge w:val="continue"/>
            <w:shd w:val="clear" w:color="auto" w:fill="CCEEFF"/>
          </w:tcPr>
          <w:p>
            <w:pPr>
              <w:spacing w:after="0"/>
              <w:rPr>
                <w:sz w:val="4"/>
                <w:szCs w:val="4"/>
                <w:color w:val="auto"/>
              </w:rPr>
            </w:pPr>
          </w:p>
        </w:tc>
        <w:tc>
          <w:tcPr>
            <w:tcW w:w="12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96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9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96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240"/>
              <w:spacing w:after="0" w:line="168" w:lineRule="exact"/>
              <w:rPr>
                <w:sz w:val="20"/>
                <w:szCs w:val="20"/>
                <w:color w:val="auto"/>
              </w:rPr>
            </w:pPr>
            <w:r>
              <w:rPr>
                <w:rFonts w:ascii="Times New Roman" w:cs="Times New Roman" w:eastAsia="Times New Roman" w:hAnsi="Times New Roman"/>
                <w:sz w:val="15"/>
                <w:szCs w:val="15"/>
                <w:color w:val="auto"/>
              </w:rPr>
              <w:t>Digital Media</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700" w:type="dxa"/>
            <w:vAlign w:val="bottom"/>
            <w:gridSpan w:val="26"/>
          </w:tcPr>
          <w:p>
            <w:pPr>
              <w:spacing w:after="0"/>
              <w:rPr>
                <w:sz w:val="20"/>
                <w:szCs w:val="20"/>
                <w:color w:val="auto"/>
              </w:rPr>
            </w:pPr>
            <w:r>
              <w:rPr>
                <w:rFonts w:ascii="Times New Roman" w:cs="Times New Roman" w:eastAsia="Times New Roman" w:hAnsi="Times New Roman"/>
                <w:sz w:val="15"/>
                <w:szCs w:val="15"/>
                <w:color w:val="auto"/>
              </w:rPr>
              <w:t>Preferred shares, Series Seed-2</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Technology</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8/26/2021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578,029</w:t>
            </w: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752,943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187,500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0.09%</w:t>
            </w:r>
          </w:p>
        </w:tc>
        <w:tc>
          <w:tcPr>
            <w:tcW w:w="0" w:type="dxa"/>
            <w:vAlign w:val="bottom"/>
          </w:tcPr>
          <w:p>
            <w:pPr>
              <w:spacing w:after="0"/>
              <w:rPr>
                <w:sz w:val="1"/>
                <w:szCs w:val="1"/>
                <w:color w:val="auto"/>
              </w:rPr>
            </w:pPr>
          </w:p>
        </w:tc>
      </w:tr>
      <w:tr>
        <w:trPr>
          <w:trHeight w:val="162"/>
        </w:trPr>
        <w:tc>
          <w:tcPr>
            <w:tcW w:w="2700" w:type="dxa"/>
            <w:vAlign w:val="bottom"/>
            <w:gridSpan w:val="26"/>
            <w:shd w:val="clear" w:color="auto" w:fill="CCEEFF"/>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Kinetiq Holdings, LLC</w:t>
            </w:r>
          </w:p>
        </w:tc>
        <w:tc>
          <w:tcPr>
            <w:tcW w:w="148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5"/>
                <w:szCs w:val="15"/>
                <w:color w:val="auto"/>
              </w:rPr>
              <w:t>Philadelphia, PA</w:t>
            </w: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gridSpan w:val="2"/>
          </w:tcPr>
          <w:p>
            <w:pPr>
              <w:jc w:val="center"/>
              <w:ind w:right="220"/>
              <w:spacing w:after="0" w:line="168" w:lineRule="exact"/>
              <w:rPr>
                <w:sz w:val="20"/>
                <w:szCs w:val="20"/>
                <w:color w:val="auto"/>
              </w:rPr>
            </w:pPr>
            <w:r>
              <w:rPr>
                <w:rFonts w:ascii="Times New Roman" w:cs="Times New Roman" w:eastAsia="Times New Roman" w:hAnsi="Times New Roman"/>
                <w:sz w:val="15"/>
                <w:szCs w:val="15"/>
                <w:color w:val="auto"/>
              </w:rPr>
              <w:t>Social Data</w:t>
            </w:r>
          </w:p>
        </w:tc>
        <w:tc>
          <w:tcPr>
            <w:tcW w:w="124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700" w:type="dxa"/>
            <w:vAlign w:val="bottom"/>
            <w:gridSpan w:val="26"/>
          </w:tcPr>
          <w:p>
            <w:pPr>
              <w:spacing w:after="0"/>
              <w:rPr>
                <w:sz w:val="20"/>
                <w:szCs w:val="20"/>
                <w:color w:val="auto"/>
              </w:rPr>
            </w:pPr>
            <w:r>
              <w:rPr>
                <w:rFonts w:ascii="Times New Roman" w:cs="Times New Roman" w:eastAsia="Times New Roman" w:hAnsi="Times New Roman"/>
                <w:sz w:val="15"/>
                <w:szCs w:val="15"/>
                <w:color w:val="auto"/>
              </w:rPr>
              <w:t>Common shares, Class A</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8"/>
              </w:rPr>
              <w:t>Platform</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3/30/2012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112,374</w:t>
            </w: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28,836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0" w:type="dxa"/>
            <w:vAlign w:val="bottom"/>
          </w:tcPr>
          <w:p>
            <w:pPr>
              <w:spacing w:after="0"/>
              <w:rPr>
                <w:sz w:val="1"/>
                <w:szCs w:val="1"/>
                <w:color w:val="auto"/>
              </w:rPr>
            </w:pPr>
          </w:p>
        </w:tc>
      </w:tr>
      <w:tr>
        <w:trPr>
          <w:trHeight w:val="168"/>
        </w:trPr>
        <w:tc>
          <w:tcPr>
            <w:tcW w:w="2700" w:type="dxa"/>
            <w:vAlign w:val="bottom"/>
            <w:gridSpan w:val="26"/>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Trax Ltd.**</w:t>
            </w:r>
          </w:p>
        </w:tc>
        <w:tc>
          <w:tcPr>
            <w:tcW w:w="1480" w:type="dxa"/>
            <w:vAlign w:val="bottom"/>
            <w:gridSpan w:val="2"/>
            <w:shd w:val="clear" w:color="auto" w:fill="CCEEFF"/>
          </w:tcPr>
          <w:p>
            <w:pPr>
              <w:jc w:val="center"/>
              <w:ind w:right="240"/>
              <w:spacing w:after="0" w:line="168" w:lineRule="exact"/>
              <w:rPr>
                <w:sz w:val="20"/>
                <w:szCs w:val="20"/>
                <w:color w:val="auto"/>
              </w:rPr>
            </w:pPr>
            <w:r>
              <w:rPr>
                <w:rFonts w:ascii="Times New Roman" w:cs="Times New Roman" w:eastAsia="Times New Roman" w:hAnsi="Times New Roman"/>
                <w:sz w:val="15"/>
                <w:szCs w:val="15"/>
                <w:color w:val="auto"/>
                <w:w w:val="99"/>
              </w:rPr>
              <w:t>Singapore,</w:t>
            </w: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00" w:type="dxa"/>
            <w:vAlign w:val="bottom"/>
            <w:gridSpan w:val="26"/>
            <w:vMerge w:val="continue"/>
            <w:shd w:val="clear" w:color="auto" w:fill="CCEEFF"/>
          </w:tcPr>
          <w:p>
            <w:pPr>
              <w:spacing w:after="0"/>
              <w:rPr>
                <w:sz w:val="14"/>
                <w:szCs w:val="14"/>
                <w:color w:val="auto"/>
              </w:rPr>
            </w:pPr>
          </w:p>
        </w:tc>
        <w:tc>
          <w:tcPr>
            <w:tcW w:w="1480" w:type="dxa"/>
            <w:vAlign w:val="bottom"/>
            <w:gridSpan w:val="2"/>
            <w:shd w:val="clear" w:color="auto" w:fill="CCEEFF"/>
          </w:tcPr>
          <w:p>
            <w:pPr>
              <w:jc w:val="center"/>
              <w:ind w:right="220"/>
              <w:spacing w:after="0" w:line="163" w:lineRule="exact"/>
              <w:rPr>
                <w:sz w:val="20"/>
                <w:szCs w:val="20"/>
                <w:color w:val="auto"/>
              </w:rPr>
            </w:pPr>
            <w:r>
              <w:rPr>
                <w:rFonts w:ascii="Times New Roman" w:cs="Times New Roman" w:eastAsia="Times New Roman" w:hAnsi="Times New Roman"/>
                <w:sz w:val="15"/>
                <w:szCs w:val="15"/>
                <w:color w:val="auto"/>
              </w:rPr>
              <w:t>Singapore</w:t>
            </w: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700" w:type="dxa"/>
            <w:vAlign w:val="bottom"/>
            <w:tcBorders>
              <w:top w:val="single" w:sz="8" w:color="auto"/>
              <w:right w:val="single" w:sz="8" w:color="CCEE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700" w:type="dxa"/>
            <w:vAlign w:val="bottom"/>
            <w:gridSpan w:val="26"/>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Retail Technology</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6/9/2021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55,591</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2,781,148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4"/>
        </w:trPr>
        <w:tc>
          <w:tcPr>
            <w:tcW w:w="270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Investec Series</w:t>
            </w:r>
          </w:p>
        </w:tc>
        <w:tc>
          <w:tcPr>
            <w:tcW w:w="1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6/9/2021</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144,409</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7,224,600</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4"/>
        </w:trPr>
        <w:tc>
          <w:tcPr>
            <w:tcW w:w="2700" w:type="dxa"/>
            <w:vAlign w:val="bottom"/>
            <w:tcBorders>
              <w:bottom w:val="single" w:sz="8" w:color="CCEEFF"/>
            </w:tcBorders>
            <w:gridSpan w:val="26"/>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124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10,005,748</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48"/>
        </w:trPr>
        <w:tc>
          <w:tcPr>
            <w:tcW w:w="1620" w:type="dxa"/>
            <w:vAlign w:val="bottom"/>
            <w:gridSpan w:val="13"/>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9"/>
              </w:rPr>
              <w:t>Aspiration Partners, Inc.</w:t>
            </w:r>
          </w:p>
        </w:tc>
        <w:tc>
          <w:tcPr>
            <w:tcW w:w="1080" w:type="dxa"/>
            <w:vAlign w:val="bottom"/>
            <w:gridSpan w:val="13"/>
            <w:vMerge w:val="restart"/>
            <w:shd w:val="clear" w:color="auto" w:fill="CCEEFF"/>
          </w:tcPr>
          <w:p>
            <w:pPr>
              <w:spacing w:after="0"/>
              <w:rPr>
                <w:sz w:val="12"/>
                <w:szCs w:val="12"/>
                <w:color w:val="auto"/>
              </w:rPr>
            </w:pPr>
          </w:p>
        </w:tc>
        <w:tc>
          <w:tcPr>
            <w:tcW w:w="1480" w:type="dxa"/>
            <w:vAlign w:val="bottom"/>
            <w:gridSpan w:val="2"/>
            <w:shd w:val="clear" w:color="auto" w:fill="CCEEFF"/>
          </w:tcPr>
          <w:p>
            <w:pPr>
              <w:jc w:val="center"/>
              <w:ind w:right="240"/>
              <w:spacing w:after="0" w:line="148" w:lineRule="exact"/>
              <w:rPr>
                <w:sz w:val="20"/>
                <w:szCs w:val="20"/>
                <w:color w:val="auto"/>
              </w:rPr>
            </w:pPr>
            <w:r>
              <w:rPr>
                <w:rFonts w:ascii="Times New Roman" w:cs="Times New Roman" w:eastAsia="Times New Roman" w:hAnsi="Times New Roman"/>
                <w:sz w:val="15"/>
                <w:szCs w:val="15"/>
                <w:color w:val="auto"/>
                <w:w w:val="99"/>
              </w:rPr>
              <w:t>Marina Del Rey,</w:t>
            </w: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620" w:type="dxa"/>
            <w:vAlign w:val="bottom"/>
            <w:tcBorders>
              <w:bottom w:val="single" w:sz="8" w:color="auto"/>
            </w:tcBorders>
            <w:gridSpan w:val="13"/>
            <w:vMerge w:val="continue"/>
            <w:shd w:val="clear" w:color="auto" w:fill="CCEEFF"/>
          </w:tcPr>
          <w:p>
            <w:pPr>
              <w:spacing w:after="0"/>
              <w:rPr>
                <w:sz w:val="16"/>
                <w:szCs w:val="16"/>
                <w:color w:val="auto"/>
              </w:rPr>
            </w:pPr>
          </w:p>
        </w:tc>
        <w:tc>
          <w:tcPr>
            <w:tcW w:w="1080" w:type="dxa"/>
            <w:vAlign w:val="bottom"/>
            <w:tcBorders>
              <w:bottom w:val="single" w:sz="8" w:color="CCEEFF"/>
            </w:tcBorders>
            <w:gridSpan w:val="13"/>
            <w:vMerge w:val="continue"/>
            <w:shd w:val="clear" w:color="auto" w:fill="CCEEFF"/>
          </w:tcPr>
          <w:p>
            <w:pPr>
              <w:spacing w:after="0"/>
              <w:rPr>
                <w:sz w:val="16"/>
                <w:szCs w:val="16"/>
                <w:color w:val="auto"/>
              </w:rPr>
            </w:pPr>
          </w:p>
        </w:tc>
        <w:tc>
          <w:tcPr>
            <w:tcW w:w="1480" w:type="dxa"/>
            <w:vAlign w:val="bottom"/>
            <w:tcBorders>
              <w:bottom w:val="single" w:sz="8" w:color="CCEEFF"/>
            </w:tcBorders>
            <w:gridSpan w:val="2"/>
            <w:shd w:val="clear" w:color="auto" w:fill="CCEEFF"/>
          </w:tcPr>
          <w:p>
            <w:pPr>
              <w:jc w:val="center"/>
              <w:ind w:right="240"/>
              <w:spacing w:after="0" w:line="163" w:lineRule="exact"/>
              <w:rPr>
                <w:sz w:val="20"/>
                <w:szCs w:val="20"/>
                <w:color w:val="auto"/>
              </w:rPr>
            </w:pPr>
            <w:r>
              <w:rPr>
                <w:rFonts w:ascii="Times New Roman" w:cs="Times New Roman" w:eastAsia="Times New Roman" w:hAnsi="Times New Roman"/>
                <w:sz w:val="15"/>
                <w:szCs w:val="15"/>
                <w:color w:val="auto"/>
                <w:w w:val="95"/>
              </w:rPr>
              <w:t>CA</w:t>
            </w:r>
          </w:p>
        </w:tc>
        <w:tc>
          <w:tcPr>
            <w:tcW w:w="12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700" w:type="dxa"/>
            <w:vAlign w:val="bottom"/>
            <w:gridSpan w:val="26"/>
          </w:tcPr>
          <w:p>
            <w:pPr>
              <w:spacing w:after="0"/>
              <w:rPr>
                <w:sz w:val="20"/>
                <w:szCs w:val="20"/>
                <w:color w:val="auto"/>
              </w:rPr>
            </w:pPr>
            <w:r>
              <w:rPr>
                <w:rFonts w:ascii="Times New Roman" w:cs="Times New Roman" w:eastAsia="Times New Roman" w:hAnsi="Times New Roman"/>
                <w:sz w:val="15"/>
                <w:szCs w:val="15"/>
                <w:color w:val="auto"/>
              </w:rPr>
              <w:t>Preferred shares, Series A</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Financial Services</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8/11/2015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540,270</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1,001,815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4"/>
        </w:trPr>
        <w:tc>
          <w:tcPr>
            <w:tcW w:w="270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C-3</w:t>
            </w:r>
          </w:p>
        </w:tc>
        <w:tc>
          <w:tcPr>
            <w:tcW w:w="1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8/12/2019</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24,912</w:t>
            </w: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281,190</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4"/>
        </w:trPr>
        <w:tc>
          <w:tcPr>
            <w:tcW w:w="2700" w:type="dxa"/>
            <w:vAlign w:val="bottom"/>
            <w:tcBorders>
              <w:bottom w:val="single" w:sz="8" w:color="CCEEFF"/>
            </w:tcBorders>
            <w:gridSpan w:val="26"/>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124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1,283,005</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54"/>
        </w:trPr>
        <w:tc>
          <w:tcPr>
            <w:tcW w:w="1000" w:type="dxa"/>
            <w:vAlign w:val="bottom"/>
            <w:tcBorders>
              <w:bottom w:val="single" w:sz="8" w:color="auto"/>
            </w:tcBorders>
            <w:gridSpan w:val="5"/>
            <w:shd w:val="clear" w:color="auto" w:fill="CCEEFF"/>
          </w:tcPr>
          <w:p>
            <w:pPr>
              <w:spacing w:after="0" w:line="140" w:lineRule="exact"/>
              <w:rPr>
                <w:sz w:val="20"/>
                <w:szCs w:val="20"/>
                <w:color w:val="auto"/>
              </w:rPr>
            </w:pPr>
            <w:r>
              <w:rPr>
                <w:rFonts w:ascii="Times New Roman" w:cs="Times New Roman" w:eastAsia="Times New Roman" w:hAnsi="Times New Roman"/>
                <w:sz w:val="15"/>
                <w:szCs w:val="15"/>
                <w:b w:val="1"/>
                <w:bCs w:val="1"/>
                <w:color w:val="auto"/>
                <w:w w:val="98"/>
              </w:rPr>
              <w:t>Fullbridge, Inc.</w:t>
            </w:r>
          </w:p>
        </w:tc>
        <w:tc>
          <w:tcPr>
            <w:tcW w:w="1700" w:type="dxa"/>
            <w:vAlign w:val="bottom"/>
            <w:tcBorders>
              <w:bottom w:val="single" w:sz="8" w:color="CCEEFF"/>
            </w:tcBorders>
            <w:gridSpan w:val="21"/>
            <w:shd w:val="clear" w:color="auto" w:fill="CCEEFF"/>
          </w:tcPr>
          <w:p>
            <w:pPr>
              <w:spacing w:after="0"/>
              <w:rPr>
                <w:sz w:val="13"/>
                <w:szCs w:val="13"/>
                <w:color w:val="auto"/>
              </w:rPr>
            </w:pPr>
          </w:p>
        </w:tc>
        <w:tc>
          <w:tcPr>
            <w:tcW w:w="1480" w:type="dxa"/>
            <w:vAlign w:val="bottom"/>
            <w:tcBorders>
              <w:bottom w:val="single" w:sz="8" w:color="CCEEFF"/>
            </w:tcBorders>
            <w:gridSpan w:val="2"/>
            <w:shd w:val="clear" w:color="auto" w:fill="CCEEFF"/>
          </w:tcPr>
          <w:p>
            <w:pPr>
              <w:jc w:val="center"/>
              <w:ind w:right="240"/>
              <w:spacing w:after="0" w:line="140" w:lineRule="exact"/>
              <w:rPr>
                <w:sz w:val="20"/>
                <w:szCs w:val="20"/>
                <w:color w:val="auto"/>
              </w:rPr>
            </w:pPr>
            <w:r>
              <w:rPr>
                <w:rFonts w:ascii="Times New Roman" w:cs="Times New Roman" w:eastAsia="Times New Roman" w:hAnsi="Times New Roman"/>
                <w:sz w:val="15"/>
                <w:szCs w:val="15"/>
                <w:color w:val="auto"/>
              </w:rPr>
              <w:t>Cambridge, MA</w:t>
            </w:r>
          </w:p>
        </w:tc>
        <w:tc>
          <w:tcPr>
            <w:tcW w:w="12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700" w:type="dxa"/>
            <w:vAlign w:val="bottom"/>
            <w:gridSpan w:val="26"/>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Business Education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5/13/2012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517,917</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6,150,506</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9"/>
        </w:trPr>
        <w:tc>
          <w:tcPr>
            <w:tcW w:w="2700" w:type="dxa"/>
            <w:vAlign w:val="bottom"/>
            <w:gridSpan w:val="26"/>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Promissory Note 1.47%, Due</w:t>
            </w:r>
          </w:p>
        </w:tc>
        <w:tc>
          <w:tcPr>
            <w:tcW w:w="1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1000" w:type="dxa"/>
            <w:vAlign w:val="bottom"/>
            <w:gridSpan w:val="5"/>
            <w:shd w:val="clear" w:color="auto" w:fill="CCEEFF"/>
          </w:tcPr>
          <w:p>
            <w:pPr>
              <w:spacing w:after="0" w:line="240" w:lineRule="exact"/>
              <w:rPr>
                <w:sz w:val="20"/>
                <w:szCs w:val="20"/>
                <w:color w:val="auto"/>
              </w:rPr>
            </w:pPr>
            <w:r>
              <w:rPr>
                <w:rFonts w:ascii="Times New Roman" w:cs="Times New Roman" w:eastAsia="Times New Roman" w:hAnsi="Times New Roman"/>
                <w:sz w:val="15"/>
                <w:szCs w:val="15"/>
                <w:color w:val="auto"/>
                <w:w w:val="90"/>
              </w:rPr>
              <w:t>11/9/2021</w:t>
            </w:r>
            <w:r>
              <w:rPr>
                <w:rFonts w:ascii="Times New Roman" w:cs="Times New Roman" w:eastAsia="Times New Roman" w:hAnsi="Times New Roman"/>
                <w:sz w:val="25"/>
                <w:szCs w:val="25"/>
                <w:color w:val="auto"/>
                <w:w w:val="90"/>
                <w:vertAlign w:val="superscript"/>
              </w:rPr>
              <w:t>(4)(11)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3/3/2016</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2,270,458</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2,270,858</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4"/>
        </w:trPr>
        <w:tc>
          <w:tcPr>
            <w:tcW w:w="2700" w:type="dxa"/>
            <w:vAlign w:val="bottom"/>
            <w:tcBorders>
              <w:bottom w:val="single" w:sz="8" w:color="CCEEFF"/>
            </w:tcBorders>
            <w:gridSpan w:val="26"/>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124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8,421,364</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28"/>
        </w:trPr>
        <w:tc>
          <w:tcPr>
            <w:tcW w:w="2200" w:type="dxa"/>
            <w:vAlign w:val="bottom"/>
            <w:tcBorders>
              <w:bottom w:val="single" w:sz="8" w:color="auto"/>
            </w:tcBorders>
            <w:gridSpan w:val="23"/>
            <w:shd w:val="clear" w:color="auto" w:fill="CCEEFF"/>
          </w:tcPr>
          <w:p>
            <w:pPr>
              <w:spacing w:after="0" w:line="128" w:lineRule="exact"/>
              <w:rPr>
                <w:sz w:val="20"/>
                <w:szCs w:val="20"/>
                <w:color w:val="auto"/>
              </w:rPr>
            </w:pPr>
            <w:r>
              <w:rPr>
                <w:rFonts w:ascii="Times New Roman" w:cs="Times New Roman" w:eastAsia="Times New Roman" w:hAnsi="Times New Roman"/>
                <w:sz w:val="14"/>
                <w:szCs w:val="14"/>
                <w:b w:val="1"/>
                <w:bCs w:val="1"/>
                <w:color w:val="auto"/>
              </w:rPr>
              <w:t>Treehouse Real Estate Investment</w:t>
            </w:r>
          </w:p>
        </w:tc>
        <w:tc>
          <w:tcPr>
            <w:tcW w:w="500" w:type="dxa"/>
            <w:vAlign w:val="bottom"/>
            <w:tcBorders>
              <w:bottom w:val="single" w:sz="8" w:color="CCEEFF"/>
            </w:tcBorders>
            <w:gridSpan w:val="3"/>
            <w:shd w:val="clear" w:color="auto" w:fill="CCEEFF"/>
          </w:tcPr>
          <w:p>
            <w:pPr>
              <w:spacing w:after="0"/>
              <w:rPr>
                <w:sz w:val="11"/>
                <w:szCs w:val="11"/>
                <w:color w:val="auto"/>
              </w:rPr>
            </w:pPr>
          </w:p>
        </w:tc>
        <w:tc>
          <w:tcPr>
            <w:tcW w:w="12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700" w:type="dxa"/>
            <w:vAlign w:val="bottom"/>
            <w:gridSpan w:val="26"/>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Trust, Inc.</w:t>
            </w:r>
          </w:p>
        </w:tc>
        <w:tc>
          <w:tcPr>
            <w:tcW w:w="1480" w:type="dxa"/>
            <w:vAlign w:val="bottom"/>
            <w:gridSpan w:val="2"/>
            <w:shd w:val="clear" w:color="auto" w:fill="CCEEFF"/>
          </w:tcPr>
          <w:p>
            <w:pPr>
              <w:jc w:val="center"/>
              <w:ind w:right="240"/>
              <w:spacing w:after="0" w:line="162" w:lineRule="exact"/>
              <w:rPr>
                <w:sz w:val="20"/>
                <w:szCs w:val="20"/>
                <w:color w:val="auto"/>
              </w:rPr>
            </w:pPr>
            <w:r>
              <w:rPr>
                <w:rFonts w:ascii="Times New Roman" w:cs="Times New Roman" w:eastAsia="Times New Roman" w:hAnsi="Times New Roman"/>
                <w:sz w:val="15"/>
                <w:szCs w:val="15"/>
                <w:color w:val="auto"/>
              </w:rPr>
              <w:t>Chicago, IL</w:t>
            </w: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70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700" w:type="dxa"/>
            <w:vAlign w:val="bottom"/>
            <w:gridSpan w:val="26"/>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Cannabis REIT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9/11/2019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312,500</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4,919,250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700" w:type="dxa"/>
            <w:vAlign w:val="bottom"/>
            <w:tcBorders>
              <w:right w:val="single" w:sz="8" w:color="CCEEFF"/>
            </w:tcBorders>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700" w:type="dxa"/>
            <w:vAlign w:val="bottom"/>
            <w:gridSpan w:val="26"/>
          </w:tcPr>
          <w:p>
            <w:pPr>
              <w:ind w:left="140"/>
              <w:spacing w:after="0"/>
              <w:rPr>
                <w:sz w:val="20"/>
                <w:szCs w:val="20"/>
                <w:color w:val="auto"/>
              </w:rPr>
            </w:pPr>
            <w:r>
              <w:rPr>
                <w:rFonts w:ascii="Times New Roman" w:cs="Times New Roman" w:eastAsia="Times New Roman" w:hAnsi="Times New Roman"/>
                <w:sz w:val="15"/>
                <w:szCs w:val="15"/>
                <w:b w:val="1"/>
                <w:bCs w:val="1"/>
                <w:color w:val="auto"/>
              </w:rPr>
              <w:t>Total Non-controlled/Non-affiliate</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160,994,161</w:t>
            </w:r>
          </w:p>
        </w:tc>
        <w:tc>
          <w:tcPr>
            <w:tcW w:w="160" w:type="dxa"/>
            <w:vAlign w:val="bottom"/>
          </w:tcPr>
          <w:p>
            <w:pPr>
              <w:spacing w:after="0"/>
              <w:rPr>
                <w:sz w:val="17"/>
                <w:szCs w:val="17"/>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147,167,535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72.37%</w:t>
            </w:r>
          </w:p>
        </w:tc>
        <w:tc>
          <w:tcPr>
            <w:tcW w:w="0" w:type="dxa"/>
            <w:vAlign w:val="bottom"/>
          </w:tcPr>
          <w:p>
            <w:pPr>
              <w:spacing w:after="0"/>
              <w:rPr>
                <w:sz w:val="1"/>
                <w:szCs w:val="1"/>
                <w:color w:val="auto"/>
              </w:rPr>
            </w:pPr>
          </w:p>
        </w:tc>
      </w:tr>
    </w:tbl>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w:t>
      </w:r>
    </w:p>
    <w:p>
      <w:pPr>
        <w:sectPr>
          <w:pgSz w:w="11900" w:h="16838" w:orient="portrait"/>
          <w:cols w:equalWidth="0" w:num="1">
            <w:col w:w="11260"/>
          </w:cols>
          <w:pgMar w:left="320" w:top="216" w:right="319" w:bottom="1440" w:gutter="0" w:footer="0" w:header="0"/>
        </w:sectPr>
      </w:pP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5391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216" w:right="31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SCHEDULE OF INVESTMENTS -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December 31, 2023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Headquarters/</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Date of Initial</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6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2"/>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 of Net</w:t>
            </w:r>
          </w:p>
        </w:tc>
        <w:tc>
          <w:tcPr>
            <w:tcW w:w="0" w:type="dxa"/>
            <w:vAlign w:val="bottom"/>
          </w:tcPr>
          <w:p>
            <w:pPr>
              <w:spacing w:after="0"/>
              <w:rPr>
                <w:sz w:val="1"/>
                <w:szCs w:val="1"/>
                <w:color w:val="auto"/>
              </w:rPr>
            </w:pPr>
          </w:p>
        </w:tc>
      </w:tr>
      <w:tr>
        <w:trPr>
          <w:trHeight w:val="201"/>
        </w:trPr>
        <w:tc>
          <w:tcPr>
            <w:tcW w:w="2700" w:type="dxa"/>
            <w:vAlign w:val="bottom"/>
            <w:gridSpan w:val="10"/>
          </w:tcPr>
          <w:p>
            <w:pPr>
              <w:spacing w:after="0"/>
              <w:rPr>
                <w:sz w:val="20"/>
                <w:szCs w:val="20"/>
                <w:color w:val="auto"/>
              </w:rPr>
            </w:pPr>
            <w:r>
              <w:rPr>
                <w:rFonts w:ascii="Times New Roman" w:cs="Times New Roman" w:eastAsia="Times New Roman" w:hAnsi="Times New Roman"/>
                <w:sz w:val="15"/>
                <w:szCs w:val="15"/>
                <w:b w:val="1"/>
                <w:bCs w:val="1"/>
                <w:color w:val="auto"/>
              </w:rPr>
              <w:t>Portfolio Investments*</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Industry</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5"/>
                <w:szCs w:val="15"/>
                <w:b w:val="1"/>
                <w:bCs w:val="1"/>
                <w:color w:val="auto"/>
              </w:rPr>
              <w:t>Principal</w:t>
            </w:r>
          </w:p>
        </w:tc>
        <w:tc>
          <w:tcPr>
            <w:tcW w:w="240" w:type="dxa"/>
            <w:vAlign w:val="bottom"/>
          </w:tcPr>
          <w:p>
            <w:pPr>
              <w:spacing w:after="0"/>
              <w:rPr>
                <w:sz w:val="17"/>
                <w:szCs w:val="17"/>
                <w:color w:val="auto"/>
              </w:rPr>
            </w:pPr>
          </w:p>
        </w:tc>
        <w:tc>
          <w:tcPr>
            <w:tcW w:w="102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280" w:type="dxa"/>
            <w:vAlign w:val="bottom"/>
            <w:gridSpan w:val="2"/>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0" w:type="dxa"/>
            <w:vAlign w:val="bottom"/>
          </w:tcPr>
          <w:p>
            <w:pPr>
              <w:spacing w:after="0"/>
              <w:rPr>
                <w:sz w:val="1"/>
                <w:szCs w:val="1"/>
                <w:color w:val="auto"/>
              </w:rPr>
            </w:pPr>
          </w:p>
        </w:tc>
      </w:tr>
      <w:tr>
        <w:trPr>
          <w:trHeight w:val="208"/>
        </w:trPr>
        <w:tc>
          <w:tcPr>
            <w:tcW w:w="2480" w:type="dxa"/>
            <w:vAlign w:val="bottom"/>
            <w:tcBorders>
              <w:top w:val="single" w:sz="8" w:color="auto"/>
            </w:tcBorders>
            <w:gridSpan w:val="9"/>
            <w:shd w:val="clear" w:color="auto" w:fill="CCEEFF"/>
          </w:tcPr>
          <w:p>
            <w:pPr>
              <w:spacing w:after="0" w:line="207" w:lineRule="exact"/>
              <w:rPr>
                <w:sz w:val="20"/>
                <w:szCs w:val="20"/>
                <w:color w:val="auto"/>
              </w:rPr>
            </w:pPr>
            <w:r>
              <w:rPr>
                <w:rFonts w:ascii="Times New Roman" w:cs="Times New Roman" w:eastAsia="Times New Roman" w:hAnsi="Times New Roman"/>
                <w:sz w:val="15"/>
                <w:szCs w:val="15"/>
                <w:b w:val="1"/>
                <w:bCs w:val="1"/>
                <w:color w:val="auto"/>
                <w:w w:val="98"/>
              </w:rPr>
              <w:t>NON-CONTROLLED/AFFILIATE</w:t>
            </w:r>
            <w:r>
              <w:rPr>
                <w:rFonts w:ascii="Times New Roman" w:cs="Times New Roman" w:eastAsia="Times New Roman" w:hAnsi="Times New Roman"/>
                <w:sz w:val="24"/>
                <w:szCs w:val="24"/>
                <w:b w:val="1"/>
                <w:bCs w:val="1"/>
                <w:color w:val="auto"/>
                <w:w w:val="98"/>
                <w:vertAlign w:val="superscript"/>
              </w:rPr>
              <w:t>(1)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w w:val="98"/>
              </w:rPr>
              <w:t>StormWind, LLC</w:t>
            </w:r>
          </w:p>
        </w:tc>
        <w:tc>
          <w:tcPr>
            <w:tcW w:w="160" w:type="dxa"/>
            <w:vAlign w:val="bottom"/>
            <w:tcBorders>
              <w:bottom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w w:val="99"/>
              </w:rPr>
              <w:t>(5)</w:t>
            </w:r>
          </w:p>
        </w:tc>
        <w:tc>
          <w:tcPr>
            <w:tcW w:w="10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220" w:type="dxa"/>
            <w:vAlign w:val="bottom"/>
            <w:vMerge w:val="restart"/>
          </w:tcPr>
          <w:p>
            <w:pPr>
              <w:spacing w:after="0"/>
              <w:rPr>
                <w:sz w:val="10"/>
                <w:szCs w:val="10"/>
                <w:color w:val="auto"/>
              </w:rPr>
            </w:pPr>
          </w:p>
        </w:tc>
        <w:tc>
          <w:tcPr>
            <w:tcW w:w="720" w:type="dxa"/>
            <w:vAlign w:val="bottom"/>
            <w:vMerge w:val="restart"/>
          </w:tcPr>
          <w:p>
            <w:pPr>
              <w:spacing w:after="0"/>
              <w:rPr>
                <w:sz w:val="10"/>
                <w:szCs w:val="10"/>
                <w:color w:val="auto"/>
              </w:rPr>
            </w:pPr>
          </w:p>
        </w:tc>
        <w:tc>
          <w:tcPr>
            <w:tcW w:w="340" w:type="dxa"/>
            <w:vAlign w:val="bottom"/>
            <w:gridSpan w:val="2"/>
            <w:vMerge w:val="restart"/>
          </w:tcPr>
          <w:p>
            <w:pPr>
              <w:spacing w:after="0"/>
              <w:rPr>
                <w:sz w:val="10"/>
                <w:szCs w:val="10"/>
                <w:color w:val="auto"/>
              </w:rPr>
            </w:pPr>
          </w:p>
        </w:tc>
        <w:tc>
          <w:tcPr>
            <w:tcW w:w="14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color w:val="auto"/>
              </w:rPr>
              <w:t>Scottsdale, AZ</w:t>
            </w: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1140" w:type="dxa"/>
            <w:vAlign w:val="bottom"/>
            <w:tcBorders>
              <w:bottom w:val="single" w:sz="8" w:color="auto"/>
            </w:tcBorders>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340" w:type="dxa"/>
            <w:vAlign w:val="bottom"/>
            <w:gridSpan w:val="2"/>
            <w:vMerge w:val="continue"/>
          </w:tcPr>
          <w:p>
            <w:pPr>
              <w:spacing w:after="0"/>
              <w:rPr>
                <w:sz w:val="3"/>
                <w:szCs w:val="3"/>
                <w:color w:val="auto"/>
              </w:rPr>
            </w:pPr>
          </w:p>
        </w:tc>
        <w:tc>
          <w:tcPr>
            <w:tcW w:w="1480" w:type="dxa"/>
            <w:vAlign w:val="bottom"/>
            <w:gridSpan w:val="2"/>
            <w:vMerge w:val="continue"/>
          </w:tcPr>
          <w:p>
            <w:pPr>
              <w:spacing w:after="0"/>
              <w:rPr>
                <w:sz w:val="3"/>
                <w:szCs w:val="3"/>
                <w:color w:val="auto"/>
              </w:rPr>
            </w:pPr>
          </w:p>
        </w:tc>
        <w:tc>
          <w:tcPr>
            <w:tcW w:w="1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7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D 8%</w:t>
            </w:r>
          </w:p>
        </w:tc>
        <w:tc>
          <w:tcPr>
            <w:tcW w:w="14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rPr>
              <w:t>Interactive Learning</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11/26/2019</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329,337</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257,267</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653,975</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0.32%</w:t>
            </w:r>
          </w:p>
        </w:tc>
        <w:tc>
          <w:tcPr>
            <w:tcW w:w="0" w:type="dxa"/>
            <w:vAlign w:val="bottom"/>
          </w:tcPr>
          <w:p>
            <w:pPr>
              <w:spacing w:after="0"/>
              <w:rPr>
                <w:sz w:val="1"/>
                <w:szCs w:val="1"/>
                <w:color w:val="auto"/>
              </w:rPr>
            </w:pPr>
          </w:p>
        </w:tc>
      </w:tr>
      <w:tr>
        <w:trPr>
          <w:trHeight w:val="182"/>
        </w:trPr>
        <w:tc>
          <w:tcPr>
            <w:tcW w:w="2700" w:type="dxa"/>
            <w:vAlign w:val="bottom"/>
            <w:gridSpan w:val="10"/>
          </w:tcPr>
          <w:p>
            <w:pPr>
              <w:spacing w:after="0"/>
              <w:rPr>
                <w:sz w:val="20"/>
                <w:szCs w:val="20"/>
                <w:color w:val="auto"/>
              </w:rPr>
            </w:pPr>
            <w:r>
              <w:rPr>
                <w:rFonts w:ascii="Times New Roman" w:cs="Times New Roman" w:eastAsia="Times New Roman" w:hAnsi="Times New Roman"/>
                <w:sz w:val="15"/>
                <w:szCs w:val="15"/>
                <w:color w:val="auto"/>
              </w:rPr>
              <w:t>Preferred shares, Series C 8%</w:t>
            </w: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1/7/2014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2,779,134</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4,000,787</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6,804,933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3.35%</w:t>
            </w:r>
          </w:p>
        </w:tc>
        <w:tc>
          <w:tcPr>
            <w:tcW w:w="0" w:type="dxa"/>
            <w:vAlign w:val="bottom"/>
          </w:tcPr>
          <w:p>
            <w:pPr>
              <w:spacing w:after="0"/>
              <w:rPr>
                <w:sz w:val="1"/>
                <w:szCs w:val="1"/>
                <w:color w:val="auto"/>
              </w:rPr>
            </w:pPr>
          </w:p>
        </w:tc>
      </w:tr>
      <w:tr>
        <w:trPr>
          <w:trHeight w:val="182"/>
        </w:trPr>
        <w:tc>
          <w:tcPr>
            <w:tcW w:w="27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B 8%</w:t>
            </w:r>
          </w:p>
        </w:tc>
        <w:tc>
          <w:tcPr>
            <w:tcW w:w="1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12/16/2011</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3,279,629</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2,019,687</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4,751,064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w:t>
            </w:r>
          </w:p>
        </w:tc>
        <w:tc>
          <w:tcPr>
            <w:tcW w:w="0" w:type="dxa"/>
            <w:vAlign w:val="bottom"/>
          </w:tcPr>
          <w:p>
            <w:pPr>
              <w:spacing w:after="0"/>
              <w:rPr>
                <w:sz w:val="1"/>
                <w:szCs w:val="1"/>
                <w:color w:val="auto"/>
              </w:rPr>
            </w:pPr>
          </w:p>
        </w:tc>
      </w:tr>
      <w:tr>
        <w:trPr>
          <w:trHeight w:val="194"/>
        </w:trPr>
        <w:tc>
          <w:tcPr>
            <w:tcW w:w="2700" w:type="dxa"/>
            <w:vAlign w:val="bottom"/>
            <w:gridSpan w:val="10"/>
          </w:tcPr>
          <w:p>
            <w:pPr>
              <w:spacing w:after="0"/>
              <w:rPr>
                <w:sz w:val="20"/>
                <w:szCs w:val="20"/>
                <w:color w:val="auto"/>
              </w:rPr>
            </w:pPr>
            <w:r>
              <w:rPr>
                <w:rFonts w:ascii="Times New Roman" w:cs="Times New Roman" w:eastAsia="Times New Roman" w:hAnsi="Times New Roman"/>
                <w:sz w:val="15"/>
                <w:szCs w:val="15"/>
                <w:color w:val="auto"/>
              </w:rPr>
              <w:t>Preferred shares, Series A 8%</w:t>
            </w: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2/25/2014</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366,666</w:t>
            </w:r>
          </w:p>
        </w:tc>
        <w:tc>
          <w:tcPr>
            <w:tcW w:w="2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110,000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325,903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0.16%</w:t>
            </w:r>
          </w:p>
        </w:tc>
        <w:tc>
          <w:tcPr>
            <w:tcW w:w="0" w:type="dxa"/>
            <w:vAlign w:val="bottom"/>
          </w:tcPr>
          <w:p>
            <w:pPr>
              <w:spacing w:after="0"/>
              <w:rPr>
                <w:sz w:val="1"/>
                <w:szCs w:val="1"/>
                <w:color w:val="auto"/>
              </w:rPr>
            </w:pPr>
          </w:p>
        </w:tc>
      </w:tr>
      <w:tr>
        <w:trPr>
          <w:trHeight w:val="174"/>
        </w:trPr>
        <w:tc>
          <w:tcPr>
            <w:tcW w:w="2700" w:type="dxa"/>
            <w:vAlign w:val="bottom"/>
            <w:tcBorders>
              <w:top w:val="single" w:sz="8" w:color="CCEEFF"/>
            </w:tcBorders>
            <w:gridSpan w:val="10"/>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1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6,387,741</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12,535,875</w:t>
            </w:r>
          </w:p>
        </w:tc>
        <w:tc>
          <w:tcPr>
            <w:tcW w:w="3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6.16</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28"/>
        </w:trPr>
        <w:tc>
          <w:tcPr>
            <w:tcW w:w="1640" w:type="dxa"/>
            <w:vAlign w:val="bottom"/>
            <w:tcBorders>
              <w:bottom w:val="single" w:sz="8" w:color="auto"/>
            </w:tcBorders>
            <w:gridSpan w:val="7"/>
          </w:tcPr>
          <w:p>
            <w:pPr>
              <w:spacing w:after="0" w:line="108" w:lineRule="exact"/>
              <w:rPr>
                <w:sz w:val="20"/>
                <w:szCs w:val="20"/>
                <w:color w:val="auto"/>
              </w:rPr>
            </w:pPr>
            <w:r>
              <w:rPr>
                <w:rFonts w:ascii="Times New Roman" w:cs="Times New Roman" w:eastAsia="Times New Roman" w:hAnsi="Times New Roman"/>
                <w:sz w:val="12"/>
                <w:szCs w:val="12"/>
                <w:b w:val="1"/>
                <w:bCs w:val="1"/>
                <w:color w:val="auto"/>
              </w:rPr>
              <w:t>PSQ Holdings, Inc. (d/b/a</w:t>
            </w:r>
          </w:p>
        </w:tc>
        <w:tc>
          <w:tcPr>
            <w:tcW w:w="720" w:type="dxa"/>
            <w:vAlign w:val="bottom"/>
            <w:vMerge w:val="restart"/>
          </w:tcPr>
          <w:p>
            <w:pPr>
              <w:spacing w:after="0"/>
              <w:rPr>
                <w:sz w:val="11"/>
                <w:szCs w:val="11"/>
                <w:color w:val="auto"/>
              </w:rPr>
            </w:pPr>
          </w:p>
        </w:tc>
        <w:tc>
          <w:tcPr>
            <w:tcW w:w="340" w:type="dxa"/>
            <w:vAlign w:val="bottom"/>
            <w:gridSpan w:val="2"/>
            <w:vMerge w:val="restart"/>
          </w:tcPr>
          <w:p>
            <w:pPr>
              <w:spacing w:after="0"/>
              <w:rPr>
                <w:sz w:val="11"/>
                <w:szCs w:val="11"/>
                <w:color w:val="auto"/>
              </w:rPr>
            </w:pPr>
          </w:p>
        </w:tc>
        <w:tc>
          <w:tcPr>
            <w:tcW w:w="14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color w:val="auto"/>
                <w:w w:val="99"/>
              </w:rPr>
              <w:t>West Palm Beach,</w:t>
            </w: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06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w w:val="97"/>
              </w:rPr>
              <w:t>PublicSquare)**</w:t>
            </w:r>
          </w:p>
        </w:tc>
        <w:tc>
          <w:tcPr>
            <w:tcW w:w="360" w:type="dxa"/>
            <w:vAlign w:val="bottom"/>
            <w:gridSpan w:val="5"/>
            <w:vMerge w:val="restart"/>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w w:val="92"/>
              </w:rPr>
              <w:t>(3)(15)</w:t>
            </w:r>
          </w:p>
        </w:tc>
        <w:tc>
          <w:tcPr>
            <w:tcW w:w="2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340" w:type="dxa"/>
            <w:vAlign w:val="bottom"/>
            <w:gridSpan w:val="2"/>
            <w:vMerge w:val="continue"/>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1060" w:type="dxa"/>
            <w:vAlign w:val="bottom"/>
            <w:vMerge w:val="continue"/>
          </w:tcPr>
          <w:p>
            <w:pPr>
              <w:spacing w:after="0"/>
              <w:rPr>
                <w:sz w:val="9"/>
                <w:szCs w:val="9"/>
                <w:color w:val="auto"/>
              </w:rPr>
            </w:pPr>
          </w:p>
        </w:tc>
        <w:tc>
          <w:tcPr>
            <w:tcW w:w="360" w:type="dxa"/>
            <w:vAlign w:val="bottom"/>
            <w:tcBorders>
              <w:bottom w:val="single" w:sz="8" w:color="auto"/>
            </w:tcBorders>
            <w:gridSpan w:val="5"/>
            <w:vMerge w:val="continue"/>
          </w:tcPr>
          <w:p>
            <w:pPr>
              <w:spacing w:after="0"/>
              <w:rPr>
                <w:sz w:val="9"/>
                <w:szCs w:val="9"/>
                <w:color w:val="auto"/>
              </w:rPr>
            </w:pPr>
          </w:p>
        </w:tc>
        <w:tc>
          <w:tcPr>
            <w:tcW w:w="940" w:type="dxa"/>
            <w:vAlign w:val="bottom"/>
            <w:gridSpan w:val="2"/>
            <w:vMerge w:val="restart"/>
          </w:tcPr>
          <w:p>
            <w:pPr>
              <w:spacing w:after="0"/>
              <w:rPr>
                <w:sz w:val="9"/>
                <w:szCs w:val="9"/>
                <w:color w:val="auto"/>
              </w:rPr>
            </w:pPr>
          </w:p>
        </w:tc>
        <w:tc>
          <w:tcPr>
            <w:tcW w:w="340" w:type="dxa"/>
            <w:vAlign w:val="bottom"/>
            <w:gridSpan w:val="2"/>
            <w:vMerge w:val="restart"/>
          </w:tcPr>
          <w:p>
            <w:pPr>
              <w:spacing w:after="0"/>
              <w:rPr>
                <w:sz w:val="9"/>
                <w:szCs w:val="9"/>
                <w:color w:val="auto"/>
              </w:rPr>
            </w:pPr>
          </w:p>
        </w:tc>
        <w:tc>
          <w:tcPr>
            <w:tcW w:w="1480" w:type="dxa"/>
            <w:vAlign w:val="bottom"/>
            <w:gridSpan w:val="2"/>
            <w:vMerge w:val="restart"/>
          </w:tcPr>
          <w:p>
            <w:pPr>
              <w:jc w:val="center"/>
              <w:ind w:right="220"/>
              <w:spacing w:after="0" w:line="163" w:lineRule="exact"/>
              <w:rPr>
                <w:sz w:val="20"/>
                <w:szCs w:val="20"/>
                <w:color w:val="auto"/>
              </w:rPr>
            </w:pPr>
            <w:r>
              <w:rPr>
                <w:rFonts w:ascii="Times New Roman" w:cs="Times New Roman" w:eastAsia="Times New Roman" w:hAnsi="Times New Roman"/>
                <w:sz w:val="15"/>
                <w:szCs w:val="15"/>
                <w:color w:val="auto"/>
              </w:rPr>
              <w:t>FL</w:t>
            </w: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1060" w:type="dxa"/>
            <w:vAlign w:val="bottom"/>
            <w:tcBorders>
              <w:bottom w:val="single" w:sz="8" w:color="auto"/>
            </w:tcBorders>
            <w:vMerge w:val="continue"/>
          </w:tcPr>
          <w:p>
            <w:pPr>
              <w:spacing w:after="0"/>
              <w:rPr>
                <w:sz w:val="3"/>
                <w:szCs w:val="3"/>
                <w:color w:val="auto"/>
              </w:rPr>
            </w:pPr>
          </w:p>
        </w:tc>
        <w:tc>
          <w:tcPr>
            <w:tcW w:w="100" w:type="dxa"/>
            <w:vAlign w:val="bottom"/>
            <w:gridSpan w:val="2"/>
          </w:tcPr>
          <w:p>
            <w:pPr>
              <w:spacing w:after="0"/>
              <w:rPr>
                <w:sz w:val="3"/>
                <w:szCs w:val="3"/>
                <w:color w:val="auto"/>
              </w:rPr>
            </w:pPr>
          </w:p>
        </w:tc>
        <w:tc>
          <w:tcPr>
            <w:tcW w:w="2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340" w:type="dxa"/>
            <w:vAlign w:val="bottom"/>
            <w:gridSpan w:val="2"/>
            <w:vMerge w:val="continue"/>
          </w:tcPr>
          <w:p>
            <w:pPr>
              <w:spacing w:after="0"/>
              <w:rPr>
                <w:sz w:val="3"/>
                <w:szCs w:val="3"/>
                <w:color w:val="auto"/>
              </w:rPr>
            </w:pPr>
          </w:p>
        </w:tc>
        <w:tc>
          <w:tcPr>
            <w:tcW w:w="1480" w:type="dxa"/>
            <w:vAlign w:val="bottom"/>
            <w:gridSpan w:val="2"/>
            <w:vMerge w:val="continue"/>
          </w:tcPr>
          <w:p>
            <w:pPr>
              <w:spacing w:after="0"/>
              <w:rPr>
                <w:sz w:val="3"/>
                <w:szCs w:val="3"/>
                <w:color w:val="auto"/>
              </w:rPr>
            </w:pPr>
          </w:p>
        </w:tc>
        <w:tc>
          <w:tcPr>
            <w:tcW w:w="1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9"/>
              </w:rPr>
              <w:t>E-Commerce</w:t>
            </w: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 Class A</w:t>
            </w:r>
          </w:p>
        </w:tc>
        <w:tc>
          <w:tcPr>
            <w:tcW w:w="14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rPr>
              <w:t>Marketplace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4/1/2021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1,976,032</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1,556,587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8,542,386</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w:t>
            </w:r>
          </w:p>
        </w:tc>
        <w:tc>
          <w:tcPr>
            <w:tcW w:w="0" w:type="dxa"/>
            <w:vAlign w:val="bottom"/>
          </w:tcPr>
          <w:p>
            <w:pPr>
              <w:spacing w:after="0"/>
              <w:rPr>
                <w:sz w:val="1"/>
                <w:szCs w:val="1"/>
                <w:color w:val="auto"/>
              </w:rPr>
            </w:pPr>
          </w:p>
        </w:tc>
      </w:tr>
      <w:tr>
        <w:trPr>
          <w:trHeight w:val="168"/>
        </w:trPr>
        <w:tc>
          <w:tcPr>
            <w:tcW w:w="2700" w:type="dxa"/>
            <w:vAlign w:val="bottom"/>
            <w:gridSpan w:val="10"/>
          </w:tcPr>
          <w:p>
            <w:pPr>
              <w:spacing w:after="0" w:line="168" w:lineRule="exact"/>
              <w:rPr>
                <w:sz w:val="20"/>
                <w:szCs w:val="20"/>
                <w:color w:val="auto"/>
              </w:rPr>
            </w:pPr>
            <w:r>
              <w:rPr>
                <w:rFonts w:ascii="Times New Roman" w:cs="Times New Roman" w:eastAsia="Times New Roman" w:hAnsi="Times New Roman"/>
                <w:sz w:val="15"/>
                <w:szCs w:val="15"/>
                <w:color w:val="auto"/>
              </w:rPr>
              <w:t>Warrants, Strike Price $11.50,</w:t>
            </w: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700" w:type="dxa"/>
            <w:vAlign w:val="bottom"/>
            <w:gridSpan w:val="10"/>
          </w:tcPr>
          <w:p>
            <w:pPr>
              <w:spacing w:after="0"/>
              <w:rPr>
                <w:sz w:val="20"/>
                <w:szCs w:val="20"/>
                <w:color w:val="auto"/>
              </w:rPr>
            </w:pPr>
            <w:r>
              <w:rPr>
                <w:rFonts w:ascii="Times New Roman" w:cs="Times New Roman" w:eastAsia="Times New Roman" w:hAnsi="Times New Roman"/>
                <w:sz w:val="15"/>
                <w:szCs w:val="15"/>
                <w:color w:val="auto"/>
              </w:rPr>
              <w:t>Expiration Date 7/19/2028</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4/1/2021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2,396,037</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1,028,653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1,964,750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0.97%</w:t>
            </w:r>
          </w:p>
        </w:tc>
        <w:tc>
          <w:tcPr>
            <w:tcW w:w="0" w:type="dxa"/>
            <w:vAlign w:val="bottom"/>
          </w:tcPr>
          <w:p>
            <w:pPr>
              <w:spacing w:after="0"/>
              <w:rPr>
                <w:sz w:val="1"/>
                <w:szCs w:val="1"/>
                <w:color w:val="auto"/>
              </w:rPr>
            </w:pPr>
          </w:p>
        </w:tc>
      </w:tr>
      <w:tr>
        <w:trPr>
          <w:trHeight w:val="174"/>
        </w:trPr>
        <w:tc>
          <w:tcPr>
            <w:tcW w:w="2700" w:type="dxa"/>
            <w:vAlign w:val="bottom"/>
            <w:tcBorders>
              <w:top w:val="single" w:sz="8" w:color="CCEEFF"/>
            </w:tcBorders>
            <w:gridSpan w:val="10"/>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1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2,585,240</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10,507,136</w:t>
            </w:r>
          </w:p>
        </w:tc>
        <w:tc>
          <w:tcPr>
            <w:tcW w:w="3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47"/>
        </w:trPr>
        <w:tc>
          <w:tcPr>
            <w:tcW w:w="2360" w:type="dxa"/>
            <w:vAlign w:val="bottom"/>
            <w:tcBorders>
              <w:bottom w:val="single" w:sz="8" w:color="auto"/>
            </w:tcBorders>
            <w:gridSpan w:val="8"/>
          </w:tcPr>
          <w:p>
            <w:pPr>
              <w:spacing w:after="0" w:line="140" w:lineRule="exact"/>
              <w:rPr>
                <w:sz w:val="20"/>
                <w:szCs w:val="20"/>
                <w:color w:val="auto"/>
              </w:rPr>
            </w:pPr>
            <w:r>
              <w:rPr>
                <w:rFonts w:ascii="Times New Roman" w:cs="Times New Roman" w:eastAsia="Times New Roman" w:hAnsi="Times New Roman"/>
                <w:sz w:val="15"/>
                <w:szCs w:val="15"/>
                <w:b w:val="1"/>
                <w:bCs w:val="1"/>
                <w:color w:val="auto"/>
                <w:w w:val="98"/>
              </w:rPr>
              <w:t>OneValley, Inc. (f/k/a NestGSV, Inc.)</w:t>
            </w:r>
          </w:p>
        </w:tc>
        <w:tc>
          <w:tcPr>
            <w:tcW w:w="340" w:type="dxa"/>
            <w:vAlign w:val="bottom"/>
            <w:gridSpan w:val="2"/>
          </w:tcPr>
          <w:p>
            <w:pPr>
              <w:spacing w:after="0"/>
              <w:rPr>
                <w:sz w:val="12"/>
                <w:szCs w:val="12"/>
                <w:color w:val="auto"/>
              </w:rPr>
            </w:pPr>
          </w:p>
        </w:tc>
        <w:tc>
          <w:tcPr>
            <w:tcW w:w="1480" w:type="dxa"/>
            <w:vAlign w:val="bottom"/>
            <w:gridSpan w:val="2"/>
          </w:tcPr>
          <w:p>
            <w:pPr>
              <w:jc w:val="center"/>
              <w:ind w:right="220"/>
              <w:spacing w:after="0" w:line="140" w:lineRule="exact"/>
              <w:rPr>
                <w:sz w:val="20"/>
                <w:szCs w:val="20"/>
                <w:color w:val="auto"/>
              </w:rPr>
            </w:pPr>
            <w:r>
              <w:rPr>
                <w:rFonts w:ascii="Times New Roman" w:cs="Times New Roman" w:eastAsia="Times New Roman" w:hAnsi="Times New Roman"/>
                <w:sz w:val="15"/>
                <w:szCs w:val="15"/>
                <w:color w:val="auto"/>
              </w:rPr>
              <w:t>San Mateo, CA</w:t>
            </w: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7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5"/>
                <w:szCs w:val="15"/>
                <w:color w:val="auto"/>
              </w:rPr>
              <w:t>Derivative Security, Expiration Date</w:t>
            </w:r>
          </w:p>
        </w:tc>
        <w:tc>
          <w:tcPr>
            <w:tcW w:w="14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rPr>
              <w:t>Global Innovation</w:t>
            </w: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06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15"/>
                <w:szCs w:val="15"/>
                <w:color w:val="auto"/>
              </w:rPr>
              <w:t>8/23/2024</w:t>
            </w:r>
            <w:r>
              <w:rPr>
                <w:rFonts w:ascii="Times New Roman" w:cs="Times New Roman" w:eastAsia="Times New Roman" w:hAnsi="Times New Roman"/>
                <w:sz w:val="25"/>
                <w:szCs w:val="25"/>
                <w:color w:val="auto"/>
                <w:vertAlign w:val="superscript"/>
              </w:rPr>
              <w:t>(9)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8"/>
              </w:rPr>
              <w:t>Platform</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8/23/2019</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8,555,124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620,927</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0.31%</w:t>
            </w:r>
          </w:p>
        </w:tc>
        <w:tc>
          <w:tcPr>
            <w:tcW w:w="0" w:type="dxa"/>
            <w:vAlign w:val="bottom"/>
          </w:tcPr>
          <w:p>
            <w:pPr>
              <w:spacing w:after="0"/>
              <w:rPr>
                <w:sz w:val="1"/>
                <w:szCs w:val="1"/>
                <w:color w:val="auto"/>
              </w:rPr>
            </w:pPr>
          </w:p>
        </w:tc>
      </w:tr>
      <w:tr>
        <w:trPr>
          <w:trHeight w:val="169"/>
        </w:trPr>
        <w:tc>
          <w:tcPr>
            <w:tcW w:w="2700" w:type="dxa"/>
            <w:vAlign w:val="bottom"/>
            <w:gridSpan w:val="10"/>
          </w:tcPr>
          <w:p>
            <w:pPr>
              <w:spacing w:after="0" w:line="169" w:lineRule="exact"/>
              <w:rPr>
                <w:sz w:val="20"/>
                <w:szCs w:val="20"/>
                <w:color w:val="auto"/>
              </w:rPr>
            </w:pPr>
            <w:r>
              <w:rPr>
                <w:rFonts w:ascii="Times New Roman" w:cs="Times New Roman" w:eastAsia="Times New Roman" w:hAnsi="Times New Roman"/>
                <w:sz w:val="15"/>
                <w:szCs w:val="15"/>
                <w:color w:val="auto"/>
              </w:rPr>
              <w:t>Convertible Promissory Note 8% Due</w:t>
            </w: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1060" w:type="dxa"/>
            <w:vAlign w:val="bottom"/>
          </w:tcPr>
          <w:p>
            <w:pPr>
              <w:spacing w:after="0" w:line="240" w:lineRule="exact"/>
              <w:rPr>
                <w:sz w:val="20"/>
                <w:szCs w:val="20"/>
                <w:color w:val="auto"/>
              </w:rPr>
            </w:pPr>
            <w:r>
              <w:rPr>
                <w:rFonts w:ascii="Times New Roman" w:cs="Times New Roman" w:eastAsia="Times New Roman" w:hAnsi="Times New Roman"/>
                <w:sz w:val="15"/>
                <w:szCs w:val="15"/>
                <w:color w:val="auto"/>
              </w:rPr>
              <w:t>8/23/2024</w:t>
            </w:r>
            <w:r>
              <w:rPr>
                <w:rFonts w:ascii="Times New Roman" w:cs="Times New Roman" w:eastAsia="Times New Roman" w:hAnsi="Times New Roman"/>
                <w:sz w:val="25"/>
                <w:szCs w:val="25"/>
                <w:color w:val="auto"/>
                <w:vertAlign w:val="superscript"/>
              </w:rPr>
              <w:t>(4)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2/17/2016</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1,010,198</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1,030,176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1,267,395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0.62%</w:t>
            </w:r>
          </w:p>
        </w:tc>
        <w:tc>
          <w:tcPr>
            <w:tcW w:w="0" w:type="dxa"/>
            <w:vAlign w:val="bottom"/>
          </w:tcPr>
          <w:p>
            <w:pPr>
              <w:spacing w:after="0"/>
              <w:rPr>
                <w:sz w:val="1"/>
                <w:szCs w:val="1"/>
                <w:color w:val="auto"/>
              </w:rPr>
            </w:pPr>
          </w:p>
        </w:tc>
      </w:tr>
      <w:tr>
        <w:trPr>
          <w:trHeight w:val="174"/>
        </w:trPr>
        <w:tc>
          <w:tcPr>
            <w:tcW w:w="2700" w:type="dxa"/>
            <w:vAlign w:val="bottom"/>
            <w:tcBorders>
              <w:top w:val="single" w:sz="8" w:color="CCEEFF"/>
            </w:tcBorders>
            <w:gridSpan w:val="10"/>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1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9,585,300</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1,888,322</w:t>
            </w:r>
          </w:p>
        </w:tc>
        <w:tc>
          <w:tcPr>
            <w:tcW w:w="3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0.93</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47"/>
        </w:trPr>
        <w:tc>
          <w:tcPr>
            <w:tcW w:w="2700" w:type="dxa"/>
            <w:vAlign w:val="bottom"/>
            <w:gridSpan w:val="10"/>
          </w:tcPr>
          <w:p>
            <w:pPr>
              <w:spacing w:after="0" w:line="140" w:lineRule="exact"/>
              <w:rPr>
                <w:sz w:val="20"/>
                <w:szCs w:val="20"/>
                <w:color w:val="auto"/>
              </w:rPr>
            </w:pPr>
            <w:r>
              <w:rPr>
                <w:rFonts w:ascii="Times New Roman" w:cs="Times New Roman" w:eastAsia="Times New Roman" w:hAnsi="Times New Roman"/>
                <w:sz w:val="15"/>
                <w:szCs w:val="15"/>
                <w:b w:val="1"/>
                <w:bCs w:val="1"/>
                <w:color w:val="auto"/>
              </w:rPr>
              <w:t>Maven Research, Inc.</w:t>
            </w:r>
          </w:p>
        </w:tc>
        <w:tc>
          <w:tcPr>
            <w:tcW w:w="1480" w:type="dxa"/>
            <w:vAlign w:val="bottom"/>
            <w:gridSpan w:val="2"/>
          </w:tcPr>
          <w:p>
            <w:pPr>
              <w:jc w:val="center"/>
              <w:ind w:right="220"/>
              <w:spacing w:after="0" w:line="140" w:lineRule="exact"/>
              <w:rPr>
                <w:sz w:val="20"/>
                <w:szCs w:val="20"/>
                <w:color w:val="auto"/>
              </w:rPr>
            </w:pPr>
            <w:r>
              <w:rPr>
                <w:rFonts w:ascii="Times New Roman" w:cs="Times New Roman" w:eastAsia="Times New Roman" w:hAnsi="Times New Roman"/>
                <w:sz w:val="15"/>
                <w:szCs w:val="15"/>
                <w:color w:val="auto"/>
              </w:rPr>
              <w:t>San Francisco, CA</w:t>
            </w: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Knowledge</w:t>
            </w: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Series C</w:t>
            </w:r>
          </w:p>
        </w:tc>
        <w:tc>
          <w:tcPr>
            <w:tcW w:w="14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rPr>
              <w:t>Networks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7/2/2012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318,979</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2,000,447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4"/>
        </w:trPr>
        <w:tc>
          <w:tcPr>
            <w:tcW w:w="2700" w:type="dxa"/>
            <w:vAlign w:val="bottom"/>
            <w:gridSpan w:val="10"/>
          </w:tcPr>
          <w:p>
            <w:pPr>
              <w:spacing w:after="0"/>
              <w:rPr>
                <w:sz w:val="20"/>
                <w:szCs w:val="20"/>
                <w:color w:val="auto"/>
              </w:rPr>
            </w:pPr>
            <w:r>
              <w:rPr>
                <w:rFonts w:ascii="Times New Roman" w:cs="Times New Roman" w:eastAsia="Times New Roman" w:hAnsi="Times New Roman"/>
                <w:sz w:val="15"/>
                <w:szCs w:val="15"/>
                <w:color w:val="auto"/>
              </w:rPr>
              <w:t>Preferred shares, Series B</w:t>
            </w: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2/28/2012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49,505</w:t>
            </w:r>
          </w:p>
        </w:tc>
        <w:tc>
          <w:tcPr>
            <w:tcW w:w="2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217,206</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4"/>
        </w:trPr>
        <w:tc>
          <w:tcPr>
            <w:tcW w:w="2700" w:type="dxa"/>
            <w:vAlign w:val="bottom"/>
            <w:tcBorders>
              <w:top w:val="single" w:sz="8" w:color="CCEEFF"/>
            </w:tcBorders>
            <w:gridSpan w:val="10"/>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1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2,217,653</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47"/>
        </w:trPr>
        <w:tc>
          <w:tcPr>
            <w:tcW w:w="1160" w:type="dxa"/>
            <w:vAlign w:val="bottom"/>
            <w:tcBorders>
              <w:bottom w:val="single" w:sz="8" w:color="auto"/>
            </w:tcBorders>
            <w:gridSpan w:val="3"/>
          </w:tcPr>
          <w:p>
            <w:pPr>
              <w:spacing w:after="0" w:line="140" w:lineRule="exact"/>
              <w:rPr>
                <w:sz w:val="20"/>
                <w:szCs w:val="20"/>
                <w:color w:val="auto"/>
              </w:rPr>
            </w:pPr>
            <w:r>
              <w:rPr>
                <w:rFonts w:ascii="Times New Roman" w:cs="Times New Roman" w:eastAsia="Times New Roman" w:hAnsi="Times New Roman"/>
                <w:sz w:val="15"/>
                <w:szCs w:val="15"/>
                <w:b w:val="1"/>
                <w:bCs w:val="1"/>
                <w:color w:val="auto"/>
                <w:w w:val="99"/>
              </w:rPr>
              <w:t>Curious.com, Inc.</w:t>
            </w:r>
          </w:p>
        </w:tc>
        <w:tc>
          <w:tcPr>
            <w:tcW w:w="1540" w:type="dxa"/>
            <w:vAlign w:val="bottom"/>
            <w:gridSpan w:val="7"/>
          </w:tcPr>
          <w:p>
            <w:pPr>
              <w:spacing w:after="0"/>
              <w:rPr>
                <w:sz w:val="12"/>
                <w:szCs w:val="12"/>
                <w:color w:val="auto"/>
              </w:rPr>
            </w:pPr>
          </w:p>
        </w:tc>
        <w:tc>
          <w:tcPr>
            <w:tcW w:w="1480" w:type="dxa"/>
            <w:vAlign w:val="bottom"/>
            <w:gridSpan w:val="2"/>
          </w:tcPr>
          <w:p>
            <w:pPr>
              <w:jc w:val="center"/>
              <w:ind w:right="240"/>
              <w:spacing w:after="0" w:line="140" w:lineRule="exact"/>
              <w:rPr>
                <w:sz w:val="20"/>
                <w:szCs w:val="20"/>
                <w:color w:val="auto"/>
              </w:rPr>
            </w:pPr>
            <w:r>
              <w:rPr>
                <w:rFonts w:ascii="Times New Roman" w:cs="Times New Roman" w:eastAsia="Times New Roman" w:hAnsi="Times New Roman"/>
                <w:sz w:val="15"/>
                <w:szCs w:val="15"/>
                <w:color w:val="auto"/>
              </w:rPr>
              <w:t>Menlo Park, CA</w:t>
            </w: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7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14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rPr>
              <w:t>Online Education</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11/22/2013</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1,135,944</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12,000,006</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460" w:type="dxa"/>
            <w:vAlign w:val="bottom"/>
            <w:gridSpan w:val="7"/>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 Non-controlled/Affiliate</w:t>
            </w:r>
          </w:p>
        </w:tc>
        <w:tc>
          <w:tcPr>
            <w:tcW w:w="17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32,775,940</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24,931,333</w:t>
            </w: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12.26%</w:t>
            </w: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60" w:type="dxa"/>
            <w:vAlign w:val="bottom"/>
            <w:gridSpan w:val="7"/>
            <w:shd w:val="clear" w:color="auto" w:fill="CCEEFF"/>
          </w:tcPr>
          <w:p>
            <w:pPr>
              <w:spacing w:after="0" w:line="216" w:lineRule="exact"/>
              <w:rPr>
                <w:sz w:val="20"/>
                <w:szCs w:val="20"/>
                <w:color w:val="auto"/>
              </w:rPr>
            </w:pPr>
            <w:r>
              <w:rPr>
                <w:rFonts w:ascii="Times New Roman" w:cs="Times New Roman" w:eastAsia="Times New Roman" w:hAnsi="Times New Roman"/>
                <w:sz w:val="15"/>
                <w:szCs w:val="15"/>
                <w:b w:val="1"/>
                <w:bCs w:val="1"/>
                <w:color w:val="auto"/>
              </w:rPr>
              <w:t>CONTROLLED</w:t>
            </w:r>
            <w:r>
              <w:rPr>
                <w:rFonts w:ascii="Times New Roman" w:cs="Times New Roman" w:eastAsia="Times New Roman" w:hAnsi="Times New Roman"/>
                <w:sz w:val="25"/>
                <w:szCs w:val="25"/>
                <w:b w:val="1"/>
                <w:bCs w:val="1"/>
                <w:color w:val="auto"/>
                <w:vertAlign w:val="superscript"/>
              </w:rPr>
              <w:t>(2)</w:t>
            </w:r>
          </w:p>
        </w:tc>
        <w:tc>
          <w:tcPr>
            <w:tcW w:w="1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460" w:type="dxa"/>
            <w:vAlign w:val="bottom"/>
            <w:tcBorders>
              <w:bottom w:val="single" w:sz="8" w:color="auto"/>
            </w:tcBorders>
            <w:gridSpan w:val="7"/>
          </w:tcPr>
          <w:p>
            <w:pPr>
              <w:spacing w:after="0" w:line="149" w:lineRule="exact"/>
              <w:rPr>
                <w:sz w:val="20"/>
                <w:szCs w:val="20"/>
                <w:color w:val="auto"/>
              </w:rPr>
            </w:pPr>
            <w:r>
              <w:rPr>
                <w:rFonts w:ascii="Times New Roman" w:cs="Times New Roman" w:eastAsia="Times New Roman" w:hAnsi="Times New Roman"/>
                <w:sz w:val="15"/>
                <w:szCs w:val="15"/>
                <w:b w:val="1"/>
                <w:bCs w:val="1"/>
                <w:color w:val="auto"/>
                <w:w w:val="98"/>
              </w:rPr>
              <w:t>Architect Capital PayJoy SPV, LLC**</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color w:val="auto"/>
              </w:rPr>
              <w:t>San Francisco, CA</w:t>
            </w:r>
          </w:p>
        </w:tc>
        <w:tc>
          <w:tcPr>
            <w:tcW w:w="1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4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5"/>
                <w:szCs w:val="15"/>
                <w:color w:val="auto"/>
              </w:rPr>
              <w:t>Membership Interest in Lending</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Mobile Finance</w:t>
            </w:r>
          </w:p>
        </w:tc>
        <w:tc>
          <w:tcPr>
            <w:tcW w:w="1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4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5"/>
                <w:szCs w:val="15"/>
                <w:color w:val="auto"/>
              </w:rPr>
              <w:t>SPV***</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Technology</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3/24/2021</w:t>
            </w:r>
          </w:p>
        </w:tc>
        <w:tc>
          <w:tcPr>
            <w:tcW w:w="5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10,000,000</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10,006,745</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10,000,000</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4.92%</w:t>
            </w:r>
          </w:p>
        </w:tc>
        <w:tc>
          <w:tcPr>
            <w:tcW w:w="0" w:type="dxa"/>
            <w:vAlign w:val="bottom"/>
          </w:tcPr>
          <w:p>
            <w:pPr>
              <w:spacing w:after="0"/>
              <w:rPr>
                <w:sz w:val="1"/>
                <w:szCs w:val="1"/>
                <w:color w:val="auto"/>
              </w:rPr>
            </w:pPr>
          </w:p>
        </w:tc>
      </w:tr>
      <w:tr>
        <w:trPr>
          <w:trHeight w:val="125"/>
        </w:trPr>
        <w:tc>
          <w:tcPr>
            <w:tcW w:w="1920" w:type="dxa"/>
            <w:vAlign w:val="bottom"/>
            <w:gridSpan w:val="5"/>
            <w:vMerge w:val="restart"/>
          </w:tcPr>
          <w:p>
            <w:pPr>
              <w:spacing w:after="0"/>
              <w:rPr>
                <w:sz w:val="20"/>
                <w:szCs w:val="20"/>
                <w:color w:val="auto"/>
              </w:rPr>
            </w:pPr>
            <w:r>
              <w:rPr>
                <w:rFonts w:ascii="Times New Roman" w:cs="Times New Roman" w:eastAsia="Times New Roman" w:hAnsi="Times New Roman"/>
                <w:sz w:val="15"/>
                <w:szCs w:val="15"/>
                <w:b w:val="1"/>
                <w:bCs w:val="1"/>
                <w:color w:val="auto"/>
              </w:rPr>
              <w:t>Colombier Sponsor II LLC**</w:t>
            </w:r>
          </w:p>
        </w:tc>
        <w:tc>
          <w:tcPr>
            <w:tcW w:w="20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w w:val="89"/>
              </w:rPr>
              <w:t>(10)</w:t>
            </w:r>
          </w:p>
        </w:tc>
        <w:tc>
          <w:tcPr>
            <w:tcW w:w="340" w:type="dxa"/>
            <w:vAlign w:val="bottom"/>
            <w:vMerge w:val="restart"/>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Palm Beach, FL</w:t>
            </w:r>
          </w:p>
        </w:tc>
        <w:tc>
          <w:tcPr>
            <w:tcW w:w="1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1920" w:type="dxa"/>
            <w:vAlign w:val="bottom"/>
            <w:tcBorders>
              <w:bottom w:val="single" w:sz="8" w:color="auto"/>
            </w:tcBorders>
            <w:gridSpan w:val="5"/>
            <w:vMerge w:val="continue"/>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vMerge w:val="continue"/>
          </w:tcPr>
          <w:p>
            <w:pPr>
              <w:spacing w:after="0"/>
              <w:rPr>
                <w:sz w:val="3"/>
                <w:szCs w:val="3"/>
                <w:color w:val="auto"/>
              </w:rPr>
            </w:pPr>
          </w:p>
        </w:tc>
        <w:tc>
          <w:tcPr>
            <w:tcW w:w="1720" w:type="dxa"/>
            <w:vAlign w:val="bottom"/>
            <w:vMerge w:val="continue"/>
          </w:tcPr>
          <w:p>
            <w:pPr>
              <w:spacing w:after="0"/>
              <w:rPr>
                <w:sz w:val="3"/>
                <w:szCs w:val="3"/>
                <w:color w:val="auto"/>
              </w:rPr>
            </w:pPr>
          </w:p>
        </w:tc>
        <w:tc>
          <w:tcPr>
            <w:tcW w:w="1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Special Purpose</w:t>
            </w:r>
          </w:p>
        </w:tc>
        <w:tc>
          <w:tcPr>
            <w:tcW w:w="1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Acquisition</w:t>
            </w:r>
          </w:p>
        </w:tc>
        <w:tc>
          <w:tcPr>
            <w:tcW w:w="1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4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5"/>
                <w:szCs w:val="15"/>
                <w:color w:val="auto"/>
              </w:rPr>
              <w:t>Class B Units</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Company</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11/20/2023</w:t>
            </w:r>
          </w:p>
        </w:tc>
        <w:tc>
          <w:tcPr>
            <w:tcW w:w="5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1,040,000</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842,289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1,101,695</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0.54%</w:t>
            </w:r>
          </w:p>
        </w:tc>
        <w:tc>
          <w:tcPr>
            <w:tcW w:w="0" w:type="dxa"/>
            <w:vAlign w:val="bottom"/>
          </w:tcPr>
          <w:p>
            <w:pPr>
              <w:spacing w:after="0"/>
              <w:rPr>
                <w:sz w:val="1"/>
                <w:szCs w:val="1"/>
                <w:color w:val="auto"/>
              </w:rPr>
            </w:pPr>
          </w:p>
        </w:tc>
      </w:tr>
      <w:tr>
        <w:trPr>
          <w:trHeight w:val="194"/>
        </w:trPr>
        <w:tc>
          <w:tcPr>
            <w:tcW w:w="2460" w:type="dxa"/>
            <w:vAlign w:val="bottom"/>
            <w:gridSpan w:val="7"/>
          </w:tcPr>
          <w:p>
            <w:pPr>
              <w:spacing w:after="0"/>
              <w:rPr>
                <w:sz w:val="20"/>
                <w:szCs w:val="20"/>
                <w:color w:val="auto"/>
              </w:rPr>
            </w:pPr>
            <w:r>
              <w:rPr>
                <w:rFonts w:ascii="Times New Roman" w:cs="Times New Roman" w:eastAsia="Times New Roman" w:hAnsi="Times New Roman"/>
                <w:sz w:val="15"/>
                <w:szCs w:val="15"/>
                <w:color w:val="auto"/>
              </w:rPr>
              <w:t>Class W Units</w:t>
            </w:r>
          </w:p>
        </w:tc>
        <w:tc>
          <w:tcPr>
            <w:tcW w:w="1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1,600,000</w:t>
            </w:r>
          </w:p>
        </w:tc>
        <w:tc>
          <w:tcPr>
            <w:tcW w:w="2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760,651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498,305</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0.25%</w:t>
            </w:r>
          </w:p>
        </w:tc>
        <w:tc>
          <w:tcPr>
            <w:tcW w:w="0" w:type="dxa"/>
            <w:vAlign w:val="bottom"/>
          </w:tcPr>
          <w:p>
            <w:pPr>
              <w:spacing w:after="0"/>
              <w:rPr>
                <w:sz w:val="1"/>
                <w:szCs w:val="1"/>
                <w:color w:val="auto"/>
              </w:rPr>
            </w:pPr>
          </w:p>
        </w:tc>
      </w:tr>
      <w:tr>
        <w:trPr>
          <w:trHeight w:val="174"/>
        </w:trPr>
        <w:tc>
          <w:tcPr>
            <w:tcW w:w="2460" w:type="dxa"/>
            <w:vAlign w:val="bottom"/>
            <w:tcBorders>
              <w:top w:val="single" w:sz="8" w:color="CCEEFF"/>
            </w:tcBorders>
            <w:gridSpan w:val="7"/>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172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1,602,940</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1,600,000</w:t>
            </w:r>
          </w:p>
        </w:tc>
        <w:tc>
          <w:tcPr>
            <w:tcW w:w="3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0.79</w:t>
            </w:r>
          </w:p>
        </w:tc>
        <w:tc>
          <w:tcPr>
            <w:tcW w:w="16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28"/>
        </w:trPr>
        <w:tc>
          <w:tcPr>
            <w:tcW w:w="1620" w:type="dxa"/>
            <w:vAlign w:val="bottom"/>
            <w:tcBorders>
              <w:bottom w:val="single" w:sz="8" w:color="auto"/>
            </w:tcBorders>
            <w:gridSpan w:val="3"/>
          </w:tcPr>
          <w:p>
            <w:pPr>
              <w:spacing w:after="0" w:line="128" w:lineRule="exact"/>
              <w:rPr>
                <w:sz w:val="20"/>
                <w:szCs w:val="20"/>
                <w:color w:val="auto"/>
              </w:rPr>
            </w:pPr>
            <w:r>
              <w:rPr>
                <w:rFonts w:ascii="Times New Roman" w:cs="Times New Roman" w:eastAsia="Times New Roman" w:hAnsi="Times New Roman"/>
                <w:sz w:val="14"/>
                <w:szCs w:val="14"/>
                <w:b w:val="1"/>
                <w:bCs w:val="1"/>
                <w:color w:val="auto"/>
              </w:rPr>
              <w:t>SPBRX, INC. (f/k/a GSV</w:t>
            </w:r>
          </w:p>
        </w:tc>
        <w:tc>
          <w:tcPr>
            <w:tcW w:w="840" w:type="dxa"/>
            <w:vAlign w:val="bottom"/>
            <w:gridSpan w:val="4"/>
          </w:tcPr>
          <w:p>
            <w:pPr>
              <w:spacing w:after="0"/>
              <w:rPr>
                <w:sz w:val="11"/>
                <w:szCs w:val="11"/>
                <w:color w:val="auto"/>
              </w:rPr>
            </w:pPr>
          </w:p>
        </w:tc>
        <w:tc>
          <w:tcPr>
            <w:tcW w:w="1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460" w:type="dxa"/>
            <w:vAlign w:val="bottom"/>
            <w:gridSpan w:val="7"/>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Sustainability Partners, Inc.)</w:t>
            </w:r>
          </w:p>
        </w:tc>
        <w:tc>
          <w:tcPr>
            <w:tcW w:w="17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Cupertino, CA</w:t>
            </w: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6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Class A</w:t>
            </w:r>
          </w:p>
        </w:tc>
        <w:tc>
          <w:tcPr>
            <w:tcW w:w="600" w:type="dxa"/>
            <w:vAlign w:val="bottom"/>
            <w:gridSpan w:val="3"/>
            <w:shd w:val="clear" w:color="auto" w:fill="CCEEFF"/>
          </w:tcPr>
          <w:p>
            <w:pPr>
              <w:spacing w:after="0"/>
              <w:rPr>
                <w:sz w:val="16"/>
                <w:szCs w:val="16"/>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Clean Technology</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4/15/2014</w:t>
            </w: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14,300,000</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7,151,412</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382,381</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0.19%</w:t>
            </w:r>
          </w:p>
        </w:tc>
        <w:tc>
          <w:tcPr>
            <w:tcW w:w="0" w:type="dxa"/>
            <w:vAlign w:val="bottom"/>
          </w:tcPr>
          <w:p>
            <w:pPr>
              <w:spacing w:after="0"/>
              <w:rPr>
                <w:sz w:val="1"/>
                <w:szCs w:val="1"/>
                <w:color w:val="auto"/>
              </w:rPr>
            </w:pPr>
          </w:p>
        </w:tc>
      </w:tr>
      <w:tr>
        <w:trPr>
          <w:trHeight w:val="194"/>
        </w:trPr>
        <w:tc>
          <w:tcPr>
            <w:tcW w:w="2460" w:type="dxa"/>
            <w:vAlign w:val="bottom"/>
            <w:gridSpan w:val="7"/>
          </w:tcPr>
          <w:p>
            <w:pPr>
              <w:spacing w:after="0"/>
              <w:rPr>
                <w:sz w:val="20"/>
                <w:szCs w:val="20"/>
                <w:color w:val="auto"/>
              </w:rPr>
            </w:pPr>
            <w:r>
              <w:rPr>
                <w:rFonts w:ascii="Times New Roman" w:cs="Times New Roman" w:eastAsia="Times New Roman" w:hAnsi="Times New Roman"/>
                <w:sz w:val="15"/>
                <w:szCs w:val="15"/>
                <w:color w:val="auto"/>
              </w:rPr>
              <w:t>Common shares</w:t>
            </w:r>
          </w:p>
        </w:tc>
        <w:tc>
          <w:tcPr>
            <w:tcW w:w="17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4/15/2014</w:t>
            </w:r>
          </w:p>
        </w:tc>
        <w:tc>
          <w:tcPr>
            <w:tcW w:w="520" w:type="dxa"/>
            <w:vAlign w:val="bottom"/>
          </w:tcPr>
          <w:p>
            <w:pPr>
              <w:spacing w:after="0"/>
              <w:rPr>
                <w:sz w:val="16"/>
                <w:szCs w:val="16"/>
                <w:color w:val="auto"/>
              </w:rPr>
            </w:pPr>
          </w:p>
        </w:tc>
        <w:tc>
          <w:tcPr>
            <w:tcW w:w="122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100,000</w:t>
            </w:r>
          </w:p>
        </w:tc>
        <w:tc>
          <w:tcPr>
            <w:tcW w:w="2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10,000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4"/>
        </w:trPr>
        <w:tc>
          <w:tcPr>
            <w:tcW w:w="2460" w:type="dxa"/>
            <w:vAlign w:val="bottom"/>
            <w:tcBorders>
              <w:top w:val="single" w:sz="8" w:color="CCEEFF"/>
            </w:tcBorders>
            <w:gridSpan w:val="7"/>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172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7,161,412</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382,381</w:t>
            </w:r>
          </w:p>
        </w:tc>
        <w:tc>
          <w:tcPr>
            <w:tcW w:w="3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0.19</w:t>
            </w:r>
          </w:p>
        </w:tc>
        <w:tc>
          <w:tcPr>
            <w:tcW w:w="16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74"/>
        </w:trPr>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460" w:type="dxa"/>
            <w:vAlign w:val="bottom"/>
            <w:gridSpan w:val="7"/>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 Controlled</w:t>
            </w:r>
          </w:p>
        </w:tc>
        <w:tc>
          <w:tcPr>
            <w:tcW w:w="17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18,771,097</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11,982,381</w:t>
            </w: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5.89%</w:t>
            </w:r>
          </w:p>
        </w:tc>
        <w:tc>
          <w:tcPr>
            <w:tcW w:w="0" w:type="dxa"/>
            <w:vAlign w:val="bottom"/>
          </w:tcPr>
          <w:p>
            <w:pPr>
              <w:spacing w:after="0"/>
              <w:rPr>
                <w:sz w:val="1"/>
                <w:szCs w:val="1"/>
                <w:color w:val="auto"/>
              </w:rPr>
            </w:pPr>
          </w:p>
        </w:tc>
      </w:tr>
      <w:tr>
        <w:trPr>
          <w:trHeight w:val="185"/>
        </w:trPr>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460" w:type="dxa"/>
            <w:vAlign w:val="bottom"/>
            <w:gridSpan w:val="7"/>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Total Portfolio Investments</w:t>
            </w:r>
          </w:p>
        </w:tc>
        <w:tc>
          <w:tcPr>
            <w:tcW w:w="17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212,541,198</w:t>
            </w:r>
          </w:p>
        </w:tc>
        <w:tc>
          <w:tcPr>
            <w:tcW w:w="16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184,081,249</w:t>
            </w: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90.52%</w:t>
            </w:r>
          </w:p>
        </w:tc>
        <w:tc>
          <w:tcPr>
            <w:tcW w:w="0" w:type="dxa"/>
            <w:vAlign w:val="bottom"/>
          </w:tcPr>
          <w:p>
            <w:pPr>
              <w:spacing w:after="0"/>
              <w:rPr>
                <w:sz w:val="1"/>
                <w:szCs w:val="1"/>
                <w:color w:val="auto"/>
              </w:rPr>
            </w:pPr>
          </w:p>
        </w:tc>
      </w:tr>
      <w:tr>
        <w:trPr>
          <w:trHeight w:val="194"/>
        </w:trPr>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880" w:type="dxa"/>
            <w:vAlign w:val="bottom"/>
            <w:tcBorders>
              <w:bottom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5"/>
              </w:rPr>
              <w:t>U.S. Treasury</w:t>
            </w:r>
          </w:p>
        </w:tc>
        <w:tc>
          <w:tcPr>
            <w:tcW w:w="16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w w:val="99"/>
              </w:rPr>
              <w:t>(3)</w:t>
            </w:r>
          </w:p>
        </w:tc>
        <w:tc>
          <w:tcPr>
            <w:tcW w:w="1420" w:type="dxa"/>
            <w:vAlign w:val="bottom"/>
            <w:tcBorders>
              <w:bottom w:val="single" w:sz="8" w:color="CCEEFF"/>
            </w:tcBorders>
            <w:gridSpan w:val="5"/>
            <w:vMerge w:val="restart"/>
            <w:shd w:val="clear" w:color="auto" w:fill="CCEEFF"/>
          </w:tcPr>
          <w:p>
            <w:pPr>
              <w:spacing w:after="0"/>
              <w:rPr>
                <w:sz w:val="10"/>
                <w:szCs w:val="10"/>
                <w:color w:val="auto"/>
              </w:rPr>
            </w:pPr>
          </w:p>
        </w:tc>
        <w:tc>
          <w:tcPr>
            <w:tcW w:w="172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12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880" w:type="dxa"/>
            <w:vAlign w:val="bottom"/>
            <w:tcBorders>
              <w:bottom w:val="single" w:sz="8" w:color="auto"/>
            </w:tcBorders>
            <w:vMerge w:val="continue"/>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420" w:type="dxa"/>
            <w:vAlign w:val="bottom"/>
            <w:tcBorders>
              <w:bottom w:val="single" w:sz="8" w:color="CCEEFF"/>
            </w:tcBorders>
            <w:gridSpan w:val="5"/>
            <w:vMerge w:val="continue"/>
            <w:shd w:val="clear" w:color="auto" w:fill="CCEEFF"/>
          </w:tcPr>
          <w:p>
            <w:pPr>
              <w:spacing w:after="0"/>
              <w:rPr>
                <w:sz w:val="4"/>
                <w:szCs w:val="4"/>
                <w:color w:val="auto"/>
              </w:rPr>
            </w:pPr>
          </w:p>
        </w:tc>
        <w:tc>
          <w:tcPr>
            <w:tcW w:w="1720" w:type="dxa"/>
            <w:vAlign w:val="bottom"/>
            <w:tcBorders>
              <w:bottom w:val="single" w:sz="8" w:color="CCEEFF"/>
            </w:tcBorders>
            <w:shd w:val="clear" w:color="auto" w:fill="CCEEFF"/>
          </w:tcPr>
          <w:p>
            <w:pPr>
              <w:spacing w:after="0"/>
              <w:rPr>
                <w:sz w:val="4"/>
                <w:szCs w:val="4"/>
                <w:color w:val="auto"/>
              </w:rPr>
            </w:pPr>
          </w:p>
        </w:tc>
        <w:tc>
          <w:tcPr>
            <w:tcW w:w="1200" w:type="dxa"/>
            <w:vAlign w:val="bottom"/>
            <w:tcBorders>
              <w:bottom w:val="single" w:sz="8" w:color="CCEEFF"/>
            </w:tcBorders>
            <w:shd w:val="clear" w:color="auto" w:fill="CCEEFF"/>
          </w:tcPr>
          <w:p>
            <w:pPr>
              <w:spacing w:after="0"/>
              <w:rPr>
                <w:sz w:val="4"/>
                <w:szCs w:val="4"/>
                <w:color w:val="auto"/>
              </w:rPr>
            </w:pPr>
          </w:p>
        </w:tc>
        <w:tc>
          <w:tcPr>
            <w:tcW w:w="520" w:type="dxa"/>
            <w:vAlign w:val="bottom"/>
            <w:tcBorders>
              <w:bottom w:val="single" w:sz="8" w:color="CCEEFF"/>
            </w:tcBorders>
            <w:shd w:val="clear" w:color="auto" w:fill="CCEEFF"/>
          </w:tcPr>
          <w:p>
            <w:pPr>
              <w:spacing w:after="0"/>
              <w:rPr>
                <w:sz w:val="4"/>
                <w:szCs w:val="4"/>
                <w:color w:val="auto"/>
              </w:rPr>
            </w:pPr>
          </w:p>
        </w:tc>
        <w:tc>
          <w:tcPr>
            <w:tcW w:w="12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9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90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460" w:type="dxa"/>
            <w:vAlign w:val="bottom"/>
            <w:gridSpan w:val="7"/>
          </w:tcPr>
          <w:p>
            <w:pPr>
              <w:spacing w:after="0" w:line="168" w:lineRule="exact"/>
              <w:rPr>
                <w:sz w:val="20"/>
                <w:szCs w:val="20"/>
                <w:color w:val="auto"/>
              </w:rPr>
            </w:pPr>
            <w:r>
              <w:rPr>
                <w:rFonts w:ascii="Times New Roman" w:cs="Times New Roman" w:eastAsia="Times New Roman" w:hAnsi="Times New Roman"/>
                <w:sz w:val="15"/>
                <w:szCs w:val="15"/>
                <w:color w:val="auto"/>
              </w:rPr>
              <w:t>U.S. Treasury bill, 0%, due</w:t>
            </w:r>
          </w:p>
        </w:tc>
        <w:tc>
          <w:tcPr>
            <w:tcW w:w="1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80" w:type="dxa"/>
            <w:vAlign w:val="bottom"/>
          </w:tcPr>
          <w:p>
            <w:pPr>
              <w:spacing w:after="0"/>
              <w:rPr>
                <w:sz w:val="20"/>
                <w:szCs w:val="20"/>
                <w:color w:val="auto"/>
              </w:rPr>
            </w:pPr>
            <w:r>
              <w:rPr>
                <w:rFonts w:ascii="Times New Roman" w:cs="Times New Roman" w:eastAsia="Times New Roman" w:hAnsi="Times New Roman"/>
                <w:sz w:val="15"/>
                <w:szCs w:val="15"/>
                <w:color w:val="auto"/>
              </w:rPr>
              <w:t>3/28/2024***</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12/29/2023</w:t>
            </w:r>
          </w:p>
        </w:tc>
        <w:tc>
          <w:tcPr>
            <w:tcW w:w="5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35,000,000</w:t>
            </w: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34,547,625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34,559,949</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16.99%</w:t>
            </w:r>
          </w:p>
        </w:tc>
        <w:tc>
          <w:tcPr>
            <w:tcW w:w="0" w:type="dxa"/>
            <w:vAlign w:val="bottom"/>
          </w:tcPr>
          <w:p>
            <w:pPr>
              <w:spacing w:after="0"/>
              <w:rPr>
                <w:sz w:val="1"/>
                <w:szCs w:val="1"/>
                <w:color w:val="auto"/>
              </w:rPr>
            </w:pPr>
          </w:p>
        </w:tc>
      </w:tr>
      <w:tr>
        <w:trPr>
          <w:trHeight w:val="168"/>
        </w:trPr>
        <w:tc>
          <w:tcPr>
            <w:tcW w:w="2460" w:type="dxa"/>
            <w:vAlign w:val="bottom"/>
            <w:gridSpan w:val="7"/>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U.S. Treasury bill, 0%, due</w:t>
            </w:r>
          </w:p>
        </w:tc>
        <w:tc>
          <w:tcPr>
            <w:tcW w:w="17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6/27/2024***</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12/29/2023</w:t>
            </w:r>
          </w:p>
        </w:tc>
        <w:tc>
          <w:tcPr>
            <w:tcW w:w="5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30,000,000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29,245,079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29,250,906</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14.38%</w:t>
            </w:r>
          </w:p>
        </w:tc>
        <w:tc>
          <w:tcPr>
            <w:tcW w:w="0" w:type="dxa"/>
            <w:vAlign w:val="bottom"/>
          </w:tcPr>
          <w:p>
            <w:pPr>
              <w:spacing w:after="0"/>
              <w:rPr>
                <w:sz w:val="1"/>
                <w:szCs w:val="1"/>
                <w:color w:val="auto"/>
              </w:rPr>
            </w:pPr>
          </w:p>
        </w:tc>
      </w:tr>
      <w:tr>
        <w:trPr>
          <w:trHeight w:val="174"/>
        </w:trPr>
        <w:tc>
          <w:tcPr>
            <w:tcW w:w="2460" w:type="dxa"/>
            <w:vAlign w:val="bottom"/>
            <w:tcBorders>
              <w:bottom w:val="single" w:sz="8" w:color="CCEEFF"/>
            </w:tcBorders>
            <w:gridSpan w:val="7"/>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172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63,792,704</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63,810,855</w:t>
            </w:r>
          </w:p>
        </w:tc>
        <w:tc>
          <w:tcPr>
            <w:tcW w:w="32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31.38</w:t>
            </w:r>
          </w:p>
        </w:tc>
        <w:tc>
          <w:tcPr>
            <w:tcW w:w="16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85"/>
        </w:trPr>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460" w:type="dxa"/>
            <w:vAlign w:val="bottom"/>
            <w:gridSpan w:val="7"/>
          </w:tcPr>
          <w:p>
            <w:pPr>
              <w:spacing w:after="0"/>
              <w:rPr>
                <w:sz w:val="20"/>
                <w:szCs w:val="20"/>
                <w:color w:val="auto"/>
              </w:rPr>
            </w:pPr>
            <w:r>
              <w:rPr>
                <w:rFonts w:ascii="Times New Roman" w:cs="Times New Roman" w:eastAsia="Times New Roman" w:hAnsi="Times New Roman"/>
                <w:sz w:val="15"/>
                <w:szCs w:val="15"/>
                <w:b w:val="1"/>
                <w:bCs w:val="1"/>
                <w:color w:val="auto"/>
              </w:rPr>
              <w:t>TOTAL INVESTMENTS</w:t>
            </w:r>
          </w:p>
        </w:tc>
        <w:tc>
          <w:tcPr>
            <w:tcW w:w="1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276,333,902</w:t>
            </w:r>
          </w:p>
        </w:tc>
        <w:tc>
          <w:tcPr>
            <w:tcW w:w="160" w:type="dxa"/>
            <w:vAlign w:val="bottom"/>
          </w:tcPr>
          <w:p>
            <w:pPr>
              <w:spacing w:after="0"/>
              <w:rPr>
                <w:sz w:val="17"/>
                <w:szCs w:val="17"/>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247,892,104</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121.90%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condensed consolidated financial statements.</w:t>
      </w:r>
    </w:p>
    <w:p>
      <w:pPr>
        <w:sectPr>
          <w:pgSz w:w="11900" w:h="16838" w:orient="portrait"/>
          <w:cols w:equalWidth="0" w:num="1">
            <w:col w:w="11260"/>
          </w:cols>
          <w:pgMar w:left="320" w:top="216" w:right="319" w:bottom="1440" w:gutter="0" w:footer="0" w:header="0"/>
        </w:sectPr>
      </w:pPr>
    </w:p>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216" w:right="319" w:bottom="1440" w:gutter="0" w:footer="0" w:header="0"/>
          <w:type w:val="continuous"/>
        </w:sectPr>
      </w:pPr>
    </w:p>
    <w:bookmarkStart w:id="14" w:name="page15"/>
    <w:bookmarkEnd w:id="14"/>
    <w:p>
      <w:pPr>
        <w:ind w:left="9"/>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2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CONDENSED CONSOLIDATED SCHEDULE OF INVESTMENTS - continued</w:t>
      </w:r>
    </w:p>
    <w:p>
      <w:pPr>
        <w:spacing w:after="0" w:line="1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178689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86890" cy="6985"/>
                    </a:xfrm>
                    <a:prstGeom prst="rect">
                      <a:avLst/>
                    </a:prstGeom>
                    <a:noFill/>
                  </pic:spPr>
                </pic:pic>
              </a:graphicData>
            </a:graphic>
          </wp:anchor>
        </w:drawing>
      </w:r>
    </w:p>
    <w:p>
      <w:pPr>
        <w:spacing w:after="0" w:line="180" w:lineRule="exact"/>
        <w:rPr>
          <w:sz w:val="20"/>
          <w:szCs w:val="20"/>
          <w:color w:val="auto"/>
        </w:rPr>
      </w:pPr>
    </w:p>
    <w:p>
      <w:pPr>
        <w:jc w:val="both"/>
        <w:ind w:left="269" w:hanging="269"/>
        <w:spacing w:after="0" w:line="258" w:lineRule="auto"/>
        <w:tabs>
          <w:tab w:leader="none" w:pos="269"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w:t>
      </w:r>
    </w:p>
    <w:p>
      <w:pPr>
        <w:spacing w:after="0" w:line="2"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Company’s portfolio investments are restricted as to resale, unless otherwise noted, and were valued at fair value as determined in good faith by the Company’s Board of Directors.</w:t>
      </w:r>
    </w:p>
    <w:p>
      <w:pPr>
        <w:spacing w:after="0" w:line="10"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(Refer to “Note 2—Significant Accounting Policies—</w:t>
      </w:r>
      <w:r>
        <w:rPr>
          <w:rFonts w:ascii="Times New Roman" w:cs="Times New Roman" w:eastAsia="Times New Roman" w:hAnsi="Times New Roman"/>
          <w:sz w:val="15"/>
          <w:szCs w:val="15"/>
          <w:i w:val="1"/>
          <w:iCs w:val="1"/>
          <w:color w:val="auto"/>
        </w:rPr>
        <w:t>Investments at Fair Value</w:t>
      </w:r>
      <w:r>
        <w:rPr>
          <w:rFonts w:ascii="Times New Roman" w:cs="Times New Roman" w:eastAsia="Times New Roman" w:hAnsi="Times New Roman"/>
          <w:sz w:val="15"/>
          <w:szCs w:val="15"/>
          <w:color w:val="auto"/>
        </w:rPr>
        <w:t>”).</w:t>
      </w:r>
    </w:p>
    <w:p>
      <w:pPr>
        <w:spacing w:after="0" w:line="10" w:lineRule="exact"/>
        <w:rPr>
          <w:sz w:val="20"/>
          <w:szCs w:val="20"/>
          <w:color w:val="auto"/>
        </w:rPr>
      </w:pPr>
    </w:p>
    <w:p>
      <w:pPr>
        <w:ind w:left="269" w:hanging="269"/>
        <w:spacing w:after="0" w:line="253" w:lineRule="auto"/>
        <w:tabs>
          <w:tab w:leader="none" w:pos="269"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Indicates assets that SuRo Capital Corp. believes do not represent “qualifying assets” under Section 55(a) of the Investment Company Act of 1940, as amended (the “1940 Act”). Of the Company’s total investments as of December 31, 2023, 14.03% of its total investments are non-qualifying assets.</w:t>
      </w:r>
    </w:p>
    <w:p>
      <w:pPr>
        <w:ind w:left="269" w:hanging="269"/>
        <w:spacing w:after="0"/>
        <w:tabs>
          <w:tab w:leader="none" w:pos="269"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 is income-producing.</w:t>
      </w:r>
    </w:p>
    <w:p>
      <w:pPr>
        <w:spacing w:after="0" w:line="177" w:lineRule="exact"/>
        <w:rPr>
          <w:sz w:val="20"/>
          <w:szCs w:val="20"/>
          <w:color w:val="auto"/>
        </w:rPr>
      </w:pPr>
    </w:p>
    <w:p>
      <w:pPr>
        <w:jc w:val="both"/>
        <w:ind w:left="269" w:hanging="269"/>
        <w:spacing w:after="0" w:line="265" w:lineRule="auto"/>
        <w:tabs>
          <w:tab w:leader="none" w:pos="269"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securities with the right to elect directors) of such company. For the Schedule of Investments In, and Advances To, Affiliates, as required by SEC Regulation S-X, Rule 12-14, refer to “Note 4—Investments at Fair Value”.</w:t>
      </w:r>
    </w:p>
    <w:p>
      <w:pPr>
        <w:spacing w:after="0" w:line="149" w:lineRule="exact"/>
        <w:rPr>
          <w:rFonts w:ascii="Times New Roman" w:cs="Times New Roman" w:eastAsia="Times New Roman" w:hAnsi="Times New Roman"/>
          <w:sz w:val="15"/>
          <w:szCs w:val="15"/>
          <w:color w:val="auto"/>
        </w:rPr>
      </w:pPr>
    </w:p>
    <w:p>
      <w:pPr>
        <w:jc w:val="both"/>
        <w:ind w:left="269" w:hanging="269"/>
        <w:spacing w:after="0" w:line="265" w:lineRule="auto"/>
        <w:tabs>
          <w:tab w:leader="none" w:pos="269"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4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Denotes an investment considered Level 1 or Level 2 and valued using observable inputs. Refer to “Note 4—Investments at Fair Value”.</w:t>
      </w:r>
    </w:p>
    <w:p>
      <w:pPr>
        <w:spacing w:after="0" w:line="192"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December 31, 2023, the investments noted had been placed on non-accrual status.</w:t>
      </w:r>
    </w:p>
    <w:p>
      <w:pPr>
        <w:spacing w:after="0" w:line="192"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SuRo Capital Corp.’s investments in StormWind, LLC are held through SuRo Capital Corp.’s wholly owned subsidiary, GSVC SW Holdings, Inc.</w:t>
      </w:r>
    </w:p>
    <w:p>
      <w:pPr>
        <w:spacing w:after="0" w:line="192" w:lineRule="exact"/>
        <w:rPr>
          <w:rFonts w:ascii="Times New Roman" w:cs="Times New Roman" w:eastAsia="Times New Roman" w:hAnsi="Times New Roman"/>
          <w:sz w:val="15"/>
          <w:szCs w:val="15"/>
          <w:color w:val="auto"/>
        </w:rPr>
      </w:pPr>
    </w:p>
    <w:p>
      <w:pPr>
        <w:ind w:left="269" w:hanging="269"/>
        <w:spacing w:after="0" w:line="288" w:lineRule="auto"/>
        <w:tabs>
          <w:tab w:leader="none" w:pos="269"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SuRo Capital Corp.’s investment in preferred shares of Residential Homes for Rent, LLC (d/b/a Second Avenue) are held through SuRo Capital Corp.’s wholly owned subsidiary, GSVC AV Holdings, Inc.</w:t>
      </w:r>
    </w:p>
    <w:p>
      <w:pPr>
        <w:spacing w:after="0" w:line="132" w:lineRule="exact"/>
        <w:rPr>
          <w:rFonts w:ascii="Times New Roman" w:cs="Times New Roman" w:eastAsia="Times New Roman" w:hAnsi="Times New Roman"/>
          <w:sz w:val="15"/>
          <w:szCs w:val="15"/>
          <w:color w:val="auto"/>
        </w:rPr>
      </w:pPr>
    </w:p>
    <w:p>
      <w:pPr>
        <w:jc w:val="both"/>
        <w:ind w:left="269" w:hanging="269"/>
        <w:spacing w:after="0" w:line="270" w:lineRule="auto"/>
        <w:tabs>
          <w:tab w:leader="none" w:pos="269"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SuRo Capital Corp.’s investments in Commercial Streaming Solutions Inc. (d/b/a BettorView), YouBet Technology, Inc. (d/b/a FanPower), Rebric, Inc. (d/b/a Compliable), EDGE Markets, Inc., Xgroup Holdings Limited (d/b/a Xpoint), and Stake Trade, Inc. (d/b/a Prophet Exchange) are held through SuRo Capital Corp.’s wholly owned subsidiary, SuRo Capital Sports, LLC (“SuRo Sports”).</w:t>
      </w:r>
    </w:p>
    <w:p>
      <w:pPr>
        <w:spacing w:after="0" w:line="146" w:lineRule="exact"/>
        <w:rPr>
          <w:rFonts w:ascii="Times New Roman" w:cs="Times New Roman" w:eastAsia="Times New Roman" w:hAnsi="Times New Roman"/>
          <w:sz w:val="15"/>
          <w:szCs w:val="15"/>
          <w:color w:val="auto"/>
        </w:rPr>
      </w:pPr>
    </w:p>
    <w:p>
      <w:pPr>
        <w:jc w:val="both"/>
        <w:ind w:left="269" w:right="20" w:hanging="269"/>
        <w:spacing w:after="0" w:line="270" w:lineRule="auto"/>
        <w:tabs>
          <w:tab w:leader="none" w:pos="269"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SuRo Capital Corp.’s investments in True Global Ventures 4 Plus Pte Ltd are held through SuRo Capital Corp.’s wholly owned subsidiary, GSVC SVDS Holdings, Inc. On March 31, 2023, the previously unfunded capital commitment of $1.3 million was deemed fully contributed in lieu of cash distributions. On March 31, 2023, the full $2.0 million capital commitment to True Global Ventures 4 Plus Fund LP had been called and funded.</w:t>
      </w:r>
    </w:p>
    <w:p>
      <w:pPr>
        <w:spacing w:after="0" w:line="146" w:lineRule="exact"/>
        <w:rPr>
          <w:rFonts w:ascii="Times New Roman" w:cs="Times New Roman" w:eastAsia="Times New Roman" w:hAnsi="Times New Roman"/>
          <w:sz w:val="15"/>
          <w:szCs w:val="15"/>
          <w:color w:val="auto"/>
        </w:rPr>
      </w:pPr>
    </w:p>
    <w:p>
      <w:pPr>
        <w:jc w:val="both"/>
        <w:ind w:left="269" w:hanging="269"/>
        <w:spacing w:after="0" w:line="270" w:lineRule="auto"/>
        <w:tabs>
          <w:tab w:leader="none" w:pos="269"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ending August 23, 2024, while SuRo Capital Corp. can put the shares to OneValley, Inc. (f/k/a NestGSV, Inc.) at the end of the five year period.</w:t>
      </w:r>
    </w:p>
    <w:p>
      <w:pPr>
        <w:spacing w:after="0" w:line="146" w:lineRule="exact"/>
        <w:rPr>
          <w:rFonts w:ascii="Times New Roman" w:cs="Times New Roman" w:eastAsia="Times New Roman" w:hAnsi="Times New Roman"/>
          <w:sz w:val="15"/>
          <w:szCs w:val="15"/>
          <w:color w:val="auto"/>
        </w:rPr>
      </w:pPr>
    </w:p>
    <w:p>
      <w:pPr>
        <w:ind w:left="269" w:hanging="269"/>
        <w:spacing w:after="0" w:line="288" w:lineRule="auto"/>
        <w:tabs>
          <w:tab w:leader="none" w:pos="269"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Denotes an investment that is the sponsor of a special purpose acquisition company formed for the purpose of effecting a merger, capital stock exchange, asset acquisition, stock purchase, reorganization or similar business combination with one or more businesses.</w:t>
      </w:r>
    </w:p>
    <w:p>
      <w:pPr>
        <w:spacing w:after="0" w:line="132"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November 9, 2021, Fullbridge, Inc.’s obligations under its financing arrangements with the Company became past due.</w:t>
      </w:r>
    </w:p>
    <w:p>
      <w:pPr>
        <w:spacing w:after="0" w:line="192" w:lineRule="exact"/>
        <w:rPr>
          <w:rFonts w:ascii="Times New Roman" w:cs="Times New Roman" w:eastAsia="Times New Roman" w:hAnsi="Times New Roman"/>
          <w:sz w:val="15"/>
          <w:szCs w:val="15"/>
          <w:color w:val="auto"/>
        </w:rPr>
      </w:pPr>
    </w:p>
    <w:p>
      <w:pPr>
        <w:jc w:val="both"/>
        <w:ind w:left="269" w:hanging="269"/>
        <w:spacing w:after="0" w:line="270" w:lineRule="auto"/>
        <w:tabs>
          <w:tab w:leader="none" w:pos="269"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January 13, 2023, SuRo Capital Corp. invested $2.0 million in Orchard Technologies, Inc.’s Series 1 Senior Preferred financing round. As part of the transaction, SuRo Capital Corp. exchanged a portion of its existing Series D Preferred shares investment for Series 1 Senior Preferred shares, Series 2 Senior Preferred shares, and Common shares. Additionally, SuRo Capital Corp.’s previous investment in the Simple Agreement for Future Equity was converted into additional Series 1 Senior Preferred shares.</w:t>
      </w:r>
    </w:p>
    <w:p>
      <w:pPr>
        <w:spacing w:after="0" w:line="146" w:lineRule="exact"/>
        <w:rPr>
          <w:rFonts w:ascii="Times New Roman" w:cs="Times New Roman" w:eastAsia="Times New Roman" w:hAnsi="Times New Roman"/>
          <w:sz w:val="15"/>
          <w:szCs w:val="15"/>
          <w:color w:val="auto"/>
        </w:rPr>
      </w:pPr>
    </w:p>
    <w:p>
      <w:pPr>
        <w:jc w:val="both"/>
        <w:ind w:left="269" w:hanging="269"/>
        <w:spacing w:after="0" w:line="288" w:lineRule="auto"/>
        <w:tabs>
          <w:tab w:leader="none" w:pos="269"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July 12, 2023, SuRo Capital Corp. invested $0.5 million in Shogun Enterprises, Inc. (d/b/a Hearth)’s Series B-4 Preferred financing round. As part of the transaction, the previous investment in the Convertible Note was converted into Series B-3 Preferred shares. Additionally, SuRo Capital Corp. received Common Warrants as part of the transaction.</w:t>
      </w:r>
    </w:p>
    <w:p>
      <w:pPr>
        <w:spacing w:after="0" w:line="132" w:lineRule="exact"/>
        <w:rPr>
          <w:rFonts w:ascii="Times New Roman" w:cs="Times New Roman" w:eastAsia="Times New Roman" w:hAnsi="Times New Roman"/>
          <w:sz w:val="15"/>
          <w:szCs w:val="15"/>
          <w:color w:val="auto"/>
        </w:rPr>
      </w:pPr>
    </w:p>
    <w:p>
      <w:pPr>
        <w:ind w:left="269" w:hanging="269"/>
        <w:spacing w:after="0" w:line="288" w:lineRule="auto"/>
        <w:tabs>
          <w:tab w:leader="none" w:pos="269"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July 11, 2023, AltC Acquisition Corp. announced it signed a definitive agreement to merge with Oklo, Inc. As part of the transaction, SuRo Capital Corp.’s Share units converted to 24,900 Class A Common shares and 214,400 Class B Common shares.</w:t>
      </w:r>
    </w:p>
    <w:p>
      <w:pPr>
        <w:spacing w:after="0" w:line="132" w:lineRule="exact"/>
        <w:rPr>
          <w:rFonts w:ascii="Times New Roman" w:cs="Times New Roman" w:eastAsia="Times New Roman" w:hAnsi="Times New Roman"/>
          <w:sz w:val="15"/>
          <w:szCs w:val="15"/>
          <w:color w:val="auto"/>
        </w:rPr>
      </w:pPr>
    </w:p>
    <w:p>
      <w:pPr>
        <w:jc w:val="both"/>
        <w:ind w:left="269" w:hanging="269"/>
        <w:spacing w:after="0" w:line="265" w:lineRule="auto"/>
        <w:tabs>
          <w:tab w:leader="none" w:pos="269"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July 19, 2023, Colombier Acquisition Corp. (“Colombier”) stockholders approved a business combination with PSQ Holdings, Inc. (d/b/a PublicSquare) and related proposals at a special meeting. Also on July 19, 2023, PSQ Holdings, Inc. announced that it had consummated the business combination with Colombier pursuant to a merger agreement between the parties, creating the resultant combined company PSQ Holdings, Inc. (d/b/a PublicSquare). SuRo Capital Corp.’s shares of PSQ Holdings, Inc. (d/b/a PublicSquare) Class A Common shares are subject to certain restrictions on transfer, while the Company’s PSQ Holdings, Inc. warrants are freely tradable.</w:t>
      </w:r>
    </w:p>
    <w:p>
      <w:pPr>
        <w:spacing w:after="0" w:line="14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5391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216"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September 30,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1—NATURE OF OPERATIONS</w:t>
      </w:r>
    </w:p>
    <w:p>
      <w:pPr>
        <w:spacing w:after="0" w:line="196" w:lineRule="exact"/>
        <w:rPr>
          <w:sz w:val="20"/>
          <w:szCs w:val="20"/>
          <w:color w:val="auto"/>
        </w:rPr>
      </w:pPr>
    </w:p>
    <w:p>
      <w:pPr>
        <w:jc w:val="both"/>
        <w:ind w:firstLine="273"/>
        <w:spacing w:after="0" w:line="265" w:lineRule="auto"/>
        <w:rPr>
          <w:sz w:val="20"/>
          <w:szCs w:val="20"/>
          <w:color w:val="auto"/>
        </w:rPr>
      </w:pPr>
      <w:r>
        <w:rPr>
          <w:rFonts w:ascii="Times New Roman" w:cs="Times New Roman" w:eastAsia="Times New Roman" w:hAnsi="Times New Roman"/>
          <w:sz w:val="15"/>
          <w:szCs w:val="15"/>
          <w:color w:val="auto"/>
        </w:rPr>
        <w:t>SuRo Capital Corp. (“we”, “us”, “our”, the “Company” or “SuRo Capital”), formerly known as Sutter Rock Capital Corp. and as GSV Capital Corp. and formed in September 2010 as a Maryland corporation, is an internally managed, non-diversified closed-end management investment company. The Company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49"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The Company’s date of inception was January 6, 2011, which is the date it commenced development stage activities. The Company’s common stock is currently listed on the Nasdaq Global Select Market under the symbol “SSSS” (formerly “GSVC”). Prior to November 24, 2021, the Company’s common stock traded on the Nasdaq Capital Market under the same symbol (“SSSS”). The Company began its investment operations during the second quarter of 2011.</w:t>
      </w:r>
    </w:p>
    <w:p>
      <w:pPr>
        <w:spacing w:after="0" w:line="147" w:lineRule="exact"/>
        <w:rPr>
          <w:sz w:val="20"/>
          <w:szCs w:val="20"/>
          <w:color w:val="auto"/>
        </w:rPr>
      </w:pPr>
    </w:p>
    <w:p>
      <w:pPr>
        <w:jc w:val="both"/>
        <w:ind w:firstLine="273"/>
        <w:spacing w:after="0" w:line="262" w:lineRule="auto"/>
        <w:rPr>
          <w:sz w:val="20"/>
          <w:szCs w:val="20"/>
          <w:color w:val="auto"/>
        </w:rPr>
      </w:pPr>
      <w:r>
        <w:rPr>
          <w:rFonts w:ascii="Times New Roman" w:cs="Times New Roman" w:eastAsia="Times New Roman" w:hAnsi="Times New Roman"/>
          <w:sz w:val="15"/>
          <w:szCs w:val="15"/>
          <w:color w:val="auto"/>
        </w:rPr>
        <w:t>The table below displays the Company’s subsidiaries as of September 30, 2024, which, other than GSV Capital Lending, LLC (“GCL”) and SuRo Capital Sports, LLC, are collectively referred to as the “Taxable Subsidiaries.” The Taxable Subsidiaries were formed to hold certain portfolio investments. The Taxable Subsidiaries, including their associated portfolio investments, are consolidated with the Company for accounting purposes, but have elected to be treated as separate entities for U.S. federal income tax purposes. GCL was formed to originate portfolio loan investments within the state of California and is consolidated with the Company for accounting purposes. Refer to “Note 2—Significant Accounting Policies—</w:t>
      </w:r>
      <w:r>
        <w:rPr>
          <w:rFonts w:ascii="Times New Roman" w:cs="Times New Roman" w:eastAsia="Times New Roman" w:hAnsi="Times New Roman"/>
          <w:sz w:val="15"/>
          <w:szCs w:val="15"/>
          <w:i w:val="1"/>
          <w:iCs w:val="1"/>
          <w:color w:val="auto"/>
        </w:rPr>
        <w:t>Basis of Consolidation</w:t>
      </w:r>
      <w:r>
        <w:rPr>
          <w:rFonts w:ascii="Times New Roman" w:cs="Times New Roman" w:eastAsia="Times New Roman" w:hAnsi="Times New Roman"/>
          <w:sz w:val="15"/>
          <w:szCs w:val="15"/>
          <w:color w:val="auto"/>
        </w:rPr>
        <w:t>” below for further detail.</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Jurisdiction of</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Formation</w:t>
            </w:r>
          </w:p>
        </w:tc>
        <w:tc>
          <w:tcPr>
            <w:tcW w:w="182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Percentage</w:t>
            </w:r>
          </w:p>
        </w:tc>
      </w:tr>
      <w:tr>
        <w:trPr>
          <w:trHeight w:val="201"/>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Subsidiary</w:t>
            </w:r>
          </w:p>
        </w:tc>
        <w:tc>
          <w:tcPr>
            <w:tcW w:w="22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Incorporation</w:t>
            </w:r>
          </w:p>
        </w:tc>
        <w:tc>
          <w:tcPr>
            <w:tcW w:w="20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22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Owned</w:t>
            </w:r>
          </w:p>
        </w:tc>
        <w:tc>
          <w:tcPr>
            <w:tcW w:w="140" w:type="dxa"/>
            <w:vAlign w:val="bottom"/>
            <w:tcBorders>
              <w:bottom w:val="single" w:sz="8" w:color="CCEEFF"/>
            </w:tcBorders>
          </w:tcPr>
          <w:p>
            <w:pPr>
              <w:spacing w:after="0"/>
              <w:rPr>
                <w:sz w:val="17"/>
                <w:szCs w:val="17"/>
                <w:color w:val="auto"/>
              </w:rPr>
            </w:pPr>
          </w:p>
        </w:tc>
      </w:tr>
      <w:tr>
        <w:trPr>
          <w:trHeight w:val="17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GCL</w:t>
            </w:r>
          </w:p>
        </w:tc>
        <w:tc>
          <w:tcPr>
            <w:tcW w:w="220" w:type="dxa"/>
            <w:vAlign w:val="bottom"/>
            <w:shd w:val="clear" w:color="auto" w:fill="CCEEFF"/>
          </w:tcPr>
          <w:p>
            <w:pPr>
              <w:spacing w:after="0"/>
              <w:rPr>
                <w:sz w:val="15"/>
                <w:szCs w:val="15"/>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Delaware</w:t>
            </w:r>
          </w:p>
        </w:tc>
        <w:tc>
          <w:tcPr>
            <w:tcW w:w="200" w:type="dxa"/>
            <w:vAlign w:val="bottom"/>
            <w:shd w:val="clear" w:color="auto" w:fill="CCEEFF"/>
          </w:tcPr>
          <w:p>
            <w:pPr>
              <w:spacing w:after="0"/>
              <w:rPr>
                <w:sz w:val="15"/>
                <w:szCs w:val="15"/>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April 13, 2012</w:t>
            </w:r>
          </w:p>
        </w:tc>
        <w:tc>
          <w:tcPr>
            <w:tcW w:w="22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r>
      <w:tr>
        <w:trPr>
          <w:trHeight w:val="182"/>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SuRo Capital Sports, LLC (“SuRo Sports”)</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Delaware</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March 19, 2021</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r>
      <w:tr>
        <w:trPr>
          <w:trHeight w:val="182"/>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Subsidiaries below are referred to collectively as the “Taxable Subsidiaries”</w:t>
            </w:r>
          </w:p>
        </w:tc>
        <w:tc>
          <w:tcPr>
            <w:tcW w:w="1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2"/>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GSVC AE Holdings, Inc. (“GAE”)</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Delaware</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November 28, 2012</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r>
      <w:tr>
        <w:trPr>
          <w:trHeight w:val="182"/>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GSVC AV Holdings, Inc. (“GAV”)</w:t>
            </w:r>
          </w:p>
        </w:tc>
        <w:tc>
          <w:tcPr>
            <w:tcW w:w="2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color w:val="auto"/>
              </w:rPr>
              <w:t>Delaware</w:t>
            </w:r>
          </w:p>
        </w:tc>
        <w:tc>
          <w:tcPr>
            <w:tcW w:w="2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color w:val="auto"/>
              </w:rPr>
              <w:t>November 28, 2012</w:t>
            </w: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r>
      <w:tr>
        <w:trPr>
          <w:trHeight w:val="182"/>
        </w:trPr>
        <w:tc>
          <w:tcPr>
            <w:tcW w:w="5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GSVC SW Holdings, Inc. (“GSW”)</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Delaware</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November 28, 2012</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r>
      <w:tr>
        <w:trPr>
          <w:trHeight w:val="182"/>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GSVC SVDS Holdings, Inc. (“SVDS”)</w:t>
            </w:r>
          </w:p>
        </w:tc>
        <w:tc>
          <w:tcPr>
            <w:tcW w:w="2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color w:val="auto"/>
              </w:rPr>
              <w:t>Delaware</w:t>
            </w:r>
          </w:p>
        </w:tc>
        <w:tc>
          <w:tcPr>
            <w:tcW w:w="2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color w:val="auto"/>
              </w:rPr>
              <w:t>August 13, 2013</w:t>
            </w: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r>
    </w:tbl>
    <w:p>
      <w:pPr>
        <w:spacing w:after="0" w:line="168"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The Company’s investment objective is to maximize its portfolio’s total return, principally by seeking capital gains on its equity and equity-related investments, and to a lesser extent, income from debt investments. The Company invests principally in the equity securities of what it believes to be rapidly growing venture capital-backed emerging companies. The Company may invest in these portfolio companies through direct offerings of the prospective portfolio companies, transactions on secondary marketplaces for private companies, negotiations with selling stockholders, investment funds, or through special purpose vehicles (“SPVs”) and other investment funds for the purpose of investing in securities of a single private issuer. In addition, the Company may invest in private credit and in founders equity, founders warrants, and private investment in public equity transactions of special purpose acquisition companies (“SPACs”). The Company may also invest on an opportunistic basis in select publicly traded equity securities or certain non-U.S. companies that otherwise meet its investment criteria, subject to any applicable limitations under the 1940 Act.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216"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September 30,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2—SIGNIFICANT ACCOUNTING POLICIES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Basis of Presentation</w:t>
      </w:r>
    </w:p>
    <w:p>
      <w:pPr>
        <w:spacing w:after="0" w:line="196" w:lineRule="exact"/>
        <w:rPr>
          <w:sz w:val="20"/>
          <w:szCs w:val="20"/>
          <w:color w:val="auto"/>
        </w:rPr>
      </w:pPr>
    </w:p>
    <w:p>
      <w:pPr>
        <w:jc w:val="both"/>
        <w:ind w:firstLine="273"/>
        <w:spacing w:after="0" w:line="262" w:lineRule="auto"/>
        <w:rPr>
          <w:sz w:val="20"/>
          <w:szCs w:val="20"/>
          <w:color w:val="auto"/>
        </w:rPr>
      </w:pPr>
      <w:r>
        <w:rPr>
          <w:rFonts w:ascii="Times New Roman" w:cs="Times New Roman" w:eastAsia="Times New Roman" w:hAnsi="Times New Roman"/>
          <w:sz w:val="15"/>
          <w:szCs w:val="15"/>
          <w:color w:val="auto"/>
        </w:rPr>
        <w:t xml:space="preserve">The interim unaudited condensed consolidated financial statements of the Company are prepared on the accrual basis of accounting in conformity with U.S. generally accepted accounting principles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w:t>
      </w:r>
      <w:r>
        <w:rPr>
          <w:rFonts w:ascii="Times New Roman" w:cs="Times New Roman" w:eastAsia="Times New Roman" w:hAnsi="Times New Roman"/>
          <w:sz w:val="15"/>
          <w:szCs w:val="15"/>
          <w:i w:val="1"/>
          <w:iCs w:val="1"/>
          <w:color w:val="auto"/>
        </w:rPr>
        <w:t>Financial Services—Investment Companies</w:t>
      </w:r>
      <w:r>
        <w:rPr>
          <w:rFonts w:ascii="Times New Roman" w:cs="Times New Roman" w:eastAsia="Times New Roman" w:hAnsi="Times New Roman"/>
          <w:sz w:val="15"/>
          <w:szCs w:val="15"/>
          <w:color w:val="auto"/>
        </w:rPr>
        <w:t>. In the opinion of management, all adjustments, all of which were of a normal recurring nature, were considered necessary for the fair presentation of consolidated financial statements for the period have been included.</w:t>
      </w:r>
    </w:p>
    <w:p>
      <w:pPr>
        <w:spacing w:after="0" w:line="152"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The results of operations for the current interim period are not necessarily indicative of results that ultimately may be achieved for any other interim period or for the year ending December 31, 2024. The interim unaudited condensed consolidated financial statements and notes hereto should be read in conjunction with the audited consolidated financial statements and notes thereto contained in the Company’s annual report on Form 10-K for the year ended December 31,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Basis of Consolidation</w:t>
      </w:r>
    </w:p>
    <w:p>
      <w:pPr>
        <w:spacing w:after="0" w:line="196" w:lineRule="exact"/>
        <w:rPr>
          <w:sz w:val="20"/>
          <w:szCs w:val="20"/>
          <w:color w:val="auto"/>
        </w:rPr>
      </w:pPr>
    </w:p>
    <w:p>
      <w:pPr>
        <w:jc w:val="both"/>
        <w:ind w:firstLine="273"/>
        <w:spacing w:after="0" w:line="262" w:lineRule="auto"/>
        <w:rPr>
          <w:sz w:val="20"/>
          <w:szCs w:val="20"/>
          <w:color w:val="auto"/>
        </w:rPr>
      </w:pPr>
      <w:r>
        <w:rPr>
          <w:rFonts w:ascii="Times New Roman" w:cs="Times New Roman" w:eastAsia="Times New Roman" w:hAnsi="Times New Roman"/>
          <w:sz w:val="15"/>
          <w:szCs w:val="15"/>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 Accordingly, the Company’s Condensed Consolidated Financial Statements include its accounts and the accounts of the Taxable Subsidiaries, GCL, and SuRo Sports, its wholly owned subsidiaries. All intercompany balances and transactions have been eliminated in consolidation.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Segments</w:t>
      </w:r>
    </w:p>
    <w:p>
      <w:pPr>
        <w:spacing w:after="0" w:line="196" w:lineRule="exact"/>
        <w:rPr>
          <w:sz w:val="20"/>
          <w:szCs w:val="20"/>
          <w:color w:val="auto"/>
        </w:rPr>
      </w:pPr>
    </w:p>
    <w:p>
      <w:pPr>
        <w:jc w:val="both"/>
        <w:ind w:right="20" w:firstLine="273"/>
        <w:spacing w:after="0" w:line="270" w:lineRule="auto"/>
        <w:rPr>
          <w:sz w:val="20"/>
          <w:szCs w:val="20"/>
          <w:color w:val="auto"/>
        </w:rPr>
      </w:pPr>
      <w:r>
        <w:rPr>
          <w:rFonts w:ascii="Times New Roman" w:cs="Times New Roman" w:eastAsia="Times New Roman" w:hAnsi="Times New Roman"/>
          <w:sz w:val="15"/>
          <w:szCs w:val="15"/>
          <w:color w:val="auto"/>
        </w:rPr>
        <w:t>The Company invests in and lends to portfolio companies in various industries, including artificial intelligence, consumer goods and services, education technology, financial technology and services, logistics and supply chain, software-as-a-service, and others. The Company separately evaluates the performance of each of its portfolio company investments. However, because each of these venture capital investments has similar business and economic characteristics, they have been aggregated into a single reportable segment.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Use of Estimates</w:t>
      </w:r>
    </w:p>
    <w:p>
      <w:pPr>
        <w:spacing w:after="0" w:line="196" w:lineRule="exact"/>
        <w:rPr>
          <w:sz w:val="20"/>
          <w:szCs w:val="20"/>
          <w:color w:val="auto"/>
        </w:rPr>
      </w:pPr>
    </w:p>
    <w:p>
      <w:pPr>
        <w:jc w:val="both"/>
        <w:ind w:firstLine="273"/>
        <w:spacing w:after="0" w:line="265" w:lineRule="auto"/>
        <w:rPr>
          <w:sz w:val="20"/>
          <w:szCs w:val="20"/>
          <w:color w:val="auto"/>
        </w:rPr>
      </w:pPr>
      <w:r>
        <w:rPr>
          <w:rFonts w:ascii="Times New Roman" w:cs="Times New Roman" w:eastAsia="Times New Roman" w:hAnsi="Times New Roman"/>
          <w:sz w:val="15"/>
          <w:szCs w:val="15"/>
          <w:color w:val="auto"/>
        </w:rPr>
        <w:t>The preparation of Condensed Consolidated Financial Statements in accordance with GAAP requires the Company’s management to make a number of significant estimates. These include estimates of the fair value of certain assets and liabilities and other estimates that affect the reported amounts of certain assets and liabilities as of the date of the Condensed Consolidated Financial Statements and the reported amounts of certain revenues and expenses during the reporting period. It is likely that changes in these estimates may occur in the near term. The Company’s estimates are inherently subjective in nature and actual results could differ materially from such estimates.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Uncertainties and Risk Factors</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The Company is subject to a number of risks and uncertainties in the nature of its operations, as well as vulnerability due to certain concentrations. Refer to “Risk Factors” in Part II, Item 1A of this Form 10-Q for a detailed discussion of the risks and uncertainties inherent in the nature of the Company’s operations. Refer to “Note 4—Investments at Fair Value” for an overview of the Company’s industry and geographic concentrations.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Investments at Fair Value</w:t>
      </w:r>
    </w:p>
    <w:p>
      <w:pPr>
        <w:spacing w:after="0" w:line="196" w:lineRule="exact"/>
        <w:rPr>
          <w:sz w:val="20"/>
          <w:szCs w:val="20"/>
          <w:color w:val="auto"/>
        </w:rPr>
      </w:pPr>
    </w:p>
    <w:p>
      <w:pPr>
        <w:jc w:val="both"/>
        <w:ind w:right="20" w:firstLine="273"/>
        <w:spacing w:after="0" w:line="288" w:lineRule="auto"/>
        <w:rPr>
          <w:sz w:val="20"/>
          <w:szCs w:val="20"/>
          <w:color w:val="auto"/>
        </w:rPr>
      </w:pPr>
      <w:r>
        <w:rPr>
          <w:rFonts w:ascii="Times New Roman" w:cs="Times New Roman" w:eastAsia="Times New Roman" w:hAnsi="Times New Roman"/>
          <w:sz w:val="15"/>
          <w:szCs w:val="15"/>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133" w:lineRule="exact"/>
        <w:rPr>
          <w:sz w:val="20"/>
          <w:szCs w:val="20"/>
          <w:color w:val="auto"/>
        </w:rPr>
      </w:pPr>
    </w:p>
    <w:p>
      <w:pPr>
        <w:jc w:val="both"/>
        <w:ind w:firstLine="273"/>
        <w:spacing w:after="0" w:line="265" w:lineRule="auto"/>
        <w:rPr>
          <w:sz w:val="20"/>
          <w:szCs w:val="20"/>
          <w:color w:val="auto"/>
        </w:rPr>
      </w:pPr>
      <w:r>
        <w:rPr>
          <w:rFonts w:ascii="Times New Roman" w:cs="Times New Roman" w:eastAsia="Times New Roman" w:hAnsi="Times New Roman"/>
          <w:sz w:val="15"/>
          <w:szCs w:val="15"/>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14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Level 1</w:t>
      </w:r>
      <w:r>
        <w:rPr>
          <w:rFonts w:ascii="Times New Roman" w:cs="Times New Roman" w:eastAsia="Times New Roman" w:hAnsi="Times New Roman"/>
          <w:sz w:val="15"/>
          <w:szCs w:val="15"/>
          <w:color w:val="auto"/>
        </w:rPr>
        <w:t>—Valuations based on unadjusted quoted prices for identical assets or liabilities in an active market that the Company has the ability to access at the measurement date.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216"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September 30, 2024</w:t>
      </w:r>
    </w:p>
    <w:p>
      <w:pPr>
        <w:spacing w:after="0" w:line="173" w:lineRule="exact"/>
        <w:rPr>
          <w:sz w:val="20"/>
          <w:szCs w:val="20"/>
          <w:color w:val="auto"/>
        </w:rPr>
      </w:pPr>
    </w:p>
    <w:p>
      <w:pPr>
        <w:jc w:val="both"/>
        <w:ind w:right="20" w:firstLine="273"/>
        <w:spacing w:after="0" w:line="293" w:lineRule="auto"/>
        <w:rPr>
          <w:sz w:val="20"/>
          <w:szCs w:val="20"/>
          <w:color w:val="auto"/>
        </w:rPr>
      </w:pPr>
      <w:r>
        <w:rPr>
          <w:rFonts w:ascii="Times New Roman" w:cs="Times New Roman" w:eastAsia="Times New Roman" w:hAnsi="Times New Roman"/>
          <w:sz w:val="15"/>
          <w:szCs w:val="15"/>
          <w:b w:val="1"/>
          <w:bCs w:val="1"/>
          <w:color w:val="auto"/>
        </w:rPr>
        <w:t>Level 2</w:t>
      </w:r>
      <w:r>
        <w:rPr>
          <w:rFonts w:ascii="Times New Roman" w:cs="Times New Roman" w:eastAsia="Times New Roman" w:hAnsi="Times New Roman"/>
          <w:sz w:val="15"/>
          <w:szCs w:val="15"/>
          <w:color w:val="auto"/>
        </w:rPr>
        <w:t>—Valuations based on observable inputs other than Level 1 prices, such as quoted prices for similar assets or liabilities; quoted prices in markets that are not active; or other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inputs that are observable or can be corroborated by observable market data at the measurement date for substantially the full term of the assets or liabilities.</w:t>
      </w:r>
    </w:p>
    <w:p>
      <w:pPr>
        <w:spacing w:after="0" w:line="126" w:lineRule="exact"/>
        <w:rPr>
          <w:sz w:val="20"/>
          <w:szCs w:val="20"/>
          <w:color w:val="auto"/>
        </w:rPr>
      </w:pPr>
    </w:p>
    <w:p>
      <w:pPr>
        <w:jc w:val="both"/>
        <w:ind w:firstLine="273"/>
        <w:spacing w:after="0" w:line="273" w:lineRule="auto"/>
        <w:rPr>
          <w:sz w:val="20"/>
          <w:szCs w:val="20"/>
          <w:color w:val="auto"/>
        </w:rPr>
      </w:pPr>
      <w:r>
        <w:rPr>
          <w:rFonts w:ascii="Times New Roman" w:cs="Times New Roman" w:eastAsia="Times New Roman" w:hAnsi="Times New Roman"/>
          <w:sz w:val="15"/>
          <w:szCs w:val="15"/>
          <w:b w:val="1"/>
          <w:bCs w:val="1"/>
          <w:color w:val="auto"/>
        </w:rPr>
        <w:t>Level 3</w:t>
      </w:r>
      <w:r>
        <w:rPr>
          <w:rFonts w:ascii="Times New Roman" w:cs="Times New Roman" w:eastAsia="Times New Roman" w:hAnsi="Times New Roman"/>
          <w:sz w:val="15"/>
          <w:szCs w:val="15"/>
          <w:color w:val="auto"/>
        </w:rPr>
        <w:t>—Valuations based on unobservable inputs that reflect management’s best estimate of what market participants would use in pricing the asset or liability at the measurement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date. Consideration is given to the risk inherent in the valuation technique and the risk inherent in the inputs to the model. The majority of the Company’s investments are Level 3 investments and are subject to a high degree of judgment and uncertainty in determining fair value.</w:t>
      </w:r>
    </w:p>
    <w:p>
      <w:pPr>
        <w:spacing w:after="0" w:line="144" w:lineRule="exact"/>
        <w:rPr>
          <w:sz w:val="20"/>
          <w:szCs w:val="20"/>
          <w:color w:val="auto"/>
        </w:rPr>
      </w:pPr>
    </w:p>
    <w:p>
      <w:pPr>
        <w:jc w:val="both"/>
        <w:ind w:firstLine="273"/>
        <w:spacing w:after="0" w:line="265" w:lineRule="auto"/>
        <w:rPr>
          <w:sz w:val="20"/>
          <w:szCs w:val="20"/>
          <w:color w:val="auto"/>
        </w:rPr>
      </w:pPr>
      <w:r>
        <w:rPr>
          <w:rFonts w:ascii="Times New Roman" w:cs="Times New Roman" w:eastAsia="Times New Roman" w:hAnsi="Times New Roman"/>
          <w:sz w:val="15"/>
          <w:szCs w:val="15"/>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4—Investments at Fair Value” may include changes in fair value that are attributable to both observable inputs (Levels 1 and 2) and unobservable inputs (Level 3).</w:t>
      </w:r>
    </w:p>
    <w:p>
      <w:pPr>
        <w:spacing w:after="0" w:line="149" w:lineRule="exact"/>
        <w:rPr>
          <w:sz w:val="20"/>
          <w:szCs w:val="20"/>
          <w:color w:val="auto"/>
        </w:rPr>
      </w:pPr>
    </w:p>
    <w:p>
      <w:pPr>
        <w:jc w:val="both"/>
        <w:ind w:firstLine="273"/>
        <w:spacing w:after="0" w:line="265" w:lineRule="auto"/>
        <w:rPr>
          <w:sz w:val="20"/>
          <w:szCs w:val="20"/>
          <w:color w:val="auto"/>
        </w:rPr>
      </w:pPr>
      <w:r>
        <w:rPr>
          <w:rFonts w:ascii="Times New Roman" w:cs="Times New Roman" w:eastAsia="Times New Roman" w:hAnsi="Times New Roman"/>
          <w:sz w:val="15"/>
          <w:szCs w:val="15"/>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measurement period in which the reclassifications occur. Refer to “Levelling Policy” below for a detailed discussion of the levelling of the Company’s financial assets or liabilities and events that may cause a reclassification within the fair value hierarchy.</w:t>
      </w:r>
    </w:p>
    <w:p>
      <w:pPr>
        <w:spacing w:after="0" w:line="149"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Securities for which market quotations are readily available on an exchange are valued at the most recently available closing price of such security as of the valuation date. If there are legal or contractual restrictions on the sale or use of such security that under ASC 820-10-35, as modified by ASU 2022-03 (as defined below), should be incorporated into the security’s fair value measurement as a characteristic of the security that would transfer to market participants who would buy the security, the Company will consider those restrictions in the fair value determination of that security. Contractual sale restrictions on the sale or use of a security which are an entity-specific characteristic, rather than a security-specific characteristic (as discussed in ASU 2022-03), are not considered in the fair value determinations for such securities.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155"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Securities for which reliable market quotations are not readily available or for which the pricing source does not provide a valuation or methodology, or provides a valuation or methodology that, in the judgment of management, the Company’s Board of Directors or the valuation committee of the Company’s Board of Directors (the “Valuation Committee”), does not reliably represent fair value, shall each be valued as follows:</w:t>
      </w:r>
    </w:p>
    <w:p>
      <w:pPr>
        <w:spacing w:after="0" w:line="147" w:lineRule="exact"/>
        <w:rPr>
          <w:sz w:val="20"/>
          <w:szCs w:val="20"/>
          <w:color w:val="auto"/>
        </w:rPr>
      </w:pPr>
    </w:p>
    <w:p>
      <w:pPr>
        <w:ind w:left="540" w:hanging="275"/>
        <w:spacing w:after="0" w:line="288" w:lineRule="auto"/>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quarterly valuation process begins with each portfolio company or investment being initially valued by the internal investment professionals responsible for the portfolio investment;</w:t>
      </w:r>
    </w:p>
    <w:p>
      <w:pPr>
        <w:spacing w:after="0" w:line="13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Preliminary valuation estimates are then documented and discussed with senior management;</w:t>
      </w:r>
    </w:p>
    <w:p>
      <w:pPr>
        <w:spacing w:after="0" w:line="192" w:lineRule="exact"/>
        <w:rPr>
          <w:rFonts w:ascii="Times New Roman" w:cs="Times New Roman" w:eastAsia="Times New Roman" w:hAnsi="Times New Roman"/>
          <w:sz w:val="15"/>
          <w:szCs w:val="15"/>
          <w:color w:val="auto"/>
        </w:rPr>
      </w:pPr>
    </w:p>
    <w:p>
      <w:pPr>
        <w:ind w:left="540" w:hanging="275"/>
        <w:spacing w:after="0" w:line="288" w:lineRule="auto"/>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all investments for which there are no readily available market quotations, the Valuation Committee engages an independent third-party valuation firm to conduct independent appraisals, review management’s preliminary valuations and make its own independent assessment;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216"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September 30, 2024</w:t>
      </w:r>
    </w:p>
    <w:p>
      <w:pPr>
        <w:spacing w:after="0" w:line="177" w:lineRule="exact"/>
        <w:rPr>
          <w:sz w:val="20"/>
          <w:szCs w:val="20"/>
          <w:color w:val="auto"/>
        </w:rPr>
      </w:pPr>
    </w:p>
    <w:p>
      <w:pPr>
        <w:ind w:left="540" w:hanging="275"/>
        <w:spacing w:after="0" w:line="288" w:lineRule="auto"/>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Valuation Committee applies the appropriate valuation methodology to each portfolio asset in a consistent manner, considers the inputs provided by management and the independent third-party valuation firm, discusses the valuations and recommends to the Company’s Board of Directors a fair value for each investment in the portfolio; and</w:t>
      </w:r>
    </w:p>
    <w:p>
      <w:pPr>
        <w:spacing w:after="0" w:line="132" w:lineRule="exact"/>
        <w:rPr>
          <w:rFonts w:ascii="Times New Roman" w:cs="Times New Roman" w:eastAsia="Times New Roman" w:hAnsi="Times New Roman"/>
          <w:sz w:val="15"/>
          <w:szCs w:val="15"/>
          <w:color w:val="auto"/>
        </w:rPr>
      </w:pPr>
    </w:p>
    <w:p>
      <w:pPr>
        <w:ind w:left="540" w:right="20" w:hanging="275"/>
        <w:spacing w:after="0" w:line="288" w:lineRule="auto"/>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Board of Directors then discusses the valuations recommended by the Valuation Committee and determines in good faith the fair value of each investment in the portfolio.</w:t>
      </w:r>
    </w:p>
    <w:p>
      <w:pPr>
        <w:spacing w:after="0" w:line="133" w:lineRule="exact"/>
        <w:rPr>
          <w:sz w:val="20"/>
          <w:szCs w:val="20"/>
          <w:color w:val="auto"/>
        </w:rPr>
      </w:pPr>
    </w:p>
    <w:p>
      <w:pPr>
        <w:jc w:val="both"/>
        <w:ind w:firstLine="273"/>
        <w:spacing w:after="0" w:line="262" w:lineRule="auto"/>
        <w:rPr>
          <w:sz w:val="20"/>
          <w:szCs w:val="20"/>
          <w:color w:val="auto"/>
        </w:rPr>
      </w:pPr>
      <w:r>
        <w:rPr>
          <w:rFonts w:ascii="Times New Roman" w:cs="Times New Roman" w:eastAsia="Times New Roman" w:hAnsi="Times New Roman"/>
          <w:sz w:val="15"/>
          <w:szCs w:val="15"/>
          <w:color w:val="auto"/>
        </w:rPr>
        <w:t>In making a good faith determination of the fair value of investments, the Board of Directors applies valuation methodologies consistent with industry practice. Valuation methods utilized include, but are not limited to, the following: comparisons to prices from secondary market transactions; venture capital financings; public offerings; purchase or sales transactions; analysis of financial ratios and valuation metrics of portfolio companies that issued such private equity securities to peer companies that are public; analysis of the portfolio company’s most recent financial statements, forecasts and the markets in which the portfolio company does business, and other relevant factors. The Company assigns a weighting based upon the relevance of each method to assist the Board of Directors in determining the fair value of each investment.</w:t>
      </w:r>
    </w:p>
    <w:p>
      <w:pPr>
        <w:spacing w:after="0" w:line="152" w:lineRule="exact"/>
        <w:rPr>
          <w:sz w:val="20"/>
          <w:szCs w:val="20"/>
          <w:color w:val="auto"/>
        </w:rPr>
      </w:pPr>
    </w:p>
    <w:p>
      <w:pPr>
        <w:jc w:val="both"/>
        <w:ind w:firstLine="273"/>
        <w:spacing w:after="0" w:line="265" w:lineRule="auto"/>
        <w:rPr>
          <w:sz w:val="20"/>
          <w:szCs w:val="20"/>
          <w:color w:val="auto"/>
        </w:rPr>
      </w:pPr>
      <w:r>
        <w:rPr>
          <w:rFonts w:ascii="Times New Roman" w:cs="Times New Roman" w:eastAsia="Times New Roman" w:hAnsi="Times New Roman"/>
          <w:sz w:val="15"/>
          <w:szCs w:val="15"/>
          <w:color w:val="auto"/>
        </w:rPr>
        <w:t>For investments that are not publicly traded or that do not have readily available market quotations, the Valuation Committee generally engages an independent valuation firm to provide an independent valuation, which the Company’s Board of Directors considers, among other factors, in making its fair value determinations for these investments. For the current and prior fiscal year, the Valuation Committee engaged an independent valuation firm to perform valuations of 100% of the Company’s investments for which there were no readily available market quotations.</w:t>
      </w:r>
    </w:p>
    <w:p>
      <w:pPr>
        <w:spacing w:after="0" w:line="149" w:lineRule="exact"/>
        <w:rPr>
          <w:sz w:val="20"/>
          <w:szCs w:val="20"/>
          <w:color w:val="auto"/>
        </w:rPr>
      </w:pPr>
    </w:p>
    <w:p>
      <w:pPr>
        <w:jc w:val="both"/>
        <w:ind w:firstLine="273"/>
        <w:spacing w:after="0" w:line="262" w:lineRule="auto"/>
        <w:rPr>
          <w:sz w:val="20"/>
          <w:szCs w:val="20"/>
          <w:color w:val="auto"/>
        </w:rPr>
      </w:pPr>
      <w:r>
        <w:rPr>
          <w:rFonts w:ascii="Times New Roman" w:cs="Times New Roman" w:eastAsia="Times New Roman" w:hAnsi="Times New Roman"/>
          <w:sz w:val="15"/>
          <w:szCs w:val="15"/>
          <w:color w:val="auto"/>
        </w:rPr>
        <w:t>Due to the inherent uncertainty of determining the fair value of investments that do not have a readily available market value, the fair value of the Company’s investments may fluctuate from period to period. Because of the inherent uncertainty of valuation, these estimated values may differ significantly from the values that would have been reported had a ready market for the investments existed, and it is reasonably possible that the difference could be material. In addition, changes in the market environment and other events that may occur over the life of the investments may cause the realized gains or losses on investments to be different from the net change in unrealized appreciation or depreciation currently reflected in the condensed consolidated financial statements.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Equity Investments</w:t>
      </w:r>
    </w:p>
    <w:p>
      <w:pPr>
        <w:spacing w:after="0" w:line="196" w:lineRule="exact"/>
        <w:rPr>
          <w:sz w:val="20"/>
          <w:szCs w:val="20"/>
          <w:color w:val="auto"/>
        </w:rPr>
      </w:pPr>
    </w:p>
    <w:p>
      <w:pPr>
        <w:jc w:val="both"/>
        <w:ind w:firstLine="273"/>
        <w:spacing w:after="0" w:line="258" w:lineRule="auto"/>
        <w:rPr>
          <w:sz w:val="20"/>
          <w:szCs w:val="20"/>
          <w:color w:val="auto"/>
        </w:rPr>
      </w:pPr>
      <w:r>
        <w:rPr>
          <w:rFonts w:ascii="Times New Roman" w:cs="Times New Roman" w:eastAsia="Times New Roman" w:hAnsi="Times New Roman"/>
          <w:sz w:val="15"/>
          <w:szCs w:val="15"/>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that would transfer to market participants who would buy the security may be valued at a discount for a lack of marketability (“DLOM”) to the most recently available closing market prices. These investments are generally classified as Level 2 assets. The DLOM used is generally based upon the market value of publicly traded put options with similar terms. For equity securities with readily available market quotations that are subject to entity-specific contractual sale restrictions, rather than security-specific contractual sale restrictions, if such entity-specific contractual sale restrictions first applied or were modified on or after December 15, 2023, the restrictions are not considered in the determination of fair value for that security. See “Recently Issued or Adopted Accounting Standards” for more information.</w:t>
      </w:r>
    </w:p>
    <w:p>
      <w:pPr>
        <w:spacing w:after="0" w:line="157"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Board of Directors applies the appropriate respective valuation methodology for the asset class or portfolio holding, which may involve analyzing the relevant portfolio company’s most recently available historical and projected financial results, public market comparables, and other factors. The Board of Directors may also consider other events, including the transaction in which the Company acquired its securities, subsequent equity sales by the portfolio company, and mergers or acquisitions affecting the portfolio company. In addition, the Board of Directors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216"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September 30, 2024</w:t>
      </w:r>
    </w:p>
    <w:p>
      <w:pPr>
        <w:spacing w:after="0" w:line="177" w:lineRule="exact"/>
        <w:rPr>
          <w:sz w:val="20"/>
          <w:szCs w:val="20"/>
          <w:color w:val="auto"/>
        </w:rPr>
      </w:pPr>
    </w:p>
    <w:p>
      <w:pPr>
        <w:jc w:val="both"/>
        <w:ind w:firstLine="273"/>
        <w:spacing w:after="0" w:line="262" w:lineRule="auto"/>
        <w:rPr>
          <w:sz w:val="20"/>
          <w:szCs w:val="20"/>
          <w:color w:val="auto"/>
        </w:rPr>
      </w:pPr>
      <w:r>
        <w:rPr>
          <w:rFonts w:ascii="Times New Roman" w:cs="Times New Roman" w:eastAsia="Times New Roman" w:hAnsi="Times New Roman"/>
          <w:sz w:val="15"/>
          <w:szCs w:val="15"/>
          <w:color w:val="auto"/>
        </w:rPr>
        <w:t>In determining the fair value of equity or equity-linked securities (including simple agreement for future equity (“SAFE”) notes and warrants to purchase common or preferred stock) in a portfolio company, the Board of Directors considers the rights, preferences and limitations of such securities. When equity-linked securities expire worthless, any cost associated with these positions is recognized as a realized loss on investments in the Condensed Consolidated Statements of Operations and Condensed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Condensed Consolidated Statements of Cash Flows.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Debt Investments</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Given the nature of the Company’s current debt investments (excluding U.S. Treasuries), which are principally convertible and promissory notes issued by venture capital-backed portfolio companies, these investments are classified as Level 3 assets because there is no known or accessible market or market indices for these investment securities to be traded or exchanged. The Company’s debt investments are valued at estimated fair value as determined in good faith by the Company’s Board of Directors.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Options</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The Company’s Board of Directors determines the fair value of options based on methodologies that can include discounted cash flow analyses, option pricing models, comparable analyses and other techniques as deemed appropriate. These investments are classified as Level 3 assets because there is no known or accessible market or market indices for these investment securities to be traded or exchanged. The Company’s options are valued at estimated fair value as determined in good faith by the Company’s Board of Directors.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Special Purpose Vehicles and Investment Funds</w:t>
      </w:r>
    </w:p>
    <w:p>
      <w:pPr>
        <w:spacing w:after="0" w:line="196" w:lineRule="exact"/>
        <w:rPr>
          <w:sz w:val="20"/>
          <w:szCs w:val="20"/>
          <w:color w:val="auto"/>
        </w:rPr>
      </w:pPr>
    </w:p>
    <w:p>
      <w:pPr>
        <w:jc w:val="both"/>
        <w:ind w:firstLine="273"/>
        <w:spacing w:after="0" w:line="258" w:lineRule="auto"/>
        <w:rPr>
          <w:sz w:val="20"/>
          <w:szCs w:val="20"/>
          <w:color w:val="auto"/>
        </w:rPr>
      </w:pPr>
      <w:r>
        <w:rPr>
          <w:rFonts w:ascii="Times New Roman" w:cs="Times New Roman" w:eastAsia="Times New Roman" w:hAnsi="Times New Roman"/>
          <w:sz w:val="15"/>
          <w:szCs w:val="15"/>
          <w:color w:val="auto"/>
        </w:rPr>
        <w:t>At various times, the Company may utilize SPVs and similar investment fund structures in the investment process. The Company advances money to these SPVs or investment funds that are formed for the specific purpose of investing in securities of a single private issuer. Generally speaking, these single asset SPVs have the following characteristics: (1) the underlying investment in the securities of the single private issuer is the sole activity of the SPV or investment fund; (2) the Company’s underlying ownership of the single private issuer is proportionate to the Company’s contributions made to the SPV or investment fund; and (3) the Company will receive its proportionate share of the cash proceeds as the single private issuer is monetized and distributed. The Condensed Consolidated Schedule of Investments presents the value of the Company’s investment in the SPV or investment fund. These SPV and fund investments are valued at estimated fair value as determined in good faith by the Company’s Board of Directors. The SPVs may incur a tax liability associated with distributions made by underlying portfolio investments. If an SPV or investment fund charges management fees or prepaid partnership expenses, those fees may adjust the cost of the SPV.</w:t>
      </w:r>
    </w:p>
    <w:p>
      <w:pPr>
        <w:spacing w:after="0" w:line="342" w:lineRule="exact"/>
        <w:rPr>
          <w:sz w:val="20"/>
          <w:szCs w:val="20"/>
          <w:color w:val="auto"/>
        </w:rPr>
      </w:pPr>
    </w:p>
    <w:p>
      <w:pPr>
        <w:jc w:val="both"/>
        <w:ind w:firstLine="273"/>
        <w:spacing w:after="0" w:line="265" w:lineRule="auto"/>
        <w:rPr>
          <w:sz w:val="20"/>
          <w:szCs w:val="20"/>
          <w:color w:val="auto"/>
        </w:rPr>
      </w:pPr>
      <w:r>
        <w:rPr>
          <w:rFonts w:ascii="Times New Roman" w:cs="Times New Roman" w:eastAsia="Times New Roman" w:hAnsi="Times New Roman"/>
          <w:sz w:val="15"/>
          <w:szCs w:val="15"/>
          <w:color w:val="auto"/>
        </w:rPr>
        <w:t>In valuing the Company’s investments in venture investment funds (“Venture Investment Funds”), the Company may apply the practical expedient provided by the ASC Topic 820 relating to investments in certain entities that calculate net asset value (“NAV”) per share (or its equivalent). ASC Topic 820 permits an entity holding investments in certain entities that either are investment companies, or have attributes similar to an investment company, and calculate NAV per share or its equivalent for which the fair value is not readily determinable, to measure the fair value of such investments on the basis of that NAV per share, or its equivalent, without adjustment.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Special Purpose Acquisition Companies</w:t>
      </w:r>
    </w:p>
    <w:p>
      <w:pPr>
        <w:spacing w:after="0" w:line="196" w:lineRule="exact"/>
        <w:rPr>
          <w:sz w:val="20"/>
          <w:szCs w:val="20"/>
          <w:color w:val="auto"/>
        </w:rPr>
      </w:pPr>
    </w:p>
    <w:p>
      <w:pPr>
        <w:jc w:val="both"/>
        <w:ind w:firstLine="273"/>
        <w:spacing w:after="0" w:line="262" w:lineRule="auto"/>
        <w:rPr>
          <w:sz w:val="20"/>
          <w:szCs w:val="20"/>
          <w:color w:val="auto"/>
        </w:rPr>
      </w:pPr>
      <w:r>
        <w:rPr>
          <w:rFonts w:ascii="Times New Roman" w:cs="Times New Roman" w:eastAsia="Times New Roman" w:hAnsi="Times New Roman"/>
          <w:sz w:val="15"/>
          <w:szCs w:val="15"/>
          <w:color w:val="auto"/>
        </w:rPr>
        <w:t>The Company’s Board of Directors measures its SPAC sponsor investments at fair value, which is equivalent to cost until a SPAC transaction is announced. After a SPAC transaction is announced, the Company’s Board of Directors will determine the fair value of SPAC investments based on fair value analyses that can include option pricing models, probability-weighted expected return method analyses and other techniques as deemed appropriate. Upon completion of the SPAC transaction, the Board of Directors utilizes the public share price of the entity, less a DLOM if there are security-specific contractual sale restrictions. The Company’s SPAC investments are valued at estimated fair value as determined in good faith by the Company’s Board of Directors.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216"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September 30,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Portfolio Company Investment Classification</w:t>
      </w:r>
    </w:p>
    <w:p>
      <w:pPr>
        <w:spacing w:after="0" w:line="196"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The Company is a non-diversified company within the meaning of the 1940 Act. The Company classifies its investments by level of control. As defined in the 1940 Act, control investments are those where the investor retains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 portfolio company. Refer to the Condensed Consolidated Schedules of Investments as of September 30, 2024 and December 31, 2023 for details regarding the nature and composition of the Company’s investment portfolio.</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Levelling Policy</w:t>
      </w:r>
    </w:p>
    <w:p>
      <w:pPr>
        <w:spacing w:after="0" w:line="196"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or Level 2 if limited by the lock-up agreement. The Company prices the investment at the closing price on a public exchange as of the measurement date. In situations where there are legal or contractual restrictions on the sale or use of such security that under ASC 820-10-35 (as modified by ASU 2022-03) should be incorporated into the security’s fair value measurement as a characteristic of the security that would transfer to market participants who would buy the security, the Company will classify the investment as Level 2 subject to an appropriate DLOM to reflect the restrictions upon sale. The Company transfers investments between levels based on the fair value at the beginning of the measurement period in accordance with FASB ASC 820. For investments transferred out of Level 3 due to an IPO, the Company transfers these investments based on their fair value at the IPO date.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Securities Transactions</w:t>
      </w:r>
    </w:p>
    <w:p>
      <w:pPr>
        <w:spacing w:after="0" w:line="192" w:lineRule="exact"/>
        <w:rPr>
          <w:sz w:val="20"/>
          <w:szCs w:val="20"/>
          <w:color w:val="auto"/>
        </w:rPr>
      </w:pPr>
    </w:p>
    <w:p>
      <w:pPr>
        <w:jc w:val="both"/>
        <w:ind w:firstLine="273"/>
        <w:spacing w:after="0" w:line="273" w:lineRule="auto"/>
        <w:rPr>
          <w:sz w:val="20"/>
          <w:szCs w:val="20"/>
          <w:color w:val="auto"/>
        </w:rPr>
      </w:pPr>
      <w:r>
        <w:rPr>
          <w:rFonts w:ascii="Times New Roman" w:cs="Times New Roman" w:eastAsia="Times New Roman" w:hAnsi="Times New Roman"/>
          <w:sz w:val="15"/>
          <w:szCs w:val="15"/>
          <w:color w:val="auto"/>
        </w:rPr>
        <w:t>Securities transactions are accounted for on the date the transaction for the purchase or sale of the securities is entered into by the Company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Valuation of Other Financial Instruments</w:t>
      </w:r>
    </w:p>
    <w:p>
      <w:pPr>
        <w:spacing w:after="0" w:line="196" w:lineRule="exact"/>
        <w:rPr>
          <w:sz w:val="20"/>
          <w:szCs w:val="20"/>
          <w:color w:val="auto"/>
        </w:rPr>
      </w:pPr>
    </w:p>
    <w:p>
      <w:pPr>
        <w:jc w:val="both"/>
        <w:ind w:right="20" w:firstLine="273"/>
        <w:spacing w:after="0" w:line="288" w:lineRule="auto"/>
        <w:rPr>
          <w:sz w:val="20"/>
          <w:szCs w:val="20"/>
          <w:color w:val="auto"/>
        </w:rPr>
      </w:pPr>
      <w:r>
        <w:rPr>
          <w:rFonts w:ascii="Times New Roman" w:cs="Times New Roman" w:eastAsia="Times New Roman" w:hAnsi="Times New Roman"/>
          <w:sz w:val="15"/>
          <w:szCs w:val="15"/>
          <w:color w:val="auto"/>
        </w:rPr>
        <w:t>The carrying amounts of the Company’s other, non-investment financial instruments, consisting of cash, receivables, accounts payable, and accrued expenses, approximate fair value due to their short-term nature.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Cash</w:t>
      </w:r>
    </w:p>
    <w:p>
      <w:pPr>
        <w:spacing w:after="0" w:line="196" w:lineRule="exact"/>
        <w:rPr>
          <w:sz w:val="20"/>
          <w:szCs w:val="20"/>
          <w:color w:val="auto"/>
        </w:rPr>
      </w:pPr>
    </w:p>
    <w:p>
      <w:pPr>
        <w:jc w:val="both"/>
        <w:ind w:firstLine="273"/>
        <w:spacing w:after="0" w:line="288" w:lineRule="auto"/>
        <w:rPr>
          <w:sz w:val="20"/>
          <w:szCs w:val="20"/>
          <w:color w:val="auto"/>
        </w:rPr>
      </w:pPr>
      <w:r>
        <w:rPr>
          <w:rFonts w:ascii="Times New Roman" w:cs="Times New Roman" w:eastAsia="Times New Roman" w:hAnsi="Times New Roman"/>
          <w:sz w:val="15"/>
          <w:szCs w:val="15"/>
          <w:color w:val="auto"/>
        </w:rPr>
        <w:t>The Company custodies its cash with Western Alliance Trust Company, N.A., and may place cash in demand deposit accounts with other high-quality financial institutions. The cash held in these accounts may exceed the Federal Deposit Insurance Corporation insured limit. The Company believes the risk of loss associated with any uninsured balance is remote.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Escrow Proceeds Receivable</w:t>
      </w:r>
    </w:p>
    <w:p>
      <w:pPr>
        <w:spacing w:after="0" w:line="196"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A portion of the proceeds from the sale of portfolio investments are held in escrow as a recourse for indemnity claims that may arise under the sale agreement or other related transaction contingencies. Amounts held in escrow are held at estimated realizable value and included in net realized gains/(losses) on investments in the Condensed Consolidated Statements of Operations for the period in which they occurred and are adjusted as needed. Any remaining escrow proceeds balances from these transactions reasonably expected to be received are reflected on the Condensed Consolidated Statement of Assets and Liabilities as escrow proceeds receivable. Escrow proceeds receivable resulting from contingent consideration are to be recognized when the amount of the contingent consideration becomes realized or realizable. As of September 30, 2024 and December 31, 2023, the Company had $63,745 and $309,293, respectively, in escrow proceeds receivable.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216"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September 30,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Deferred Financing Costs</w:t>
      </w:r>
    </w:p>
    <w:p>
      <w:pPr>
        <w:spacing w:after="0" w:line="196" w:lineRule="exact"/>
        <w:rPr>
          <w:sz w:val="20"/>
          <w:szCs w:val="20"/>
          <w:color w:val="auto"/>
        </w:rPr>
      </w:pPr>
    </w:p>
    <w:p>
      <w:pPr>
        <w:jc w:val="both"/>
        <w:ind w:firstLine="273"/>
        <w:spacing w:after="0" w:line="262" w:lineRule="auto"/>
        <w:rPr>
          <w:sz w:val="20"/>
          <w:szCs w:val="20"/>
          <w:color w:val="auto"/>
        </w:rPr>
      </w:pPr>
      <w:r>
        <w:rPr>
          <w:rFonts w:ascii="Times New Roman" w:cs="Times New Roman" w:eastAsia="Times New Roman" w:hAnsi="Times New Roman"/>
          <w:sz w:val="15"/>
          <w:szCs w:val="15"/>
          <w:color w:val="auto"/>
        </w:rPr>
        <w:t>The Company records fees and expenses incurred in connection with financing or capital raising activities relating to the Company’s shelf registration statement on Form N-2 as deferred financing costs. The Company also incurred additional offering costs in connection with its 6.00% Notes due 2026. The Company defers these offering costs until capital is raised pursuant to the shelf registration statement or as the shelf registration statement expires. For equity capital raised, the offering costs reduce paid-in capital resulting from the offering. These costs are deferred and amortized using the straight-line method over the respective life of the financing instrument. For modifications to a financing instrument, any unamortized origination costs are expensed.</w:t>
      </w:r>
    </w:p>
    <w:p>
      <w:pPr>
        <w:spacing w:after="0" w:line="152" w:lineRule="exact"/>
        <w:rPr>
          <w:sz w:val="20"/>
          <w:szCs w:val="20"/>
          <w:color w:val="auto"/>
        </w:rPr>
      </w:pPr>
    </w:p>
    <w:p>
      <w:pPr>
        <w:jc w:val="both"/>
        <w:ind w:firstLine="273"/>
        <w:spacing w:after="0" w:line="265" w:lineRule="auto"/>
        <w:rPr>
          <w:sz w:val="20"/>
          <w:szCs w:val="20"/>
          <w:color w:val="auto"/>
        </w:rPr>
      </w:pPr>
      <w:r>
        <w:rPr>
          <w:rFonts w:ascii="Times New Roman" w:cs="Times New Roman" w:eastAsia="Times New Roman" w:hAnsi="Times New Roman"/>
          <w:sz w:val="15"/>
          <w:szCs w:val="15"/>
          <w:color w:val="auto"/>
        </w:rPr>
        <w:t>The Company records fees and expenses incurred in connection with debt capital raises as deferred debt issuance costs. Such costs are reflected in the carrying value of the related debt instrument, and not the Company’s deferred financing costs. For debt capital raised, the associated offering costs are deferred and amortized as part of interest expense using the straight-line method over the life of the debt instrument. As of September 30, 2024 and December 31, 2023, the Company had deferred financing costs of $492,952 and $594,726, respectively, on the Condensed Consolidated Statement of Assets and Liabilities.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160" w:type="dxa"/>
            <w:vAlign w:val="bottom"/>
          </w:tcPr>
          <w:p>
            <w:pPr>
              <w:spacing w:after="0"/>
              <w:rPr>
                <w:sz w:val="17"/>
                <w:szCs w:val="17"/>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174"/>
        </w:trPr>
        <w:tc>
          <w:tcPr>
            <w:tcW w:w="7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debt issuance costs</w:t>
            </w: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1,432,112</w:t>
            </w:r>
          </w:p>
        </w:tc>
        <w:tc>
          <w:tcPr>
            <w:tcW w:w="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1,254,793</w:t>
            </w:r>
          </w:p>
        </w:tc>
        <w:tc>
          <w:tcPr>
            <w:tcW w:w="100" w:type="dxa"/>
            <w:vAlign w:val="bottom"/>
            <w:tcBorders>
              <w:top w:val="single" w:sz="8" w:color="CCEEFF"/>
            </w:tcBorders>
            <w:shd w:val="clear" w:color="auto" w:fill="CCEEFF"/>
          </w:tcPr>
          <w:p>
            <w:pPr>
              <w:spacing w:after="0"/>
              <w:rPr>
                <w:sz w:val="15"/>
                <w:szCs w:val="15"/>
                <w:color w:val="auto"/>
              </w:rPr>
            </w:pPr>
          </w:p>
        </w:tc>
      </w:tr>
      <w:tr>
        <w:trPr>
          <w:trHeight w:val="194"/>
        </w:trPr>
        <w:tc>
          <w:tcPr>
            <w:tcW w:w="7420" w:type="dxa"/>
            <w:vAlign w:val="bottom"/>
          </w:tcPr>
          <w:p>
            <w:pPr>
              <w:spacing w:after="0"/>
              <w:rPr>
                <w:sz w:val="20"/>
                <w:szCs w:val="20"/>
                <w:color w:val="auto"/>
              </w:rPr>
            </w:pPr>
            <w:r>
              <w:rPr>
                <w:rFonts w:ascii="Times New Roman" w:cs="Times New Roman" w:eastAsia="Times New Roman" w:hAnsi="Times New Roman"/>
                <w:sz w:val="15"/>
                <w:szCs w:val="15"/>
                <w:color w:val="auto"/>
              </w:rPr>
              <w:t>Deferred financing costs</w:t>
            </w:r>
          </w:p>
        </w:tc>
        <w:tc>
          <w:tcPr>
            <w:tcW w:w="160" w:type="dxa"/>
            <w:vAlign w:val="bottom"/>
          </w:tcPr>
          <w:p>
            <w:pPr>
              <w:spacing w:after="0"/>
              <w:rPr>
                <w:sz w:val="16"/>
                <w:szCs w:val="16"/>
                <w:color w:val="auto"/>
              </w:rPr>
            </w:pPr>
          </w:p>
        </w:tc>
        <w:tc>
          <w:tcPr>
            <w:tcW w:w="18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492,952</w:t>
            </w:r>
          </w:p>
        </w:tc>
        <w:tc>
          <w:tcPr>
            <w:tcW w:w="160" w:type="dxa"/>
            <w:vAlign w:val="bottom"/>
          </w:tcPr>
          <w:p>
            <w:pPr>
              <w:spacing w:after="0"/>
              <w:rPr>
                <w:sz w:val="16"/>
                <w:szCs w:val="16"/>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594,726</w:t>
            </w:r>
          </w:p>
        </w:tc>
      </w:tr>
      <w:tr>
        <w:trPr>
          <w:trHeight w:val="185"/>
        </w:trPr>
        <w:tc>
          <w:tcPr>
            <w:tcW w:w="7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1,925,064</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1,849,519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7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Refer to “Note 10 — Debt Capital Activities” for further detail regarding the Company’s deferred debt issuance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Operating Leases &amp; Related Deposits</w:t>
      </w:r>
    </w:p>
    <w:p>
      <w:pPr>
        <w:spacing w:after="0" w:line="192"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 xml:space="preserve">The Company accounts for its operating leases as prescribed by ASC 842, </w:t>
      </w:r>
      <w:r>
        <w:rPr>
          <w:rFonts w:ascii="Times New Roman" w:cs="Times New Roman" w:eastAsia="Times New Roman" w:hAnsi="Times New Roman"/>
          <w:sz w:val="15"/>
          <w:szCs w:val="15"/>
          <w:i w:val="1"/>
          <w:iCs w:val="1"/>
          <w:color w:val="auto"/>
        </w:rPr>
        <w:t>Leases</w:t>
      </w:r>
      <w:r>
        <w:rPr>
          <w:rFonts w:ascii="Times New Roman" w:cs="Times New Roman" w:eastAsia="Times New Roman" w:hAnsi="Times New Roman"/>
          <w:sz w:val="15"/>
          <w:szCs w:val="15"/>
          <w:color w:val="auto"/>
        </w:rPr>
        <w:t>, which requires lessees to recognize a right-of-use asset on the balance sheet, representing its right to use the underlying asset for the lease term, and a corresponding lease liability for all leases with terms greater than 12 months. The lease expense is presented as a single lease cost that is amortized on a straight-line basis over the life of the lease. Non-lease components (maintenance, property tax, insurance and parking) are not included in the lease cost. On September 1, 2024, the Company extended the previous operating lease for office space, for an additional term of three years and three months, expiring March 31, 2028 . The Company has recorded a right-of-use asset and a corresponding lease liability for the operating lease obligation. These amounts have been discounted using the rate implicit in the lease. Refer to “Note 7—Commitments and Contingencies—</w:t>
      </w:r>
      <w:r>
        <w:rPr>
          <w:rFonts w:ascii="Times New Roman" w:cs="Times New Roman" w:eastAsia="Times New Roman" w:hAnsi="Times New Roman"/>
          <w:sz w:val="15"/>
          <w:szCs w:val="15"/>
          <w:i w:val="1"/>
          <w:iCs w:val="1"/>
          <w:color w:val="auto"/>
        </w:rPr>
        <w:t>Operating Leases and Related Deposits</w:t>
      </w:r>
      <w:r>
        <w:rPr>
          <w:rFonts w:ascii="Times New Roman" w:cs="Times New Roman" w:eastAsia="Times New Roman" w:hAnsi="Times New Roman"/>
          <w:sz w:val="15"/>
          <w:szCs w:val="15"/>
          <w:color w:val="auto"/>
        </w:rPr>
        <w:t>” for further detail.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w:t>
      </w:r>
    </w:p>
    <w:p>
      <w:pPr>
        <w:spacing w:after="0" w:line="192" w:lineRule="exact"/>
        <w:rPr>
          <w:sz w:val="20"/>
          <w:szCs w:val="20"/>
          <w:color w:val="auto"/>
        </w:rPr>
      </w:pPr>
    </w:p>
    <w:p>
      <w:pPr>
        <w:jc w:val="both"/>
        <w:ind w:firstLine="273"/>
        <w:spacing w:after="0" w:line="266" w:lineRule="auto"/>
        <w:rPr>
          <w:sz w:val="20"/>
          <w:szCs w:val="20"/>
          <w:color w:val="auto"/>
        </w:rPr>
      </w:pPr>
      <w:r>
        <w:rPr>
          <w:rFonts w:ascii="Times New Roman" w:cs="Times New Roman" w:eastAsia="Times New Roman" w:hAnsi="Times New Roman"/>
          <w:sz w:val="15"/>
          <w:szCs w:val="15"/>
          <w:color w:val="auto"/>
        </w:rPr>
        <w:t xml:space="preserve">Using the fair value recognition provisions as prescribed by ASC 718, </w:t>
      </w:r>
      <w:r>
        <w:rPr>
          <w:rFonts w:ascii="Times New Roman" w:cs="Times New Roman" w:eastAsia="Times New Roman" w:hAnsi="Times New Roman"/>
          <w:sz w:val="15"/>
          <w:szCs w:val="15"/>
          <w:i w:val="1"/>
          <w:iCs w:val="1"/>
          <w:color w:val="auto"/>
        </w:rPr>
        <w:t>Stock Compensation</w:t>
      </w:r>
      <w:r>
        <w:rPr>
          <w:rFonts w:ascii="Times New Roman" w:cs="Times New Roman" w:eastAsia="Times New Roman" w:hAnsi="Times New Roman"/>
          <w:sz w:val="15"/>
          <w:szCs w:val="15"/>
          <w:color w:val="auto"/>
        </w:rPr>
        <w:t>, stock-based compensation cost is measured at the grant date based on the fair value of the award and is recognized as expense over the appropriate service period. Determining the fair value of stock-based awards requires considerable judgment, including estimating the expected term of stock options and the expected volatility of the Company’s stock price. Differences between actual results and these estimates could have a material effect on the Company’s financial results. Forfeitures are accounted for as they occur. Refer to “Note 11—Stock-Based Compensation” for further detail.</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Revenue Recognition</w:t>
      </w:r>
    </w:p>
    <w:p>
      <w:pPr>
        <w:spacing w:after="0" w:line="196" w:lineRule="exact"/>
        <w:rPr>
          <w:sz w:val="20"/>
          <w:szCs w:val="20"/>
          <w:color w:val="auto"/>
        </w:rPr>
      </w:pPr>
    </w:p>
    <w:p>
      <w:pPr>
        <w:jc w:val="both"/>
        <w:ind w:firstLine="273"/>
        <w:spacing w:after="0" w:line="288" w:lineRule="auto"/>
        <w:rPr>
          <w:sz w:val="20"/>
          <w:szCs w:val="20"/>
          <w:color w:val="auto"/>
        </w:rPr>
      </w:pPr>
      <w:r>
        <w:rPr>
          <w:rFonts w:ascii="Times New Roman" w:cs="Times New Roman" w:eastAsia="Times New Roman" w:hAnsi="Times New Roman"/>
          <w:sz w:val="15"/>
          <w:szCs w:val="15"/>
          <w:color w:val="auto"/>
        </w:rPr>
        <w:t>The Company recognizes gains or losses on the sale of investments using the specific identification method. The Company recognizes interest income, adjusted for amortization of premium and accretion of discount, on an accrual basis. The Company recognizes dividend income on the ex-dividend date.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Investment Transaction Costs and Escrow Deposits</w:t>
      </w:r>
    </w:p>
    <w:p>
      <w:pPr>
        <w:spacing w:after="0" w:line="196" w:lineRule="exact"/>
        <w:rPr>
          <w:sz w:val="20"/>
          <w:szCs w:val="20"/>
          <w:color w:val="auto"/>
        </w:rPr>
      </w:pPr>
    </w:p>
    <w:p>
      <w:pPr>
        <w:jc w:val="both"/>
        <w:ind w:firstLine="273"/>
        <w:spacing w:after="0" w:line="262" w:lineRule="auto"/>
        <w:rPr>
          <w:sz w:val="20"/>
          <w:szCs w:val="20"/>
          <w:color w:val="auto"/>
        </w:rPr>
      </w:pPr>
      <w:r>
        <w:rPr>
          <w:rFonts w:ascii="Times New Roman" w:cs="Times New Roman" w:eastAsia="Times New Roman" w:hAnsi="Times New Roman"/>
          <w:sz w:val="15"/>
          <w:szCs w:val="15"/>
          <w:color w:val="auto"/>
        </w:rPr>
        <w:t>Commissions and other costs associated with an investment transaction, including legal expenses not reimbursed by the portfolio company,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Condensed Consolidated Statement of Assets and Liabilities as escrow deposits. As of September 30, 2024 and December 31, 2023, the Company had no escrow deposits.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216"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September 30,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Unrealized Appreciation or Depreciation of Investments</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Unrealized appreciation or depreciation is calculated as the difference between the fair value of the investment and the cost basis of such investment.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U.S. Federal and State Income Taxes</w:t>
      </w:r>
    </w:p>
    <w:p>
      <w:pPr>
        <w:spacing w:after="0" w:line="196"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The Company elected to be treated as a RIC under Subchapter M of the Code beginning with its taxable year ended December 31, 2014, has qualified to be treated as a RIC for subsequent taxable years and intends to continue to operate in a manner so as to qualify for the tax treatment applicable to RICs. To qualify for tax treatment as a RIC, among other things, the Company is required to meet certain source of income and asset diversification requirements and timely distribute to its stockholders at least the sum of 90% of its investment company taxable income (“ICTI”), including payment-in-kind interest income, as defined by the Code, and 90% of its net tax-exempt interest income (which is the excess of its gross tax-exempt interest income over certain disallowed deductions) for each taxable year (the “Annual Distribution Requirement”).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155"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If the Company meets the Annual Distribution Requirement, but does not distribute (or is not deemed to have distributed) each calendar year a sum of (1) 98% of its net ordinary income for each calendar year, (2) 98.2% of its capital gain net income for the one-year period ending October 31 in that calendar year and (3) any income recognized, but not distributed, in preceding years (the “Excise Tax Avoidance Requirement”), it generally will be required to pay an excise tax equal to 4% of the amount by which the Excise Tax Avoidance Requirement exceeds the distributions for the year. To the extent that the Company determines that its estimated current year annual taxable income will exceed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155"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So long as the Company qualifies and maintains its tax treatment as a RIC, it generally will not be subject to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condensed consolidated financial statements of the Company. Included in the Company’s condensed consolidated financial statements, the Taxable Subsidiaries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Condensed Consolidated Financial Statements.</w:t>
      </w:r>
    </w:p>
    <w:p>
      <w:pPr>
        <w:spacing w:after="0" w:line="155" w:lineRule="exact"/>
        <w:rPr>
          <w:sz w:val="20"/>
          <w:szCs w:val="20"/>
          <w:color w:val="auto"/>
        </w:rPr>
      </w:pPr>
    </w:p>
    <w:p>
      <w:pPr>
        <w:jc w:val="both"/>
        <w:ind w:firstLine="273"/>
        <w:spacing w:after="0" w:line="256" w:lineRule="auto"/>
        <w:rPr>
          <w:sz w:val="20"/>
          <w:szCs w:val="20"/>
          <w:color w:val="auto"/>
        </w:rPr>
      </w:pPr>
      <w:r>
        <w:rPr>
          <w:rFonts w:ascii="Times New Roman" w:cs="Times New Roman" w:eastAsia="Times New Roman" w:hAnsi="Times New Roman"/>
          <w:sz w:val="15"/>
          <w:szCs w:val="15"/>
          <w:color w:val="auto"/>
        </w:rPr>
        <w:t>If it is not treated as a RIC,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adjusted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for tax treatment as a RIC. If the Company fails to requalify for tax treatment as a RIC for a period greater than two taxable years, it may be subject to regular corporate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 Refer to “Note 9—Income Taxes” for further details.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216"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September 30,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Per Share Information</w:t>
      </w:r>
    </w:p>
    <w:p>
      <w:pPr>
        <w:spacing w:after="0" w:line="196" w:lineRule="exact"/>
        <w:rPr>
          <w:sz w:val="20"/>
          <w:szCs w:val="20"/>
          <w:color w:val="auto"/>
        </w:rPr>
      </w:pPr>
    </w:p>
    <w:p>
      <w:pPr>
        <w:jc w:val="both"/>
        <w:ind w:firstLine="273"/>
        <w:spacing w:after="0" w:line="262" w:lineRule="auto"/>
        <w:rPr>
          <w:sz w:val="20"/>
          <w:szCs w:val="20"/>
          <w:color w:val="auto"/>
        </w:rPr>
      </w:pPr>
      <w:r>
        <w:rPr>
          <w:rFonts w:ascii="Times New Roman" w:cs="Times New Roman" w:eastAsia="Times New Roman" w:hAnsi="Times New Roman"/>
          <w:sz w:val="15"/>
          <w:szCs w:val="15"/>
          <w:color w:val="auto"/>
        </w:rPr>
        <w:t>Net change in net assets resulting from operations per basic common share is computed using the weighted-average number of shares outstanding for the period presented. Diluted net change in net assets resulting from operations per common share is computed by dividing net increase/(decrease)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When applicable, the Company uses the if-converted method in accordance with FASB ASC 260</w:t>
      </w:r>
      <w:r>
        <w:rPr>
          <w:rFonts w:ascii="Times New Roman" w:cs="Times New Roman" w:eastAsia="Times New Roman" w:hAnsi="Times New Roman"/>
          <w:sz w:val="15"/>
          <w:szCs w:val="15"/>
          <w:i w:val="1"/>
          <w:iCs w:val="1"/>
          <w:color w:val="auto"/>
        </w:rPr>
        <w:t>, Earnings Per Share</w:t>
      </w:r>
      <w:r>
        <w:rPr>
          <w:rFonts w:ascii="Times New Roman" w:cs="Times New Roman" w:eastAsia="Times New Roman" w:hAnsi="Times New Roman"/>
          <w:sz w:val="15"/>
          <w:szCs w:val="15"/>
          <w:color w:val="auto"/>
        </w:rPr>
        <w:t xml:space="preserve"> (“ASC 260”), to determine the number of potentially dilutive shares outstanding. Refer to “Note 6—Net Increase in Net Assets Resulting from Operations per Common Share—Basic and Diluted” for further detail.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Recently Issued or Adopted Accounting Standards</w:t>
      </w:r>
    </w:p>
    <w:p>
      <w:pPr>
        <w:spacing w:after="0" w:line="196" w:lineRule="exact"/>
        <w:rPr>
          <w:sz w:val="20"/>
          <w:szCs w:val="20"/>
          <w:color w:val="auto"/>
        </w:rPr>
      </w:pPr>
    </w:p>
    <w:p>
      <w:pPr>
        <w:jc w:val="both"/>
        <w:ind w:firstLine="273"/>
        <w:spacing w:after="0" w:line="265" w:lineRule="auto"/>
        <w:rPr>
          <w:sz w:val="20"/>
          <w:szCs w:val="20"/>
          <w:color w:val="auto"/>
        </w:rPr>
      </w:pPr>
      <w:r>
        <w:rPr>
          <w:rFonts w:ascii="Times New Roman" w:cs="Times New Roman" w:eastAsia="Times New Roman" w:hAnsi="Times New Roman"/>
          <w:sz w:val="15"/>
          <w:szCs w:val="15"/>
          <w:color w:val="auto"/>
        </w:rPr>
        <w:t>In June 2022, the FASB issued ASU No. 2022-03, “Fair Value Measurements (Topic 820): Fair Value Measurement of Equity Securities Subject to Contractual Sale Restrictions.” This change prospectively prohibits entities from taking into account certain contractual restrictions on the sale of equity securities when estimating fair value and introduces required disclosures for such transactions. The standard is effective for annual periods beginning after December 15, 2023, and applied prospectively. The Company adopted the requirements of ASU 2022-03 during the period ended March 31, 2024.</w:t>
      </w:r>
    </w:p>
    <w:p>
      <w:pPr>
        <w:spacing w:after="0" w:line="149" w:lineRule="exact"/>
        <w:rPr>
          <w:sz w:val="20"/>
          <w:szCs w:val="20"/>
          <w:color w:val="auto"/>
        </w:rPr>
      </w:pPr>
    </w:p>
    <w:p>
      <w:pPr>
        <w:jc w:val="both"/>
        <w:ind w:firstLine="273"/>
        <w:spacing w:after="0" w:line="265" w:lineRule="auto"/>
        <w:rPr>
          <w:sz w:val="20"/>
          <w:szCs w:val="20"/>
          <w:color w:val="auto"/>
        </w:rPr>
      </w:pPr>
      <w:r>
        <w:rPr>
          <w:rFonts w:ascii="Times New Roman" w:cs="Times New Roman" w:eastAsia="Times New Roman" w:hAnsi="Times New Roman"/>
          <w:sz w:val="15"/>
          <w:szCs w:val="15"/>
          <w:color w:val="auto"/>
        </w:rPr>
        <w:t>In December 2023, the FASB issued ASU 2023-09, “Improvements to Income Tax Disclosures.” The amendments in this update require more disaggregated information on income taxes paid. The standard is effective for annual periods beginning after December 15, 2024. Early adoption is permitted; however, the Company has not elected to adopt this provision as of the date of the condensed consolidated financial statements. The Company is still assessing the impact of the new guidance. However, it does not expect ASU 2023-09 to have a material impact on the Company’s future financial statements.</w:t>
      </w:r>
    </w:p>
    <w:p>
      <w:pPr>
        <w:spacing w:after="0" w:line="149" w:lineRule="exact"/>
        <w:rPr>
          <w:sz w:val="20"/>
          <w:szCs w:val="20"/>
          <w:color w:val="auto"/>
        </w:rPr>
      </w:pPr>
    </w:p>
    <w:p>
      <w:pPr>
        <w:jc w:val="both"/>
        <w:ind w:firstLine="273"/>
        <w:spacing w:after="0" w:line="262" w:lineRule="auto"/>
        <w:rPr>
          <w:sz w:val="20"/>
          <w:szCs w:val="20"/>
          <w:color w:val="auto"/>
        </w:rPr>
      </w:pPr>
      <w:r>
        <w:rPr>
          <w:rFonts w:ascii="Times New Roman" w:cs="Times New Roman" w:eastAsia="Times New Roman" w:hAnsi="Times New Roman"/>
          <w:sz w:val="15"/>
          <w:szCs w:val="15"/>
          <w:color w:val="auto"/>
        </w:rPr>
        <w:t>In March 2024, the FASB issued ASU 2024-01, “Compensation - Stock Compensation (Topic 718): Scope Application of Profits Interest and Similar Awards.” ASU 2024-01 clarifies how an entity determines whether a profits interest or similar award is within the scope of Topic 718 or not a share-based payment arrangement and therefore within the scope of other guidance. ASU 2024-01 is effective for public entities for fiscal years beginning after December 15, 2024, and interim periods in fiscal years beginning after December 15, 2024. Early adoption is permitted; however, the Company has not elected to adopt this provision as of the date of the condensed consolidated financial statements. The Company is currently evaluating the impact of the new guidance. However, it does not expect ASU 2024-01 to have a material impact on the Company’s future financial statements.</w:t>
      </w:r>
    </w:p>
    <w:p>
      <w:pPr>
        <w:spacing w:after="0" w:line="152"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In November 2023, the FASB issued ASU 2023-07, “Segment Reporting (Topic 280): Improvements to Reportable Segment Disclosures (“ASU 2023- 07”),” which enhances disclosure requirements about significant segment expenses that are regularly provided to the chief operating decision maker (the “CODM”). ASU 2023-07, among other things, (i) requires a single segment public entity to provide all of the disclosures as required by Topic 280, (ii) requires a public entity to disclose the title and position of the CODM and an explanation of how the CODM uses the reported measure(s) of segment profit or loss in assessing segment performance and deciding how to allocate resources and (iii) provides the ability for a public entity to elect more than one performance measure. ASU 2023-07 is effective for the fiscal years beginning after December 15, 2023, and interim periods beginning with the first quarter ended March 31, 2025. Early adoption is permitted and retrospective adoption is required for all prior periods presented. The Company is currently assessing the impact of this guidance, however, the Company does not expect a material impact on its condensed consolidated financial statements.</w:t>
      </w:r>
    </w:p>
    <w:p>
      <w:pPr>
        <w:spacing w:after="0" w:line="155" w:lineRule="exact"/>
        <w:rPr>
          <w:sz w:val="20"/>
          <w:szCs w:val="20"/>
          <w:color w:val="auto"/>
        </w:rPr>
      </w:pPr>
    </w:p>
    <w:p>
      <w:pPr>
        <w:jc w:val="both"/>
        <w:ind w:right="20" w:firstLine="273"/>
        <w:spacing w:after="0" w:line="270" w:lineRule="auto"/>
        <w:rPr>
          <w:sz w:val="20"/>
          <w:szCs w:val="20"/>
          <w:color w:val="auto"/>
        </w:rPr>
      </w:pPr>
      <w:r>
        <w:rPr>
          <w:rFonts w:ascii="Times New Roman" w:cs="Times New Roman" w:eastAsia="Times New Roman" w:hAnsi="Times New Roman"/>
          <w:sz w:val="15"/>
          <w:szCs w:val="15"/>
          <w:color w:val="auto"/>
        </w:rPr>
        <w:t>From time to time, new accounting pronouncements are issued by the FASB or other standards setting bodies that are adopted by the Company as of the specified effective date. The Company believes that the impact of recently issued standards and any that are not yet effective will not have a material impact on its condensed consolidated financial statements upon adoption.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3—RELATED-PARTY ARRANGEMENTS</w:t>
      </w:r>
    </w:p>
    <w:p>
      <w:pPr>
        <w:spacing w:after="0" w:line="196" w:lineRule="exact"/>
        <w:rPr>
          <w:sz w:val="20"/>
          <w:szCs w:val="20"/>
          <w:color w:val="auto"/>
        </w:rPr>
      </w:pPr>
    </w:p>
    <w:p>
      <w:pPr>
        <w:jc w:val="both"/>
        <w:ind w:right="20" w:firstLine="273"/>
        <w:spacing w:after="0" w:line="270" w:lineRule="auto"/>
        <w:rPr>
          <w:sz w:val="20"/>
          <w:szCs w:val="20"/>
          <w:color w:val="auto"/>
        </w:rPr>
      </w:pPr>
      <w:r>
        <w:rPr>
          <w:rFonts w:ascii="Times New Roman" w:cs="Times New Roman" w:eastAsia="Times New Roman" w:hAnsi="Times New Roman"/>
          <w:sz w:val="15"/>
          <w:szCs w:val="15"/>
          <w:color w:val="auto"/>
        </w:rPr>
        <w:t>The Company’s executive officers and directors serve or may serve as officers, directors, or managers of entities that operate in a line of business similar to the Company’s, including new entities that may be formed in the future. Accordingly, they may have obligations to investors in those entities, the fulfillment of which might not be in the best interests of the Company or the Company’s stockholders.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216"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September 30, 2024</w:t>
      </w:r>
    </w:p>
    <w:p>
      <w:pPr>
        <w:spacing w:after="0" w:line="177" w:lineRule="exact"/>
        <w:rPr>
          <w:sz w:val="20"/>
          <w:szCs w:val="20"/>
          <w:color w:val="auto"/>
        </w:rPr>
      </w:pPr>
    </w:p>
    <w:p>
      <w:pPr>
        <w:jc w:val="both"/>
        <w:ind w:firstLine="273"/>
        <w:spacing w:after="0" w:line="265" w:lineRule="auto"/>
        <w:rPr>
          <w:sz w:val="20"/>
          <w:szCs w:val="20"/>
          <w:color w:val="auto"/>
        </w:rPr>
      </w:pPr>
      <w:r>
        <w:rPr>
          <w:rFonts w:ascii="Times New Roman" w:cs="Times New Roman" w:eastAsia="Times New Roman" w:hAnsi="Times New Roman"/>
          <w:sz w:val="15"/>
          <w:szCs w:val="15"/>
          <w:color w:val="auto"/>
        </w:rPr>
        <w:t>The 1940 Act prohibits the Company from participating in certain negotiated co-investments with certain affiliates unless it receives an order from the SEC permitting it to do so. As a BDC, the Company is prohibited under the 1940 Act from participating in certain transactions with certain of its affiliates without the prior approval of the Board of Directors, including its independent directors, and, in some cases, the SEC. The affiliates with which the Company may be prohibited from transacting include its officers, directors, and employees and any person controlling or under common control with the Company, subject to certain exceptions.</w:t>
      </w:r>
    </w:p>
    <w:p>
      <w:pPr>
        <w:spacing w:after="0" w:line="149" w:lineRule="exact"/>
        <w:rPr>
          <w:sz w:val="20"/>
          <w:szCs w:val="20"/>
          <w:color w:val="auto"/>
        </w:rPr>
      </w:pPr>
    </w:p>
    <w:p>
      <w:pPr>
        <w:jc w:val="both"/>
        <w:ind w:firstLine="273"/>
        <w:spacing w:after="0" w:line="265" w:lineRule="auto"/>
        <w:rPr>
          <w:sz w:val="20"/>
          <w:szCs w:val="20"/>
          <w:color w:val="auto"/>
        </w:rPr>
      </w:pPr>
      <w:r>
        <w:rPr>
          <w:rFonts w:ascii="Times New Roman" w:cs="Times New Roman" w:eastAsia="Times New Roman" w:hAnsi="Times New Roman"/>
          <w:sz w:val="15"/>
          <w:szCs w:val="15"/>
          <w:color w:val="auto"/>
        </w:rPr>
        <w:t>In the ordinary course of business, the Company may enter into transactions with portfolio companies that may be considered related-party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w:t>
      </w:r>
    </w:p>
    <w:p>
      <w:pPr>
        <w:spacing w:after="0" w:line="149"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The Company’s investment in Churchill Sponsor VII LLC, the sponsor of Churchill Capital Corp. VII, a SPAC, constituted a “remote-affiliate” transaction for purposes of the 1940 Act in light of the fact that Mark D. Klein, the Company’s Chairman, Chief Executive Officer and President, has a non-controlling interest in the entity that controls Churchill Sponsor VII LLC, and is a non-controlling member of the board of directors of Churchill Capital Corp. VII. In addition, Mr. Klein’s brother, Michael Klein, is a control person of such Churchill entities. On August 18, 2024, Churchill Capital Corp. VII announced that it would not consummate an initial business combination within the time period required by its Amended and Restated Certificate of Incorporation, as amended, and the Company realized a loss on the entirety of its Churchill Sponsor VII LLC common share units and warrant units in the amount of $300,000.</w:t>
      </w:r>
    </w:p>
    <w:p>
      <w:pPr>
        <w:spacing w:after="0" w:line="155" w:lineRule="exact"/>
        <w:rPr>
          <w:sz w:val="20"/>
          <w:szCs w:val="20"/>
          <w:color w:val="auto"/>
        </w:rPr>
      </w:pPr>
    </w:p>
    <w:p>
      <w:pPr>
        <w:jc w:val="both"/>
        <w:ind w:firstLine="273"/>
        <w:spacing w:after="0" w:line="262" w:lineRule="auto"/>
        <w:rPr>
          <w:sz w:val="20"/>
          <w:szCs w:val="20"/>
          <w:color w:val="auto"/>
        </w:rPr>
      </w:pPr>
      <w:r>
        <w:rPr>
          <w:rFonts w:ascii="Times New Roman" w:cs="Times New Roman" w:eastAsia="Times New Roman" w:hAnsi="Times New Roman"/>
          <w:sz w:val="15"/>
          <w:szCs w:val="15"/>
          <w:color w:val="auto"/>
        </w:rPr>
        <w:t>The Company’s investment in Skillsoft Corp. (f/k/a Software Luxembourg Holding S.A.) (“Skillsoft”) constituted a “remote-affiliate” transaction for purposes of the 1940 Act in light of the fact that Mr. Klein has a non-controlling interest in the entity that controlled Churchill Sponsor II LLC, the sponsor of Churchill Capital Corp. II, a SPAC, and was a non-controlling member of the board of directors of Churchill Capital Corp. II, through which the Company executed a private investment in public equity transaction in order to acquire common shares of Skillsoft alongside the merger of Skillsoft and Churchill Capital Corp II. In addition, Mr. Klein’s brother, Michael Klein, was a control person of such Churchill entities. As of September 30, 2024, the fair value of the Company’s remote-affiliate investment in Skillsoft was $760,926.</w:t>
      </w:r>
    </w:p>
    <w:p>
      <w:pPr>
        <w:spacing w:after="0" w:line="152" w:lineRule="exact"/>
        <w:rPr>
          <w:sz w:val="20"/>
          <w:szCs w:val="20"/>
          <w:color w:val="auto"/>
        </w:rPr>
      </w:pPr>
    </w:p>
    <w:p>
      <w:pPr>
        <w:jc w:val="both"/>
        <w:ind w:firstLine="273"/>
        <w:spacing w:after="0" w:line="265" w:lineRule="auto"/>
        <w:rPr>
          <w:sz w:val="20"/>
          <w:szCs w:val="20"/>
          <w:color w:val="auto"/>
        </w:rPr>
      </w:pPr>
      <w:r>
        <w:rPr>
          <w:rFonts w:ascii="Times New Roman" w:cs="Times New Roman" w:eastAsia="Times New Roman" w:hAnsi="Times New Roman"/>
          <w:sz w:val="15"/>
          <w:szCs w:val="15"/>
          <w:color w:val="auto"/>
        </w:rPr>
        <w:t>The Company’s initial investment in Shogun Enterprises, Inc. (d/b/a Hearth) on February 26, 2021 constituted a “remote-affiliate” transaction for purposes of the 1940 Act in light of the fact that Keri Findley, a former senior managing director of the Company until her departure on March 9, 2022, was, at the time of investment, a non-controlling member of the board of directors of Shogun Enterprises, Inc. and held a minority equity interest in such portfolio company. As of September 30, 2024, the fair value of the Company’s remote-affiliate investment in Shogun Enterprises, Inc. (d/b/a Hearth) was $6,217,510.</w:t>
      </w:r>
    </w:p>
    <w:p>
      <w:pPr>
        <w:spacing w:after="0" w:line="149"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The Company’s investment in Architect Capital PayJoy SPV, LLC also constituted a “remote-affiliate” transaction for purposes of the 1940 Act in light of the fact that Ms. Findley, at the time of investment, was a non-controlling member of the board of directors of the investment manager to Architect Capital PayJoy SPV, LLC, and held a minority equity interest in such investment manager. On June 28, 2024, the Company redeemed the entirety of its Membership Interest in Architect Capital PayJoy SPV, LLC.</w:t>
      </w:r>
    </w:p>
    <w:p>
      <w:pPr>
        <w:spacing w:after="0" w:line="147" w:lineRule="exact"/>
        <w:rPr>
          <w:sz w:val="20"/>
          <w:szCs w:val="20"/>
          <w:color w:val="auto"/>
        </w:rPr>
      </w:pPr>
    </w:p>
    <w:p>
      <w:pPr>
        <w:jc w:val="both"/>
        <w:ind w:firstLine="273"/>
        <w:spacing w:after="0" w:line="265" w:lineRule="auto"/>
        <w:rPr>
          <w:sz w:val="20"/>
          <w:szCs w:val="20"/>
          <w:color w:val="auto"/>
        </w:rPr>
      </w:pPr>
      <w:r>
        <w:rPr>
          <w:rFonts w:ascii="Times New Roman" w:cs="Times New Roman" w:eastAsia="Times New Roman" w:hAnsi="Times New Roman"/>
          <w:sz w:val="15"/>
          <w:szCs w:val="15"/>
          <w:color w:val="auto"/>
        </w:rPr>
        <w:t>In addition, Ms. Findley and Claire Councill, a former investment professional of the Company until her departure on April 15, 2022, were non-controlling members of the board of directors of Colombier Acquisition Corp., a SPAC, which was sponsored by Colombier Sponsor LLC, one of the Company’s portfolio companies until its dissolution upon completion of Colombier Acquisition Corp.’s business combination into PSQ Holdings, Inc. (d/b/a PublicSquare). As of September 30, 2024, the fair value of the Company’s investment in PSQ Holdings, Inc. (d/b/a PublicSquare) was $4,457,988.</w:t>
      </w:r>
    </w:p>
    <w:p>
      <w:pPr>
        <w:spacing w:after="0" w:line="149" w:lineRule="exact"/>
        <w:rPr>
          <w:sz w:val="20"/>
          <w:szCs w:val="20"/>
          <w:color w:val="auto"/>
        </w:rPr>
      </w:pPr>
    </w:p>
    <w:p>
      <w:pPr>
        <w:jc w:val="both"/>
        <w:ind w:firstLine="273"/>
        <w:spacing w:after="0" w:line="265" w:lineRule="auto"/>
        <w:rPr>
          <w:sz w:val="20"/>
          <w:szCs w:val="20"/>
          <w:color w:val="auto"/>
        </w:rPr>
      </w:pPr>
      <w:r>
        <w:rPr>
          <w:rFonts w:ascii="Times New Roman" w:cs="Times New Roman" w:eastAsia="Times New Roman" w:hAnsi="Times New Roman"/>
          <w:sz w:val="15"/>
          <w:szCs w:val="15"/>
          <w:color w:val="auto"/>
        </w:rPr>
        <w:t>The Company’s investment in AltC Sponsor LLC, the sponsor of AltC Acquisition Corp, a SPAC, constituted a “remote-affiliate” transaction for purposes of the 1940 Act in light of the fact that Mr. Klein has a non-controlling interest in one of the entities that controlled AltC Sponsor LLC, and Allison Green, the Company’s Chief Financial Officer, Chief Compliance Officer, Treasurer and Secretary, was a non-controlling member of the board of directors of AltC Acquisition Corp until its dissolution upon completion of AltC Acquisition Corp.’s business combination into Oklo, Inc. As of September 30, 2024, the fair value of the Company’s investment in Oklo, Inc. was $1,405,641.</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216" w:right="319" w:bottom="1440" w:gutter="0" w:footer="0" w:header="0"/>
        </w:sectPr>
      </w:pPr>
    </w:p>
    <w:bookmarkStart w:id="25" w:name="page26"/>
    <w:bookmarkEnd w:id="25"/>
    <w:p>
      <w:pPr>
        <w:ind w:left="9"/>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9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September 30, 2024</w:t>
      </w:r>
    </w:p>
    <w:p>
      <w:pPr>
        <w:spacing w:after="0" w:line="17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NOTE 4—INVESTMENTS AT FAIR VALUE</w:t>
      </w:r>
    </w:p>
    <w:p>
      <w:pPr>
        <w:spacing w:after="0" w:line="19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Investment Portfolio Composition</w:t>
      </w:r>
    </w:p>
    <w:p>
      <w:pPr>
        <w:spacing w:after="0" w:line="196" w:lineRule="exact"/>
        <w:rPr>
          <w:sz w:val="20"/>
          <w:szCs w:val="20"/>
          <w:color w:val="auto"/>
        </w:rPr>
      </w:pPr>
    </w:p>
    <w:p>
      <w:pPr>
        <w:jc w:val="both"/>
        <w:ind w:left="9" w:firstLine="273"/>
        <w:spacing w:after="0" w:line="265" w:lineRule="auto"/>
        <w:rPr>
          <w:sz w:val="20"/>
          <w:szCs w:val="20"/>
          <w:color w:val="auto"/>
        </w:rPr>
      </w:pPr>
      <w:r>
        <w:rPr>
          <w:rFonts w:ascii="Times New Roman" w:cs="Times New Roman" w:eastAsia="Times New Roman" w:hAnsi="Times New Roman"/>
          <w:sz w:val="15"/>
          <w:szCs w:val="15"/>
          <w:color w:val="auto"/>
        </w:rPr>
        <w:t>The Company’s investments in portfolio companies consist primarily of equity securities (such as common stock, preferred stock and options or agreements to purchase or acquire common and preferred stock), and to a lesser extent, debt securities, issued by private and publicly traded companies. The Company may also, from time to time, invest in U.S. Treasury bills. Non-portfolio investments represent investments in U.S. Treasury bills. As of September 30, 2024, the Company had 60 positions in 37 portfolio companies. As of December 31, 2023, the Company had 63 positions in 38 portfolio companies.</w:t>
      </w:r>
    </w:p>
    <w:p>
      <w:pPr>
        <w:spacing w:after="0" w:line="149"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The following tables summarize the composition of the Company’s investment portfolio by security type at cost and fair value as of September 30, 2024 and December 31, 2023:</w:t>
      </w:r>
    </w:p>
    <w:p>
      <w:pPr>
        <w:spacing w:after="0" w:line="199"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2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112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11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55"/>
        </w:trPr>
        <w:tc>
          <w:tcPr>
            <w:tcW w:w="2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44"/>
              <w:spacing w:after="0" w:line="155" w:lineRule="exact"/>
              <w:rPr>
                <w:sz w:val="20"/>
                <w:szCs w:val="20"/>
                <w:color w:val="auto"/>
              </w:rPr>
            </w:pPr>
            <w:r>
              <w:rPr>
                <w:rFonts w:ascii="Times New Roman" w:cs="Times New Roman" w:eastAsia="Times New Roman" w:hAnsi="Times New Roman"/>
                <w:sz w:val="15"/>
                <w:szCs w:val="15"/>
                <w:b w:val="1"/>
                <w:bCs w:val="1"/>
                <w:color w:val="auto"/>
              </w:rPr>
              <w:t>Percentage of</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ind w:right="44"/>
              <w:spacing w:after="0" w:line="155" w:lineRule="exact"/>
              <w:rPr>
                <w:sz w:val="20"/>
                <w:szCs w:val="20"/>
                <w:color w:val="auto"/>
              </w:rPr>
            </w:pPr>
            <w:r>
              <w:rPr>
                <w:rFonts w:ascii="Times New Roman" w:cs="Times New Roman" w:eastAsia="Times New Roman" w:hAnsi="Times New Roman"/>
                <w:sz w:val="15"/>
                <w:szCs w:val="15"/>
                <w:b w:val="1"/>
                <w:bCs w:val="1"/>
                <w:color w:val="auto"/>
              </w:rPr>
              <w:t>Percentage of</w:t>
            </w:r>
          </w:p>
        </w:tc>
        <w:tc>
          <w:tcPr>
            <w:tcW w:w="140" w:type="dxa"/>
            <w:vAlign w:val="bottom"/>
            <w:gridSpan w:val="2"/>
          </w:tcPr>
          <w:p>
            <w:pPr>
              <w:spacing w:after="0"/>
              <w:rPr>
                <w:sz w:val="13"/>
                <w:szCs w:val="13"/>
                <w:color w:val="auto"/>
              </w:rPr>
            </w:pPr>
          </w:p>
        </w:tc>
      </w:tr>
      <w:tr>
        <w:trPr>
          <w:trHeight w:val="201"/>
        </w:trPr>
        <w:tc>
          <w:tcPr>
            <w:tcW w:w="2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b w:val="1"/>
                <w:bCs w:val="1"/>
                <w:color w:val="auto"/>
              </w:rPr>
              <w:t>Cost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480" w:type="dxa"/>
            <w:vAlign w:val="bottom"/>
            <w:gridSpan w:val="2"/>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Net Assets</w:t>
            </w:r>
          </w:p>
        </w:tc>
        <w:tc>
          <w:tcPr>
            <w:tcW w:w="200" w:type="dxa"/>
            <w:vAlign w:val="bottom"/>
          </w:tcPr>
          <w:p>
            <w:pPr>
              <w:spacing w:after="0"/>
              <w:rPr>
                <w:sz w:val="17"/>
                <w:szCs w:val="17"/>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260" w:type="dxa"/>
            <w:vAlign w:val="bottom"/>
            <w:gridSpan w:val="3"/>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Net Assets</w:t>
            </w:r>
          </w:p>
        </w:tc>
      </w:tr>
      <w:tr>
        <w:trPr>
          <w:trHeight w:val="174"/>
        </w:trPr>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Private Portfolio Companies</w:t>
            </w: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16"/>
        </w:trPr>
        <w:tc>
          <w:tcPr>
            <w:tcW w:w="2700" w:type="dxa"/>
            <w:vAlign w:val="bottom"/>
          </w:tcPr>
          <w:p>
            <w:pPr>
              <w:ind w:left="140"/>
              <w:spacing w:after="0" w:line="216" w:lineRule="exact"/>
              <w:rPr>
                <w:sz w:val="20"/>
                <w:szCs w:val="20"/>
                <w:color w:val="auto"/>
              </w:rPr>
            </w:pPr>
            <w:r>
              <w:rPr>
                <w:rFonts w:ascii="Times New Roman" w:cs="Times New Roman" w:eastAsia="Times New Roman" w:hAnsi="Times New Roman"/>
                <w:sz w:val="15"/>
                <w:szCs w:val="15"/>
                <w:color w:val="auto"/>
              </w:rPr>
              <w:t>Preferred Stock</w:t>
            </w:r>
            <w:r>
              <w:rPr>
                <w:rFonts w:ascii="Times New Roman" w:cs="Times New Roman" w:eastAsia="Times New Roman" w:hAnsi="Times New Roman"/>
                <w:sz w:val="25"/>
                <w:szCs w:val="25"/>
                <w:color w:val="auto"/>
                <w:vertAlign w:val="superscript"/>
              </w:rPr>
              <w:t>(1)</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142,318,655</w:t>
            </w:r>
          </w:p>
        </w:tc>
        <w:tc>
          <w:tcPr>
            <w:tcW w:w="36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138,567,805</w:t>
            </w:r>
          </w:p>
        </w:tc>
        <w:tc>
          <w:tcPr>
            <w:tcW w:w="148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88.0%</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107,209,010</w:t>
            </w:r>
          </w:p>
        </w:tc>
        <w:tc>
          <w:tcPr>
            <w:tcW w:w="140" w:type="dxa"/>
            <w:vAlign w:val="bottom"/>
          </w:tcPr>
          <w:p>
            <w:pPr>
              <w:spacing w:after="0"/>
              <w:rPr>
                <w:sz w:val="18"/>
                <w:szCs w:val="18"/>
                <w:color w:val="auto"/>
              </w:rPr>
            </w:pPr>
          </w:p>
        </w:tc>
        <w:tc>
          <w:tcPr>
            <w:tcW w:w="34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122,744,564</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60.4%</w:t>
            </w:r>
          </w:p>
        </w:tc>
      </w:tr>
      <w:tr>
        <w:trPr>
          <w:trHeight w:val="216"/>
        </w:trPr>
        <w:tc>
          <w:tcPr>
            <w:tcW w:w="27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5"/>
                <w:szCs w:val="15"/>
                <w:color w:val="auto"/>
              </w:rPr>
              <w:t>Common Stock</w:t>
            </w:r>
            <w:r>
              <w:rPr>
                <w:rFonts w:ascii="Times New Roman" w:cs="Times New Roman" w:eastAsia="Times New Roman" w:hAnsi="Times New Roman"/>
                <w:sz w:val="25"/>
                <w:szCs w:val="25"/>
                <w:color w:val="auto"/>
                <w:vertAlign w:val="superscript"/>
              </w:rPr>
              <w:t>(2)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77,620,619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47,725,515</w:t>
            </w:r>
          </w:p>
        </w:tc>
        <w:tc>
          <w:tcPr>
            <w:tcW w:w="148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30.3%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73,003,835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39,086,792</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19.2%</w:t>
            </w:r>
          </w:p>
        </w:tc>
      </w:tr>
      <w:tr>
        <w:trPr>
          <w:trHeight w:val="182"/>
        </w:trPr>
        <w:tc>
          <w:tcPr>
            <w:tcW w:w="27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Debt Investments</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2,777,197</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506,339</w:t>
            </w:r>
          </w:p>
        </w:tc>
        <w:tc>
          <w:tcPr>
            <w:tcW w:w="148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0.3%</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5,146,349</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3,098,734</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1.5%</w:t>
            </w:r>
          </w:p>
        </w:tc>
      </w:tr>
      <w:tr>
        <w:trPr>
          <w:trHeight w:val="194"/>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Options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4,394,059</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4,377,468</w:t>
            </w:r>
          </w:p>
        </w:tc>
        <w:tc>
          <w:tcPr>
            <w:tcW w:w="148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2.8%</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12,057,878</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3,638,161</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1.8%</w:t>
            </w:r>
          </w:p>
        </w:tc>
      </w:tr>
      <w:tr>
        <w:trPr>
          <w:trHeight w:val="174"/>
        </w:trPr>
        <w:tc>
          <w:tcPr>
            <w:tcW w:w="2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Total Private Portfolio Companies</w:t>
            </w: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227,110,530</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191,177,127</w:t>
            </w:r>
          </w:p>
        </w:tc>
        <w:tc>
          <w:tcPr>
            <w:tcW w:w="34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121.4</w:t>
            </w:r>
          </w:p>
        </w:tc>
        <w:tc>
          <w:tcPr>
            <w:tcW w:w="360" w:type="dxa"/>
            <w:vAlign w:val="bottom"/>
            <w:tcBorders>
              <w:bottom w:val="single" w:sz="8" w:color="CCEEFF"/>
            </w:tcBorders>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197,417,072</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168,568,251</w:t>
            </w:r>
          </w:p>
        </w:tc>
        <w:tc>
          <w:tcPr>
            <w:tcW w:w="32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82.9</w:t>
            </w:r>
          </w:p>
        </w:tc>
        <w:tc>
          <w:tcPr>
            <w:tcW w:w="1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w w:val="79"/>
              </w:rPr>
              <w:t>%</w:t>
            </w:r>
          </w:p>
        </w:tc>
      </w:tr>
      <w:tr>
        <w:trPr>
          <w:trHeight w:val="17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Publicly Traded Portfolio Companies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2"/>
        </w:trPr>
        <w:tc>
          <w:tcPr>
            <w:tcW w:w="27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Common Stock</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13,436,396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7,643,483</w:t>
            </w:r>
          </w:p>
        </w:tc>
        <w:tc>
          <w:tcPr>
            <w:tcW w:w="148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4.9%</w:t>
            </w:r>
          </w:p>
        </w:tc>
        <w:tc>
          <w:tcPr>
            <w:tcW w:w="20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14,095,473</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13,548,248</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6.7%</w:t>
            </w:r>
          </w:p>
        </w:tc>
      </w:tr>
      <w:tr>
        <w:trPr>
          <w:trHeight w:val="194"/>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Options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985,722</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482,168</w:t>
            </w:r>
          </w:p>
        </w:tc>
        <w:tc>
          <w:tcPr>
            <w:tcW w:w="148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0.3%</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1,028,653</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1,964,750</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w:t>
            </w:r>
          </w:p>
        </w:tc>
      </w:tr>
      <w:tr>
        <w:trPr>
          <w:trHeight w:val="144"/>
        </w:trPr>
        <w:tc>
          <w:tcPr>
            <w:tcW w:w="2700" w:type="dxa"/>
            <w:vAlign w:val="bottom"/>
          </w:tcPr>
          <w:p>
            <w:pPr>
              <w:ind w:left="140"/>
              <w:spacing w:after="0" w:line="144" w:lineRule="exact"/>
              <w:rPr>
                <w:sz w:val="20"/>
                <w:szCs w:val="20"/>
                <w:color w:val="auto"/>
              </w:rPr>
            </w:pPr>
            <w:r>
              <w:rPr>
                <w:rFonts w:ascii="Times New Roman" w:cs="Times New Roman" w:eastAsia="Times New Roman" w:hAnsi="Times New Roman"/>
                <w:sz w:val="15"/>
                <w:szCs w:val="15"/>
                <w:b w:val="1"/>
                <w:bCs w:val="1"/>
                <w:color w:val="auto"/>
              </w:rPr>
              <w:t>Total Publicly Traded Portfolio</w:t>
            </w: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2"/>
        </w:trPr>
        <w:tc>
          <w:tcPr>
            <w:tcW w:w="270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Companies</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14,422,118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8,125,651</w:t>
            </w:r>
          </w:p>
        </w:tc>
        <w:tc>
          <w:tcPr>
            <w:tcW w:w="148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5.2%</w:t>
            </w: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15,124,126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15,512,998</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7.7%</w:t>
            </w:r>
          </w:p>
        </w:tc>
      </w:tr>
      <w:tr>
        <w:trPr>
          <w:trHeight w:val="174"/>
        </w:trPr>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Portfolio Investments</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241,532,648</w:t>
            </w: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199,302,778</w:t>
            </w:r>
          </w:p>
        </w:tc>
        <w:tc>
          <w:tcPr>
            <w:tcW w:w="34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126.6</w:t>
            </w:r>
          </w:p>
        </w:tc>
        <w:tc>
          <w:tcPr>
            <w:tcW w:w="360" w:type="dxa"/>
            <w:vAlign w:val="bottom"/>
            <w:tcBorders>
              <w:top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212,541,198</w:t>
            </w: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184,081,249</w:t>
            </w:r>
          </w:p>
        </w:tc>
        <w:tc>
          <w:tcPr>
            <w:tcW w:w="3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90.6</w:t>
            </w:r>
          </w:p>
        </w:tc>
        <w:tc>
          <w:tcPr>
            <w:tcW w:w="14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w w:val="79"/>
              </w:rPr>
              <w:t>%</w:t>
            </w:r>
          </w:p>
        </w:tc>
      </w:tr>
      <w:tr>
        <w:trPr>
          <w:trHeight w:val="174"/>
        </w:trPr>
        <w:tc>
          <w:tcPr>
            <w:tcW w:w="27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Non-Portfolio Investments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4"/>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U.S. Treasury Bills</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63,792,704</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63,810,855</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31.4%</w:t>
            </w:r>
          </w:p>
        </w:tc>
      </w:tr>
      <w:tr>
        <w:trPr>
          <w:trHeight w:val="185"/>
        </w:trPr>
        <w:tc>
          <w:tcPr>
            <w:tcW w:w="27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Investments</w:t>
            </w:r>
          </w:p>
        </w:tc>
        <w:tc>
          <w:tcPr>
            <w:tcW w:w="24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241,532,648</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199,302,778</w:t>
            </w:r>
          </w:p>
        </w:tc>
        <w:tc>
          <w:tcPr>
            <w:tcW w:w="34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126.6</w:t>
            </w:r>
          </w:p>
        </w:tc>
        <w:tc>
          <w:tcPr>
            <w:tcW w:w="36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276,333,902</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247,892,104</w:t>
            </w:r>
          </w:p>
        </w:tc>
        <w:tc>
          <w:tcPr>
            <w:tcW w:w="32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121.9</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w w:val="79"/>
              </w:rPr>
              <w:t>%</w:t>
            </w:r>
          </w:p>
        </w:tc>
      </w:tr>
      <w:tr>
        <w:trPr>
          <w:trHeight w:val="20"/>
        </w:trPr>
        <w:tc>
          <w:tcPr>
            <w:tcW w:w="2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78689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86890" cy="6985"/>
                    </a:xfrm>
                    <a:prstGeom prst="rect">
                      <a:avLst/>
                    </a:prstGeom>
                    <a:noFill/>
                  </pic:spPr>
                </pic:pic>
              </a:graphicData>
            </a:graphic>
          </wp:anchor>
        </w:drawing>
      </w:r>
    </w:p>
    <w:p>
      <w:pPr>
        <w:spacing w:after="0" w:line="170" w:lineRule="exact"/>
        <w:rPr>
          <w:sz w:val="20"/>
          <w:szCs w:val="20"/>
          <w:color w:val="auto"/>
        </w:rPr>
      </w:pPr>
    </w:p>
    <w:p>
      <w:pPr>
        <w:ind w:left="269" w:right="20" w:hanging="269"/>
        <w:spacing w:after="0" w:line="264" w:lineRule="auto"/>
        <w:tabs>
          <w:tab w:leader="none" w:pos="269"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Preferred Stock includes the Company’s investment in the Class A Interest of ARK Type One Deep Ventures Fund LLC which is invested in the Convertible Equity of OpenAI Global, LLC, and the Company’s investment in the Class A Interest of CW Opportunity 2 LP which is invested in the Series C Preferred shares of CoreWeave, Inc.</w:t>
      </w:r>
    </w:p>
    <w:p>
      <w:pPr>
        <w:ind w:left="269" w:hanging="269"/>
        <w:spacing w:after="0"/>
        <w:tabs>
          <w:tab w:leader="none" w:pos="269"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Common Stock includes the Company’s Limited Partner Fund Investment in True Global Ventures 4 Plus Pte Ltd.</w:t>
      </w:r>
    </w:p>
    <w:p>
      <w:pPr>
        <w:spacing w:after="0" w:line="17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5391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216"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September 30, 2024</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geographic and industrial compositions of the Company’s portfolio at fair value as of September 30, 2024 and December 31, 2023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As of September 30, 2024</w:t>
            </w:r>
          </w:p>
        </w:tc>
        <w:tc>
          <w:tcPr>
            <w:tcW w:w="112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As of December 31, 2023</w:t>
            </w:r>
          </w:p>
        </w:tc>
        <w:tc>
          <w:tcPr>
            <w:tcW w:w="11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55"/>
        </w:trPr>
        <w:tc>
          <w:tcPr>
            <w:tcW w:w="2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gridSpan w:val="2"/>
          </w:tcPr>
          <w:p>
            <w:pPr>
              <w:jc w:val="center"/>
              <w:ind w:right="264"/>
              <w:spacing w:after="0" w:line="155" w:lineRule="exact"/>
              <w:rPr>
                <w:sz w:val="20"/>
                <w:szCs w:val="20"/>
                <w:color w:val="auto"/>
              </w:rPr>
            </w:pPr>
            <w:r>
              <w:rPr>
                <w:rFonts w:ascii="Times New Roman" w:cs="Times New Roman" w:eastAsia="Times New Roman" w:hAnsi="Times New Roman"/>
                <w:sz w:val="15"/>
                <w:szCs w:val="15"/>
                <w:b w:val="1"/>
                <w:bCs w:val="1"/>
                <w:color w:val="auto"/>
              </w:rPr>
              <w:t>Percentage of</w:t>
            </w:r>
          </w:p>
        </w:tc>
        <w:tc>
          <w:tcPr>
            <w:tcW w:w="1120" w:type="dxa"/>
            <w:vAlign w:val="bottom"/>
          </w:tcPr>
          <w:p>
            <w:pPr>
              <w:jc w:val="right"/>
              <w:ind w:right="44"/>
              <w:spacing w:after="0" w:line="155" w:lineRule="exact"/>
              <w:rPr>
                <w:sz w:val="20"/>
                <w:szCs w:val="20"/>
                <w:color w:val="auto"/>
              </w:rPr>
            </w:pPr>
            <w:r>
              <w:rPr>
                <w:rFonts w:ascii="Times New Roman" w:cs="Times New Roman" w:eastAsia="Times New Roman" w:hAnsi="Times New Roman"/>
                <w:sz w:val="15"/>
                <w:szCs w:val="15"/>
                <w:b w:val="1"/>
                <w:bCs w:val="1"/>
                <w:color w:val="auto"/>
              </w:rPr>
              <w:t>Percentage of</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gridSpan w:val="2"/>
          </w:tcPr>
          <w:p>
            <w:pPr>
              <w:jc w:val="center"/>
              <w:ind w:right="264"/>
              <w:spacing w:after="0" w:line="155" w:lineRule="exact"/>
              <w:rPr>
                <w:sz w:val="20"/>
                <w:szCs w:val="20"/>
                <w:color w:val="auto"/>
              </w:rPr>
            </w:pPr>
            <w:r>
              <w:rPr>
                <w:rFonts w:ascii="Times New Roman" w:cs="Times New Roman" w:eastAsia="Times New Roman" w:hAnsi="Times New Roman"/>
                <w:sz w:val="15"/>
                <w:szCs w:val="15"/>
                <w:b w:val="1"/>
                <w:bCs w:val="1"/>
                <w:color w:val="auto"/>
              </w:rPr>
              <w:t>Percentage of</w:t>
            </w:r>
          </w:p>
        </w:tc>
        <w:tc>
          <w:tcPr>
            <w:tcW w:w="1120" w:type="dxa"/>
            <w:vAlign w:val="bottom"/>
          </w:tcPr>
          <w:p>
            <w:pPr>
              <w:jc w:val="right"/>
              <w:ind w:right="44"/>
              <w:spacing w:after="0" w:line="155" w:lineRule="exact"/>
              <w:rPr>
                <w:sz w:val="20"/>
                <w:szCs w:val="20"/>
                <w:color w:val="auto"/>
              </w:rPr>
            </w:pPr>
            <w:r>
              <w:rPr>
                <w:rFonts w:ascii="Times New Roman" w:cs="Times New Roman" w:eastAsia="Times New Roman" w:hAnsi="Times New Roman"/>
                <w:sz w:val="15"/>
                <w:szCs w:val="15"/>
                <w:b w:val="1"/>
                <w:bCs w:val="1"/>
                <w:color w:val="auto"/>
              </w:rPr>
              <w:t>Percentage of</w:t>
            </w:r>
          </w:p>
        </w:tc>
        <w:tc>
          <w:tcPr>
            <w:tcW w:w="140" w:type="dxa"/>
            <w:vAlign w:val="bottom"/>
          </w:tcPr>
          <w:p>
            <w:pPr>
              <w:spacing w:after="0"/>
              <w:rPr>
                <w:sz w:val="13"/>
                <w:szCs w:val="13"/>
                <w:color w:val="auto"/>
              </w:rPr>
            </w:pPr>
          </w:p>
        </w:tc>
      </w:tr>
      <w:tr>
        <w:trPr>
          <w:trHeight w:val="201"/>
        </w:trPr>
        <w:tc>
          <w:tcPr>
            <w:tcW w:w="2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280" w:type="dxa"/>
            <w:vAlign w:val="bottom"/>
          </w:tcPr>
          <w:p>
            <w:pPr>
              <w:spacing w:after="0"/>
              <w:rPr>
                <w:sz w:val="17"/>
                <w:szCs w:val="17"/>
                <w:color w:val="auto"/>
              </w:rPr>
            </w:pPr>
          </w:p>
        </w:tc>
        <w:tc>
          <w:tcPr>
            <w:tcW w:w="1460" w:type="dxa"/>
            <w:vAlign w:val="bottom"/>
            <w:gridSpan w:val="2"/>
          </w:tcPr>
          <w:p>
            <w:pPr>
              <w:jc w:val="center"/>
              <w:ind w:right="264"/>
              <w:spacing w:after="0"/>
              <w:rPr>
                <w:sz w:val="20"/>
                <w:szCs w:val="20"/>
                <w:color w:val="auto"/>
              </w:rPr>
            </w:pPr>
            <w:r>
              <w:rPr>
                <w:rFonts w:ascii="Times New Roman" w:cs="Times New Roman" w:eastAsia="Times New Roman" w:hAnsi="Times New Roman"/>
                <w:sz w:val="15"/>
                <w:szCs w:val="15"/>
                <w:b w:val="1"/>
                <w:bCs w:val="1"/>
                <w:color w:val="auto"/>
                <w:w w:val="98"/>
              </w:rPr>
              <w:t>Portfolio</w:t>
            </w:r>
          </w:p>
        </w:tc>
        <w:tc>
          <w:tcPr>
            <w:tcW w:w="1480" w:type="dxa"/>
            <w:vAlign w:val="bottom"/>
            <w:gridSpan w:val="2"/>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Net Assets</w:t>
            </w:r>
          </w:p>
        </w:tc>
        <w:tc>
          <w:tcPr>
            <w:tcW w:w="14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280" w:type="dxa"/>
            <w:vAlign w:val="bottom"/>
          </w:tcPr>
          <w:p>
            <w:pPr>
              <w:spacing w:after="0"/>
              <w:rPr>
                <w:sz w:val="17"/>
                <w:szCs w:val="17"/>
                <w:color w:val="auto"/>
              </w:rPr>
            </w:pPr>
          </w:p>
        </w:tc>
        <w:tc>
          <w:tcPr>
            <w:tcW w:w="1460" w:type="dxa"/>
            <w:vAlign w:val="bottom"/>
            <w:gridSpan w:val="2"/>
          </w:tcPr>
          <w:p>
            <w:pPr>
              <w:jc w:val="center"/>
              <w:ind w:right="284"/>
              <w:spacing w:after="0"/>
              <w:rPr>
                <w:sz w:val="20"/>
                <w:szCs w:val="20"/>
                <w:color w:val="auto"/>
              </w:rPr>
            </w:pPr>
            <w:r>
              <w:rPr>
                <w:rFonts w:ascii="Times New Roman" w:cs="Times New Roman" w:eastAsia="Times New Roman" w:hAnsi="Times New Roman"/>
                <w:sz w:val="15"/>
                <w:szCs w:val="15"/>
                <w:b w:val="1"/>
                <w:bCs w:val="1"/>
                <w:color w:val="auto"/>
              </w:rPr>
              <w:t>Portfolio</w:t>
            </w:r>
          </w:p>
        </w:tc>
        <w:tc>
          <w:tcPr>
            <w:tcW w:w="1260" w:type="dxa"/>
            <w:vAlign w:val="bottom"/>
            <w:gridSpan w:val="2"/>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Net Assets</w:t>
            </w:r>
          </w:p>
        </w:tc>
      </w:tr>
      <w:tr>
        <w:trPr>
          <w:trHeight w:val="174"/>
        </w:trPr>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Geographic Region</w:t>
            </w: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r>
      <w:tr>
        <w:trPr>
          <w:trHeight w:val="182"/>
        </w:trPr>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West</w:t>
            </w: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67,596,353</w:t>
            </w:r>
          </w:p>
        </w:tc>
        <w:tc>
          <w:tcPr>
            <w:tcW w:w="1740" w:type="dxa"/>
            <w:vAlign w:val="bottom"/>
            <w:gridSpan w:val="3"/>
          </w:tcPr>
          <w:p>
            <w:pPr>
              <w:jc w:val="right"/>
              <w:ind w:right="144"/>
              <w:spacing w:after="0"/>
              <w:rPr>
                <w:sz w:val="20"/>
                <w:szCs w:val="20"/>
                <w:color w:val="auto"/>
              </w:rPr>
            </w:pPr>
            <w:r>
              <w:rPr>
                <w:rFonts w:ascii="Times New Roman" w:cs="Times New Roman" w:eastAsia="Times New Roman" w:hAnsi="Times New Roman"/>
                <w:sz w:val="15"/>
                <w:szCs w:val="15"/>
                <w:color w:val="auto"/>
              </w:rPr>
              <w:t>33.9%</w:t>
            </w:r>
          </w:p>
        </w:tc>
        <w:tc>
          <w:tcPr>
            <w:tcW w:w="148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42.9%</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108,500,197</w:t>
            </w:r>
          </w:p>
        </w:tc>
        <w:tc>
          <w:tcPr>
            <w:tcW w:w="40" w:type="dxa"/>
            <w:vAlign w:val="bottom"/>
          </w:tcPr>
          <w:p>
            <w:pPr>
              <w:spacing w:after="0"/>
              <w:rPr>
                <w:sz w:val="15"/>
                <w:szCs w:val="15"/>
                <w:color w:val="auto"/>
              </w:rPr>
            </w:pPr>
          </w:p>
        </w:tc>
        <w:tc>
          <w:tcPr>
            <w:tcW w:w="1740" w:type="dxa"/>
            <w:vAlign w:val="bottom"/>
            <w:gridSpan w:val="3"/>
          </w:tcPr>
          <w:p>
            <w:pPr>
              <w:jc w:val="right"/>
              <w:ind w:right="144"/>
              <w:spacing w:after="0"/>
              <w:rPr>
                <w:sz w:val="20"/>
                <w:szCs w:val="20"/>
                <w:color w:val="auto"/>
              </w:rPr>
            </w:pPr>
            <w:r>
              <w:rPr>
                <w:rFonts w:ascii="Times New Roman" w:cs="Times New Roman" w:eastAsia="Times New Roman" w:hAnsi="Times New Roman"/>
                <w:sz w:val="15"/>
                <w:szCs w:val="15"/>
                <w:color w:val="auto"/>
              </w:rPr>
              <w:t>58.9%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53.4%</w:t>
            </w:r>
          </w:p>
        </w:tc>
      </w:tr>
      <w:tr>
        <w:trPr>
          <w:trHeight w:val="182"/>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Northeast</w:t>
            </w:r>
          </w:p>
        </w:tc>
        <w:tc>
          <w:tcPr>
            <w:tcW w:w="1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54,288,613</w:t>
            </w:r>
          </w:p>
        </w:tc>
        <w:tc>
          <w:tcPr>
            <w:tcW w:w="1740" w:type="dxa"/>
            <w:vAlign w:val="bottom"/>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27.2%</w:t>
            </w:r>
          </w:p>
        </w:tc>
        <w:tc>
          <w:tcPr>
            <w:tcW w:w="14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34.5%</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41,538,359</w:t>
            </w:r>
          </w:p>
        </w:tc>
        <w:tc>
          <w:tcPr>
            <w:tcW w:w="1740" w:type="dxa"/>
            <w:vAlign w:val="bottom"/>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22.6%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w:t>
            </w:r>
          </w:p>
        </w:tc>
      </w:tr>
      <w:tr>
        <w:trPr>
          <w:trHeight w:val="182"/>
        </w:trPr>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Midwest</w:t>
            </w:r>
          </w:p>
        </w:tc>
        <w:tc>
          <w:tcPr>
            <w:tcW w:w="16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37,441,611</w:t>
            </w:r>
          </w:p>
        </w:tc>
        <w:tc>
          <w:tcPr>
            <w:tcW w:w="1740" w:type="dxa"/>
            <w:vAlign w:val="bottom"/>
            <w:gridSpan w:val="3"/>
          </w:tcPr>
          <w:p>
            <w:pPr>
              <w:jc w:val="right"/>
              <w:ind w:right="144"/>
              <w:spacing w:after="0"/>
              <w:rPr>
                <w:sz w:val="20"/>
                <w:szCs w:val="20"/>
                <w:color w:val="auto"/>
              </w:rPr>
            </w:pPr>
            <w:r>
              <w:rPr>
                <w:rFonts w:ascii="Times New Roman" w:cs="Times New Roman" w:eastAsia="Times New Roman" w:hAnsi="Times New Roman"/>
                <w:sz w:val="15"/>
                <w:szCs w:val="15"/>
                <w:color w:val="auto"/>
              </w:rPr>
              <w:t>18.8%</w:t>
            </w:r>
          </w:p>
        </w:tc>
        <w:tc>
          <w:tcPr>
            <w:tcW w:w="148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23.8%</w:t>
            </w:r>
          </w:p>
        </w:tc>
        <w:tc>
          <w:tcPr>
            <w:tcW w:w="14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17,881,248</w:t>
            </w:r>
          </w:p>
        </w:tc>
        <w:tc>
          <w:tcPr>
            <w:tcW w:w="1740" w:type="dxa"/>
            <w:vAlign w:val="bottom"/>
            <w:gridSpan w:val="3"/>
          </w:tcPr>
          <w:p>
            <w:pPr>
              <w:jc w:val="right"/>
              <w:ind w:right="144"/>
              <w:spacing w:after="0"/>
              <w:rPr>
                <w:sz w:val="20"/>
                <w:szCs w:val="20"/>
                <w:color w:val="auto"/>
              </w:rPr>
            </w:pPr>
            <w:r>
              <w:rPr>
                <w:rFonts w:ascii="Times New Roman" w:cs="Times New Roman" w:eastAsia="Times New Roman" w:hAnsi="Times New Roman"/>
                <w:sz w:val="15"/>
                <w:szCs w:val="15"/>
                <w:color w:val="auto"/>
              </w:rPr>
              <w:t>9.7%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8.8%</w:t>
            </w:r>
          </w:p>
        </w:tc>
      </w:tr>
      <w:tr>
        <w:trPr>
          <w:trHeight w:val="182"/>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Southeast</w:t>
            </w:r>
          </w:p>
        </w:tc>
        <w:tc>
          <w:tcPr>
            <w:tcW w:w="1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23,732,988</w:t>
            </w:r>
          </w:p>
        </w:tc>
        <w:tc>
          <w:tcPr>
            <w:tcW w:w="1740" w:type="dxa"/>
            <w:vAlign w:val="bottom"/>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11.9%</w:t>
            </w:r>
          </w:p>
        </w:tc>
        <w:tc>
          <w:tcPr>
            <w:tcW w:w="14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15.1%</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12,107,136</w:t>
            </w:r>
          </w:p>
        </w:tc>
        <w:tc>
          <w:tcPr>
            <w:tcW w:w="1740" w:type="dxa"/>
            <w:vAlign w:val="bottom"/>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6.6%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r>
      <w:tr>
        <w:trPr>
          <w:trHeight w:val="194"/>
        </w:trPr>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International</w:t>
            </w:r>
          </w:p>
        </w:tc>
        <w:tc>
          <w:tcPr>
            <w:tcW w:w="160" w:type="dxa"/>
            <w:vAlign w:val="bottom"/>
          </w:tcPr>
          <w:p>
            <w:pPr>
              <w:spacing w:after="0"/>
              <w:rPr>
                <w:sz w:val="16"/>
                <w:szCs w:val="16"/>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16,243,213</w:t>
            </w:r>
          </w:p>
        </w:tc>
        <w:tc>
          <w:tcPr>
            <w:tcW w:w="1740" w:type="dxa"/>
            <w:vAlign w:val="bottom"/>
            <w:gridSpan w:val="3"/>
          </w:tcPr>
          <w:p>
            <w:pPr>
              <w:jc w:val="right"/>
              <w:ind w:right="144"/>
              <w:spacing w:after="0"/>
              <w:rPr>
                <w:sz w:val="20"/>
                <w:szCs w:val="20"/>
                <w:color w:val="auto"/>
              </w:rPr>
            </w:pPr>
            <w:r>
              <w:rPr>
                <w:rFonts w:ascii="Times New Roman" w:cs="Times New Roman" w:eastAsia="Times New Roman" w:hAnsi="Times New Roman"/>
                <w:sz w:val="15"/>
                <w:szCs w:val="15"/>
                <w:color w:val="auto"/>
              </w:rPr>
              <w:t>8.2%</w:t>
            </w:r>
          </w:p>
        </w:tc>
        <w:tc>
          <w:tcPr>
            <w:tcW w:w="148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10.3%</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4,054,309</w:t>
            </w:r>
          </w:p>
        </w:tc>
        <w:tc>
          <w:tcPr>
            <w:tcW w:w="40" w:type="dxa"/>
            <w:vAlign w:val="bottom"/>
          </w:tcPr>
          <w:p>
            <w:pPr>
              <w:spacing w:after="0"/>
              <w:rPr>
                <w:sz w:val="16"/>
                <w:szCs w:val="16"/>
                <w:color w:val="auto"/>
              </w:rPr>
            </w:pPr>
          </w:p>
        </w:tc>
        <w:tc>
          <w:tcPr>
            <w:tcW w:w="1740" w:type="dxa"/>
            <w:vAlign w:val="bottom"/>
            <w:gridSpan w:val="3"/>
          </w:tcPr>
          <w:p>
            <w:pPr>
              <w:jc w:val="right"/>
              <w:ind w:right="144"/>
              <w:spacing w:after="0"/>
              <w:rPr>
                <w:sz w:val="20"/>
                <w:szCs w:val="20"/>
                <w:color w:val="auto"/>
              </w:rPr>
            </w:pPr>
            <w:r>
              <w:rPr>
                <w:rFonts w:ascii="Times New Roman" w:cs="Times New Roman" w:eastAsia="Times New Roman" w:hAnsi="Times New Roman"/>
                <w:sz w:val="15"/>
                <w:szCs w:val="15"/>
                <w:color w:val="auto"/>
              </w:rPr>
              <w:t>2.2%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185"/>
        </w:trPr>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199,302,778</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340" w:type="dxa"/>
            <w:vAlign w:val="bottom"/>
            <w:tcBorders>
              <w:top w:val="single" w:sz="8" w:color="CCEEFF"/>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126.6</w:t>
            </w:r>
          </w:p>
        </w:tc>
        <w:tc>
          <w:tcPr>
            <w:tcW w:w="360" w:type="dxa"/>
            <w:vAlign w:val="bottom"/>
            <w:tcBorders>
              <w:top w:val="single" w:sz="8" w:color="CCEEFF"/>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95"/>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184,081,249</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340" w:type="dxa"/>
            <w:vAlign w:val="bottom"/>
            <w:tcBorders>
              <w:top w:val="single" w:sz="8" w:color="CCEEFF"/>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20"/>
        </w:trPr>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As of September 30, 2024</w:t>
            </w: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As of December 31, 2023</w:t>
            </w:r>
          </w:p>
        </w:tc>
        <w:tc>
          <w:tcPr>
            <w:tcW w:w="11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55"/>
        </w:trPr>
        <w:tc>
          <w:tcPr>
            <w:tcW w:w="2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184"/>
              <w:spacing w:after="0" w:line="155" w:lineRule="exact"/>
              <w:rPr>
                <w:sz w:val="20"/>
                <w:szCs w:val="20"/>
                <w:color w:val="auto"/>
              </w:rPr>
            </w:pPr>
            <w:r>
              <w:rPr>
                <w:rFonts w:ascii="Times New Roman" w:cs="Times New Roman" w:eastAsia="Times New Roman" w:hAnsi="Times New Roman"/>
                <w:sz w:val="15"/>
                <w:szCs w:val="15"/>
                <w:b w:val="1"/>
                <w:bCs w:val="1"/>
                <w:color w:val="auto"/>
              </w:rPr>
              <w:t>Percentage of</w:t>
            </w:r>
          </w:p>
        </w:tc>
        <w:tc>
          <w:tcPr>
            <w:tcW w:w="80" w:type="dxa"/>
            <w:vAlign w:val="bottom"/>
          </w:tcPr>
          <w:p>
            <w:pPr>
              <w:spacing w:after="0"/>
              <w:rPr>
                <w:sz w:val="13"/>
                <w:szCs w:val="13"/>
                <w:color w:val="auto"/>
              </w:rPr>
            </w:pPr>
          </w:p>
        </w:tc>
        <w:tc>
          <w:tcPr>
            <w:tcW w:w="1120" w:type="dxa"/>
            <w:vAlign w:val="bottom"/>
          </w:tcPr>
          <w:p>
            <w:pPr>
              <w:jc w:val="right"/>
              <w:ind w:right="44"/>
              <w:spacing w:after="0" w:line="155" w:lineRule="exact"/>
              <w:rPr>
                <w:sz w:val="20"/>
                <w:szCs w:val="20"/>
                <w:color w:val="auto"/>
              </w:rPr>
            </w:pPr>
            <w:r>
              <w:rPr>
                <w:rFonts w:ascii="Times New Roman" w:cs="Times New Roman" w:eastAsia="Times New Roman" w:hAnsi="Times New Roman"/>
                <w:sz w:val="15"/>
                <w:szCs w:val="15"/>
                <w:b w:val="1"/>
                <w:bCs w:val="1"/>
                <w:color w:val="auto"/>
              </w:rPr>
              <w:t>Percentage of</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gridSpan w:val="2"/>
          </w:tcPr>
          <w:p>
            <w:pPr>
              <w:jc w:val="center"/>
              <w:ind w:right="264"/>
              <w:spacing w:after="0" w:line="155" w:lineRule="exact"/>
              <w:rPr>
                <w:sz w:val="20"/>
                <w:szCs w:val="20"/>
                <w:color w:val="auto"/>
              </w:rPr>
            </w:pPr>
            <w:r>
              <w:rPr>
                <w:rFonts w:ascii="Times New Roman" w:cs="Times New Roman" w:eastAsia="Times New Roman" w:hAnsi="Times New Roman"/>
                <w:sz w:val="15"/>
                <w:szCs w:val="15"/>
                <w:b w:val="1"/>
                <w:bCs w:val="1"/>
                <w:color w:val="auto"/>
              </w:rPr>
              <w:t>Percentage of</w:t>
            </w:r>
          </w:p>
        </w:tc>
        <w:tc>
          <w:tcPr>
            <w:tcW w:w="1120" w:type="dxa"/>
            <w:vAlign w:val="bottom"/>
          </w:tcPr>
          <w:p>
            <w:pPr>
              <w:jc w:val="right"/>
              <w:ind w:right="44"/>
              <w:spacing w:after="0" w:line="155" w:lineRule="exact"/>
              <w:rPr>
                <w:sz w:val="20"/>
                <w:szCs w:val="20"/>
                <w:color w:val="auto"/>
              </w:rPr>
            </w:pPr>
            <w:r>
              <w:rPr>
                <w:rFonts w:ascii="Times New Roman" w:cs="Times New Roman" w:eastAsia="Times New Roman" w:hAnsi="Times New Roman"/>
                <w:sz w:val="15"/>
                <w:szCs w:val="15"/>
                <w:b w:val="1"/>
                <w:bCs w:val="1"/>
                <w:color w:val="auto"/>
              </w:rPr>
              <w:t>Percentage of</w:t>
            </w:r>
          </w:p>
        </w:tc>
        <w:tc>
          <w:tcPr>
            <w:tcW w:w="140" w:type="dxa"/>
            <w:vAlign w:val="bottom"/>
          </w:tcPr>
          <w:p>
            <w:pPr>
              <w:spacing w:after="0"/>
              <w:rPr>
                <w:sz w:val="13"/>
                <w:szCs w:val="13"/>
                <w:color w:val="auto"/>
              </w:rPr>
            </w:pPr>
          </w:p>
        </w:tc>
      </w:tr>
      <w:tr>
        <w:trPr>
          <w:trHeight w:val="201"/>
        </w:trPr>
        <w:tc>
          <w:tcPr>
            <w:tcW w:w="2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280" w:type="dxa"/>
            <w:vAlign w:val="bottom"/>
          </w:tcPr>
          <w:p>
            <w:pPr>
              <w:spacing w:after="0"/>
              <w:rPr>
                <w:sz w:val="17"/>
                <w:szCs w:val="17"/>
                <w:color w:val="auto"/>
              </w:rPr>
            </w:pPr>
          </w:p>
        </w:tc>
        <w:tc>
          <w:tcPr>
            <w:tcW w:w="1380" w:type="dxa"/>
            <w:vAlign w:val="bottom"/>
            <w:gridSpan w:val="2"/>
          </w:tcPr>
          <w:p>
            <w:pPr>
              <w:jc w:val="center"/>
              <w:ind w:right="184"/>
              <w:spacing w:after="0"/>
              <w:rPr>
                <w:sz w:val="20"/>
                <w:szCs w:val="20"/>
                <w:color w:val="auto"/>
              </w:rPr>
            </w:pPr>
            <w:r>
              <w:rPr>
                <w:rFonts w:ascii="Times New Roman" w:cs="Times New Roman" w:eastAsia="Times New Roman" w:hAnsi="Times New Roman"/>
                <w:sz w:val="15"/>
                <w:szCs w:val="15"/>
                <w:b w:val="1"/>
                <w:bCs w:val="1"/>
                <w:color w:val="auto"/>
                <w:w w:val="98"/>
              </w:rPr>
              <w:t>Portfolio</w:t>
            </w:r>
          </w:p>
        </w:tc>
        <w:tc>
          <w:tcPr>
            <w:tcW w:w="80" w:type="dxa"/>
            <w:vAlign w:val="bottom"/>
          </w:tcPr>
          <w:p>
            <w:pPr>
              <w:spacing w:after="0"/>
              <w:rPr>
                <w:sz w:val="17"/>
                <w:szCs w:val="17"/>
                <w:color w:val="auto"/>
              </w:rPr>
            </w:pPr>
          </w:p>
        </w:tc>
        <w:tc>
          <w:tcPr>
            <w:tcW w:w="1480" w:type="dxa"/>
            <w:vAlign w:val="bottom"/>
            <w:gridSpan w:val="2"/>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Net Assets</w:t>
            </w:r>
          </w:p>
        </w:tc>
        <w:tc>
          <w:tcPr>
            <w:tcW w:w="14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280" w:type="dxa"/>
            <w:vAlign w:val="bottom"/>
          </w:tcPr>
          <w:p>
            <w:pPr>
              <w:spacing w:after="0"/>
              <w:rPr>
                <w:sz w:val="17"/>
                <w:szCs w:val="17"/>
                <w:color w:val="auto"/>
              </w:rPr>
            </w:pPr>
          </w:p>
        </w:tc>
        <w:tc>
          <w:tcPr>
            <w:tcW w:w="1460" w:type="dxa"/>
            <w:vAlign w:val="bottom"/>
            <w:gridSpan w:val="2"/>
          </w:tcPr>
          <w:p>
            <w:pPr>
              <w:jc w:val="center"/>
              <w:ind w:right="284"/>
              <w:spacing w:after="0"/>
              <w:rPr>
                <w:sz w:val="20"/>
                <w:szCs w:val="20"/>
                <w:color w:val="auto"/>
              </w:rPr>
            </w:pPr>
            <w:r>
              <w:rPr>
                <w:rFonts w:ascii="Times New Roman" w:cs="Times New Roman" w:eastAsia="Times New Roman" w:hAnsi="Times New Roman"/>
                <w:sz w:val="15"/>
                <w:szCs w:val="15"/>
                <w:b w:val="1"/>
                <w:bCs w:val="1"/>
                <w:color w:val="auto"/>
              </w:rPr>
              <w:t>Portfolio</w:t>
            </w:r>
          </w:p>
        </w:tc>
        <w:tc>
          <w:tcPr>
            <w:tcW w:w="1260" w:type="dxa"/>
            <w:vAlign w:val="bottom"/>
            <w:gridSpan w:val="2"/>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Net Assets</w:t>
            </w:r>
          </w:p>
        </w:tc>
      </w:tr>
      <w:tr>
        <w:trPr>
          <w:trHeight w:val="174"/>
        </w:trPr>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Industry</w:t>
            </w: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r>
      <w:tr>
        <w:trPr>
          <w:trHeight w:val="182"/>
        </w:trPr>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Software-as-a-Service</w:t>
            </w: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51,305,994</w:t>
            </w:r>
          </w:p>
        </w:tc>
        <w:tc>
          <w:tcPr>
            <w:tcW w:w="1660" w:type="dxa"/>
            <w:vAlign w:val="bottom"/>
            <w:gridSpan w:val="3"/>
          </w:tcPr>
          <w:p>
            <w:pPr>
              <w:jc w:val="right"/>
              <w:ind w:right="64"/>
              <w:spacing w:after="0"/>
              <w:rPr>
                <w:sz w:val="20"/>
                <w:szCs w:val="20"/>
                <w:color w:val="auto"/>
              </w:rPr>
            </w:pPr>
            <w:r>
              <w:rPr>
                <w:rFonts w:ascii="Times New Roman" w:cs="Times New Roman" w:eastAsia="Times New Roman" w:hAnsi="Times New Roman"/>
                <w:sz w:val="15"/>
                <w:szCs w:val="15"/>
                <w:color w:val="auto"/>
              </w:rPr>
              <w:t>25.7%</w:t>
            </w:r>
          </w:p>
        </w:tc>
        <w:tc>
          <w:tcPr>
            <w:tcW w:w="1560" w:type="dxa"/>
            <w:vAlign w:val="bottom"/>
            <w:gridSpan w:val="3"/>
          </w:tcPr>
          <w:p>
            <w:pPr>
              <w:jc w:val="right"/>
              <w:ind w:right="144"/>
              <w:spacing w:after="0"/>
              <w:rPr>
                <w:sz w:val="20"/>
                <w:szCs w:val="20"/>
                <w:color w:val="auto"/>
              </w:rPr>
            </w:pPr>
            <w:r>
              <w:rPr>
                <w:rFonts w:ascii="Times New Roman" w:cs="Times New Roman" w:eastAsia="Times New Roman" w:hAnsi="Times New Roman"/>
                <w:sz w:val="15"/>
                <w:szCs w:val="15"/>
                <w:color w:val="auto"/>
              </w:rPr>
              <w:t>32.5%</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32,654,520</w:t>
            </w:r>
          </w:p>
        </w:tc>
        <w:tc>
          <w:tcPr>
            <w:tcW w:w="1740" w:type="dxa"/>
            <w:vAlign w:val="bottom"/>
            <w:gridSpan w:val="3"/>
          </w:tcPr>
          <w:p>
            <w:pPr>
              <w:jc w:val="right"/>
              <w:ind w:right="144"/>
              <w:spacing w:after="0"/>
              <w:rPr>
                <w:sz w:val="20"/>
                <w:szCs w:val="20"/>
                <w:color w:val="auto"/>
              </w:rPr>
            </w:pPr>
            <w:r>
              <w:rPr>
                <w:rFonts w:ascii="Times New Roman" w:cs="Times New Roman" w:eastAsia="Times New Roman" w:hAnsi="Times New Roman"/>
                <w:sz w:val="15"/>
                <w:szCs w:val="15"/>
                <w:color w:val="auto"/>
              </w:rPr>
              <w:t>17.7%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16.1%</w:t>
            </w:r>
          </w:p>
        </w:tc>
      </w:tr>
      <w:tr>
        <w:trPr>
          <w:trHeight w:val="168"/>
        </w:trPr>
        <w:tc>
          <w:tcPr>
            <w:tcW w:w="270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Artificial Intelligence Infrastructure &amp;</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9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Application</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42,155,290</w:t>
            </w:r>
          </w:p>
        </w:tc>
        <w:tc>
          <w:tcPr>
            <w:tcW w:w="1660" w:type="dxa"/>
            <w:vAlign w:val="bottom"/>
            <w:gridSpan w:val="3"/>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21.2%</w:t>
            </w:r>
          </w:p>
        </w:tc>
        <w:tc>
          <w:tcPr>
            <w:tcW w:w="1560" w:type="dxa"/>
            <w:vAlign w:val="bottom"/>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26.8%</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Consumer Goods &amp; Services</w:t>
            </w:r>
          </w:p>
        </w:tc>
        <w:tc>
          <w:tcPr>
            <w:tcW w:w="16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32,302,519</w:t>
            </w:r>
          </w:p>
        </w:tc>
        <w:tc>
          <w:tcPr>
            <w:tcW w:w="1660" w:type="dxa"/>
            <w:vAlign w:val="bottom"/>
            <w:gridSpan w:val="3"/>
          </w:tcPr>
          <w:p>
            <w:pPr>
              <w:jc w:val="right"/>
              <w:ind w:right="64"/>
              <w:spacing w:after="0"/>
              <w:rPr>
                <w:sz w:val="20"/>
                <w:szCs w:val="20"/>
                <w:color w:val="auto"/>
              </w:rPr>
            </w:pPr>
            <w:r>
              <w:rPr>
                <w:rFonts w:ascii="Times New Roman" w:cs="Times New Roman" w:eastAsia="Times New Roman" w:hAnsi="Times New Roman"/>
                <w:sz w:val="15"/>
                <w:szCs w:val="15"/>
                <w:color w:val="auto"/>
              </w:rPr>
              <w:t>16.2%</w:t>
            </w:r>
          </w:p>
        </w:tc>
        <w:tc>
          <w:tcPr>
            <w:tcW w:w="1560" w:type="dxa"/>
            <w:vAlign w:val="bottom"/>
            <w:gridSpan w:val="3"/>
          </w:tcPr>
          <w:p>
            <w:pPr>
              <w:jc w:val="right"/>
              <w:ind w:right="144"/>
              <w:spacing w:after="0"/>
              <w:rPr>
                <w:sz w:val="20"/>
                <w:szCs w:val="20"/>
                <w:color w:val="auto"/>
              </w:rPr>
            </w:pPr>
            <w:r>
              <w:rPr>
                <w:rFonts w:ascii="Times New Roman" w:cs="Times New Roman" w:eastAsia="Times New Roman" w:hAnsi="Times New Roman"/>
                <w:sz w:val="15"/>
                <w:szCs w:val="15"/>
                <w:color w:val="auto"/>
              </w:rPr>
              <w:t>20.5%</w:t>
            </w:r>
          </w:p>
        </w:tc>
        <w:tc>
          <w:tcPr>
            <w:tcW w:w="14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24,323,850</w:t>
            </w:r>
          </w:p>
        </w:tc>
        <w:tc>
          <w:tcPr>
            <w:tcW w:w="1740" w:type="dxa"/>
            <w:vAlign w:val="bottom"/>
            <w:gridSpan w:val="3"/>
          </w:tcPr>
          <w:p>
            <w:pPr>
              <w:jc w:val="right"/>
              <w:ind w:right="144"/>
              <w:spacing w:after="0"/>
              <w:rPr>
                <w:sz w:val="20"/>
                <w:szCs w:val="20"/>
                <w:color w:val="auto"/>
              </w:rPr>
            </w:pPr>
            <w:r>
              <w:rPr>
                <w:rFonts w:ascii="Times New Roman" w:cs="Times New Roman" w:eastAsia="Times New Roman" w:hAnsi="Times New Roman"/>
                <w:sz w:val="15"/>
                <w:szCs w:val="15"/>
                <w:color w:val="auto"/>
              </w:rPr>
              <w:t>13.2%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12.0%</w:t>
            </w:r>
          </w:p>
        </w:tc>
      </w:tr>
      <w:tr>
        <w:trPr>
          <w:trHeight w:val="182"/>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Education Technology</w:t>
            </w:r>
          </w:p>
        </w:tc>
        <w:tc>
          <w:tcPr>
            <w:tcW w:w="1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30,239,263</w:t>
            </w:r>
          </w:p>
        </w:tc>
        <w:tc>
          <w:tcPr>
            <w:tcW w:w="1660" w:type="dxa"/>
            <w:vAlign w:val="bottom"/>
            <w:gridSpan w:val="3"/>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15.2%</w:t>
            </w:r>
          </w:p>
        </w:tc>
        <w:tc>
          <w:tcPr>
            <w:tcW w:w="1560" w:type="dxa"/>
            <w:vAlign w:val="bottom"/>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19.2%</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69,381,463</w:t>
            </w:r>
          </w:p>
        </w:tc>
        <w:tc>
          <w:tcPr>
            <w:tcW w:w="1740" w:type="dxa"/>
            <w:vAlign w:val="bottom"/>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37.7%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w:t>
            </w:r>
          </w:p>
        </w:tc>
      </w:tr>
      <w:tr>
        <w:trPr>
          <w:trHeight w:val="182"/>
        </w:trPr>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Logistics &amp; Supply Chain</w:t>
            </w:r>
          </w:p>
        </w:tc>
        <w:tc>
          <w:tcPr>
            <w:tcW w:w="16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21,400,607</w:t>
            </w:r>
          </w:p>
        </w:tc>
        <w:tc>
          <w:tcPr>
            <w:tcW w:w="1660" w:type="dxa"/>
            <w:vAlign w:val="bottom"/>
            <w:gridSpan w:val="3"/>
          </w:tcPr>
          <w:p>
            <w:pPr>
              <w:jc w:val="right"/>
              <w:ind w:right="64"/>
              <w:spacing w:after="0"/>
              <w:rPr>
                <w:sz w:val="20"/>
                <w:szCs w:val="20"/>
                <w:color w:val="auto"/>
              </w:rPr>
            </w:pPr>
            <w:r>
              <w:rPr>
                <w:rFonts w:ascii="Times New Roman" w:cs="Times New Roman" w:eastAsia="Times New Roman" w:hAnsi="Times New Roman"/>
                <w:sz w:val="15"/>
                <w:szCs w:val="15"/>
                <w:color w:val="auto"/>
              </w:rPr>
              <w:t>10.7%</w:t>
            </w:r>
          </w:p>
        </w:tc>
        <w:tc>
          <w:tcPr>
            <w:tcW w:w="1560" w:type="dxa"/>
            <w:vAlign w:val="bottom"/>
            <w:gridSpan w:val="3"/>
          </w:tcPr>
          <w:p>
            <w:pPr>
              <w:jc w:val="right"/>
              <w:ind w:right="144"/>
              <w:spacing w:after="0"/>
              <w:rPr>
                <w:sz w:val="20"/>
                <w:szCs w:val="20"/>
                <w:color w:val="auto"/>
              </w:rPr>
            </w:pPr>
            <w:r>
              <w:rPr>
                <w:rFonts w:ascii="Times New Roman" w:cs="Times New Roman" w:eastAsia="Times New Roman" w:hAnsi="Times New Roman"/>
                <w:sz w:val="15"/>
                <w:szCs w:val="15"/>
                <w:color w:val="auto"/>
              </w:rPr>
              <w:t>13.6%</w:t>
            </w:r>
          </w:p>
        </w:tc>
        <w:tc>
          <w:tcPr>
            <w:tcW w:w="14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17,984,323</w:t>
            </w:r>
          </w:p>
        </w:tc>
        <w:tc>
          <w:tcPr>
            <w:tcW w:w="1740" w:type="dxa"/>
            <w:vAlign w:val="bottom"/>
            <w:gridSpan w:val="3"/>
          </w:tcPr>
          <w:p>
            <w:pPr>
              <w:jc w:val="right"/>
              <w:ind w:right="144"/>
              <w:spacing w:after="0"/>
              <w:rPr>
                <w:sz w:val="20"/>
                <w:szCs w:val="20"/>
                <w:color w:val="auto"/>
              </w:rPr>
            </w:pPr>
            <w:r>
              <w:rPr>
                <w:rFonts w:ascii="Times New Roman" w:cs="Times New Roman" w:eastAsia="Times New Roman" w:hAnsi="Times New Roman"/>
                <w:sz w:val="15"/>
                <w:szCs w:val="15"/>
                <w:color w:val="auto"/>
              </w:rPr>
              <w:t>9.8%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8.8%</w:t>
            </w:r>
          </w:p>
        </w:tc>
      </w:tr>
      <w:tr>
        <w:trPr>
          <w:trHeight w:val="182"/>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Financial Technology &amp; Services</w:t>
            </w:r>
          </w:p>
        </w:tc>
        <w:tc>
          <w:tcPr>
            <w:tcW w:w="1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17,720,752</w:t>
            </w:r>
          </w:p>
        </w:tc>
        <w:tc>
          <w:tcPr>
            <w:tcW w:w="1660" w:type="dxa"/>
            <w:vAlign w:val="bottom"/>
            <w:gridSpan w:val="3"/>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8.9%</w:t>
            </w:r>
          </w:p>
        </w:tc>
        <w:tc>
          <w:tcPr>
            <w:tcW w:w="1560" w:type="dxa"/>
            <w:vAlign w:val="bottom"/>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11.3%</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34,925,270</w:t>
            </w:r>
          </w:p>
        </w:tc>
        <w:tc>
          <w:tcPr>
            <w:tcW w:w="1740" w:type="dxa"/>
            <w:vAlign w:val="bottom"/>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19.0%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w:t>
            </w:r>
          </w:p>
        </w:tc>
      </w:tr>
      <w:tr>
        <w:trPr>
          <w:trHeight w:val="194"/>
        </w:trPr>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SuRo Sports</w:t>
            </w:r>
          </w:p>
        </w:tc>
        <w:tc>
          <w:tcPr>
            <w:tcW w:w="160" w:type="dxa"/>
            <w:vAlign w:val="bottom"/>
          </w:tcPr>
          <w:p>
            <w:pPr>
              <w:spacing w:after="0"/>
              <w:rPr>
                <w:sz w:val="16"/>
                <w:szCs w:val="16"/>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4,178,353</w:t>
            </w:r>
          </w:p>
        </w:tc>
        <w:tc>
          <w:tcPr>
            <w:tcW w:w="1660" w:type="dxa"/>
            <w:vAlign w:val="bottom"/>
            <w:gridSpan w:val="3"/>
          </w:tcPr>
          <w:p>
            <w:pPr>
              <w:jc w:val="right"/>
              <w:ind w:right="64"/>
              <w:spacing w:after="0"/>
              <w:rPr>
                <w:sz w:val="20"/>
                <w:szCs w:val="20"/>
                <w:color w:val="auto"/>
              </w:rPr>
            </w:pPr>
            <w:r>
              <w:rPr>
                <w:rFonts w:ascii="Times New Roman" w:cs="Times New Roman" w:eastAsia="Times New Roman" w:hAnsi="Times New Roman"/>
                <w:sz w:val="15"/>
                <w:szCs w:val="15"/>
                <w:color w:val="auto"/>
              </w:rPr>
              <w:t>2.1%</w:t>
            </w:r>
          </w:p>
        </w:tc>
        <w:tc>
          <w:tcPr>
            <w:tcW w:w="1560" w:type="dxa"/>
            <w:vAlign w:val="bottom"/>
            <w:gridSpan w:val="3"/>
          </w:tcPr>
          <w:p>
            <w:pPr>
              <w:jc w:val="right"/>
              <w:ind w:right="144"/>
              <w:spacing w:after="0"/>
              <w:rPr>
                <w:sz w:val="20"/>
                <w:szCs w:val="20"/>
                <w:color w:val="auto"/>
              </w:rPr>
            </w:pPr>
            <w:r>
              <w:rPr>
                <w:rFonts w:ascii="Times New Roman" w:cs="Times New Roman" w:eastAsia="Times New Roman" w:hAnsi="Times New Roman"/>
                <w:sz w:val="15"/>
                <w:szCs w:val="15"/>
                <w:color w:val="auto"/>
              </w:rPr>
              <w:t>2.7%</w:t>
            </w:r>
          </w:p>
        </w:tc>
        <w:tc>
          <w:tcPr>
            <w:tcW w:w="140" w:type="dxa"/>
            <w:vAlign w:val="bottom"/>
          </w:tcPr>
          <w:p>
            <w:pPr>
              <w:spacing w:after="0"/>
              <w:rPr>
                <w:sz w:val="16"/>
                <w:szCs w:val="16"/>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4,811,823</w:t>
            </w:r>
          </w:p>
        </w:tc>
        <w:tc>
          <w:tcPr>
            <w:tcW w:w="1740" w:type="dxa"/>
            <w:vAlign w:val="bottom"/>
            <w:gridSpan w:val="3"/>
          </w:tcPr>
          <w:p>
            <w:pPr>
              <w:jc w:val="right"/>
              <w:ind w:right="144"/>
              <w:spacing w:after="0"/>
              <w:rPr>
                <w:sz w:val="20"/>
                <w:szCs w:val="20"/>
                <w:color w:val="auto"/>
              </w:rPr>
            </w:pPr>
            <w:r>
              <w:rPr>
                <w:rFonts w:ascii="Times New Roman" w:cs="Times New Roman" w:eastAsia="Times New Roman" w:hAnsi="Times New Roman"/>
                <w:sz w:val="15"/>
                <w:szCs w:val="15"/>
                <w:color w:val="auto"/>
              </w:rPr>
              <w:t>2.6%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185"/>
        </w:trPr>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199,302,778</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260" w:type="dxa"/>
            <w:vAlign w:val="bottom"/>
            <w:tcBorders>
              <w:top w:val="single" w:sz="8" w:color="CCEEFF"/>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126.6</w:t>
            </w:r>
          </w:p>
        </w:tc>
        <w:tc>
          <w:tcPr>
            <w:tcW w:w="360" w:type="dxa"/>
            <w:vAlign w:val="bottom"/>
            <w:tcBorders>
              <w:top w:val="single" w:sz="8" w:color="CCEEFF"/>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95"/>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184,081,249</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340" w:type="dxa"/>
            <w:vAlign w:val="bottom"/>
            <w:tcBorders>
              <w:top w:val="single" w:sz="8" w:color="CCEEFF"/>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20"/>
        </w:trPr>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39"/>
        </w:trPr>
        <w:tc>
          <w:tcPr>
            <w:tcW w:w="2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ind w:right="964"/>
              <w:spacing w:after="0"/>
              <w:rPr>
                <w:sz w:val="20"/>
                <w:szCs w:val="20"/>
                <w:color w:val="auto"/>
              </w:rPr>
            </w:pPr>
            <w:r>
              <w:rPr>
                <w:rFonts w:ascii="Times New Roman" w:cs="Times New Roman" w:eastAsia="Times New Roman" w:hAnsi="Times New Roman"/>
                <w:sz w:val="15"/>
                <w:szCs w:val="15"/>
                <w:color w:val="auto"/>
                <w:w w:val="93"/>
              </w:rPr>
              <w:t>25</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216"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9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September 30,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table below details the composition of the Company’s industrial themes presented in the preceding tables:</w:t>
      </w:r>
    </w:p>
    <w:p>
      <w:pPr>
        <w:sectPr>
          <w:pgSz w:w="11900" w:h="16838" w:orient="portrait"/>
          <w:cols w:equalWidth="0" w:num="1">
            <w:col w:w="10139"/>
          </w:cols>
          <w:pgMar w:left="320" w:top="216" w:right="1440" w:bottom="1440" w:gutter="0" w:footer="0" w:header="0"/>
        </w:sectPr>
      </w:pP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Industry Theme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14820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48205" cy="6985"/>
                    </a:xfrm>
                    <a:prstGeom prst="rect">
                      <a:avLst/>
                    </a:prstGeom>
                    <a:noFill/>
                  </pic:spPr>
                </pic:pic>
              </a:graphicData>
            </a:graphic>
          </wp:anchor>
        </w:drawing>
      </w:r>
    </w:p>
    <w:p>
      <w:pPr>
        <w:spacing w:after="0" w:line="9" w:lineRule="exact"/>
        <w:rPr>
          <w:sz w:val="20"/>
          <w:szCs w:val="20"/>
          <w:color w:val="auto"/>
        </w:rPr>
      </w:pPr>
    </w:p>
    <w:p>
      <w:pPr>
        <w:ind w:right="720"/>
        <w:spacing w:after="0" w:line="283" w:lineRule="auto"/>
        <w:rPr>
          <w:sz w:val="20"/>
          <w:szCs w:val="20"/>
          <w:color w:val="auto"/>
        </w:rPr>
      </w:pPr>
      <w:r>
        <w:rPr>
          <w:rFonts w:ascii="Times New Roman" w:cs="Times New Roman" w:eastAsia="Times New Roman" w:hAnsi="Times New Roman"/>
          <w:sz w:val="15"/>
          <w:szCs w:val="15"/>
          <w:color w:val="auto"/>
        </w:rPr>
        <w:t>Artificial Intelligence Infrastructure &amp; Application</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Consumer Goods &amp;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214820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4820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Education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214820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48205" cy="698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Financial Technology &amp;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214820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4820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Logistics &amp;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214820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48205" cy="698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Software-as-a-Service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214820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4820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SuRo Sports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214820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4820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486092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860925" cy="698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Advanced Nuclear Technology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AI Application Fund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AI Infrastructure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AI Infrastructure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86092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86092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E-Commerce Marketplace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Fitness Technology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Lifestyle Beverage Brand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Micromobility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Social Networking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86092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86092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Business Education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Interactive Learning</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Online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86092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86092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Cannabis REIT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Carbon Credit Services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Financial Services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Mobile Access Technology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Mobile Finance Technology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Online Marketplace Finance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Real Estate Platform</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Special Purpose Acquisition Company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Venture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86092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86092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Clean Technology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Supply Chain Technology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Warehouse Automation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86092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86092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Contractor Management Software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Global Innovation Platform</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Home Improvement Finance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Knowledge Networks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Pharmaceutical Technology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Productivity Software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Retail Technology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Social Data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86092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86092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Digital Media Technology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Gaming Licensing</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Gaming Technology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Geolocation Technology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Interactive Media &amp; Services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Sports Betting</w:t>
      </w:r>
    </w:p>
    <w:p>
      <w:pPr>
        <w:spacing w:after="0" w:line="17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-2291080</wp:posOffset>
            </wp:positionH>
            <wp:positionV relativeFrom="paragraph">
              <wp:posOffset>15240</wp:posOffset>
            </wp:positionV>
            <wp:extent cx="715391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2">
            <w:col w:w="2880" w:space="720"/>
            <w:col w:w="6539"/>
          </w:cols>
          <w:pgMar w:left="320" w:top="216" w:right="1440" w:bottom="1440" w:gutter="0" w:footer="0" w:header="0"/>
          <w:type w:val="continuous"/>
        </w:sectPr>
      </w:pPr>
    </w:p>
    <w:bookmarkStart w:id="28" w:name="page29"/>
    <w:bookmarkEnd w:id="28"/>
    <w:p>
      <w:pPr>
        <w:ind w:left="9"/>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9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September 30, 2024</w:t>
      </w:r>
    </w:p>
    <w:p>
      <w:pPr>
        <w:spacing w:after="0" w:line="17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Investment Valuation Inputs</w:t>
      </w:r>
    </w:p>
    <w:p>
      <w:pPr>
        <w:spacing w:after="0" w:line="196" w:lineRule="exact"/>
        <w:rPr>
          <w:sz w:val="20"/>
          <w:szCs w:val="20"/>
          <w:color w:val="auto"/>
        </w:rPr>
      </w:pPr>
    </w:p>
    <w:p>
      <w:pPr>
        <w:ind w:left="9" w:firstLine="273"/>
        <w:spacing w:after="0" w:line="288" w:lineRule="auto"/>
        <w:rPr>
          <w:sz w:val="20"/>
          <w:szCs w:val="20"/>
          <w:color w:val="auto"/>
        </w:rPr>
      </w:pPr>
      <w:r>
        <w:rPr>
          <w:rFonts w:ascii="Times New Roman" w:cs="Times New Roman" w:eastAsia="Times New Roman" w:hAnsi="Times New Roman"/>
          <w:sz w:val="15"/>
          <w:szCs w:val="15"/>
          <w:color w:val="auto"/>
        </w:rPr>
        <w:t>The fair values of the Company’s investments disaggregated into the three levels of the fair value hierarchy based upon the lowest level of significant input used in the valuation as of September 30, 2024 and December 31, 2023 are as follows:</w:t>
      </w:r>
    </w:p>
    <w:p>
      <w:pPr>
        <w:spacing w:after="0" w:line="140"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4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5"/>
                <w:szCs w:val="15"/>
                <w:b w:val="1"/>
                <w:bCs w:val="1"/>
                <w:color w:val="auto"/>
              </w:rPr>
              <w:t>As of September 30, 2024</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5"/>
        </w:trPr>
        <w:tc>
          <w:tcPr>
            <w:tcW w:w="4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2"/>
          </w:tcPr>
          <w:p>
            <w:pPr>
              <w:jc w:val="center"/>
              <w:ind w:right="440"/>
              <w:spacing w:after="0" w:line="155" w:lineRule="exact"/>
              <w:rPr>
                <w:sz w:val="20"/>
                <w:szCs w:val="20"/>
                <w:color w:val="auto"/>
              </w:rPr>
            </w:pPr>
            <w:r>
              <w:rPr>
                <w:rFonts w:ascii="Times New Roman" w:cs="Times New Roman" w:eastAsia="Times New Roman" w:hAnsi="Times New Roman"/>
                <w:sz w:val="15"/>
                <w:szCs w:val="15"/>
                <w:b w:val="1"/>
                <w:bCs w:val="1"/>
                <w:color w:val="auto"/>
              </w:rPr>
              <w:t>Quoted Prices in</w:t>
            </w:r>
          </w:p>
        </w:tc>
        <w:tc>
          <w:tcPr>
            <w:tcW w:w="120" w:type="dxa"/>
            <w:vAlign w:val="bottom"/>
          </w:tcPr>
          <w:p>
            <w:pPr>
              <w:spacing w:after="0"/>
              <w:rPr>
                <w:sz w:val="13"/>
                <w:szCs w:val="13"/>
                <w:color w:val="auto"/>
              </w:rPr>
            </w:pPr>
          </w:p>
        </w:tc>
        <w:tc>
          <w:tcPr>
            <w:tcW w:w="1680" w:type="dxa"/>
            <w:vAlign w:val="bottom"/>
            <w:gridSpan w:val="2"/>
          </w:tcPr>
          <w:p>
            <w:pPr>
              <w:jc w:val="center"/>
              <w:ind w:right="460"/>
              <w:spacing w:after="0" w:line="155" w:lineRule="exact"/>
              <w:rPr>
                <w:sz w:val="20"/>
                <w:szCs w:val="20"/>
                <w:color w:val="auto"/>
              </w:rPr>
            </w:pPr>
            <w:r>
              <w:rPr>
                <w:rFonts w:ascii="Times New Roman" w:cs="Times New Roman" w:eastAsia="Times New Roman" w:hAnsi="Times New Roman"/>
                <w:sz w:val="15"/>
                <w:szCs w:val="15"/>
                <w:b w:val="1"/>
                <w:bCs w:val="1"/>
                <w:color w:val="auto"/>
              </w:rPr>
              <w:t>Significant Other</w:t>
            </w:r>
          </w:p>
        </w:tc>
        <w:tc>
          <w:tcPr>
            <w:tcW w:w="180" w:type="dxa"/>
            <w:vAlign w:val="bottom"/>
          </w:tcPr>
          <w:p>
            <w:pPr>
              <w:spacing w:after="0"/>
              <w:rPr>
                <w:sz w:val="13"/>
                <w:szCs w:val="13"/>
                <w:color w:val="auto"/>
              </w:rPr>
            </w:pPr>
          </w:p>
        </w:tc>
        <w:tc>
          <w:tcPr>
            <w:tcW w:w="1620" w:type="dxa"/>
            <w:vAlign w:val="bottom"/>
            <w:gridSpan w:val="2"/>
          </w:tcPr>
          <w:p>
            <w:pPr>
              <w:jc w:val="center"/>
              <w:ind w:right="480"/>
              <w:spacing w:after="0" w:line="155" w:lineRule="exact"/>
              <w:rPr>
                <w:sz w:val="20"/>
                <w:szCs w:val="20"/>
                <w:color w:val="auto"/>
              </w:rPr>
            </w:pPr>
            <w:r>
              <w:rPr>
                <w:rFonts w:ascii="Times New Roman" w:cs="Times New Roman" w:eastAsia="Times New Roman" w:hAnsi="Times New Roman"/>
                <w:sz w:val="15"/>
                <w:szCs w:val="15"/>
                <w:b w:val="1"/>
                <w:bCs w:val="1"/>
                <w:color w:val="auto"/>
              </w:rPr>
              <w:t>Significant</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2"/>
        </w:trPr>
        <w:tc>
          <w:tcPr>
            <w:tcW w:w="4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rPr>
              <w:t>Active Markets for</w:t>
            </w:r>
          </w:p>
        </w:tc>
        <w:tc>
          <w:tcPr>
            <w:tcW w:w="120" w:type="dxa"/>
            <w:vAlign w:val="bottom"/>
          </w:tcPr>
          <w:p>
            <w:pPr>
              <w:spacing w:after="0"/>
              <w:rPr>
                <w:sz w:val="15"/>
                <w:szCs w:val="15"/>
                <w:color w:val="auto"/>
              </w:rPr>
            </w:pPr>
          </w:p>
        </w:tc>
        <w:tc>
          <w:tcPr>
            <w:tcW w:w="1680" w:type="dxa"/>
            <w:vAlign w:val="bottom"/>
            <w:gridSpan w:val="2"/>
          </w:tcPr>
          <w:p>
            <w:pPr>
              <w:jc w:val="center"/>
              <w:ind w:right="460"/>
              <w:spacing w:after="0"/>
              <w:rPr>
                <w:sz w:val="20"/>
                <w:szCs w:val="20"/>
                <w:color w:val="auto"/>
              </w:rPr>
            </w:pPr>
            <w:r>
              <w:rPr>
                <w:rFonts w:ascii="Times New Roman" w:cs="Times New Roman" w:eastAsia="Times New Roman" w:hAnsi="Times New Roman"/>
                <w:sz w:val="15"/>
                <w:szCs w:val="15"/>
                <w:b w:val="1"/>
                <w:bCs w:val="1"/>
                <w:color w:val="auto"/>
              </w:rPr>
              <w:t>Observable</w:t>
            </w:r>
          </w:p>
        </w:tc>
        <w:tc>
          <w:tcPr>
            <w:tcW w:w="180" w:type="dxa"/>
            <w:vAlign w:val="bottom"/>
          </w:tcPr>
          <w:p>
            <w:pPr>
              <w:spacing w:after="0"/>
              <w:rPr>
                <w:sz w:val="15"/>
                <w:szCs w:val="15"/>
                <w:color w:val="auto"/>
              </w:rPr>
            </w:pP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5"/>
                <w:szCs w:val="15"/>
                <w:b w:val="1"/>
                <w:bCs w:val="1"/>
                <w:color w:val="auto"/>
                <w:w w:val="99"/>
              </w:rPr>
              <w:t>Unobservable</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2"/>
        </w:trPr>
        <w:tc>
          <w:tcPr>
            <w:tcW w:w="4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rPr>
              <w:t>Identical Securities</w:t>
            </w:r>
          </w:p>
        </w:tc>
        <w:tc>
          <w:tcPr>
            <w:tcW w:w="120" w:type="dxa"/>
            <w:vAlign w:val="bottom"/>
          </w:tcPr>
          <w:p>
            <w:pPr>
              <w:spacing w:after="0"/>
              <w:rPr>
                <w:sz w:val="15"/>
                <w:szCs w:val="15"/>
                <w:color w:val="auto"/>
              </w:rPr>
            </w:pPr>
          </w:p>
        </w:tc>
        <w:tc>
          <w:tcPr>
            <w:tcW w:w="1680" w:type="dxa"/>
            <w:vAlign w:val="bottom"/>
            <w:gridSpan w:val="2"/>
          </w:tcPr>
          <w:p>
            <w:pPr>
              <w:jc w:val="center"/>
              <w:ind w:right="460"/>
              <w:spacing w:after="0"/>
              <w:rPr>
                <w:sz w:val="20"/>
                <w:szCs w:val="20"/>
                <w:color w:val="auto"/>
              </w:rPr>
            </w:pPr>
            <w:r>
              <w:rPr>
                <w:rFonts w:ascii="Times New Roman" w:cs="Times New Roman" w:eastAsia="Times New Roman" w:hAnsi="Times New Roman"/>
                <w:sz w:val="15"/>
                <w:szCs w:val="15"/>
                <w:b w:val="1"/>
                <w:bCs w:val="1"/>
                <w:color w:val="auto"/>
              </w:rPr>
              <w:t>Inputs</w:t>
            </w:r>
          </w:p>
        </w:tc>
        <w:tc>
          <w:tcPr>
            <w:tcW w:w="180" w:type="dxa"/>
            <w:vAlign w:val="bottom"/>
          </w:tcPr>
          <w:p>
            <w:pPr>
              <w:spacing w:after="0"/>
              <w:rPr>
                <w:sz w:val="15"/>
                <w:szCs w:val="15"/>
                <w:color w:val="auto"/>
              </w:rPr>
            </w:pPr>
          </w:p>
        </w:tc>
        <w:tc>
          <w:tcPr>
            <w:tcW w:w="1620" w:type="dxa"/>
            <w:vAlign w:val="bottom"/>
            <w:gridSpan w:val="2"/>
          </w:tcPr>
          <w:p>
            <w:pPr>
              <w:jc w:val="center"/>
              <w:ind w:right="480"/>
              <w:spacing w:after="0"/>
              <w:rPr>
                <w:sz w:val="20"/>
                <w:szCs w:val="20"/>
                <w:color w:val="auto"/>
              </w:rPr>
            </w:pPr>
            <w:r>
              <w:rPr>
                <w:rFonts w:ascii="Times New Roman" w:cs="Times New Roman" w:eastAsia="Times New Roman" w:hAnsi="Times New Roman"/>
                <w:sz w:val="15"/>
                <w:szCs w:val="15"/>
                <w:b w:val="1"/>
                <w:bCs w:val="1"/>
                <w:color w:val="auto"/>
              </w:rPr>
              <w:t>Inputs</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1"/>
        </w:trPr>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w w:val="99"/>
              </w:rPr>
              <w:t>(Level 1)</w:t>
            </w:r>
          </w:p>
        </w:tc>
        <w:tc>
          <w:tcPr>
            <w:tcW w:w="120" w:type="dxa"/>
            <w:vAlign w:val="bottom"/>
          </w:tcPr>
          <w:p>
            <w:pPr>
              <w:spacing w:after="0"/>
              <w:rPr>
                <w:sz w:val="17"/>
                <w:szCs w:val="17"/>
                <w:color w:val="auto"/>
              </w:rPr>
            </w:pPr>
          </w:p>
        </w:tc>
        <w:tc>
          <w:tcPr>
            <w:tcW w:w="1680" w:type="dxa"/>
            <w:vAlign w:val="bottom"/>
            <w:gridSpan w:val="2"/>
          </w:tcPr>
          <w:p>
            <w:pPr>
              <w:jc w:val="center"/>
              <w:ind w:right="46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180" w:type="dxa"/>
            <w:vAlign w:val="bottom"/>
          </w:tcPr>
          <w:p>
            <w:pPr>
              <w:spacing w:after="0"/>
              <w:rPr>
                <w:sz w:val="17"/>
                <w:szCs w:val="17"/>
                <w:color w:val="auto"/>
              </w:rPr>
            </w:pP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5"/>
                <w:szCs w:val="15"/>
                <w:b w:val="1"/>
                <w:bCs w:val="1"/>
                <w:color w:val="auto"/>
                <w:w w:val="99"/>
              </w:rPr>
              <w:t>(Level 3)</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tcPr>
          <w:p>
            <w:pPr>
              <w:ind w:left="24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74"/>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Investments at Fair Value</w:t>
            </w:r>
          </w:p>
        </w:tc>
        <w:tc>
          <w:tcPr>
            <w:tcW w:w="10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82"/>
        </w:trPr>
        <w:tc>
          <w:tcPr>
            <w:tcW w:w="4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Private Portfolio Companies</w:t>
            </w: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42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5"/>
                <w:szCs w:val="15"/>
                <w:color w:val="auto"/>
              </w:rPr>
              <w:t>Preferred Stock</w:t>
            </w:r>
            <w:r>
              <w:rPr>
                <w:rFonts w:ascii="Times New Roman" w:cs="Times New Roman" w:eastAsia="Times New Roman" w:hAnsi="Times New Roman"/>
                <w:sz w:val="25"/>
                <w:szCs w:val="25"/>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138,567,805</w:t>
            </w:r>
          </w:p>
        </w:tc>
        <w:tc>
          <w:tcPr>
            <w:tcW w:w="320" w:type="dxa"/>
            <w:vAlign w:val="bottom"/>
            <w:gridSpan w:val="2"/>
            <w:shd w:val="clear" w:color="auto" w:fill="CCEEFF"/>
          </w:tcPr>
          <w:p>
            <w:pPr>
              <w:jc w:val="right"/>
              <w:ind w:right="186"/>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138,567,805</w:t>
            </w:r>
          </w:p>
        </w:tc>
        <w:tc>
          <w:tcPr>
            <w:tcW w:w="80" w:type="dxa"/>
            <w:vAlign w:val="bottom"/>
            <w:shd w:val="clear" w:color="auto" w:fill="CCEEFF"/>
          </w:tcPr>
          <w:p>
            <w:pPr>
              <w:spacing w:after="0"/>
              <w:rPr>
                <w:sz w:val="18"/>
                <w:szCs w:val="18"/>
                <w:color w:val="auto"/>
              </w:rPr>
            </w:pPr>
          </w:p>
        </w:tc>
      </w:tr>
      <w:tr>
        <w:trPr>
          <w:trHeight w:val="216"/>
        </w:trPr>
        <w:tc>
          <w:tcPr>
            <w:tcW w:w="4280" w:type="dxa"/>
            <w:vAlign w:val="bottom"/>
          </w:tcPr>
          <w:p>
            <w:pPr>
              <w:ind w:left="140"/>
              <w:spacing w:after="0" w:line="216" w:lineRule="exact"/>
              <w:rPr>
                <w:sz w:val="20"/>
                <w:szCs w:val="20"/>
                <w:color w:val="auto"/>
              </w:rPr>
            </w:pPr>
            <w:r>
              <w:rPr>
                <w:rFonts w:ascii="Times New Roman" w:cs="Times New Roman" w:eastAsia="Times New Roman" w:hAnsi="Times New Roman"/>
                <w:sz w:val="15"/>
                <w:szCs w:val="15"/>
                <w:color w:val="auto"/>
              </w:rPr>
              <w:t>Common Stock</w:t>
            </w:r>
            <w:r>
              <w:rPr>
                <w:rFonts w:ascii="Times New Roman" w:cs="Times New Roman" w:eastAsia="Times New Roman" w:hAnsi="Times New Roman"/>
                <w:sz w:val="25"/>
                <w:szCs w:val="25"/>
                <w:color w:val="auto"/>
                <w:vertAlign w:val="superscript"/>
              </w:rPr>
              <w:t>(2)</w:t>
            </w:r>
          </w:p>
        </w:tc>
        <w:tc>
          <w:tcPr>
            <w:tcW w:w="10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47,725,515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47,725,515</w:t>
            </w:r>
          </w:p>
        </w:tc>
        <w:tc>
          <w:tcPr>
            <w:tcW w:w="80" w:type="dxa"/>
            <w:vAlign w:val="bottom"/>
          </w:tcPr>
          <w:p>
            <w:pPr>
              <w:spacing w:after="0"/>
              <w:rPr>
                <w:sz w:val="18"/>
                <w:szCs w:val="18"/>
                <w:color w:val="auto"/>
              </w:rPr>
            </w:pPr>
          </w:p>
        </w:tc>
      </w:tr>
      <w:tr>
        <w:trPr>
          <w:trHeight w:val="182"/>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Debt Investments</w:t>
            </w:r>
          </w:p>
        </w:tc>
        <w:tc>
          <w:tcPr>
            <w:tcW w:w="10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506,339</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506,339</w:t>
            </w:r>
          </w:p>
        </w:tc>
        <w:tc>
          <w:tcPr>
            <w:tcW w:w="80" w:type="dxa"/>
            <w:vAlign w:val="bottom"/>
            <w:shd w:val="clear" w:color="auto" w:fill="CCEEFF"/>
          </w:tcPr>
          <w:p>
            <w:pPr>
              <w:spacing w:after="0"/>
              <w:rPr>
                <w:sz w:val="15"/>
                <w:szCs w:val="15"/>
                <w:color w:val="auto"/>
              </w:rPr>
            </w:pPr>
          </w:p>
        </w:tc>
      </w:tr>
      <w:tr>
        <w:trPr>
          <w:trHeight w:val="194"/>
        </w:trPr>
        <w:tc>
          <w:tcPr>
            <w:tcW w:w="4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Options</w:t>
            </w:r>
          </w:p>
        </w:tc>
        <w:tc>
          <w:tcPr>
            <w:tcW w:w="100" w:type="dxa"/>
            <w:vAlign w:val="bottom"/>
          </w:tcPr>
          <w:p>
            <w:pPr>
              <w:spacing w:after="0"/>
              <w:rPr>
                <w:sz w:val="16"/>
                <w:szCs w:val="16"/>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4,377,468</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4,377,468</w:t>
            </w:r>
          </w:p>
        </w:tc>
        <w:tc>
          <w:tcPr>
            <w:tcW w:w="80" w:type="dxa"/>
            <w:vAlign w:val="bottom"/>
          </w:tcPr>
          <w:p>
            <w:pPr>
              <w:spacing w:after="0"/>
              <w:rPr>
                <w:sz w:val="16"/>
                <w:szCs w:val="16"/>
                <w:color w:val="auto"/>
              </w:rPr>
            </w:pPr>
          </w:p>
        </w:tc>
      </w:tr>
      <w:tr>
        <w:trPr>
          <w:trHeight w:val="174"/>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Private Portfolio Companies</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191,177,127</w:t>
            </w:r>
          </w:p>
        </w:tc>
        <w:tc>
          <w:tcPr>
            <w:tcW w:w="3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191,177,127</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74"/>
        </w:trPr>
        <w:tc>
          <w:tcPr>
            <w:tcW w:w="4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Publicly Traded Portfolio Companies</w:t>
            </w: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2"/>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Common Stock</w:t>
            </w:r>
          </w:p>
        </w:tc>
        <w:tc>
          <w:tcPr>
            <w:tcW w:w="10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6,237,842</w:t>
            </w:r>
          </w:p>
        </w:tc>
        <w:tc>
          <w:tcPr>
            <w:tcW w:w="12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1,405,641</w:t>
            </w:r>
          </w:p>
        </w:tc>
        <w:tc>
          <w:tcPr>
            <w:tcW w:w="18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7,643,483</w:t>
            </w:r>
          </w:p>
        </w:tc>
        <w:tc>
          <w:tcPr>
            <w:tcW w:w="80" w:type="dxa"/>
            <w:vAlign w:val="bottom"/>
            <w:shd w:val="clear" w:color="auto" w:fill="CCEEFF"/>
          </w:tcPr>
          <w:p>
            <w:pPr>
              <w:spacing w:after="0"/>
              <w:rPr>
                <w:sz w:val="15"/>
                <w:szCs w:val="15"/>
                <w:color w:val="auto"/>
              </w:rPr>
            </w:pPr>
          </w:p>
        </w:tc>
      </w:tr>
      <w:tr>
        <w:trPr>
          <w:trHeight w:val="194"/>
        </w:trPr>
        <w:tc>
          <w:tcPr>
            <w:tcW w:w="4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Options</w:t>
            </w:r>
          </w:p>
        </w:tc>
        <w:tc>
          <w:tcPr>
            <w:tcW w:w="100" w:type="dxa"/>
            <w:vAlign w:val="bottom"/>
          </w:tcPr>
          <w:p>
            <w:pPr>
              <w:spacing w:after="0"/>
              <w:rPr>
                <w:sz w:val="16"/>
                <w:szCs w:val="16"/>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482,168</w:t>
            </w:r>
          </w:p>
        </w:tc>
        <w:tc>
          <w:tcPr>
            <w:tcW w:w="120" w:type="dxa"/>
            <w:vAlign w:val="bottom"/>
          </w:tcPr>
          <w:p>
            <w:pPr>
              <w:spacing w:after="0"/>
              <w:rPr>
                <w:sz w:val="16"/>
                <w:szCs w:val="16"/>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482,168</w:t>
            </w:r>
          </w:p>
        </w:tc>
        <w:tc>
          <w:tcPr>
            <w:tcW w:w="80" w:type="dxa"/>
            <w:vAlign w:val="bottom"/>
          </w:tcPr>
          <w:p>
            <w:pPr>
              <w:spacing w:after="0"/>
              <w:rPr>
                <w:sz w:val="16"/>
                <w:szCs w:val="16"/>
                <w:color w:val="auto"/>
              </w:rPr>
            </w:pPr>
          </w:p>
        </w:tc>
      </w:tr>
      <w:tr>
        <w:trPr>
          <w:trHeight w:val="174"/>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Publicly Traded Portfolio Companies</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6,720,010</w:t>
            </w: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1,405,641</w:t>
            </w:r>
          </w:p>
        </w:tc>
        <w:tc>
          <w:tcPr>
            <w:tcW w:w="3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8,125,651</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85"/>
        </w:trPr>
        <w:tc>
          <w:tcPr>
            <w:tcW w:w="4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Investments at Fair Value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6,720,010</w:t>
            </w:r>
          </w:p>
        </w:tc>
        <w:tc>
          <w:tcPr>
            <w:tcW w:w="34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1,405,641</w:t>
            </w:r>
          </w:p>
        </w:tc>
        <w:tc>
          <w:tcPr>
            <w:tcW w:w="340" w:type="dxa"/>
            <w:vAlign w:val="bottom"/>
          </w:tcPr>
          <w:p>
            <w:pPr>
              <w:spacing w:after="0"/>
              <w:rPr>
                <w:sz w:val="16"/>
                <w:szCs w:val="16"/>
                <w:color w:val="auto"/>
              </w:rPr>
            </w:pP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191,177,127</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199,302,778</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78689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86890" cy="6985"/>
                    </a:xfrm>
                    <a:prstGeom prst="rect">
                      <a:avLst/>
                    </a:prstGeom>
                    <a:noFill/>
                  </pic:spPr>
                </pic:pic>
              </a:graphicData>
            </a:graphic>
          </wp:anchor>
        </w:drawing>
      </w:r>
    </w:p>
    <w:p>
      <w:pPr>
        <w:spacing w:after="0" w:line="170" w:lineRule="exact"/>
        <w:rPr>
          <w:sz w:val="20"/>
          <w:szCs w:val="20"/>
          <w:color w:val="auto"/>
        </w:rPr>
      </w:pPr>
    </w:p>
    <w:p>
      <w:pPr>
        <w:ind w:left="269" w:right="20" w:hanging="269"/>
        <w:spacing w:after="0" w:line="264" w:lineRule="auto"/>
        <w:tabs>
          <w:tab w:leader="none" w:pos="269"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Preferred Stock includes the Company’s investment in the Class A Interest of ARK Type One Deep Ventures Fund LLC which is invested in the Convertible Equity of OpenAI Global, LLC, and the Company’s investment in the Class A Interest of CW Opportunity 2 LP which is invested in the Series C Preferred shares of CoreWeave, Inc.</w:t>
      </w:r>
    </w:p>
    <w:p>
      <w:pPr>
        <w:ind w:left="269" w:hanging="269"/>
        <w:spacing w:after="0"/>
        <w:tabs>
          <w:tab w:leader="none" w:pos="269"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Common Stock includes the Company’s Limited Partner Fund Investment in True Global Ventures 4 Plus Pte Ltd.</w:t>
      </w:r>
    </w:p>
    <w:p>
      <w:pPr>
        <w:spacing w:after="0" w:line="184"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4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5"/>
                <w:szCs w:val="15"/>
                <w:b w:val="1"/>
                <w:bCs w:val="1"/>
                <w:color w:val="auto"/>
              </w:rPr>
              <w:t>As of December 31, 2023</w:t>
            </w:r>
          </w:p>
        </w:tc>
        <w:tc>
          <w:tcPr>
            <w:tcW w:w="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55"/>
        </w:trPr>
        <w:tc>
          <w:tcPr>
            <w:tcW w:w="4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2"/>
          </w:tcPr>
          <w:p>
            <w:pPr>
              <w:jc w:val="center"/>
              <w:ind w:right="440"/>
              <w:spacing w:after="0" w:line="155" w:lineRule="exact"/>
              <w:rPr>
                <w:sz w:val="20"/>
                <w:szCs w:val="20"/>
                <w:color w:val="auto"/>
              </w:rPr>
            </w:pPr>
            <w:r>
              <w:rPr>
                <w:rFonts w:ascii="Times New Roman" w:cs="Times New Roman" w:eastAsia="Times New Roman" w:hAnsi="Times New Roman"/>
                <w:sz w:val="15"/>
                <w:szCs w:val="15"/>
                <w:b w:val="1"/>
                <w:bCs w:val="1"/>
                <w:color w:val="auto"/>
              </w:rPr>
              <w:t>Quoted Prices in</w:t>
            </w:r>
          </w:p>
        </w:tc>
        <w:tc>
          <w:tcPr>
            <w:tcW w:w="120" w:type="dxa"/>
            <w:vAlign w:val="bottom"/>
          </w:tcPr>
          <w:p>
            <w:pPr>
              <w:spacing w:after="0"/>
              <w:rPr>
                <w:sz w:val="13"/>
                <w:szCs w:val="13"/>
                <w:color w:val="auto"/>
              </w:rPr>
            </w:pPr>
          </w:p>
        </w:tc>
        <w:tc>
          <w:tcPr>
            <w:tcW w:w="1680" w:type="dxa"/>
            <w:vAlign w:val="bottom"/>
            <w:gridSpan w:val="2"/>
          </w:tcPr>
          <w:p>
            <w:pPr>
              <w:jc w:val="center"/>
              <w:ind w:right="460"/>
              <w:spacing w:after="0" w:line="155" w:lineRule="exact"/>
              <w:rPr>
                <w:sz w:val="20"/>
                <w:szCs w:val="20"/>
                <w:color w:val="auto"/>
              </w:rPr>
            </w:pPr>
            <w:r>
              <w:rPr>
                <w:rFonts w:ascii="Times New Roman" w:cs="Times New Roman" w:eastAsia="Times New Roman" w:hAnsi="Times New Roman"/>
                <w:sz w:val="15"/>
                <w:szCs w:val="15"/>
                <w:b w:val="1"/>
                <w:bCs w:val="1"/>
                <w:color w:val="auto"/>
              </w:rPr>
              <w:t>Significant Other</w:t>
            </w:r>
          </w:p>
        </w:tc>
        <w:tc>
          <w:tcPr>
            <w:tcW w:w="180" w:type="dxa"/>
            <w:vAlign w:val="bottom"/>
          </w:tcPr>
          <w:p>
            <w:pPr>
              <w:spacing w:after="0"/>
              <w:rPr>
                <w:sz w:val="13"/>
                <w:szCs w:val="13"/>
                <w:color w:val="auto"/>
              </w:rPr>
            </w:pPr>
          </w:p>
        </w:tc>
        <w:tc>
          <w:tcPr>
            <w:tcW w:w="146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5"/>
                <w:szCs w:val="15"/>
                <w:b w:val="1"/>
                <w:bCs w:val="1"/>
                <w:color w:val="auto"/>
              </w:rPr>
              <w:t>Significant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2"/>
        </w:trPr>
        <w:tc>
          <w:tcPr>
            <w:tcW w:w="4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rPr>
              <w:t>Active Markets for</w:t>
            </w:r>
          </w:p>
        </w:tc>
        <w:tc>
          <w:tcPr>
            <w:tcW w:w="120" w:type="dxa"/>
            <w:vAlign w:val="bottom"/>
          </w:tcPr>
          <w:p>
            <w:pPr>
              <w:spacing w:after="0"/>
              <w:rPr>
                <w:sz w:val="15"/>
                <w:szCs w:val="15"/>
                <w:color w:val="auto"/>
              </w:rPr>
            </w:pPr>
          </w:p>
        </w:tc>
        <w:tc>
          <w:tcPr>
            <w:tcW w:w="1680" w:type="dxa"/>
            <w:vAlign w:val="bottom"/>
            <w:gridSpan w:val="2"/>
          </w:tcPr>
          <w:p>
            <w:pPr>
              <w:jc w:val="center"/>
              <w:ind w:right="460"/>
              <w:spacing w:after="0"/>
              <w:rPr>
                <w:sz w:val="20"/>
                <w:szCs w:val="20"/>
                <w:color w:val="auto"/>
              </w:rPr>
            </w:pPr>
            <w:r>
              <w:rPr>
                <w:rFonts w:ascii="Times New Roman" w:cs="Times New Roman" w:eastAsia="Times New Roman" w:hAnsi="Times New Roman"/>
                <w:sz w:val="15"/>
                <w:szCs w:val="15"/>
                <w:b w:val="1"/>
                <w:bCs w:val="1"/>
                <w:color w:val="auto"/>
              </w:rPr>
              <w:t>Observable</w:t>
            </w:r>
          </w:p>
        </w:tc>
        <w:tc>
          <w:tcPr>
            <w:tcW w:w="180" w:type="dxa"/>
            <w:vAlign w:val="bottom"/>
          </w:tcPr>
          <w:p>
            <w:pPr>
              <w:spacing w:after="0"/>
              <w:rPr>
                <w:sz w:val="15"/>
                <w:szCs w:val="15"/>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Unobservable</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4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rPr>
              <w:t>Identical Securities</w:t>
            </w:r>
          </w:p>
        </w:tc>
        <w:tc>
          <w:tcPr>
            <w:tcW w:w="120" w:type="dxa"/>
            <w:vAlign w:val="bottom"/>
          </w:tcPr>
          <w:p>
            <w:pPr>
              <w:spacing w:after="0"/>
              <w:rPr>
                <w:sz w:val="15"/>
                <w:szCs w:val="15"/>
                <w:color w:val="auto"/>
              </w:rPr>
            </w:pPr>
          </w:p>
        </w:tc>
        <w:tc>
          <w:tcPr>
            <w:tcW w:w="1680" w:type="dxa"/>
            <w:vAlign w:val="bottom"/>
            <w:gridSpan w:val="2"/>
          </w:tcPr>
          <w:p>
            <w:pPr>
              <w:jc w:val="center"/>
              <w:ind w:right="460"/>
              <w:spacing w:after="0"/>
              <w:rPr>
                <w:sz w:val="20"/>
                <w:szCs w:val="20"/>
                <w:color w:val="auto"/>
              </w:rPr>
            </w:pPr>
            <w:r>
              <w:rPr>
                <w:rFonts w:ascii="Times New Roman" w:cs="Times New Roman" w:eastAsia="Times New Roman" w:hAnsi="Times New Roman"/>
                <w:sz w:val="15"/>
                <w:szCs w:val="15"/>
                <w:b w:val="1"/>
                <w:bCs w:val="1"/>
                <w:color w:val="auto"/>
              </w:rPr>
              <w:t>Inputs</w:t>
            </w:r>
          </w:p>
        </w:tc>
        <w:tc>
          <w:tcPr>
            <w:tcW w:w="180" w:type="dxa"/>
            <w:vAlign w:val="bottom"/>
          </w:tcPr>
          <w:p>
            <w:pPr>
              <w:spacing w:after="0"/>
              <w:rPr>
                <w:sz w:val="15"/>
                <w:szCs w:val="15"/>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Inputs</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1"/>
        </w:trPr>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w w:val="99"/>
              </w:rPr>
              <w:t>(Level 1)</w:t>
            </w:r>
          </w:p>
        </w:tc>
        <w:tc>
          <w:tcPr>
            <w:tcW w:w="120" w:type="dxa"/>
            <w:vAlign w:val="bottom"/>
          </w:tcPr>
          <w:p>
            <w:pPr>
              <w:spacing w:after="0"/>
              <w:rPr>
                <w:sz w:val="17"/>
                <w:szCs w:val="17"/>
                <w:color w:val="auto"/>
              </w:rPr>
            </w:pPr>
          </w:p>
        </w:tc>
        <w:tc>
          <w:tcPr>
            <w:tcW w:w="1680" w:type="dxa"/>
            <w:vAlign w:val="bottom"/>
            <w:gridSpan w:val="2"/>
          </w:tcPr>
          <w:p>
            <w:pPr>
              <w:jc w:val="center"/>
              <w:ind w:right="46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180" w:type="dxa"/>
            <w:vAlign w:val="bottom"/>
          </w:tcPr>
          <w:p>
            <w:pPr>
              <w:spacing w:after="0"/>
              <w:rPr>
                <w:sz w:val="17"/>
                <w:szCs w:val="17"/>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(Level 3)</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74"/>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Investments at Fair Value</w:t>
            </w:r>
          </w:p>
        </w:tc>
        <w:tc>
          <w:tcPr>
            <w:tcW w:w="10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82"/>
        </w:trPr>
        <w:tc>
          <w:tcPr>
            <w:tcW w:w="4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Private Portfolio Companies</w:t>
            </w: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Preferred Stock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122,744,564</w:t>
            </w:r>
          </w:p>
        </w:tc>
        <w:tc>
          <w:tcPr>
            <w:tcW w:w="48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122,744,564</w:t>
            </w:r>
          </w:p>
        </w:tc>
      </w:tr>
      <w:tr>
        <w:trPr>
          <w:trHeight w:val="216"/>
        </w:trPr>
        <w:tc>
          <w:tcPr>
            <w:tcW w:w="4280" w:type="dxa"/>
            <w:vAlign w:val="bottom"/>
          </w:tcPr>
          <w:p>
            <w:pPr>
              <w:ind w:left="140"/>
              <w:spacing w:after="0" w:line="216" w:lineRule="exact"/>
              <w:rPr>
                <w:sz w:val="20"/>
                <w:szCs w:val="20"/>
                <w:color w:val="auto"/>
              </w:rPr>
            </w:pPr>
            <w:r>
              <w:rPr>
                <w:rFonts w:ascii="Times New Roman" w:cs="Times New Roman" w:eastAsia="Times New Roman" w:hAnsi="Times New Roman"/>
                <w:sz w:val="15"/>
                <w:szCs w:val="15"/>
                <w:color w:val="auto"/>
              </w:rPr>
              <w:t>Common Stock</w:t>
            </w:r>
            <w:r>
              <w:rPr>
                <w:rFonts w:ascii="Times New Roman" w:cs="Times New Roman" w:eastAsia="Times New Roman" w:hAnsi="Times New Roman"/>
                <w:sz w:val="25"/>
                <w:szCs w:val="25"/>
                <w:color w:val="auto"/>
                <w:vertAlign w:val="superscript"/>
              </w:rPr>
              <w:t>(1)</w:t>
            </w:r>
          </w:p>
        </w:tc>
        <w:tc>
          <w:tcPr>
            <w:tcW w:w="10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39,086,792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39,086,792</w:t>
            </w:r>
          </w:p>
        </w:tc>
      </w:tr>
      <w:tr>
        <w:trPr>
          <w:trHeight w:val="182"/>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Debt Investments</w:t>
            </w:r>
          </w:p>
        </w:tc>
        <w:tc>
          <w:tcPr>
            <w:tcW w:w="10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3,098,734</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3,098,734</w:t>
            </w:r>
          </w:p>
        </w:tc>
      </w:tr>
      <w:tr>
        <w:trPr>
          <w:trHeight w:val="194"/>
        </w:trPr>
        <w:tc>
          <w:tcPr>
            <w:tcW w:w="4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Options</w:t>
            </w:r>
          </w:p>
        </w:tc>
        <w:tc>
          <w:tcPr>
            <w:tcW w:w="100" w:type="dxa"/>
            <w:vAlign w:val="bottom"/>
          </w:tcPr>
          <w:p>
            <w:pPr>
              <w:spacing w:after="0"/>
              <w:rPr>
                <w:sz w:val="16"/>
                <w:szCs w:val="16"/>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3,638,161</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3,638,161</w:t>
            </w:r>
          </w:p>
        </w:tc>
      </w:tr>
      <w:tr>
        <w:trPr>
          <w:trHeight w:val="174"/>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Private Portfolio Companies</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168,568,251</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168,568,251</w:t>
            </w:r>
          </w:p>
        </w:tc>
        <w:tc>
          <w:tcPr>
            <w:tcW w:w="100" w:type="dxa"/>
            <w:vAlign w:val="bottom"/>
            <w:tcBorders>
              <w:top w:val="single" w:sz="8" w:color="CCEEFF"/>
            </w:tcBorders>
            <w:shd w:val="clear" w:color="auto" w:fill="CCEEFF"/>
          </w:tcPr>
          <w:p>
            <w:pPr>
              <w:spacing w:after="0"/>
              <w:rPr>
                <w:sz w:val="15"/>
                <w:szCs w:val="15"/>
                <w:color w:val="auto"/>
              </w:rPr>
            </w:pPr>
          </w:p>
        </w:tc>
      </w:tr>
      <w:tr>
        <w:trPr>
          <w:trHeight w:val="174"/>
        </w:trPr>
        <w:tc>
          <w:tcPr>
            <w:tcW w:w="4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Publicly Traded Portfolio Companies</w:t>
            </w: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Common Stock</w:t>
            </w:r>
          </w:p>
        </w:tc>
        <w:tc>
          <w:tcPr>
            <w:tcW w:w="10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5,005,862</w:t>
            </w:r>
          </w:p>
        </w:tc>
        <w:tc>
          <w:tcPr>
            <w:tcW w:w="12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8,542,386</w:t>
            </w:r>
          </w:p>
        </w:tc>
        <w:tc>
          <w:tcPr>
            <w:tcW w:w="1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13,548,248</w:t>
            </w:r>
          </w:p>
        </w:tc>
      </w:tr>
      <w:tr>
        <w:trPr>
          <w:trHeight w:val="194"/>
        </w:trPr>
        <w:tc>
          <w:tcPr>
            <w:tcW w:w="4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Options</w:t>
            </w:r>
          </w:p>
        </w:tc>
        <w:tc>
          <w:tcPr>
            <w:tcW w:w="100" w:type="dxa"/>
            <w:vAlign w:val="bottom"/>
          </w:tcPr>
          <w:p>
            <w:pPr>
              <w:spacing w:after="0"/>
              <w:rPr>
                <w:sz w:val="16"/>
                <w:szCs w:val="16"/>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1,964,750</w:t>
            </w:r>
          </w:p>
        </w:tc>
        <w:tc>
          <w:tcPr>
            <w:tcW w:w="120" w:type="dxa"/>
            <w:vAlign w:val="bottom"/>
          </w:tcPr>
          <w:p>
            <w:pPr>
              <w:spacing w:after="0"/>
              <w:rPr>
                <w:sz w:val="16"/>
                <w:szCs w:val="16"/>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1,964,750</w:t>
            </w:r>
          </w:p>
        </w:tc>
      </w:tr>
      <w:tr>
        <w:trPr>
          <w:trHeight w:val="174"/>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Publicly Traded Portfolio Companies</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6,970,612</w:t>
            </w: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8,542,386</w:t>
            </w:r>
          </w:p>
        </w:tc>
        <w:tc>
          <w:tcPr>
            <w:tcW w:w="3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15,512,998</w:t>
            </w:r>
          </w:p>
        </w:tc>
        <w:tc>
          <w:tcPr>
            <w:tcW w:w="100" w:type="dxa"/>
            <w:vAlign w:val="bottom"/>
            <w:tcBorders>
              <w:top w:val="single" w:sz="8" w:color="CCEEFF"/>
            </w:tcBorders>
            <w:shd w:val="clear" w:color="auto" w:fill="CCEEFF"/>
          </w:tcPr>
          <w:p>
            <w:pPr>
              <w:spacing w:after="0"/>
              <w:rPr>
                <w:sz w:val="15"/>
                <w:szCs w:val="15"/>
                <w:color w:val="auto"/>
              </w:rPr>
            </w:pPr>
          </w:p>
        </w:tc>
      </w:tr>
      <w:tr>
        <w:trPr>
          <w:trHeight w:val="174"/>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Total Portfolio Investments</w:t>
            </w: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6,970,612</w:t>
            </w:r>
          </w:p>
        </w:tc>
        <w:tc>
          <w:tcPr>
            <w:tcW w:w="3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8,542,386</w:t>
            </w:r>
          </w:p>
        </w:tc>
        <w:tc>
          <w:tcPr>
            <w:tcW w:w="3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168,568,251</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184,081,249</w:t>
            </w:r>
          </w:p>
        </w:tc>
        <w:tc>
          <w:tcPr>
            <w:tcW w:w="100" w:type="dxa"/>
            <w:vAlign w:val="bottom"/>
            <w:tcBorders>
              <w:bottom w:val="single" w:sz="8" w:color="CCEEFF"/>
            </w:tcBorders>
          </w:tcPr>
          <w:p>
            <w:pPr>
              <w:spacing w:after="0"/>
              <w:rPr>
                <w:sz w:val="15"/>
                <w:szCs w:val="15"/>
                <w:color w:val="auto"/>
              </w:rPr>
            </w:pPr>
          </w:p>
        </w:tc>
      </w:tr>
      <w:tr>
        <w:trPr>
          <w:trHeight w:val="174"/>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Non-Portfolio Investments</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4"/>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U.S. Treasury bills</w:t>
            </w:r>
          </w:p>
        </w:tc>
        <w:tc>
          <w:tcPr>
            <w:tcW w:w="100" w:type="dxa"/>
            <w:vAlign w:val="bottom"/>
          </w:tcPr>
          <w:p>
            <w:pPr>
              <w:spacing w:after="0"/>
              <w:rPr>
                <w:sz w:val="16"/>
                <w:szCs w:val="16"/>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63,810,855</w:t>
            </w:r>
          </w:p>
        </w:tc>
        <w:tc>
          <w:tcPr>
            <w:tcW w:w="120" w:type="dxa"/>
            <w:vAlign w:val="bottom"/>
          </w:tcPr>
          <w:p>
            <w:pPr>
              <w:spacing w:after="0"/>
              <w:rPr>
                <w:sz w:val="16"/>
                <w:szCs w:val="16"/>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63,810,855</w:t>
            </w:r>
          </w:p>
        </w:tc>
      </w:tr>
      <w:tr>
        <w:trPr>
          <w:trHeight w:val="185"/>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Investments at Fair Value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70,781,467</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8,542,386</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168,568,251</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247,892,104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78689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86890" cy="6985"/>
                    </a:xfrm>
                    <a:prstGeom prst="rect">
                      <a:avLst/>
                    </a:prstGeom>
                    <a:noFill/>
                  </pic:spPr>
                </pic:pic>
              </a:graphicData>
            </a:graphic>
          </wp:anchor>
        </w:drawing>
      </w:r>
    </w:p>
    <w:p>
      <w:pPr>
        <w:spacing w:after="0" w:line="182" w:lineRule="exact"/>
        <w:rPr>
          <w:sz w:val="20"/>
          <w:szCs w:val="20"/>
          <w:color w:val="auto"/>
        </w:rPr>
      </w:pPr>
    </w:p>
    <w:p>
      <w:pPr>
        <w:ind w:left="5549" w:right="4060" w:hanging="5549"/>
        <w:spacing w:after="0" w:line="541" w:lineRule="auto"/>
        <w:tabs>
          <w:tab w:leader="none" w:pos="265"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Common Stock includes the Company’s Limited Partner Fund Investment in True Global Ventures 4 Plus Pte Ltd.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15391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216" w:right="319" w:bottom="1440" w:gutter="0" w:footer="0" w:header="0"/>
        </w:sectPr>
      </w:pPr>
    </w:p>
    <w:bookmarkStart w:id="29" w:name="page30"/>
    <w:bookmarkEnd w:id="29"/>
    <w:p>
      <w:pPr>
        <w:ind w:left="9"/>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9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September 30, 2024</w:t>
      </w:r>
    </w:p>
    <w:p>
      <w:pPr>
        <w:spacing w:after="0" w:line="17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Significant Unobservable Inputs for Level 3 Assets and Liabilities</w:t>
      </w:r>
    </w:p>
    <w:p>
      <w:pPr>
        <w:spacing w:after="0" w:line="192" w:lineRule="exact"/>
        <w:rPr>
          <w:sz w:val="20"/>
          <w:szCs w:val="20"/>
          <w:color w:val="auto"/>
        </w:rPr>
      </w:pPr>
    </w:p>
    <w:p>
      <w:pPr>
        <w:jc w:val="both"/>
        <w:ind w:left="9" w:firstLine="273"/>
        <w:spacing w:after="0" w:line="260" w:lineRule="auto"/>
        <w:rPr>
          <w:sz w:val="20"/>
          <w:szCs w:val="20"/>
          <w:color w:val="auto"/>
        </w:rPr>
      </w:pPr>
      <w:r>
        <w:rPr>
          <w:rFonts w:ascii="Times New Roman" w:cs="Times New Roman" w:eastAsia="Times New Roman" w:hAnsi="Times New Roman"/>
          <w:sz w:val="15"/>
          <w:szCs w:val="15"/>
          <w:color w:val="auto"/>
        </w:rPr>
        <w:t xml:space="preserve">In accordance with FASB ASC 820, </w:t>
      </w:r>
      <w:r>
        <w:rPr>
          <w:rFonts w:ascii="Times New Roman" w:cs="Times New Roman" w:eastAsia="Times New Roman" w:hAnsi="Times New Roman"/>
          <w:sz w:val="15"/>
          <w:szCs w:val="15"/>
          <w:i w:val="1"/>
          <w:iCs w:val="1"/>
          <w:color w:val="auto"/>
        </w:rPr>
        <w:t>Fair Value Measurement</w:t>
      </w:r>
      <w:r>
        <w:rPr>
          <w:rFonts w:ascii="Times New Roman" w:cs="Times New Roman" w:eastAsia="Times New Roman" w:hAnsi="Times New Roman"/>
          <w:sz w:val="15"/>
          <w:szCs w:val="15"/>
          <w:color w:val="auto"/>
        </w:rPr>
        <w:t>, the tables below provide quantitative information about the fair value measurements of the Company’s Level 3 assets as of September 30, 2024 and December 31, 2023. In addition to the techniques and inputs noted in the tables below, according to the Company’s valuation policy, the Board of Directors may also use other valuation techniques and methodologies when determining the fair value measurements of the Company’s assets. The tables below are not intended to be all-inclusive, but rather provide information on the significant Level 3 inputs as they relate to the fair value measurements of the Company’s assets. To the extent an unobservable input is not reflected in the tables below, such input is deemed insignificant with respect to the Company’s Level 3 fair value measurements as of September 30, 2024 and December 31, 2023. Significant changes in the inputs in isolation would result in a significant change in the fair value measurement, depending on the input and the materiality of the investment. Refer to “Note 2—Significant Accounting Policies—</w:t>
      </w:r>
      <w:r>
        <w:rPr>
          <w:rFonts w:ascii="Times New Roman" w:cs="Times New Roman" w:eastAsia="Times New Roman" w:hAnsi="Times New Roman"/>
          <w:sz w:val="15"/>
          <w:szCs w:val="15"/>
          <w:i w:val="1"/>
          <w:iCs w:val="1"/>
          <w:color w:val="auto"/>
        </w:rPr>
        <w:t>Investments at Fair Value</w:t>
      </w:r>
      <w:r>
        <w:rPr>
          <w:rFonts w:ascii="Times New Roman" w:cs="Times New Roman" w:eastAsia="Times New Roman" w:hAnsi="Times New Roman"/>
          <w:sz w:val="15"/>
          <w:szCs w:val="15"/>
          <w:color w:val="auto"/>
        </w:rPr>
        <w:t>” for more detail.</w:t>
      </w:r>
    </w:p>
    <w:p>
      <w:pPr>
        <w:spacing w:after="0" w:line="150"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3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40" w:type="dxa"/>
            <w:vAlign w:val="bottom"/>
            <w:gridSpan w:val="4"/>
          </w:tcPr>
          <w:p>
            <w:pPr>
              <w:ind w:left="1320"/>
              <w:spacing w:after="0"/>
              <w:rPr>
                <w:sz w:val="20"/>
                <w:szCs w:val="20"/>
                <w:color w:val="auto"/>
              </w:rPr>
            </w:pPr>
            <w:r>
              <w:rPr>
                <w:rFonts w:ascii="Times New Roman" w:cs="Times New Roman" w:eastAsia="Times New Roman" w:hAnsi="Times New Roman"/>
                <w:sz w:val="15"/>
                <w:szCs w:val="15"/>
                <w:b w:val="1"/>
                <w:bCs w:val="1"/>
                <w:color w:val="auto"/>
              </w:rPr>
              <w:t>As of September 30, 2024</w:t>
            </w: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3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Valuation Approach/</w:t>
            </w: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Range (Weighted</w:t>
            </w:r>
          </w:p>
        </w:tc>
        <w:tc>
          <w:tcPr>
            <w:tcW w:w="0" w:type="dxa"/>
            <w:vAlign w:val="bottom"/>
          </w:tcPr>
          <w:p>
            <w:pPr>
              <w:spacing w:after="0"/>
              <w:rPr>
                <w:sz w:val="1"/>
                <w:szCs w:val="1"/>
                <w:color w:val="auto"/>
              </w:rPr>
            </w:pPr>
          </w:p>
        </w:tc>
      </w:tr>
      <w:tr>
        <w:trPr>
          <w:trHeight w:val="231"/>
        </w:trPr>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Asset</w:t>
            </w: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34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center"/>
              <w:spacing w:after="0" w:line="232" w:lineRule="exact"/>
              <w:rPr>
                <w:sz w:val="20"/>
                <w:szCs w:val="20"/>
                <w:color w:val="auto"/>
              </w:rPr>
            </w:pPr>
            <w:r>
              <w:rPr>
                <w:rFonts w:ascii="Times New Roman" w:cs="Times New Roman" w:eastAsia="Times New Roman" w:hAnsi="Times New Roman"/>
                <w:sz w:val="15"/>
                <w:szCs w:val="15"/>
                <w:b w:val="1"/>
                <w:bCs w:val="1"/>
                <w:color w:val="auto"/>
                <w:w w:val="94"/>
              </w:rPr>
              <w:t>Technique</w:t>
            </w:r>
            <w:r>
              <w:rPr>
                <w:rFonts w:ascii="Times New Roman" w:cs="Times New Roman" w:eastAsia="Times New Roman" w:hAnsi="Times New Roman"/>
                <w:sz w:val="25"/>
                <w:szCs w:val="25"/>
                <w:b w:val="1"/>
                <w:bCs w:val="1"/>
                <w:color w:val="auto"/>
                <w:w w:val="94"/>
                <w:vertAlign w:val="superscript"/>
              </w:rPr>
              <w:t>(1)</w:t>
            </w:r>
          </w:p>
        </w:tc>
        <w:tc>
          <w:tcPr>
            <w:tcW w:w="20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center"/>
              <w:spacing w:after="0" w:line="232" w:lineRule="exact"/>
              <w:rPr>
                <w:sz w:val="20"/>
                <w:szCs w:val="20"/>
                <w:color w:val="auto"/>
              </w:rPr>
            </w:pPr>
            <w:r>
              <w:rPr>
                <w:rFonts w:ascii="Times New Roman" w:cs="Times New Roman" w:eastAsia="Times New Roman" w:hAnsi="Times New Roman"/>
                <w:sz w:val="15"/>
                <w:szCs w:val="15"/>
                <w:b w:val="1"/>
                <w:bCs w:val="1"/>
                <w:color w:val="auto"/>
                <w:w w:val="97"/>
              </w:rPr>
              <w:t>Unobservable Inputs</w:t>
            </w:r>
            <w:r>
              <w:rPr>
                <w:rFonts w:ascii="Times New Roman" w:cs="Times New Roman" w:eastAsia="Times New Roman" w:hAnsi="Times New Roman"/>
                <w:sz w:val="25"/>
                <w:szCs w:val="25"/>
                <w:b w:val="1"/>
                <w:bCs w:val="1"/>
                <w:color w:val="auto"/>
                <w:w w:val="97"/>
                <w:vertAlign w:val="superscript"/>
              </w:rPr>
              <w:t>(2)</w:t>
            </w:r>
          </w:p>
        </w:tc>
        <w:tc>
          <w:tcPr>
            <w:tcW w:w="2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gridSpan w:val="2"/>
          </w:tcPr>
          <w:p>
            <w:pPr>
              <w:jc w:val="center"/>
              <w:spacing w:after="0" w:line="232" w:lineRule="exact"/>
              <w:rPr>
                <w:sz w:val="20"/>
                <w:szCs w:val="20"/>
                <w:color w:val="auto"/>
              </w:rPr>
            </w:pPr>
            <w:r>
              <w:rPr>
                <w:rFonts w:ascii="Times New Roman" w:cs="Times New Roman" w:eastAsia="Times New Roman" w:hAnsi="Times New Roman"/>
                <w:sz w:val="15"/>
                <w:szCs w:val="15"/>
                <w:b w:val="1"/>
                <w:bCs w:val="1"/>
                <w:color w:val="auto"/>
                <w:w w:val="92"/>
              </w:rPr>
              <w:t>Average)</w:t>
            </w:r>
            <w:r>
              <w:rPr>
                <w:rFonts w:ascii="Times New Roman" w:cs="Times New Roman" w:eastAsia="Times New Roman" w:hAnsi="Times New Roman"/>
                <w:sz w:val="25"/>
                <w:szCs w:val="25"/>
                <w:b w:val="1"/>
                <w:bCs w:val="1"/>
                <w:color w:val="auto"/>
                <w:w w:val="92"/>
                <w:vertAlign w:val="superscript"/>
              </w:rPr>
              <w:t>(3)</w:t>
            </w: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140" w:type="dxa"/>
            <w:vAlign w:val="bottom"/>
            <w:shd w:val="clear" w:color="auto" w:fill="CCEEFF"/>
          </w:tcPr>
          <w:p>
            <w:pPr>
              <w:jc w:val="center"/>
              <w:spacing w:after="0" w:line="207" w:lineRule="exact"/>
              <w:rPr>
                <w:sz w:val="20"/>
                <w:szCs w:val="20"/>
                <w:color w:val="auto"/>
              </w:rPr>
            </w:pPr>
            <w:r>
              <w:rPr>
                <w:rFonts w:ascii="Times New Roman" w:cs="Times New Roman" w:eastAsia="Times New Roman" w:hAnsi="Times New Roman"/>
                <w:sz w:val="15"/>
                <w:szCs w:val="15"/>
                <w:color w:val="auto"/>
                <w:w w:val="99"/>
              </w:rPr>
              <w:t>Preferred stock in private companies</w:t>
            </w:r>
            <w:r>
              <w:rPr>
                <w:rFonts w:ascii="Times New Roman" w:cs="Times New Roman" w:eastAsia="Times New Roman" w:hAnsi="Times New Roman"/>
                <w:sz w:val="24"/>
                <w:szCs w:val="24"/>
                <w:color w:val="auto"/>
                <w:w w:val="99"/>
                <w:vertAlign w:val="superscript"/>
              </w:rPr>
              <w:t>(6)</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138,567,805</w:t>
            </w:r>
          </w:p>
        </w:tc>
        <w:tc>
          <w:tcPr>
            <w:tcW w:w="20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9"/>
              </w:rPr>
              <w:t>Market approach</w:t>
            </w:r>
          </w:p>
        </w:tc>
        <w:tc>
          <w:tcPr>
            <w:tcW w:w="2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color w:val="auto"/>
              </w:rPr>
              <w:t>Revenue multiples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0.10x - 5.93x</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(1.61x)</w:t>
            </w:r>
          </w:p>
        </w:tc>
        <w:tc>
          <w:tcPr>
            <w:tcW w:w="0" w:type="dxa"/>
            <w:vAlign w:val="bottom"/>
          </w:tcPr>
          <w:p>
            <w:pPr>
              <w:spacing w:after="0"/>
              <w:rPr>
                <w:sz w:val="1"/>
                <w:szCs w:val="1"/>
                <w:color w:val="auto"/>
              </w:rPr>
            </w:pPr>
          </w:p>
        </w:tc>
      </w:tr>
      <w:tr>
        <w:trPr>
          <w:trHeight w:val="182"/>
        </w:trPr>
        <w:tc>
          <w:tcPr>
            <w:tcW w:w="3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color w:val="auto"/>
              </w:rPr>
              <w:t>Private Company Discount</w:t>
            </w:r>
          </w:p>
        </w:tc>
        <w:tc>
          <w:tcPr>
            <w:tcW w:w="12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182"/>
        </w:trPr>
        <w:tc>
          <w:tcPr>
            <w:tcW w:w="3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color w:val="auto"/>
              </w:rPr>
              <w:t>Precedent Transaction</w:t>
            </w:r>
          </w:p>
        </w:tc>
        <w:tc>
          <w:tcPr>
            <w:tcW w:w="1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25% - 100% (57%)</w:t>
            </w:r>
          </w:p>
        </w:tc>
        <w:tc>
          <w:tcPr>
            <w:tcW w:w="0" w:type="dxa"/>
            <w:vAlign w:val="bottom"/>
          </w:tcPr>
          <w:p>
            <w:pPr>
              <w:spacing w:after="0"/>
              <w:rPr>
                <w:sz w:val="1"/>
                <w:szCs w:val="1"/>
                <w:color w:val="auto"/>
              </w:rPr>
            </w:pPr>
          </w:p>
        </w:tc>
      </w:tr>
      <w:tr>
        <w:trPr>
          <w:trHeight w:val="168"/>
        </w:trPr>
        <w:tc>
          <w:tcPr>
            <w:tcW w:w="3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20" w:type="dxa"/>
            <w:vAlign w:val="bottom"/>
            <w:gridSpan w:val="2"/>
            <w:shd w:val="clear" w:color="auto" w:fill="CCEEFF"/>
          </w:tcPr>
          <w:p>
            <w:pPr>
              <w:jc w:val="center"/>
              <w:ind w:right="200"/>
              <w:spacing w:after="0" w:line="168" w:lineRule="exact"/>
              <w:rPr>
                <w:sz w:val="20"/>
                <w:szCs w:val="20"/>
                <w:color w:val="auto"/>
              </w:rPr>
            </w:pPr>
            <w:r>
              <w:rPr>
                <w:rFonts w:ascii="Times New Roman" w:cs="Times New Roman" w:eastAsia="Times New Roman" w:hAnsi="Times New Roman"/>
                <w:sz w:val="15"/>
                <w:szCs w:val="15"/>
                <w:color w:val="auto"/>
              </w:rPr>
              <w:t>Conversion Adjustment</w:t>
            </w:r>
          </w:p>
        </w:tc>
        <w:tc>
          <w:tcPr>
            <w:tcW w:w="1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3"/>
              </w:rPr>
              <w:t>PWERM</w:t>
            </w:r>
            <w:r>
              <w:rPr>
                <w:rFonts w:ascii="Times New Roman" w:cs="Times New Roman" w:eastAsia="Times New Roman" w:hAnsi="Times New Roman"/>
                <w:sz w:val="25"/>
                <w:szCs w:val="25"/>
                <w:color w:val="auto"/>
                <w:w w:val="93"/>
                <w:vertAlign w:val="superscript"/>
              </w:rPr>
              <w:t>(5)</w:t>
            </w:r>
          </w:p>
        </w:tc>
        <w:tc>
          <w:tcPr>
            <w:tcW w:w="2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color w:val="auto"/>
                <w:w w:val="98"/>
              </w:rPr>
              <w:t>Premium</w:t>
            </w:r>
          </w:p>
        </w:tc>
        <w:tc>
          <w:tcPr>
            <w:tcW w:w="12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0.91%</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0" w:type="dxa"/>
            <w:vAlign w:val="bottom"/>
            <w:gridSpan w:val="2"/>
            <w:vMerge w:val="continue"/>
            <w:shd w:val="clear" w:color="auto" w:fill="CCEEFF"/>
          </w:tcPr>
          <w:p>
            <w:pPr>
              <w:spacing w:after="0"/>
              <w:rPr>
                <w:sz w:val="18"/>
                <w:szCs w:val="18"/>
                <w:color w:val="auto"/>
              </w:rPr>
            </w:pPr>
          </w:p>
        </w:tc>
        <w:tc>
          <w:tcPr>
            <w:tcW w:w="2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color w:val="auto"/>
              </w:rPr>
              <w:t>Revenue multiples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1.74x - 1.88x</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(1.81x)</w:t>
            </w:r>
          </w:p>
        </w:tc>
        <w:tc>
          <w:tcPr>
            <w:tcW w:w="0" w:type="dxa"/>
            <w:vAlign w:val="bottom"/>
          </w:tcPr>
          <w:p>
            <w:pPr>
              <w:spacing w:after="0"/>
              <w:rPr>
                <w:sz w:val="1"/>
                <w:szCs w:val="1"/>
                <w:color w:val="auto"/>
              </w:rPr>
            </w:pPr>
          </w:p>
        </w:tc>
      </w:tr>
      <w:tr>
        <w:trPr>
          <w:trHeight w:val="182"/>
        </w:trPr>
        <w:tc>
          <w:tcPr>
            <w:tcW w:w="3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color w:val="auto"/>
              </w:rPr>
              <w:t>Dissolution Risk</w:t>
            </w:r>
          </w:p>
        </w:tc>
        <w:tc>
          <w:tcPr>
            <w:tcW w:w="12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2"/>
        </w:trPr>
        <w:tc>
          <w:tcPr>
            <w:tcW w:w="314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rPr>
              <w:t>Common stock in private companies</w:t>
            </w:r>
            <w:r>
              <w:rPr>
                <w:rFonts w:ascii="Times New Roman" w:cs="Times New Roman" w:eastAsia="Times New Roman" w:hAnsi="Times New Roman"/>
                <w:sz w:val="23"/>
                <w:szCs w:val="23"/>
                <w:color w:val="auto"/>
                <w:vertAlign w:val="superscript"/>
              </w:rPr>
              <w:t>(7)</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47,725,515</w:t>
            </w: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w w:val="99"/>
              </w:rPr>
              <w:t>Market approach</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Revenue multiples</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0.10x - 11.00x</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(8.44x)</w:t>
            </w:r>
          </w:p>
        </w:tc>
        <w:tc>
          <w:tcPr>
            <w:tcW w:w="0" w:type="dxa"/>
            <w:vAlign w:val="bottom"/>
          </w:tcPr>
          <w:p>
            <w:pPr>
              <w:spacing w:after="0"/>
              <w:rPr>
                <w:sz w:val="1"/>
                <w:szCs w:val="1"/>
                <w:color w:val="auto"/>
              </w:rPr>
            </w:pPr>
          </w:p>
        </w:tc>
      </w:tr>
      <w:tr>
        <w:trPr>
          <w:trHeight w:val="182"/>
        </w:trPr>
        <w:tc>
          <w:tcPr>
            <w:tcW w:w="3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Private Company Discount</w:t>
            </w:r>
          </w:p>
        </w:tc>
        <w:tc>
          <w:tcPr>
            <w:tcW w:w="1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15% - 30% (24%)</w:t>
            </w:r>
          </w:p>
        </w:tc>
        <w:tc>
          <w:tcPr>
            <w:tcW w:w="0" w:type="dxa"/>
            <w:vAlign w:val="bottom"/>
          </w:tcPr>
          <w:p>
            <w:pPr>
              <w:spacing w:after="0"/>
              <w:rPr>
                <w:sz w:val="1"/>
                <w:szCs w:val="1"/>
                <w:color w:val="auto"/>
              </w:rPr>
            </w:pPr>
          </w:p>
        </w:tc>
      </w:tr>
      <w:tr>
        <w:trPr>
          <w:trHeight w:val="184"/>
        </w:trPr>
        <w:tc>
          <w:tcPr>
            <w:tcW w:w="3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Precedent Transaction</w:t>
            </w:r>
          </w:p>
        </w:tc>
        <w:tc>
          <w:tcPr>
            <w:tcW w:w="122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215"/>
        </w:trPr>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0" w:type="dxa"/>
            <w:vAlign w:val="bottom"/>
            <w:gridSpan w:val="2"/>
          </w:tcPr>
          <w:p>
            <w:pPr>
              <w:jc w:val="center"/>
              <w:ind w:right="220"/>
              <w:spacing w:after="0" w:line="214" w:lineRule="exact"/>
              <w:rPr>
                <w:sz w:val="20"/>
                <w:szCs w:val="20"/>
                <w:color w:val="auto"/>
              </w:rPr>
            </w:pPr>
            <w:r>
              <w:rPr>
                <w:rFonts w:ascii="Times New Roman" w:cs="Times New Roman" w:eastAsia="Times New Roman" w:hAnsi="Times New Roman"/>
                <w:sz w:val="15"/>
                <w:szCs w:val="15"/>
                <w:color w:val="auto"/>
                <w:w w:val="94"/>
              </w:rPr>
              <w:t>PWERM</w:t>
            </w:r>
            <w:r>
              <w:rPr>
                <w:rFonts w:ascii="Times New Roman" w:cs="Times New Roman" w:eastAsia="Times New Roman" w:hAnsi="Times New Roman"/>
                <w:sz w:val="24"/>
                <w:szCs w:val="24"/>
                <w:color w:val="auto"/>
                <w:w w:val="94"/>
                <w:vertAlign w:val="superscript"/>
              </w:rPr>
              <w:t>(5)</w:t>
            </w:r>
          </w:p>
        </w:tc>
        <w:tc>
          <w:tcPr>
            <w:tcW w:w="2020" w:type="dxa"/>
            <w:vAlign w:val="bottom"/>
            <w:gridSpan w:val="2"/>
          </w:tcPr>
          <w:p>
            <w:pPr>
              <w:jc w:val="center"/>
              <w:ind w:right="220"/>
              <w:spacing w:after="0" w:line="214" w:lineRule="exact"/>
              <w:rPr>
                <w:sz w:val="20"/>
                <w:szCs w:val="20"/>
                <w:color w:val="auto"/>
              </w:rPr>
            </w:pPr>
            <w:r>
              <w:rPr>
                <w:rFonts w:ascii="Times New Roman" w:cs="Times New Roman" w:eastAsia="Times New Roman" w:hAnsi="Times New Roman"/>
                <w:sz w:val="15"/>
                <w:szCs w:val="15"/>
                <w:color w:val="auto"/>
                <w:w w:val="97"/>
              </w:rPr>
              <w:t>AFFO</w:t>
            </w:r>
            <w:r>
              <w:rPr>
                <w:rFonts w:ascii="Times New Roman" w:cs="Times New Roman" w:eastAsia="Times New Roman" w:hAnsi="Times New Roman"/>
                <w:sz w:val="24"/>
                <w:szCs w:val="24"/>
                <w:color w:val="auto"/>
                <w:w w:val="97"/>
                <w:vertAlign w:val="superscript"/>
              </w:rPr>
              <w:t>(4)</w:t>
            </w:r>
            <w:r>
              <w:rPr>
                <w:rFonts w:ascii="Times New Roman" w:cs="Times New Roman" w:eastAsia="Times New Roman" w:hAnsi="Times New Roman"/>
                <w:sz w:val="15"/>
                <w:szCs w:val="15"/>
                <w:color w:val="auto"/>
                <w:w w:val="97"/>
              </w:rPr>
              <w:t xml:space="preserve"> multiple</w:t>
            </w:r>
          </w:p>
        </w:tc>
        <w:tc>
          <w:tcPr>
            <w:tcW w:w="12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10.85x</w:t>
            </w:r>
          </w:p>
        </w:tc>
        <w:tc>
          <w:tcPr>
            <w:tcW w:w="0" w:type="dxa"/>
            <w:vAlign w:val="bottom"/>
          </w:tcPr>
          <w:p>
            <w:pPr>
              <w:spacing w:after="0"/>
              <w:rPr>
                <w:sz w:val="1"/>
                <w:szCs w:val="1"/>
                <w:color w:val="auto"/>
              </w:rPr>
            </w:pPr>
          </w:p>
        </w:tc>
      </w:tr>
      <w:tr>
        <w:trPr>
          <w:trHeight w:val="197"/>
        </w:trPr>
        <w:tc>
          <w:tcPr>
            <w:tcW w:w="3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Dissolution Risk</w:t>
            </w:r>
          </w:p>
        </w:tc>
        <w:tc>
          <w:tcPr>
            <w:tcW w:w="122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182"/>
        </w:trPr>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Debt investments</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506,339</w:t>
            </w:r>
          </w:p>
        </w:tc>
        <w:tc>
          <w:tcPr>
            <w:tcW w:w="20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w w:val="99"/>
              </w:rPr>
              <w:t>Market approach</w:t>
            </w:r>
          </w:p>
        </w:tc>
        <w:tc>
          <w:tcPr>
            <w:tcW w:w="2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color w:val="auto"/>
              </w:rPr>
              <w:t>Revenue multiples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0.83x - 1.59x</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(1.49x)</w:t>
            </w:r>
          </w:p>
        </w:tc>
        <w:tc>
          <w:tcPr>
            <w:tcW w:w="0" w:type="dxa"/>
            <w:vAlign w:val="bottom"/>
          </w:tcPr>
          <w:p>
            <w:pPr>
              <w:spacing w:after="0"/>
              <w:rPr>
                <w:sz w:val="1"/>
                <w:szCs w:val="1"/>
                <w:color w:val="auto"/>
              </w:rPr>
            </w:pPr>
          </w:p>
        </w:tc>
      </w:tr>
      <w:tr>
        <w:trPr>
          <w:trHeight w:val="168"/>
        </w:trPr>
        <w:tc>
          <w:tcPr>
            <w:tcW w:w="3140" w:type="dxa"/>
            <w:vAlign w:val="bottom"/>
          </w:tcPr>
          <w:p>
            <w:pPr>
              <w:jc w:val="center"/>
              <w:spacing w:after="0" w:line="168" w:lineRule="exact"/>
              <w:rPr>
                <w:sz w:val="20"/>
                <w:szCs w:val="20"/>
                <w:color w:val="auto"/>
              </w:rPr>
            </w:pPr>
            <w:r>
              <w:rPr>
                <w:rFonts w:ascii="Times New Roman" w:cs="Times New Roman" w:eastAsia="Times New Roman" w:hAnsi="Times New Roman"/>
                <w:sz w:val="15"/>
                <w:szCs w:val="15"/>
                <w:color w:val="auto"/>
              </w:rPr>
              <w:t>Options</w:t>
            </w:r>
          </w:p>
        </w:tc>
        <w:tc>
          <w:tcPr>
            <w:tcW w:w="340" w:type="dxa"/>
            <w:vAlign w:val="bottom"/>
            <w:gridSpan w:val="2"/>
          </w:tcPr>
          <w:p>
            <w:pPr>
              <w:jc w:val="right"/>
              <w:ind w:right="20"/>
              <w:spacing w:after="0" w:line="168" w:lineRule="exact"/>
              <w:rPr>
                <w:sz w:val="20"/>
                <w:szCs w:val="20"/>
                <w:color w:val="auto"/>
              </w:rPr>
            </w:pPr>
            <w:r>
              <w:rPr>
                <w:rFonts w:ascii="Times New Roman" w:cs="Times New Roman" w:eastAsia="Times New Roman" w:hAnsi="Times New Roman"/>
                <w:sz w:val="15"/>
                <w:szCs w:val="15"/>
                <w:color w:val="auto"/>
              </w:rPr>
              <w:t>$</w:t>
            </w:r>
          </w:p>
        </w:tc>
        <w:tc>
          <w:tcPr>
            <w:tcW w:w="1940" w:type="dxa"/>
            <w:vAlign w:val="bottom"/>
            <w:gridSpan w:val="2"/>
          </w:tcPr>
          <w:p>
            <w:pPr>
              <w:jc w:val="right"/>
              <w:ind w:right="340"/>
              <w:spacing w:after="0" w:line="168" w:lineRule="exact"/>
              <w:rPr>
                <w:sz w:val="20"/>
                <w:szCs w:val="20"/>
                <w:color w:val="auto"/>
              </w:rPr>
            </w:pPr>
            <w:r>
              <w:rPr>
                <w:rFonts w:ascii="Times New Roman" w:cs="Times New Roman" w:eastAsia="Times New Roman" w:hAnsi="Times New Roman"/>
                <w:sz w:val="15"/>
                <w:szCs w:val="15"/>
                <w:color w:val="auto"/>
              </w:rPr>
              <w:t>4,377,468</w:t>
            </w:r>
          </w:p>
        </w:tc>
        <w:tc>
          <w:tcPr>
            <w:tcW w:w="2000" w:type="dxa"/>
            <w:vAlign w:val="bottom"/>
            <w:gridSpan w:val="2"/>
          </w:tcPr>
          <w:p>
            <w:pPr>
              <w:jc w:val="center"/>
              <w:ind w:right="220"/>
              <w:spacing w:after="0" w:line="168" w:lineRule="exact"/>
              <w:rPr>
                <w:sz w:val="20"/>
                <w:szCs w:val="20"/>
                <w:color w:val="auto"/>
              </w:rPr>
            </w:pPr>
            <w:r>
              <w:rPr>
                <w:rFonts w:ascii="Times New Roman" w:cs="Times New Roman" w:eastAsia="Times New Roman" w:hAnsi="Times New Roman"/>
                <w:sz w:val="15"/>
                <w:szCs w:val="15"/>
                <w:color w:val="auto"/>
              </w:rPr>
              <w:t>Option Pricing Model</w:t>
            </w:r>
          </w:p>
        </w:tc>
        <w:tc>
          <w:tcPr>
            <w:tcW w:w="2020" w:type="dxa"/>
            <w:vAlign w:val="bottom"/>
            <w:gridSpan w:val="2"/>
          </w:tcPr>
          <w:p>
            <w:pPr>
              <w:jc w:val="center"/>
              <w:ind w:right="200"/>
              <w:spacing w:after="0" w:line="168" w:lineRule="exact"/>
              <w:rPr>
                <w:sz w:val="20"/>
                <w:szCs w:val="20"/>
                <w:color w:val="auto"/>
              </w:rPr>
            </w:pPr>
            <w:r>
              <w:rPr>
                <w:rFonts w:ascii="Times New Roman" w:cs="Times New Roman" w:eastAsia="Times New Roman" w:hAnsi="Times New Roman"/>
                <w:sz w:val="15"/>
                <w:szCs w:val="15"/>
                <w:color w:val="auto"/>
              </w:rPr>
              <w:t>Term to expiration (Years)</w:t>
            </w:r>
          </w:p>
        </w:tc>
        <w:tc>
          <w:tcPr>
            <w:tcW w:w="1220" w:type="dxa"/>
            <w:vAlign w:val="bottom"/>
          </w:tcPr>
          <w:p>
            <w:pPr>
              <w:spacing w:after="0"/>
              <w:rPr>
                <w:sz w:val="14"/>
                <w:szCs w:val="14"/>
                <w:color w:val="auto"/>
              </w:rPr>
            </w:pPr>
          </w:p>
        </w:tc>
        <w:tc>
          <w:tcPr>
            <w:tcW w:w="600" w:type="dxa"/>
            <w:vAlign w:val="bottom"/>
            <w:gridSpan w:val="2"/>
          </w:tcPr>
          <w:p>
            <w:pPr>
              <w:jc w:val="right"/>
              <w:ind w:right="140"/>
              <w:spacing w:after="0" w:line="168" w:lineRule="exact"/>
              <w:rPr>
                <w:sz w:val="20"/>
                <w:szCs w:val="20"/>
                <w:color w:val="auto"/>
              </w:rPr>
            </w:pPr>
            <w:r>
              <w:rPr>
                <w:rFonts w:ascii="Times New Roman" w:cs="Times New Roman" w:eastAsia="Times New Roman" w:hAnsi="Times New Roman"/>
                <w:sz w:val="15"/>
                <w:szCs w:val="15"/>
                <w:color w:val="auto"/>
              </w:rPr>
              <w:t>2.61</w:t>
            </w:r>
          </w:p>
        </w:tc>
        <w:tc>
          <w:tcPr>
            <w:tcW w:w="0" w:type="dxa"/>
            <w:vAlign w:val="bottom"/>
          </w:tcPr>
          <w:p>
            <w:pPr>
              <w:spacing w:after="0"/>
              <w:rPr>
                <w:sz w:val="1"/>
                <w:szCs w:val="1"/>
                <w:color w:val="auto"/>
              </w:rPr>
            </w:pPr>
          </w:p>
        </w:tc>
      </w:tr>
      <w:tr>
        <w:trPr>
          <w:trHeight w:val="197"/>
        </w:trPr>
        <w:tc>
          <w:tcPr>
            <w:tcW w:w="3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Volatility</w:t>
            </w:r>
          </w:p>
        </w:tc>
        <w:tc>
          <w:tcPr>
            <w:tcW w:w="122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78689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86890" cy="6985"/>
                    </a:xfrm>
                    <a:prstGeom prst="rect">
                      <a:avLst/>
                    </a:prstGeom>
                    <a:noFill/>
                  </pic:spPr>
                </pic:pic>
              </a:graphicData>
            </a:graphic>
          </wp:anchor>
        </w:drawing>
      </w:r>
    </w:p>
    <w:p>
      <w:pPr>
        <w:spacing w:after="0" w:line="170" w:lineRule="exact"/>
        <w:rPr>
          <w:sz w:val="20"/>
          <w:szCs w:val="20"/>
          <w:color w:val="auto"/>
        </w:rPr>
      </w:pPr>
    </w:p>
    <w:p>
      <w:pPr>
        <w:jc w:val="both"/>
        <w:ind w:left="269" w:hanging="269"/>
        <w:spacing w:after="0" w:line="257" w:lineRule="auto"/>
        <w:tabs>
          <w:tab w:leader="none" w:pos="269"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September 30, 2024, the Board of Directors used a hybrid market and income approach to value certain common and preferred stock investments, as the Board of Directors felt this approach better reflected the fair value of these investments. In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Times New Roman" w:cs="Times New Roman" w:eastAsia="Times New Roman" w:hAnsi="Times New Roman"/>
          <w:sz w:val="15"/>
          <w:szCs w:val="15"/>
          <w:i w:val="1"/>
          <w:iCs w:val="1"/>
          <w:color w:val="auto"/>
        </w:rPr>
        <w:t>Investments at Fair Value</w:t>
      </w:r>
      <w:r>
        <w:rPr>
          <w:rFonts w:ascii="Times New Roman" w:cs="Times New Roman" w:eastAsia="Times New Roman" w:hAnsi="Times New Roman"/>
          <w:sz w:val="15"/>
          <w:szCs w:val="15"/>
          <w:color w:val="auto"/>
        </w:rPr>
        <w:t>” for more detail.</w:t>
      </w:r>
    </w:p>
    <w:p>
      <w:pPr>
        <w:spacing w:after="0" w:line="2" w:lineRule="exact"/>
        <w:rPr>
          <w:rFonts w:ascii="Times New Roman" w:cs="Times New Roman" w:eastAsia="Times New Roman" w:hAnsi="Times New Roman"/>
          <w:sz w:val="15"/>
          <w:szCs w:val="15"/>
          <w:color w:val="auto"/>
        </w:rPr>
      </w:pPr>
    </w:p>
    <w:p>
      <w:pPr>
        <w:jc w:val="both"/>
        <w:ind w:left="269" w:hanging="269"/>
        <w:spacing w:after="0" w:line="253" w:lineRule="auto"/>
        <w:tabs>
          <w:tab w:leader="none" w:pos="269"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Board of Directors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Board of Directors carefully considers numerous factors when selecting the appropriate companies whose multiples are used to value the Company’s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Times New Roman" w:cs="Times New Roman" w:eastAsia="Times New Roman" w:hAnsi="Times New Roman"/>
          <w:sz w:val="15"/>
          <w:szCs w:val="15"/>
          <w:i w:val="1"/>
          <w:iCs w:val="1"/>
          <w:color w:val="auto"/>
        </w:rPr>
        <w:t>Investments at Fair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Value</w:t>
      </w:r>
      <w:r>
        <w:rPr>
          <w:rFonts w:ascii="Times New Roman" w:cs="Times New Roman" w:eastAsia="Times New Roman" w:hAnsi="Times New Roman"/>
          <w:sz w:val="15"/>
          <w:szCs w:val="15"/>
          <w:color w:val="auto"/>
        </w:rPr>
        <w:t>” for more detail.</w:t>
      </w:r>
    </w:p>
    <w:p>
      <w:pPr>
        <w:spacing w:after="0" w:line="3"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weighted averages are calculated based on the fair market value of each investment.</w:t>
      </w:r>
    </w:p>
    <w:p>
      <w:pPr>
        <w:spacing w:after="0" w:line="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Adjusted Funds From Operations, or “AFFO”.</w:t>
      </w:r>
    </w:p>
    <w:p>
      <w:pPr>
        <w:spacing w:after="0" w:line="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Probability-Weighted Expected Return Method, or “PWERM”.</w:t>
      </w:r>
    </w:p>
    <w:p>
      <w:pPr>
        <w:spacing w:after="0" w:line="9" w:lineRule="exact"/>
        <w:rPr>
          <w:rFonts w:ascii="Times New Roman" w:cs="Times New Roman" w:eastAsia="Times New Roman" w:hAnsi="Times New Roman"/>
          <w:sz w:val="15"/>
          <w:szCs w:val="15"/>
          <w:color w:val="auto"/>
        </w:rPr>
      </w:pPr>
    </w:p>
    <w:p>
      <w:pPr>
        <w:ind w:left="269" w:right="20" w:hanging="269"/>
        <w:spacing w:after="0" w:line="253" w:lineRule="auto"/>
        <w:tabs>
          <w:tab w:leader="none" w:pos="269"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Preferred Stock includes the Company’s investment in the Class A Interest of ARK Type One Deep Ventures Fund LLC which is invested in the Convertible Equity of OpenAI Global, LLC, and the Company’s investment in the Class A Interest of CW Opportunity 2 LP which is invested in the Series C Preferred shares of CoreWeave, Inc.</w:t>
      </w:r>
    </w:p>
    <w:p>
      <w:pPr>
        <w:ind w:left="269" w:hanging="269"/>
        <w:spacing w:after="0"/>
        <w:tabs>
          <w:tab w:leader="none" w:pos="269"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Common Stock includes the Company’s Limited Partner Fund Investment in True Global Ventures 4 Plus Pte Ltd.</w:t>
      </w:r>
    </w:p>
    <w:p>
      <w:pPr>
        <w:spacing w:after="0" w:line="17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5391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216" w:right="319" w:bottom="1440" w:gutter="0" w:footer="0" w:header="0"/>
        </w:sectPr>
      </w:pPr>
    </w:p>
    <w:bookmarkStart w:id="30" w:name="page31"/>
    <w:bookmarkEnd w:id="30"/>
    <w:tbl>
      <w:tblPr>
        <w:tblLayout w:type="fixed"/>
        <w:tblInd w:w="9" w:type="dxa"/>
        <w:tblCellMar>
          <w:top w:w="0" w:type="dxa"/>
          <w:left w:w="0" w:type="dxa"/>
          <w:bottom w:w="0" w:type="dxa"/>
          <w:right w:w="0" w:type="dxa"/>
        </w:tblCellMar>
      </w:tblPr>
      <w:tr>
        <w:trPr>
          <w:trHeight w:val="172"/>
        </w:trPr>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9"/>
        </w:trPr>
        <w:tc>
          <w:tcPr>
            <w:tcW w:w="1540" w:type="dxa"/>
            <w:vAlign w:val="bottom"/>
            <w:tcBorders>
              <w:top w:val="single" w:sz="8" w:color="0000EE"/>
            </w:tcBorders>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20" w:type="dxa"/>
            <w:vAlign w:val="bottom"/>
            <w:gridSpan w:val="6"/>
          </w:tcPr>
          <w:p>
            <w:pPr>
              <w:jc w:val="center"/>
              <w:ind w:right="680"/>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920" w:type="dxa"/>
            <w:vAlign w:val="bottom"/>
            <w:gridSpan w:val="9"/>
          </w:tcPr>
          <w:p>
            <w:pPr>
              <w:jc w:val="center"/>
              <w:ind w:right="1200"/>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60" w:type="dxa"/>
            <w:vAlign w:val="bottom"/>
            <w:gridSpan w:val="4"/>
          </w:tcPr>
          <w:p>
            <w:pPr>
              <w:jc w:val="center"/>
              <w:ind w:right="1160"/>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60" w:type="dxa"/>
            <w:vAlign w:val="bottom"/>
            <w:gridSpan w:val="4"/>
          </w:tcPr>
          <w:p>
            <w:pPr>
              <w:jc w:val="center"/>
              <w:ind w:right="1160"/>
              <w:spacing w:after="0"/>
              <w:rPr>
                <w:sz w:val="20"/>
                <w:szCs w:val="20"/>
                <w:color w:val="auto"/>
              </w:rPr>
            </w:pPr>
            <w:r>
              <w:rPr>
                <w:rFonts w:ascii="Times New Roman" w:cs="Times New Roman" w:eastAsia="Times New Roman" w:hAnsi="Times New Roman"/>
                <w:sz w:val="15"/>
                <w:szCs w:val="15"/>
                <w:b w:val="1"/>
                <w:bCs w:val="1"/>
                <w:color w:val="auto"/>
              </w:rPr>
              <w:t>As of December 31, 2023</w:t>
            </w: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Valuation Approach/</w:t>
            </w: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Range (Weighted</w:t>
            </w:r>
          </w:p>
        </w:tc>
        <w:tc>
          <w:tcPr>
            <w:tcW w:w="0" w:type="dxa"/>
            <w:vAlign w:val="bottom"/>
          </w:tcPr>
          <w:p>
            <w:pPr>
              <w:spacing w:after="0"/>
              <w:rPr>
                <w:sz w:val="1"/>
                <w:szCs w:val="1"/>
                <w:color w:val="auto"/>
              </w:rPr>
            </w:pPr>
          </w:p>
        </w:tc>
      </w:tr>
      <w:tr>
        <w:trPr>
          <w:trHeight w:val="231"/>
        </w:trPr>
        <w:tc>
          <w:tcPr>
            <w:tcW w:w="1540" w:type="dxa"/>
            <w:vAlign w:val="bottom"/>
          </w:tcPr>
          <w:p>
            <w:pPr>
              <w:spacing w:after="0"/>
              <w:rPr>
                <w:sz w:val="20"/>
                <w:szCs w:val="20"/>
                <w:color w:val="auto"/>
              </w:rPr>
            </w:pPr>
          </w:p>
        </w:tc>
        <w:tc>
          <w:tcPr>
            <w:tcW w:w="1220" w:type="dxa"/>
            <w:vAlign w:val="bottom"/>
          </w:tcPr>
          <w:p>
            <w:pPr>
              <w:ind w:left="320"/>
              <w:spacing w:after="0"/>
              <w:rPr>
                <w:sz w:val="20"/>
                <w:szCs w:val="20"/>
                <w:color w:val="auto"/>
              </w:rPr>
            </w:pPr>
            <w:r>
              <w:rPr>
                <w:rFonts w:ascii="Times New Roman" w:cs="Times New Roman" w:eastAsia="Times New Roman" w:hAnsi="Times New Roman"/>
                <w:sz w:val="15"/>
                <w:szCs w:val="15"/>
                <w:b w:val="1"/>
                <w:bCs w:val="1"/>
                <w:color w:val="auto"/>
              </w:rPr>
              <w:t>Asset</w:t>
            </w: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780" w:type="dxa"/>
            <w:vAlign w:val="bottom"/>
            <w:gridSpan w:val="2"/>
          </w:tcPr>
          <w:p>
            <w:pPr>
              <w:ind w:left="380"/>
              <w:spacing w:after="0" w:line="232" w:lineRule="exact"/>
              <w:rPr>
                <w:sz w:val="20"/>
                <w:szCs w:val="20"/>
                <w:color w:val="auto"/>
              </w:rPr>
            </w:pPr>
            <w:r>
              <w:rPr>
                <w:rFonts w:ascii="Times New Roman" w:cs="Times New Roman" w:eastAsia="Times New Roman" w:hAnsi="Times New Roman"/>
                <w:sz w:val="15"/>
                <w:szCs w:val="15"/>
                <w:b w:val="1"/>
                <w:bCs w:val="1"/>
                <w:color w:val="auto"/>
              </w:rPr>
              <w:t>Technique</w:t>
            </w:r>
            <w:r>
              <w:rPr>
                <w:rFonts w:ascii="Times New Roman" w:cs="Times New Roman" w:eastAsia="Times New Roman" w:hAnsi="Times New Roman"/>
                <w:sz w:val="25"/>
                <w:szCs w:val="25"/>
                <w:b w:val="1"/>
                <w:bCs w:val="1"/>
                <w:color w:val="auto"/>
                <w:vertAlign w:val="superscript"/>
              </w:rPr>
              <w:t>(1)</w:t>
            </w:r>
          </w:p>
        </w:tc>
        <w:tc>
          <w:tcPr>
            <w:tcW w:w="1800" w:type="dxa"/>
            <w:vAlign w:val="bottom"/>
            <w:gridSpan w:val="2"/>
          </w:tcPr>
          <w:p>
            <w:pPr>
              <w:ind w:left="40"/>
              <w:spacing w:after="0" w:line="232" w:lineRule="exact"/>
              <w:rPr>
                <w:sz w:val="20"/>
                <w:szCs w:val="20"/>
                <w:color w:val="auto"/>
              </w:rPr>
            </w:pPr>
            <w:r>
              <w:rPr>
                <w:rFonts w:ascii="Times New Roman" w:cs="Times New Roman" w:eastAsia="Times New Roman" w:hAnsi="Times New Roman"/>
                <w:sz w:val="15"/>
                <w:szCs w:val="15"/>
                <w:b w:val="1"/>
                <w:bCs w:val="1"/>
                <w:color w:val="auto"/>
              </w:rPr>
              <w:t>Unobservable Inputs</w:t>
            </w:r>
            <w:r>
              <w:rPr>
                <w:rFonts w:ascii="Times New Roman" w:cs="Times New Roman" w:eastAsia="Times New Roman" w:hAnsi="Times New Roman"/>
                <w:sz w:val="25"/>
                <w:szCs w:val="25"/>
                <w:b w:val="1"/>
                <w:bCs w:val="1"/>
                <w:color w:val="auto"/>
                <w:vertAlign w:val="superscript"/>
              </w:rPr>
              <w:t>(2)</w:t>
            </w:r>
          </w:p>
        </w:tc>
        <w:tc>
          <w:tcPr>
            <w:tcW w:w="1580" w:type="dxa"/>
            <w:vAlign w:val="bottom"/>
            <w:gridSpan w:val="2"/>
          </w:tcPr>
          <w:p>
            <w:pPr>
              <w:jc w:val="right"/>
              <w:ind w:right="500"/>
              <w:spacing w:after="0" w:line="232" w:lineRule="exact"/>
              <w:rPr>
                <w:sz w:val="20"/>
                <w:szCs w:val="20"/>
                <w:color w:val="auto"/>
              </w:rPr>
            </w:pPr>
            <w:r>
              <w:rPr>
                <w:rFonts w:ascii="Times New Roman" w:cs="Times New Roman" w:eastAsia="Times New Roman" w:hAnsi="Times New Roman"/>
                <w:sz w:val="15"/>
                <w:szCs w:val="15"/>
                <w:b w:val="1"/>
                <w:bCs w:val="1"/>
                <w:color w:val="auto"/>
              </w:rPr>
              <w:t>Average)</w:t>
            </w:r>
            <w:r>
              <w:rPr>
                <w:rFonts w:ascii="Times New Roman" w:cs="Times New Roman" w:eastAsia="Times New Roman" w:hAnsi="Times New Roman"/>
                <w:sz w:val="25"/>
                <w:szCs w:val="25"/>
                <w:b w:val="1"/>
                <w:bCs w:val="1"/>
                <w:color w:val="auto"/>
                <w:vertAlign w:val="superscript"/>
              </w:rPr>
              <w:t>(3)</w:t>
            </w:r>
          </w:p>
        </w:tc>
        <w:tc>
          <w:tcPr>
            <w:tcW w:w="0" w:type="dxa"/>
            <w:vAlign w:val="bottom"/>
          </w:tcPr>
          <w:p>
            <w:pPr>
              <w:spacing w:after="0"/>
              <w:rPr>
                <w:sz w:val="1"/>
                <w:szCs w:val="1"/>
                <w:color w:val="auto"/>
              </w:rPr>
            </w:pPr>
          </w:p>
        </w:tc>
      </w:tr>
      <w:tr>
        <w:trPr>
          <w:trHeight w:val="159"/>
        </w:trPr>
        <w:tc>
          <w:tcPr>
            <w:tcW w:w="154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0.15x - 11.41x</w:t>
            </w:r>
          </w:p>
        </w:tc>
        <w:tc>
          <w:tcPr>
            <w:tcW w:w="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stock in private companies</w:t>
            </w:r>
          </w:p>
        </w:tc>
        <w:tc>
          <w:tcPr>
            <w:tcW w:w="13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122,744,564</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Market approach</w:t>
            </w:r>
          </w:p>
        </w:tc>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 multiples</w:t>
            </w: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(2.73x)</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PWERM</w:t>
            </w:r>
            <w:r>
              <w:rPr>
                <w:rFonts w:ascii="Times New Roman" w:cs="Times New Roman" w:eastAsia="Times New Roman" w:hAnsi="Times New Roman"/>
                <w:sz w:val="25"/>
                <w:szCs w:val="25"/>
                <w:color w:val="auto"/>
                <w:vertAlign w:val="superscript"/>
              </w:rPr>
              <w:t>(5)</w:t>
            </w:r>
          </w:p>
        </w:tc>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Discount rate</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168"/>
        </w:trPr>
        <w:tc>
          <w:tcPr>
            <w:tcW w:w="27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Common stock in private companies</w:t>
            </w:r>
            <w:r>
              <w:rPr>
                <w:rFonts w:ascii="Times New Roman" w:cs="Times New Roman" w:eastAsia="Times New Roman" w:hAnsi="Times New Roman"/>
                <w:sz w:val="25"/>
                <w:szCs w:val="25"/>
                <w:color w:val="auto"/>
                <w:vertAlign w:val="superscript"/>
              </w:rPr>
              <w:t>(6)</w:t>
            </w: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right"/>
              <w:ind w:right="140"/>
              <w:spacing w:after="0" w:line="168" w:lineRule="exact"/>
              <w:rPr>
                <w:sz w:val="20"/>
                <w:szCs w:val="20"/>
                <w:color w:val="auto"/>
              </w:rPr>
            </w:pPr>
            <w:r>
              <w:rPr>
                <w:rFonts w:ascii="Times New Roman" w:cs="Times New Roman" w:eastAsia="Times New Roman" w:hAnsi="Times New Roman"/>
                <w:sz w:val="15"/>
                <w:szCs w:val="15"/>
                <w:color w:val="auto"/>
              </w:rPr>
              <w:t>0.15x - 11.13x</w:t>
            </w:r>
          </w:p>
        </w:tc>
        <w:tc>
          <w:tcPr>
            <w:tcW w:w="0" w:type="dxa"/>
            <w:vAlign w:val="bottom"/>
          </w:tcPr>
          <w:p>
            <w:pPr>
              <w:spacing w:after="0"/>
              <w:rPr>
                <w:sz w:val="1"/>
                <w:szCs w:val="1"/>
                <w:color w:val="auto"/>
              </w:rPr>
            </w:pPr>
          </w:p>
        </w:tc>
      </w:tr>
      <w:tr>
        <w:trPr>
          <w:trHeight w:val="182"/>
        </w:trPr>
        <w:tc>
          <w:tcPr>
            <w:tcW w:w="2760" w:type="dxa"/>
            <w:vAlign w:val="bottom"/>
            <w:gridSpan w:val="2"/>
            <w:vMerge w:val="continue"/>
          </w:tcPr>
          <w:p>
            <w:pPr>
              <w:spacing w:after="0"/>
              <w:rPr>
                <w:sz w:val="15"/>
                <w:szCs w:val="15"/>
                <w:color w:val="auto"/>
              </w:rPr>
            </w:pP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39,086,792</w:t>
            </w:r>
          </w:p>
        </w:tc>
        <w:tc>
          <w:tcPr>
            <w:tcW w:w="17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Market approach</w:t>
            </w:r>
          </w:p>
        </w:tc>
        <w:tc>
          <w:tcPr>
            <w:tcW w:w="1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Revenue multiples</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(9.29x)</w:t>
            </w:r>
          </w:p>
        </w:tc>
        <w:tc>
          <w:tcPr>
            <w:tcW w:w="0" w:type="dxa"/>
            <w:vAlign w:val="bottom"/>
          </w:tcPr>
          <w:p>
            <w:pPr>
              <w:spacing w:after="0"/>
              <w:rPr>
                <w:sz w:val="1"/>
                <w:szCs w:val="1"/>
                <w:color w:val="auto"/>
              </w:rPr>
            </w:pPr>
          </w:p>
        </w:tc>
      </w:tr>
      <w:tr>
        <w:trPr>
          <w:trHeight w:val="182"/>
        </w:trPr>
        <w:tc>
          <w:tcPr>
            <w:tcW w:w="1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PWERM</w:t>
            </w:r>
            <w:r>
              <w:rPr>
                <w:rFonts w:ascii="Times New Roman" w:cs="Times New Roman" w:eastAsia="Times New Roman" w:hAnsi="Times New Roman"/>
                <w:sz w:val="25"/>
                <w:szCs w:val="25"/>
                <w:color w:val="auto"/>
                <w:vertAlign w:val="superscript"/>
              </w:rPr>
              <w:t>(5)</w:t>
            </w:r>
          </w:p>
        </w:tc>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15.0% - 25.0%</w:t>
            </w:r>
          </w:p>
        </w:tc>
        <w:tc>
          <w:tcPr>
            <w:tcW w:w="0" w:type="dxa"/>
            <w:vAlign w:val="bottom"/>
          </w:tcPr>
          <w:p>
            <w:pPr>
              <w:spacing w:after="0"/>
              <w:rPr>
                <w:sz w:val="1"/>
                <w:szCs w:val="1"/>
                <w:color w:val="auto"/>
              </w:rPr>
            </w:pPr>
          </w:p>
        </w:tc>
      </w:tr>
      <w:tr>
        <w:trPr>
          <w:trHeight w:val="184"/>
        </w:trPr>
        <w:tc>
          <w:tcPr>
            <w:tcW w:w="1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DLOM</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(18.5%)</w:t>
            </w:r>
          </w:p>
        </w:tc>
        <w:tc>
          <w:tcPr>
            <w:tcW w:w="0" w:type="dxa"/>
            <w:vAlign w:val="bottom"/>
          </w:tcPr>
          <w:p>
            <w:pPr>
              <w:spacing w:after="0"/>
              <w:rPr>
                <w:sz w:val="1"/>
                <w:szCs w:val="1"/>
                <w:color w:val="auto"/>
              </w:rPr>
            </w:pPr>
          </w:p>
        </w:tc>
      </w:tr>
      <w:tr>
        <w:trPr>
          <w:trHeight w:val="215"/>
        </w:trPr>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spacing w:after="0" w:line="214" w:lineRule="exact"/>
              <w:rPr>
                <w:sz w:val="20"/>
                <w:szCs w:val="20"/>
                <w:color w:val="auto"/>
              </w:rPr>
            </w:pPr>
            <w:r>
              <w:rPr>
                <w:rFonts w:ascii="Times New Roman" w:cs="Times New Roman" w:eastAsia="Times New Roman" w:hAnsi="Times New Roman"/>
                <w:sz w:val="15"/>
                <w:szCs w:val="15"/>
                <w:color w:val="auto"/>
              </w:rPr>
              <w:t>AFFO</w:t>
            </w: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5"/>
                <w:szCs w:val="15"/>
                <w:color w:val="auto"/>
              </w:rPr>
              <w:t xml:space="preserve"> multiple</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10.79x</w:t>
            </w:r>
          </w:p>
        </w:tc>
        <w:tc>
          <w:tcPr>
            <w:tcW w:w="0" w:type="dxa"/>
            <w:vAlign w:val="bottom"/>
          </w:tcPr>
          <w:p>
            <w:pPr>
              <w:spacing w:after="0"/>
              <w:rPr>
                <w:sz w:val="1"/>
                <w:szCs w:val="1"/>
                <w:color w:val="auto"/>
              </w:rPr>
            </w:pPr>
          </w:p>
        </w:tc>
      </w:tr>
      <w:tr>
        <w:trPr>
          <w:trHeight w:val="197"/>
        </w:trPr>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Discount Rate</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15.0%</w:t>
            </w:r>
          </w:p>
        </w:tc>
        <w:tc>
          <w:tcPr>
            <w:tcW w:w="0" w:type="dxa"/>
            <w:vAlign w:val="bottom"/>
          </w:tcPr>
          <w:p>
            <w:pPr>
              <w:spacing w:after="0"/>
              <w:rPr>
                <w:sz w:val="1"/>
                <w:szCs w:val="1"/>
                <w:color w:val="auto"/>
              </w:rPr>
            </w:pPr>
          </w:p>
        </w:tc>
      </w:tr>
      <w:tr>
        <w:trPr>
          <w:trHeight w:val="182"/>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Debt investments</w:t>
            </w:r>
          </w:p>
        </w:tc>
        <w:tc>
          <w:tcPr>
            <w:tcW w:w="13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3,098,734</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Market approach</w:t>
            </w:r>
          </w:p>
        </w:tc>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 multiples</w:t>
            </w: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1.21x - 1.66x (1.56x)</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PWERM</w:t>
            </w:r>
            <w:r>
              <w:rPr>
                <w:rFonts w:ascii="Times New Roman" w:cs="Times New Roman" w:eastAsia="Times New Roman" w:hAnsi="Times New Roman"/>
                <w:sz w:val="25"/>
                <w:szCs w:val="25"/>
                <w:color w:val="auto"/>
                <w:vertAlign w:val="superscript"/>
              </w:rPr>
              <w:t>(5)</w:t>
            </w:r>
          </w:p>
        </w:tc>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DLOM</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15.0%</w:t>
            </w:r>
          </w:p>
        </w:tc>
        <w:tc>
          <w:tcPr>
            <w:tcW w:w="0" w:type="dxa"/>
            <w:vAlign w:val="bottom"/>
          </w:tcPr>
          <w:p>
            <w:pPr>
              <w:spacing w:after="0"/>
              <w:rPr>
                <w:sz w:val="1"/>
                <w:szCs w:val="1"/>
                <w:color w:val="auto"/>
              </w:rPr>
            </w:pPr>
          </w:p>
        </w:tc>
      </w:tr>
      <w:tr>
        <w:trPr>
          <w:trHeight w:val="168"/>
        </w:trPr>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PWERM</w:t>
            </w:r>
            <w:r>
              <w:rPr>
                <w:rFonts w:ascii="Times New Roman" w:cs="Times New Roman" w:eastAsia="Times New Roman" w:hAnsi="Times New Roman"/>
                <w:sz w:val="25"/>
                <w:szCs w:val="25"/>
                <w:color w:val="auto"/>
                <w:vertAlign w:val="superscript"/>
              </w:rPr>
              <w:t>(5)</w:t>
            </w:r>
          </w:p>
        </w:tc>
        <w:tc>
          <w:tcPr>
            <w:tcW w:w="1800" w:type="dxa"/>
            <w:vAlign w:val="bottom"/>
            <w:gridSpan w:val="2"/>
          </w:tcPr>
          <w:p>
            <w:pPr>
              <w:spacing w:after="0" w:line="168" w:lineRule="exact"/>
              <w:rPr>
                <w:sz w:val="20"/>
                <w:szCs w:val="20"/>
                <w:color w:val="auto"/>
              </w:rPr>
            </w:pPr>
            <w:r>
              <w:rPr>
                <w:rFonts w:ascii="Times New Roman" w:cs="Times New Roman" w:eastAsia="Times New Roman" w:hAnsi="Times New Roman"/>
                <w:sz w:val="15"/>
                <w:szCs w:val="15"/>
                <w:color w:val="auto"/>
              </w:rPr>
              <w:t>Term to expiration</w:t>
            </w: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Options</w:t>
            </w: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3,638,161</w:t>
            </w:r>
          </w:p>
        </w:tc>
        <w:tc>
          <w:tcPr>
            <w:tcW w:w="1780" w:type="dxa"/>
            <w:vAlign w:val="bottom"/>
            <w:gridSpan w:val="2"/>
            <w:vMerge w:val="continue"/>
          </w:tcPr>
          <w:p>
            <w:pPr>
              <w:spacing w:after="0"/>
              <w:rPr>
                <w:sz w:val="15"/>
                <w:szCs w:val="15"/>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(Years)</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0.65 - 5.63 (0.79)</w:t>
            </w:r>
          </w:p>
        </w:tc>
        <w:tc>
          <w:tcPr>
            <w:tcW w:w="0" w:type="dxa"/>
            <w:vAlign w:val="bottom"/>
          </w:tcPr>
          <w:p>
            <w:pPr>
              <w:spacing w:after="0"/>
              <w:rPr>
                <w:sz w:val="1"/>
                <w:szCs w:val="1"/>
                <w:color w:val="auto"/>
              </w:rPr>
            </w:pPr>
          </w:p>
        </w:tc>
      </w:tr>
      <w:tr>
        <w:trPr>
          <w:trHeight w:val="182"/>
        </w:trPr>
        <w:tc>
          <w:tcPr>
            <w:tcW w:w="1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Volatility</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70%</w:t>
            </w:r>
          </w:p>
        </w:tc>
        <w:tc>
          <w:tcPr>
            <w:tcW w:w="0" w:type="dxa"/>
            <w:vAlign w:val="bottom"/>
          </w:tcPr>
          <w:p>
            <w:pPr>
              <w:spacing w:after="0"/>
              <w:rPr>
                <w:sz w:val="1"/>
                <w:szCs w:val="1"/>
                <w:color w:val="auto"/>
              </w:rPr>
            </w:pPr>
          </w:p>
        </w:tc>
      </w:tr>
      <w:tr>
        <w:trPr>
          <w:trHeight w:val="182"/>
        </w:trPr>
        <w:tc>
          <w:tcPr>
            <w:tcW w:w="1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Discount Rate</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15.0%</w:t>
            </w:r>
          </w:p>
        </w:tc>
        <w:tc>
          <w:tcPr>
            <w:tcW w:w="0" w:type="dxa"/>
            <w:vAlign w:val="bottom"/>
          </w:tcPr>
          <w:p>
            <w:pPr>
              <w:spacing w:after="0"/>
              <w:rPr>
                <w:sz w:val="1"/>
                <w:szCs w:val="1"/>
                <w:color w:val="auto"/>
              </w:rPr>
            </w:pPr>
          </w:p>
        </w:tc>
      </w:tr>
      <w:tr>
        <w:trPr>
          <w:trHeight w:val="197"/>
        </w:trPr>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DLOM</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15% - 18% (16.0%)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78689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86890" cy="6985"/>
                    </a:xfrm>
                    <a:prstGeom prst="rect">
                      <a:avLst/>
                    </a:prstGeom>
                    <a:noFill/>
                  </pic:spPr>
                </pic:pic>
              </a:graphicData>
            </a:graphic>
          </wp:anchor>
        </w:drawing>
      </w:r>
    </w:p>
    <w:p>
      <w:pPr>
        <w:spacing w:after="0" w:line="170" w:lineRule="exact"/>
        <w:rPr>
          <w:sz w:val="20"/>
          <w:szCs w:val="20"/>
          <w:color w:val="auto"/>
        </w:rPr>
      </w:pPr>
    </w:p>
    <w:p>
      <w:pPr>
        <w:jc w:val="both"/>
        <w:ind w:left="269" w:hanging="269"/>
        <w:spacing w:after="0" w:line="257" w:lineRule="auto"/>
        <w:tabs>
          <w:tab w:leader="none" w:pos="269"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December 31, 2023, the Board of Directors used a hybrid market and income approach to value certain common and preferred stock investments, as the Board of Directors felt this approach better reflected the fair value of these investments. In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Times New Roman" w:cs="Times New Roman" w:eastAsia="Times New Roman" w:hAnsi="Times New Roman"/>
          <w:sz w:val="15"/>
          <w:szCs w:val="15"/>
          <w:i w:val="1"/>
          <w:iCs w:val="1"/>
          <w:color w:val="auto"/>
        </w:rPr>
        <w:t>Investments at Fair Value</w:t>
      </w:r>
      <w:r>
        <w:rPr>
          <w:rFonts w:ascii="Times New Roman" w:cs="Times New Roman" w:eastAsia="Times New Roman" w:hAnsi="Times New Roman"/>
          <w:sz w:val="15"/>
          <w:szCs w:val="15"/>
          <w:color w:val="auto"/>
        </w:rPr>
        <w:t>” for more detail.</w:t>
      </w:r>
    </w:p>
    <w:p>
      <w:pPr>
        <w:spacing w:after="0" w:line="2" w:lineRule="exact"/>
        <w:rPr>
          <w:rFonts w:ascii="Times New Roman" w:cs="Times New Roman" w:eastAsia="Times New Roman" w:hAnsi="Times New Roman"/>
          <w:sz w:val="15"/>
          <w:szCs w:val="15"/>
          <w:color w:val="auto"/>
        </w:rPr>
      </w:pPr>
    </w:p>
    <w:p>
      <w:pPr>
        <w:jc w:val="both"/>
        <w:ind w:left="269" w:hanging="269"/>
        <w:spacing w:after="0" w:line="253" w:lineRule="auto"/>
        <w:tabs>
          <w:tab w:leader="none" w:pos="269"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Board of Directors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Board of Directors carefully considers numerous factors when selecting the appropriate companies whose multiples are used to value the Company’s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Times New Roman" w:cs="Times New Roman" w:eastAsia="Times New Roman" w:hAnsi="Times New Roman"/>
          <w:sz w:val="15"/>
          <w:szCs w:val="15"/>
          <w:i w:val="1"/>
          <w:iCs w:val="1"/>
          <w:color w:val="auto"/>
        </w:rPr>
        <w:t>Investments at Fair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Value</w:t>
      </w:r>
      <w:r>
        <w:rPr>
          <w:rFonts w:ascii="Times New Roman" w:cs="Times New Roman" w:eastAsia="Times New Roman" w:hAnsi="Times New Roman"/>
          <w:sz w:val="15"/>
          <w:szCs w:val="15"/>
          <w:color w:val="auto"/>
        </w:rPr>
        <w:t>” for more detail.</w:t>
      </w:r>
    </w:p>
    <w:p>
      <w:pPr>
        <w:spacing w:after="0" w:line="3"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weighted averages are calculated based on the fair market value of each investment.</w:t>
      </w:r>
    </w:p>
    <w:p>
      <w:pPr>
        <w:spacing w:after="0" w:line="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Adjusted Funds From Operations, or “AFFO”.</w:t>
      </w:r>
    </w:p>
    <w:p>
      <w:pPr>
        <w:spacing w:after="0" w:line="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Probability-Weighted Expected Return Method, or “PWERM”.</w:t>
      </w:r>
    </w:p>
    <w:p>
      <w:pPr>
        <w:spacing w:after="0" w:line="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Common Stock includes the Company's Limited Partner Fund Investment in True Global Ventures 4 Plus Pte Ltd.</w:t>
      </w:r>
    </w:p>
    <w:p>
      <w:pPr>
        <w:spacing w:after="0" w:line="17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5391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206" w:right="319" w:bottom="1440" w:gutter="0" w:footer="0" w:header="0"/>
        </w:sectPr>
      </w:pPr>
    </w:p>
    <w:bookmarkStart w:id="31" w:name="page32"/>
    <w:bookmarkEnd w:id="31"/>
    <w:p>
      <w:pPr>
        <w:ind w:left="9"/>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9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September 30, 2024</w:t>
      </w:r>
    </w:p>
    <w:p>
      <w:pPr>
        <w:spacing w:after="0" w:line="177"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The aggregate values of Level 3 assets and liabilities changed during the nine months ended September 30, 2024 as follows:</w:t>
      </w:r>
    </w:p>
    <w:p>
      <w:pPr>
        <w:spacing w:after="0" w:line="199"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200" w:type="dxa"/>
            <w:vAlign w:val="bottom"/>
            <w:tcBorders>
              <w:bottom w:val="single" w:sz="8" w:color="auto"/>
            </w:tcBorders>
            <w:gridSpan w:val="8"/>
          </w:tcPr>
          <w:p>
            <w:pPr>
              <w:jc w:val="right"/>
              <w:ind w:right="1080"/>
              <w:spacing w:after="0"/>
              <w:rPr>
                <w:sz w:val="20"/>
                <w:szCs w:val="20"/>
                <w:color w:val="auto"/>
              </w:rPr>
            </w:pPr>
            <w:r>
              <w:rPr>
                <w:rFonts w:ascii="Times New Roman" w:cs="Times New Roman" w:eastAsia="Times New Roman" w:hAnsi="Times New Roman"/>
                <w:sz w:val="15"/>
                <w:szCs w:val="15"/>
                <w:b w:val="1"/>
                <w:bCs w:val="1"/>
                <w:color w:val="auto"/>
              </w:rPr>
              <w:t>Nine Months Ended September 30, 2024</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right"/>
              <w:ind w:right="500"/>
              <w:spacing w:after="0" w:line="128" w:lineRule="exact"/>
              <w:rPr>
                <w:sz w:val="20"/>
                <w:szCs w:val="20"/>
                <w:color w:val="auto"/>
              </w:rPr>
            </w:pPr>
            <w:r>
              <w:rPr>
                <w:rFonts w:ascii="Times New Roman" w:cs="Times New Roman" w:eastAsia="Times New Roman" w:hAnsi="Times New Roman"/>
                <w:sz w:val="12"/>
                <w:szCs w:val="12"/>
                <w:b w:val="1"/>
                <w:bCs w:val="1"/>
                <w:color w:val="auto"/>
              </w:rPr>
              <w:t>Preferred</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right"/>
              <w:ind w:right="680"/>
              <w:spacing w:after="0" w:line="128" w:lineRule="exact"/>
              <w:rPr>
                <w:sz w:val="20"/>
                <w:szCs w:val="20"/>
                <w:color w:val="auto"/>
              </w:rPr>
            </w:pPr>
            <w:r>
              <w:rPr>
                <w:rFonts w:ascii="Times New Roman" w:cs="Times New Roman" w:eastAsia="Times New Roman" w:hAnsi="Times New Roman"/>
                <w:sz w:val="12"/>
                <w:szCs w:val="12"/>
                <w:b w:val="1"/>
                <w:bCs w:val="1"/>
                <w:color w:val="auto"/>
              </w:rPr>
              <w:t>Common</w:t>
            </w:r>
          </w:p>
        </w:tc>
        <w:tc>
          <w:tcPr>
            <w:tcW w:w="120" w:type="dxa"/>
            <w:vAlign w:val="bottom"/>
          </w:tcPr>
          <w:p>
            <w:pPr>
              <w:spacing w:after="0"/>
              <w:rPr>
                <w:sz w:val="11"/>
                <w:szCs w:val="11"/>
                <w:color w:val="auto"/>
              </w:rPr>
            </w:pPr>
          </w:p>
        </w:tc>
        <w:tc>
          <w:tcPr>
            <w:tcW w:w="1340" w:type="dxa"/>
            <w:vAlign w:val="bottom"/>
            <w:gridSpan w:val="2"/>
          </w:tcPr>
          <w:p>
            <w:pPr>
              <w:jc w:val="right"/>
              <w:ind w:right="740"/>
              <w:spacing w:after="0" w:line="128" w:lineRule="exact"/>
              <w:rPr>
                <w:sz w:val="20"/>
                <w:szCs w:val="20"/>
                <w:color w:val="auto"/>
              </w:rPr>
            </w:pPr>
            <w:r>
              <w:rPr>
                <w:rFonts w:ascii="Times New Roman" w:cs="Times New Roman" w:eastAsia="Times New Roman" w:hAnsi="Times New Roman"/>
                <w:sz w:val="14"/>
                <w:szCs w:val="14"/>
                <w:b w:val="1"/>
                <w:bCs w:val="1"/>
                <w:color w:val="auto"/>
              </w:rPr>
              <w:t>Debt</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4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500"/>
              <w:spacing w:after="0" w:line="228" w:lineRule="exact"/>
              <w:rPr>
                <w:sz w:val="20"/>
                <w:szCs w:val="20"/>
                <w:color w:val="auto"/>
              </w:rPr>
            </w:pPr>
            <w:r>
              <w:rPr>
                <w:rFonts w:ascii="Times New Roman" w:cs="Times New Roman" w:eastAsia="Times New Roman" w:hAnsi="Times New Roman"/>
                <w:sz w:val="15"/>
                <w:szCs w:val="15"/>
                <w:b w:val="1"/>
                <w:bCs w:val="1"/>
                <w:color w:val="auto"/>
              </w:rPr>
              <w:t>Stock</w:t>
            </w:r>
            <w:r>
              <w:rPr>
                <w:rFonts w:ascii="Times New Roman" w:cs="Times New Roman" w:eastAsia="Times New Roman" w:hAnsi="Times New Roman"/>
                <w:sz w:val="25"/>
                <w:szCs w:val="25"/>
                <w:b w:val="1"/>
                <w:bCs w:val="1"/>
                <w:color w:val="auto"/>
                <w:vertAlign w:val="superscript"/>
              </w:rPr>
              <w:t>(1)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660"/>
              <w:spacing w:after="0" w:line="228" w:lineRule="exact"/>
              <w:rPr>
                <w:sz w:val="20"/>
                <w:szCs w:val="20"/>
                <w:color w:val="auto"/>
              </w:rPr>
            </w:pPr>
            <w:r>
              <w:rPr>
                <w:rFonts w:ascii="Times New Roman" w:cs="Times New Roman" w:eastAsia="Times New Roman" w:hAnsi="Times New Roman"/>
                <w:sz w:val="15"/>
                <w:szCs w:val="15"/>
                <w:b w:val="1"/>
                <w:bCs w:val="1"/>
                <w:color w:val="auto"/>
              </w:rPr>
              <w:t>Stock</w:t>
            </w:r>
            <w:r>
              <w:rPr>
                <w:rFonts w:ascii="Times New Roman" w:cs="Times New Roman" w:eastAsia="Times New Roman" w:hAnsi="Times New Roman"/>
                <w:sz w:val="25"/>
                <w:szCs w:val="25"/>
                <w:b w:val="1"/>
                <w:bCs w:val="1"/>
                <w:color w:val="auto"/>
                <w:vertAlign w:val="superscript"/>
              </w:rPr>
              <w:t>(2)</w:t>
            </w:r>
          </w:p>
        </w:tc>
        <w:tc>
          <w:tcPr>
            <w:tcW w:w="120" w:type="dxa"/>
            <w:vAlign w:val="bottom"/>
          </w:tcPr>
          <w:p>
            <w:pPr>
              <w:spacing w:after="0"/>
              <w:rPr>
                <w:sz w:val="19"/>
                <w:szCs w:val="19"/>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Investments</w:t>
            </w:r>
          </w:p>
        </w:tc>
        <w:tc>
          <w:tcPr>
            <w:tcW w:w="200" w:type="dxa"/>
            <w:vAlign w:val="bottom"/>
          </w:tcPr>
          <w:p>
            <w:pPr>
              <w:spacing w:after="0"/>
              <w:rPr>
                <w:sz w:val="19"/>
                <w:szCs w:val="19"/>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5"/>
                <w:szCs w:val="15"/>
                <w:b w:val="1"/>
                <w:bCs w:val="1"/>
                <w:color w:val="auto"/>
              </w:rPr>
              <w:t>Options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74"/>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Fair Value as of December 31, 2023</w:t>
            </w:r>
          </w:p>
        </w:tc>
        <w:tc>
          <w:tcPr>
            <w:tcW w:w="320" w:type="dxa"/>
            <w:vAlign w:val="bottom"/>
            <w:gridSpan w:val="2"/>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122,744,564</w:t>
            </w:r>
          </w:p>
        </w:tc>
        <w:tc>
          <w:tcPr>
            <w:tcW w:w="340" w:type="dxa"/>
            <w:vAlign w:val="bottom"/>
            <w:gridSpan w:val="2"/>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39,086,792</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3,098,734</w:t>
            </w:r>
          </w:p>
        </w:tc>
        <w:tc>
          <w:tcPr>
            <w:tcW w:w="320" w:type="dxa"/>
            <w:vAlign w:val="bottom"/>
          </w:tcPr>
          <w:p>
            <w:pPr>
              <w:spacing w:after="0"/>
              <w:rPr>
                <w:sz w:val="15"/>
                <w:szCs w:val="15"/>
                <w:color w:val="auto"/>
              </w:rPr>
            </w:pP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3,638,161</w:t>
            </w:r>
          </w:p>
        </w:tc>
        <w:tc>
          <w:tcPr>
            <w:tcW w:w="320" w:type="dxa"/>
            <w:vAlign w:val="bottom"/>
          </w:tcPr>
          <w:p>
            <w:pPr>
              <w:spacing w:after="0"/>
              <w:rPr>
                <w:sz w:val="15"/>
                <w:szCs w:val="15"/>
                <w:color w:val="auto"/>
              </w:rPr>
            </w:pPr>
          </w:p>
        </w:tc>
        <w:tc>
          <w:tcPr>
            <w:tcW w:w="220" w:type="dxa"/>
            <w:vAlign w:val="bottom"/>
            <w:gridSpan w:val="2"/>
          </w:tcPr>
          <w:p>
            <w:pPr>
              <w:jc w:val="right"/>
              <w:ind w:right="86"/>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168,568,251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Transfers out of Level 3</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(935,391)</w:t>
            </w: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(935,391)</w:t>
            </w:r>
          </w:p>
        </w:tc>
        <w:tc>
          <w:tcPr>
            <w:tcW w:w="0" w:type="dxa"/>
            <w:vAlign w:val="bottom"/>
          </w:tcPr>
          <w:p>
            <w:pPr>
              <w:spacing w:after="0"/>
              <w:rPr>
                <w:sz w:val="1"/>
                <w:szCs w:val="1"/>
                <w:color w:val="auto"/>
              </w:rPr>
            </w:pPr>
          </w:p>
        </w:tc>
      </w:tr>
      <w:tr>
        <w:trPr>
          <w:trHeight w:val="182"/>
        </w:trPr>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Purchases, capitalized fees and interest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42,877,886</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15,061,793</w:t>
            </w:r>
          </w:p>
        </w:tc>
        <w:tc>
          <w:tcPr>
            <w:tcW w:w="120" w:type="dxa"/>
            <w:vAlign w:val="bottom"/>
          </w:tcPr>
          <w:p>
            <w:pPr>
              <w:spacing w:after="0"/>
              <w:rPr>
                <w:sz w:val="15"/>
                <w:szCs w:val="15"/>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13,230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57,952,909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Sales/Redemptions of investments</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(374,950)</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(10,233,019)</w:t>
            </w: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(1,414,278)</w:t>
            </w:r>
          </w:p>
        </w:tc>
        <w:tc>
          <w:tcPr>
            <w:tcW w:w="2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(1,585,722)</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(13,607,969)</w:t>
            </w:r>
          </w:p>
        </w:tc>
        <w:tc>
          <w:tcPr>
            <w:tcW w:w="0" w:type="dxa"/>
            <w:vAlign w:val="bottom"/>
          </w:tcPr>
          <w:p>
            <w:pPr>
              <w:spacing w:after="0"/>
              <w:rPr>
                <w:sz w:val="1"/>
                <w:szCs w:val="1"/>
                <w:color w:val="auto"/>
              </w:rPr>
            </w:pPr>
          </w:p>
        </w:tc>
      </w:tr>
      <w:tr>
        <w:trPr>
          <w:trHeight w:val="182"/>
        </w:trPr>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Exercises and conversions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136,114</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(1,338,976)</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1,246,916</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44,054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Realized gains/(losses)</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(7,529,405)</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(222,565)</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384,102</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(7,076,812)</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(14,444,680)</w:t>
            </w:r>
          </w:p>
        </w:tc>
        <w:tc>
          <w:tcPr>
            <w:tcW w:w="0" w:type="dxa"/>
            <w:vAlign w:val="bottom"/>
          </w:tcPr>
          <w:p>
            <w:pPr>
              <w:spacing w:after="0"/>
              <w:rPr>
                <w:sz w:val="1"/>
                <w:szCs w:val="1"/>
                <w:color w:val="auto"/>
              </w:rPr>
            </w:pPr>
          </w:p>
        </w:tc>
      </w:tr>
      <w:tr>
        <w:trPr>
          <w:trHeight w:val="168"/>
        </w:trPr>
        <w:tc>
          <w:tcPr>
            <w:tcW w:w="404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Net change in unrealized appreciation/(depreciation) included in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earnings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(19,286,404)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4,967,905</w:t>
            </w:r>
          </w:p>
        </w:tc>
        <w:tc>
          <w:tcPr>
            <w:tcW w:w="1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(223,243)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8,141,695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(6,400,047)</w:t>
            </w:r>
          </w:p>
        </w:tc>
        <w:tc>
          <w:tcPr>
            <w:tcW w:w="0" w:type="dxa"/>
            <w:vAlign w:val="bottom"/>
          </w:tcPr>
          <w:p>
            <w:pPr>
              <w:spacing w:after="0"/>
              <w:rPr>
                <w:sz w:val="1"/>
                <w:szCs w:val="1"/>
                <w:color w:val="auto"/>
              </w:rPr>
            </w:pPr>
          </w:p>
        </w:tc>
      </w:tr>
      <w:tr>
        <w:trPr>
          <w:trHeight w:val="185"/>
        </w:trPr>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Fair Value as of September 30, 2024</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138,567,805</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47,725,515</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506,339</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4,377,468</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191,177,127</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line="159" w:lineRule="exact"/>
              <w:rPr>
                <w:sz w:val="20"/>
                <w:szCs w:val="20"/>
                <w:color w:val="auto"/>
              </w:rPr>
            </w:pPr>
            <w:r>
              <w:rPr>
                <w:rFonts w:ascii="Times New Roman" w:cs="Times New Roman" w:eastAsia="Times New Roman" w:hAnsi="Times New Roman"/>
                <w:sz w:val="15"/>
                <w:szCs w:val="15"/>
                <w:color w:val="auto"/>
              </w:rPr>
              <w:t>Net change in unrealized appreciation/ (depreciation) of Level 3</w:t>
            </w: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0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investments still held as of September 30, 2024</w:t>
            </w:r>
          </w:p>
        </w:tc>
        <w:tc>
          <w:tcPr>
            <w:tcW w:w="320" w:type="dxa"/>
            <w:vAlign w:val="bottom"/>
            <w:gridSpan w:val="2"/>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(27,903,880)</w:t>
            </w:r>
          </w:p>
        </w:tc>
        <w:tc>
          <w:tcPr>
            <w:tcW w:w="340" w:type="dxa"/>
            <w:vAlign w:val="bottom"/>
            <w:gridSpan w:val="2"/>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5,089,437</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132,246</w:t>
            </w:r>
          </w:p>
        </w:tc>
        <w:tc>
          <w:tcPr>
            <w:tcW w:w="220" w:type="dxa"/>
            <w:vAlign w:val="bottom"/>
            <w:gridSpan w:val="2"/>
          </w:tcPr>
          <w:p>
            <w:pPr>
              <w:jc w:val="right"/>
              <w:ind w:right="86"/>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(22,682,197)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78689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86890" cy="6985"/>
                    </a:xfrm>
                    <a:prstGeom prst="rect">
                      <a:avLst/>
                    </a:prstGeom>
                    <a:noFill/>
                  </pic:spPr>
                </pic:pic>
              </a:graphicData>
            </a:graphic>
          </wp:anchor>
        </w:drawing>
      </w:r>
    </w:p>
    <w:p>
      <w:pPr>
        <w:spacing w:after="0" w:line="170" w:lineRule="exact"/>
        <w:rPr>
          <w:sz w:val="20"/>
          <w:szCs w:val="20"/>
          <w:color w:val="auto"/>
        </w:rPr>
      </w:pPr>
    </w:p>
    <w:p>
      <w:pPr>
        <w:ind w:left="269" w:right="20" w:hanging="269"/>
        <w:spacing w:after="0" w:line="288" w:lineRule="auto"/>
        <w:tabs>
          <w:tab w:leader="none" w:pos="269"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Preferred Stock includes the Company’s investment in the Class A Interest of ARK Type One Deep Ventures Fund LLC which is invested in the Convertible Equity of OpenAI Global, LLC, and the Company’s investment in the Class A Interest of CW Opportunity 2 LP which is invested in the Series C Preferred shares of CoreWeave, Inc.</w:t>
      </w:r>
    </w:p>
    <w:p>
      <w:pPr>
        <w:spacing w:after="0" w:line="132"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Common Stock includes the Company’s Limited Partner Fund Investment in True Global Ventures 4 Plus Pte Ltd.</w:t>
      </w:r>
    </w:p>
    <w:p>
      <w:pPr>
        <w:spacing w:after="0" w:line="192"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nine months ended September 30, 2024, the Company’s portfolio investments had the following corporate actions which are reflected above:</w:t>
      </w:r>
    </w:p>
    <w:p>
      <w:pPr>
        <w:spacing w:after="0" w:line="188" w:lineRule="exact"/>
        <w:rPr>
          <w:sz w:val="20"/>
          <w:szCs w:val="20"/>
          <w:color w:val="auto"/>
        </w:rPr>
      </w:pPr>
    </w:p>
    <w:tbl>
      <w:tblPr>
        <w:tblLayout w:type="fixed"/>
        <w:tblInd w:w="9" w:type="dxa"/>
        <w:tblCellMar>
          <w:top w:w="0" w:type="dxa"/>
          <w:left w:w="0" w:type="dxa"/>
          <w:bottom w:w="0" w:type="dxa"/>
          <w:right w:w="0" w:type="dxa"/>
        </w:tblCellMar>
      </w:tblPr>
      <w:tr>
        <w:trPr>
          <w:trHeight w:val="207"/>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Portfolio Company</w:t>
            </w:r>
          </w:p>
        </w:tc>
        <w:tc>
          <w:tcPr>
            <w:tcW w:w="220" w:type="dxa"/>
            <w:vAlign w:val="bottom"/>
            <w:tcBorders>
              <w:bottom w:val="single" w:sz="8" w:color="CCEEFF"/>
            </w:tcBorders>
          </w:tcPr>
          <w:p>
            <w:pPr>
              <w:spacing w:after="0"/>
              <w:rPr>
                <w:sz w:val="17"/>
                <w:szCs w:val="17"/>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Conversion from</w:t>
            </w:r>
          </w:p>
        </w:tc>
        <w:tc>
          <w:tcPr>
            <w:tcW w:w="220" w:type="dxa"/>
            <w:vAlign w:val="bottom"/>
            <w:tcBorders>
              <w:bottom w:val="single" w:sz="8" w:color="CCEEFF"/>
            </w:tcBorders>
          </w:tcPr>
          <w:p>
            <w:pPr>
              <w:spacing w:after="0"/>
              <w:rPr>
                <w:sz w:val="17"/>
                <w:szCs w:val="17"/>
                <w:color w:val="auto"/>
              </w:rPr>
            </w:pPr>
          </w:p>
        </w:tc>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Conversion to</w:t>
            </w:r>
          </w:p>
        </w:tc>
        <w:tc>
          <w:tcPr>
            <w:tcW w:w="0" w:type="dxa"/>
            <w:vAlign w:val="bottom"/>
          </w:tcPr>
          <w:p>
            <w:pPr>
              <w:spacing w:after="0"/>
              <w:rPr>
                <w:sz w:val="1"/>
                <w:szCs w:val="1"/>
                <w:color w:val="auto"/>
              </w:rPr>
            </w:pPr>
          </w:p>
        </w:tc>
      </w:tr>
      <w:tr>
        <w:trPr>
          <w:trHeight w:val="165"/>
        </w:trPr>
        <w:tc>
          <w:tcPr>
            <w:tcW w:w="36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AltC Sponsor LLC</w:t>
            </w:r>
          </w:p>
        </w:tc>
        <w:tc>
          <w:tcPr>
            <w:tcW w:w="338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5"/>
                <w:szCs w:val="15"/>
                <w:color w:val="auto"/>
              </w:rPr>
              <w:t>Common shares, Class A</w:t>
            </w:r>
          </w:p>
        </w:tc>
        <w:tc>
          <w:tcPr>
            <w:tcW w:w="220" w:type="dxa"/>
            <w:vAlign w:val="bottom"/>
            <w:shd w:val="clear" w:color="auto" w:fill="CCEEFF"/>
          </w:tcPr>
          <w:p>
            <w:pPr>
              <w:spacing w:after="0"/>
              <w:rPr>
                <w:sz w:val="14"/>
                <w:szCs w:val="14"/>
                <w:color w:val="auto"/>
              </w:rPr>
            </w:pPr>
          </w:p>
        </w:tc>
        <w:tc>
          <w:tcPr>
            <w:tcW w:w="4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Oklo, Inc. - Common shares, Class A (Level 2)</w:t>
            </w:r>
          </w:p>
        </w:tc>
        <w:tc>
          <w:tcPr>
            <w:tcW w:w="0" w:type="dxa"/>
            <w:vAlign w:val="bottom"/>
          </w:tcPr>
          <w:p>
            <w:pPr>
              <w:spacing w:after="0"/>
              <w:rPr>
                <w:sz w:val="1"/>
                <w:szCs w:val="1"/>
                <w:color w:val="auto"/>
              </w:rPr>
            </w:pPr>
          </w:p>
        </w:tc>
      </w:tr>
      <w:tr>
        <w:trPr>
          <w:trHeight w:val="106"/>
        </w:trPr>
        <w:tc>
          <w:tcPr>
            <w:tcW w:w="3600" w:type="dxa"/>
            <w:vAlign w:val="bottom"/>
            <w:gridSpan w:val="2"/>
            <w:vMerge w:val="continue"/>
            <w:shd w:val="clear" w:color="auto" w:fill="CCEEFF"/>
          </w:tcPr>
          <w:p>
            <w:pPr>
              <w:spacing w:after="0"/>
              <w:rPr>
                <w:sz w:val="9"/>
                <w:szCs w:val="9"/>
                <w:color w:val="auto"/>
              </w:rPr>
            </w:pPr>
          </w:p>
        </w:tc>
        <w:tc>
          <w:tcPr>
            <w:tcW w:w="360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color w:val="auto"/>
              </w:rPr>
              <w:t>Common shares, Class B</w:t>
            </w:r>
          </w:p>
        </w:tc>
        <w:tc>
          <w:tcPr>
            <w:tcW w:w="40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3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600" w:type="dxa"/>
            <w:vAlign w:val="bottom"/>
            <w:gridSpan w:val="2"/>
            <w:vMerge w:val="continue"/>
            <w:shd w:val="clear" w:color="auto" w:fill="CCEEFF"/>
          </w:tcPr>
          <w:p>
            <w:pPr>
              <w:spacing w:after="0"/>
              <w:rPr>
                <w:sz w:val="7"/>
                <w:szCs w:val="7"/>
                <w:color w:val="auto"/>
              </w:rPr>
            </w:pPr>
          </w:p>
        </w:tc>
        <w:tc>
          <w:tcPr>
            <w:tcW w:w="40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60" w:type="dxa"/>
            <w:vAlign w:val="bottom"/>
          </w:tcPr>
          <w:p>
            <w:pPr>
              <w:jc w:val="center"/>
              <w:spacing w:after="0" w:line="168" w:lineRule="exact"/>
              <w:rPr>
                <w:sz w:val="20"/>
                <w:szCs w:val="20"/>
                <w:color w:val="auto"/>
              </w:rPr>
            </w:pPr>
            <w:r>
              <w:rPr>
                <w:rFonts w:ascii="Times New Roman" w:cs="Times New Roman" w:eastAsia="Times New Roman" w:hAnsi="Times New Roman"/>
                <w:sz w:val="15"/>
                <w:szCs w:val="15"/>
                <w:color w:val="auto"/>
              </w:rPr>
              <w:t>Preferred shares, Series A-1</w:t>
            </w:r>
          </w:p>
        </w:tc>
        <w:tc>
          <w:tcPr>
            <w:tcW w:w="0" w:type="dxa"/>
            <w:vAlign w:val="bottom"/>
          </w:tcPr>
          <w:p>
            <w:pPr>
              <w:spacing w:after="0"/>
              <w:rPr>
                <w:sz w:val="1"/>
                <w:szCs w:val="1"/>
                <w:color w:val="auto"/>
              </w:rPr>
            </w:pPr>
          </w:p>
        </w:tc>
      </w:tr>
      <w:tr>
        <w:trPr>
          <w:trHeight w:val="182"/>
        </w:trPr>
        <w:tc>
          <w:tcPr>
            <w:tcW w:w="3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Xgroup Holdings Limited (d/b/a Xpoint)</w:t>
            </w:r>
          </w:p>
        </w:tc>
        <w:tc>
          <w:tcPr>
            <w:tcW w:w="36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Convertible Note 6%, Due 10/17/2024</w:t>
            </w:r>
          </w:p>
        </w:tc>
        <w:tc>
          <w:tcPr>
            <w:tcW w:w="40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Warrants, Series A-1</w:t>
            </w:r>
          </w:p>
        </w:tc>
        <w:tc>
          <w:tcPr>
            <w:tcW w:w="0" w:type="dxa"/>
            <w:vAlign w:val="bottom"/>
          </w:tcPr>
          <w:p>
            <w:pPr>
              <w:spacing w:after="0"/>
              <w:rPr>
                <w:sz w:val="1"/>
                <w:szCs w:val="1"/>
                <w:color w:val="auto"/>
              </w:rPr>
            </w:pPr>
          </w:p>
        </w:tc>
      </w:tr>
      <w:tr>
        <w:trPr>
          <w:trHeight w:val="197"/>
        </w:trPr>
        <w:tc>
          <w:tcPr>
            <w:tcW w:w="3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Warrants, Series A</w:t>
            </w:r>
          </w:p>
        </w:tc>
        <w:tc>
          <w:tcPr>
            <w:tcW w:w="0" w:type="dxa"/>
            <w:vAlign w:val="bottom"/>
          </w:tcPr>
          <w:p>
            <w:pPr>
              <w:spacing w:after="0"/>
              <w:rPr>
                <w:sz w:val="1"/>
                <w:szCs w:val="1"/>
                <w:color w:val="auto"/>
              </w:rPr>
            </w:pPr>
          </w:p>
        </w:tc>
      </w:tr>
      <w:tr>
        <w:trPr>
          <w:trHeight w:val="370"/>
        </w:trPr>
        <w:tc>
          <w:tcPr>
            <w:tcW w:w="3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jc w:val="right"/>
              <w:ind w:right="1204"/>
              <w:spacing w:after="0"/>
              <w:rPr>
                <w:sz w:val="20"/>
                <w:szCs w:val="20"/>
                <w:color w:val="auto"/>
              </w:rPr>
            </w:pPr>
            <w:r>
              <w:rPr>
                <w:rFonts w:ascii="Times New Roman" w:cs="Times New Roman" w:eastAsia="Times New Roman" w:hAnsi="Times New Roman"/>
                <w:sz w:val="15"/>
                <w:szCs w:val="15"/>
                <w:color w:val="auto"/>
              </w:rPr>
              <w:t>30</w:t>
            </w:r>
          </w:p>
        </w:tc>
        <w:tc>
          <w:tcPr>
            <w:tcW w:w="2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4441190</wp:posOffset>
            </wp:positionH>
            <wp:positionV relativeFrom="paragraph">
              <wp:posOffset>-831215</wp:posOffset>
            </wp:positionV>
            <wp:extent cx="13716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698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-831215</wp:posOffset>
            </wp:positionV>
            <wp:extent cx="14478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4780" cy="6985"/>
                    </a:xfrm>
                    <a:prstGeom prst="rect">
                      <a:avLst/>
                    </a:prstGeom>
                    <a:noFill/>
                  </pic:spPr>
                </pic:pic>
              </a:graphicData>
            </a:graphic>
          </wp:anchor>
        </w:drawing>
      </w:r>
    </w:p>
    <w:p>
      <w:pPr>
        <w:sectPr>
          <w:pgSz w:w="11900" w:h="16838" w:orient="portrait"/>
          <w:cols w:equalWidth="0" w:num="1">
            <w:col w:w="11269"/>
          </w:cols>
          <w:pgMar w:left="311" w:top="216" w:right="319" w:bottom="1440" w:gutter="0" w:footer="0" w:header="0"/>
        </w:sectPr>
      </w:pPr>
    </w:p>
    <w:bookmarkStart w:id="32" w:name="page33"/>
    <w:bookmarkEnd w:id="32"/>
    <w:p>
      <w:pPr>
        <w:ind w:left="9"/>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9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September 30, 2024</w:t>
      </w:r>
    </w:p>
    <w:p>
      <w:pPr>
        <w:spacing w:after="0" w:line="177"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The aggregate values of Level 3 assets and liabilities changed during the year ended December 31, 2023 as follows:</w:t>
      </w:r>
    </w:p>
    <w:p>
      <w:pPr>
        <w:spacing w:after="0" w:line="199"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6"/>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Year Ended December 31, 2023</w:t>
            </w:r>
          </w:p>
        </w:tc>
        <w:tc>
          <w:tcPr>
            <w:tcW w:w="9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4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Preferred</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120" w:type="dxa"/>
            <w:vAlign w:val="bottom"/>
          </w:tcPr>
          <w:p>
            <w:pPr>
              <w:spacing w:after="0"/>
              <w:rPr>
                <w:sz w:val="13"/>
                <w:szCs w:val="13"/>
                <w:color w:val="auto"/>
              </w:rPr>
            </w:pPr>
          </w:p>
        </w:tc>
        <w:tc>
          <w:tcPr>
            <w:tcW w:w="1340" w:type="dxa"/>
            <w:vAlign w:val="bottom"/>
            <w:gridSpan w:val="2"/>
          </w:tcPr>
          <w:p>
            <w:pPr>
              <w:jc w:val="right"/>
              <w:ind w:right="740"/>
              <w:spacing w:after="0" w:line="151" w:lineRule="exact"/>
              <w:rPr>
                <w:sz w:val="20"/>
                <w:szCs w:val="20"/>
                <w:color w:val="auto"/>
              </w:rPr>
            </w:pPr>
            <w:r>
              <w:rPr>
                <w:rFonts w:ascii="Times New Roman" w:cs="Times New Roman" w:eastAsia="Times New Roman" w:hAnsi="Times New Roman"/>
                <w:sz w:val="15"/>
                <w:szCs w:val="15"/>
                <w:b w:val="1"/>
                <w:bCs w:val="1"/>
                <w:color w:val="auto"/>
              </w:rPr>
              <w:t>Debt</w:t>
            </w:r>
          </w:p>
        </w:tc>
        <w:tc>
          <w:tcPr>
            <w:tcW w:w="200" w:type="dxa"/>
            <w:vAlign w:val="bottom"/>
          </w:tcPr>
          <w:p>
            <w:pPr>
              <w:spacing w:after="0"/>
              <w:rPr>
                <w:sz w:val="13"/>
                <w:szCs w:val="13"/>
                <w:color w:val="auto"/>
              </w:rPr>
            </w:pPr>
          </w:p>
        </w:tc>
        <w:tc>
          <w:tcPr>
            <w:tcW w:w="124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5"/>
                <w:szCs w:val="15"/>
                <w:b w:val="1"/>
                <w:bCs w:val="1"/>
                <w:color w:val="auto"/>
              </w:rPr>
              <w:t>Options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5"/>
        </w:trPr>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660"/>
              <w:spacing w:after="0" w:line="205" w:lineRule="exact"/>
              <w:rPr>
                <w:sz w:val="20"/>
                <w:szCs w:val="20"/>
                <w:color w:val="auto"/>
              </w:rPr>
            </w:pPr>
            <w:r>
              <w:rPr>
                <w:rFonts w:ascii="Times New Roman" w:cs="Times New Roman" w:eastAsia="Times New Roman" w:hAnsi="Times New Roman"/>
                <w:sz w:val="14"/>
                <w:szCs w:val="14"/>
                <w:b w:val="1"/>
                <w:bCs w:val="1"/>
                <w:color w:val="auto"/>
              </w:rPr>
              <w:t>Stock</w:t>
            </w:r>
            <w:r>
              <w:rPr>
                <w:rFonts w:ascii="Times New Roman" w:cs="Times New Roman" w:eastAsia="Times New Roman" w:hAnsi="Times New Roman"/>
                <w:sz w:val="23"/>
                <w:szCs w:val="23"/>
                <w:b w:val="1"/>
                <w:bCs w:val="1"/>
                <w:color w:val="auto"/>
                <w:vertAlign w:val="superscript"/>
              </w:rPr>
              <w:t>(1)</w:t>
            </w:r>
          </w:p>
        </w:tc>
        <w:tc>
          <w:tcPr>
            <w:tcW w:w="120" w:type="dxa"/>
            <w:vAlign w:val="bottom"/>
          </w:tcPr>
          <w:p>
            <w:pPr>
              <w:spacing w:after="0"/>
              <w:rPr>
                <w:sz w:val="17"/>
                <w:szCs w:val="17"/>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Investments</w:t>
            </w:r>
          </w:p>
        </w:tc>
        <w:tc>
          <w:tcPr>
            <w:tcW w:w="2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Fair Value as of December 31, 2022</w:t>
            </w:r>
          </w:p>
        </w:tc>
        <w:tc>
          <w:tcPr>
            <w:tcW w:w="320" w:type="dxa"/>
            <w:vAlign w:val="bottom"/>
            <w:gridSpan w:val="2"/>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117,214,465</w:t>
            </w:r>
          </w:p>
        </w:tc>
        <w:tc>
          <w:tcPr>
            <w:tcW w:w="340" w:type="dxa"/>
            <w:vAlign w:val="bottom"/>
            <w:gridSpan w:val="2"/>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18,692,931</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4,488,200</w:t>
            </w:r>
          </w:p>
        </w:tc>
        <w:tc>
          <w:tcPr>
            <w:tcW w:w="320" w:type="dxa"/>
            <w:vAlign w:val="bottom"/>
          </w:tcPr>
          <w:p>
            <w:pPr>
              <w:spacing w:after="0"/>
              <w:rPr>
                <w:sz w:val="15"/>
                <w:szCs w:val="15"/>
                <w:color w:val="auto"/>
              </w:rPr>
            </w:pP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3,469,497</w:t>
            </w:r>
          </w:p>
        </w:tc>
        <w:tc>
          <w:tcPr>
            <w:tcW w:w="320" w:type="dxa"/>
            <w:vAlign w:val="bottom"/>
          </w:tcPr>
          <w:p>
            <w:pPr>
              <w:spacing w:after="0"/>
              <w:rPr>
                <w:sz w:val="15"/>
                <w:szCs w:val="15"/>
                <w:color w:val="auto"/>
              </w:rPr>
            </w:pPr>
          </w:p>
        </w:tc>
        <w:tc>
          <w:tcPr>
            <w:tcW w:w="220" w:type="dxa"/>
            <w:vAlign w:val="bottom"/>
            <w:gridSpan w:val="2"/>
          </w:tcPr>
          <w:p>
            <w:pPr>
              <w:jc w:val="right"/>
              <w:ind w:right="86"/>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143,865,093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Transfers out of Level 3</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(1,554,355)</w:t>
            </w: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(1,157,487)</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(2,711,842)</w:t>
            </w:r>
          </w:p>
        </w:tc>
        <w:tc>
          <w:tcPr>
            <w:tcW w:w="0" w:type="dxa"/>
            <w:vAlign w:val="bottom"/>
          </w:tcPr>
          <w:p>
            <w:pPr>
              <w:spacing w:after="0"/>
              <w:rPr>
                <w:sz w:val="1"/>
                <w:szCs w:val="1"/>
                <w:color w:val="auto"/>
              </w:rPr>
            </w:pPr>
          </w:p>
        </w:tc>
      </w:tr>
      <w:tr>
        <w:trPr>
          <w:trHeight w:val="182"/>
        </w:trPr>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Purchases, capitalized fees and interest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2,510,363</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19,380,910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329,883</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2,264,274</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24,485,430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Sales/Maturity of investments</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(369,222)</w:t>
            </w: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(1,000,000)</w:t>
            </w:r>
          </w:p>
        </w:tc>
        <w:tc>
          <w:tcPr>
            <w:tcW w:w="2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(5,080)</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(1,374,302)</w:t>
            </w:r>
          </w:p>
        </w:tc>
        <w:tc>
          <w:tcPr>
            <w:tcW w:w="0" w:type="dxa"/>
            <w:vAlign w:val="bottom"/>
          </w:tcPr>
          <w:p>
            <w:pPr>
              <w:spacing w:after="0"/>
              <w:rPr>
                <w:sz w:val="1"/>
                <w:szCs w:val="1"/>
                <w:color w:val="auto"/>
              </w:rPr>
            </w:pPr>
          </w:p>
        </w:tc>
      </w:tr>
      <w:tr>
        <w:trPr>
          <w:trHeight w:val="216"/>
        </w:trPr>
        <w:tc>
          <w:tcPr>
            <w:tcW w:w="404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Exercises and conversions</w:t>
            </w:r>
            <w:r>
              <w:rPr>
                <w:rFonts w:ascii="Times New Roman" w:cs="Times New Roman" w:eastAsia="Times New Roman" w:hAnsi="Times New Roman"/>
                <w:sz w:val="25"/>
                <w:szCs w:val="25"/>
                <w:color w:val="auto"/>
                <w:vertAlign w:val="superscript"/>
              </w:rPr>
              <w:t>(1)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(2,859,095)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3,751,518</w:t>
            </w:r>
          </w:p>
        </w:tc>
        <w:tc>
          <w:tcPr>
            <w:tcW w:w="1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(500,000)</w:t>
            </w: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(361,603)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30,820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Realized gains/(losses)</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(10,914,376)</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1,195,703</w:t>
            </w: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(96,350)</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(9,815,023)</w:t>
            </w:r>
          </w:p>
        </w:tc>
        <w:tc>
          <w:tcPr>
            <w:tcW w:w="0" w:type="dxa"/>
            <w:vAlign w:val="bottom"/>
          </w:tcPr>
          <w:p>
            <w:pPr>
              <w:spacing w:after="0"/>
              <w:rPr>
                <w:sz w:val="1"/>
                <w:szCs w:val="1"/>
                <w:color w:val="auto"/>
              </w:rPr>
            </w:pPr>
          </w:p>
        </w:tc>
      </w:tr>
      <w:tr>
        <w:trPr>
          <w:trHeight w:val="168"/>
        </w:trPr>
        <w:tc>
          <w:tcPr>
            <w:tcW w:w="404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Net change in unrealized appreciation/(depreciation) included in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earnings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16,793,207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(2,010,693)</w:t>
            </w:r>
          </w:p>
        </w:tc>
        <w:tc>
          <w:tcPr>
            <w:tcW w:w="1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(219,349)</w:t>
            </w: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(475,090)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14,088,075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Fair Value as of December 31, 2023</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122,744,564</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39,086,792</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3,098,734</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3,638,161</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168,568,251</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line="159" w:lineRule="exact"/>
              <w:rPr>
                <w:sz w:val="20"/>
                <w:szCs w:val="20"/>
                <w:color w:val="auto"/>
              </w:rPr>
            </w:pPr>
            <w:r>
              <w:rPr>
                <w:rFonts w:ascii="Times New Roman" w:cs="Times New Roman" w:eastAsia="Times New Roman" w:hAnsi="Times New Roman"/>
                <w:sz w:val="15"/>
                <w:szCs w:val="15"/>
                <w:color w:val="auto"/>
              </w:rPr>
              <w:t>Net change in unrealized appreciation/ (depreciation) of Level 3</w:t>
            </w: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0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4040" w:type="dxa"/>
            <w:vAlign w:val="bottom"/>
          </w:tcPr>
          <w:p>
            <w:pPr>
              <w:spacing w:after="0"/>
              <w:rPr>
                <w:sz w:val="20"/>
                <w:szCs w:val="20"/>
                <w:color w:val="auto"/>
              </w:rPr>
            </w:pPr>
            <w:r>
              <w:rPr>
                <w:rFonts w:ascii="Times New Roman" w:cs="Times New Roman" w:eastAsia="Times New Roman" w:hAnsi="Times New Roman"/>
                <w:sz w:val="15"/>
                <w:szCs w:val="15"/>
                <w:color w:val="auto"/>
              </w:rPr>
              <w:t>investments still held as of December 31, 2023</w:t>
            </w:r>
          </w:p>
        </w:tc>
        <w:tc>
          <w:tcPr>
            <w:tcW w:w="320" w:type="dxa"/>
            <w:vAlign w:val="bottom"/>
            <w:gridSpan w:val="2"/>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5,878,830</w:t>
            </w:r>
          </w:p>
        </w:tc>
        <w:tc>
          <w:tcPr>
            <w:tcW w:w="340" w:type="dxa"/>
            <w:vAlign w:val="bottom"/>
            <w:gridSpan w:val="2"/>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(2,010,694)</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(219,349)</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(512,480)</w:t>
            </w:r>
          </w:p>
        </w:tc>
        <w:tc>
          <w:tcPr>
            <w:tcW w:w="220" w:type="dxa"/>
            <w:vAlign w:val="bottom"/>
            <w:gridSpan w:val="2"/>
          </w:tcPr>
          <w:p>
            <w:pPr>
              <w:jc w:val="right"/>
              <w:ind w:right="86"/>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3,136,307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78689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86890" cy="6985"/>
                    </a:xfrm>
                    <a:prstGeom prst="rect">
                      <a:avLst/>
                    </a:prstGeom>
                    <a:noFill/>
                  </pic:spPr>
                </pic:pic>
              </a:graphicData>
            </a:graphic>
          </wp:anchor>
        </w:drawing>
      </w:r>
    </w:p>
    <w:p>
      <w:pPr>
        <w:spacing w:after="0" w:line="170" w:lineRule="exact"/>
        <w:rPr>
          <w:sz w:val="20"/>
          <w:szCs w:val="20"/>
          <w:color w:val="auto"/>
        </w:rPr>
      </w:pPr>
    </w:p>
    <w:p>
      <w:pPr>
        <w:ind w:left="269" w:hanging="269"/>
        <w:spacing w:after="0"/>
        <w:tabs>
          <w:tab w:leader="none" w:pos="269"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Common Stock includes the Company's Limited Partner Fund Investment in True Global Ventures 4 Plus Pte Ltd.</w:t>
      </w:r>
    </w:p>
    <w:p>
      <w:pPr>
        <w:spacing w:after="0" w:line="24"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year ended December 31, 2023, the Company’s portfolio investments had the following corporate actions which are reflected above:</w:t>
      </w:r>
    </w:p>
    <w:p>
      <w:pPr>
        <w:spacing w:after="0" w:line="173"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Portfolio Company</w:t>
            </w:r>
          </w:p>
        </w:tc>
        <w:tc>
          <w:tcPr>
            <w:tcW w:w="220" w:type="dxa"/>
            <w:vAlign w:val="bottom"/>
            <w:tcBorders>
              <w:bottom w:val="single" w:sz="8" w:color="CCEEFF"/>
            </w:tcBorders>
          </w:tcPr>
          <w:p>
            <w:pPr>
              <w:spacing w:after="0"/>
              <w:rPr>
                <w:sz w:val="17"/>
                <w:szCs w:val="17"/>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Conversion from</w:t>
            </w:r>
          </w:p>
        </w:tc>
        <w:tc>
          <w:tcPr>
            <w:tcW w:w="220" w:type="dxa"/>
            <w:vAlign w:val="bottom"/>
            <w:tcBorders>
              <w:bottom w:val="single" w:sz="8" w:color="CCEEFF"/>
            </w:tcBorders>
          </w:tcPr>
          <w:p>
            <w:pPr>
              <w:spacing w:after="0"/>
              <w:rPr>
                <w:sz w:val="17"/>
                <w:szCs w:val="17"/>
                <w:color w:val="auto"/>
              </w:rPr>
            </w:pPr>
          </w:p>
        </w:tc>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Conversion to</w:t>
            </w:r>
          </w:p>
        </w:tc>
        <w:tc>
          <w:tcPr>
            <w:tcW w:w="0" w:type="dxa"/>
            <w:vAlign w:val="bottom"/>
          </w:tcPr>
          <w:p>
            <w:pPr>
              <w:spacing w:after="0"/>
              <w:rPr>
                <w:sz w:val="1"/>
                <w:szCs w:val="1"/>
                <w:color w:val="auto"/>
              </w:rPr>
            </w:pPr>
          </w:p>
        </w:tc>
      </w:tr>
      <w:tr>
        <w:trPr>
          <w:trHeight w:val="159"/>
        </w:trPr>
        <w:tc>
          <w:tcPr>
            <w:tcW w:w="3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Preferred shares, Series D</w:t>
            </w:r>
          </w:p>
        </w:tc>
        <w:tc>
          <w:tcPr>
            <w:tcW w:w="406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5"/>
                <w:szCs w:val="15"/>
                <w:color w:val="auto"/>
              </w:rPr>
              <w:t>Senior Preferred shares, Series 1</w:t>
            </w:r>
          </w:p>
        </w:tc>
        <w:tc>
          <w:tcPr>
            <w:tcW w:w="0" w:type="dxa"/>
            <w:vAlign w:val="bottom"/>
          </w:tcPr>
          <w:p>
            <w:pPr>
              <w:spacing w:after="0"/>
              <w:rPr>
                <w:sz w:val="1"/>
                <w:szCs w:val="1"/>
                <w:color w:val="auto"/>
              </w:rPr>
            </w:pPr>
          </w:p>
        </w:tc>
      </w:tr>
      <w:tr>
        <w:trPr>
          <w:trHeight w:val="91"/>
        </w:trPr>
        <w:tc>
          <w:tcPr>
            <w:tcW w:w="36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Orchard Technologies, Inc.</w:t>
            </w:r>
          </w:p>
        </w:tc>
        <w:tc>
          <w:tcPr>
            <w:tcW w:w="3600" w:type="dxa"/>
            <w:vAlign w:val="bottom"/>
            <w:gridSpan w:val="2"/>
            <w:vMerge w:val="continue"/>
            <w:shd w:val="clear" w:color="auto" w:fill="CCEEFF"/>
          </w:tcPr>
          <w:p>
            <w:pPr>
              <w:spacing w:after="0"/>
              <w:rPr>
                <w:sz w:val="7"/>
                <w:szCs w:val="7"/>
                <w:color w:val="auto"/>
              </w:rPr>
            </w:pPr>
          </w:p>
        </w:tc>
        <w:tc>
          <w:tcPr>
            <w:tcW w:w="4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Senior Preferred shares, Series 2</w:t>
            </w:r>
          </w:p>
        </w:tc>
        <w:tc>
          <w:tcPr>
            <w:tcW w:w="0" w:type="dxa"/>
            <w:vAlign w:val="bottom"/>
          </w:tcPr>
          <w:p>
            <w:pPr>
              <w:spacing w:after="0"/>
              <w:rPr>
                <w:sz w:val="1"/>
                <w:szCs w:val="1"/>
                <w:color w:val="auto"/>
              </w:rPr>
            </w:pPr>
          </w:p>
        </w:tc>
      </w:tr>
      <w:tr>
        <w:trPr>
          <w:trHeight w:val="91"/>
        </w:trPr>
        <w:tc>
          <w:tcPr>
            <w:tcW w:w="3600" w:type="dxa"/>
            <w:vAlign w:val="bottom"/>
            <w:gridSpan w:val="2"/>
            <w:vMerge w:val="continue"/>
            <w:shd w:val="clear" w:color="auto" w:fill="CCEEFF"/>
          </w:tcPr>
          <w:p>
            <w:pPr>
              <w:spacing w:after="0"/>
              <w:rPr>
                <w:sz w:val="7"/>
                <w:szCs w:val="7"/>
                <w:color w:val="auto"/>
              </w:rPr>
            </w:pPr>
          </w:p>
        </w:tc>
        <w:tc>
          <w:tcPr>
            <w:tcW w:w="360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color w:val="auto"/>
              </w:rPr>
              <w:t>Simple Agreement for Future Equity</w:t>
            </w:r>
          </w:p>
        </w:tc>
        <w:tc>
          <w:tcPr>
            <w:tcW w:w="40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33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0" w:type="dxa"/>
            <w:vAlign w:val="bottom"/>
            <w:gridSpan w:val="2"/>
            <w:vMerge w:val="continue"/>
            <w:shd w:val="clear" w:color="auto" w:fill="CCEEFF"/>
          </w:tcPr>
          <w:p>
            <w:pPr>
              <w:spacing w:after="0"/>
              <w:rPr>
                <w:sz w:val="9"/>
                <w:szCs w:val="9"/>
                <w:color w:val="auto"/>
              </w:rPr>
            </w:pPr>
          </w:p>
        </w:tc>
        <w:tc>
          <w:tcPr>
            <w:tcW w:w="4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Common Shares, Class A</w:t>
            </w:r>
          </w:p>
        </w:tc>
        <w:tc>
          <w:tcPr>
            <w:tcW w:w="0" w:type="dxa"/>
            <w:vAlign w:val="bottom"/>
          </w:tcPr>
          <w:p>
            <w:pPr>
              <w:spacing w:after="0"/>
              <w:rPr>
                <w:sz w:val="1"/>
                <w:szCs w:val="1"/>
                <w:color w:val="auto"/>
              </w:rPr>
            </w:pPr>
          </w:p>
        </w:tc>
      </w:tr>
      <w:tr>
        <w:trPr>
          <w:trHeight w:val="91"/>
        </w:trPr>
        <w:tc>
          <w:tcPr>
            <w:tcW w:w="33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3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3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Shogun Enterprises, Inc. (d/b/a Hearth)</w:t>
            </w:r>
          </w:p>
        </w:tc>
        <w:tc>
          <w:tcPr>
            <w:tcW w:w="36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Convertible Note 0.5%</w:t>
            </w:r>
          </w:p>
        </w:tc>
        <w:tc>
          <w:tcPr>
            <w:tcW w:w="40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Preferred Shares, Series B-3</w:t>
            </w:r>
          </w:p>
        </w:tc>
        <w:tc>
          <w:tcPr>
            <w:tcW w:w="0" w:type="dxa"/>
            <w:vAlign w:val="bottom"/>
          </w:tcPr>
          <w:p>
            <w:pPr>
              <w:spacing w:after="0"/>
              <w:rPr>
                <w:sz w:val="1"/>
                <w:szCs w:val="1"/>
                <w:color w:val="auto"/>
              </w:rPr>
            </w:pPr>
          </w:p>
        </w:tc>
      </w:tr>
      <w:tr>
        <w:trPr>
          <w:trHeight w:val="168"/>
        </w:trPr>
        <w:tc>
          <w:tcPr>
            <w:tcW w:w="3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color w:val="auto"/>
              </w:rPr>
              <w:t>Class B Units</w:t>
            </w:r>
          </w:p>
        </w:tc>
        <w:tc>
          <w:tcPr>
            <w:tcW w:w="406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5"/>
                <w:szCs w:val="15"/>
                <w:color w:val="auto"/>
              </w:rPr>
              <w:t>PSQ Holdings, Inc. (d/b/a PublicSquare) - Common shares, Class</w:t>
            </w:r>
          </w:p>
        </w:tc>
        <w:tc>
          <w:tcPr>
            <w:tcW w:w="0" w:type="dxa"/>
            <w:vAlign w:val="bottom"/>
          </w:tcPr>
          <w:p>
            <w:pPr>
              <w:spacing w:after="0"/>
              <w:rPr>
                <w:sz w:val="1"/>
                <w:szCs w:val="1"/>
                <w:color w:val="auto"/>
              </w:rPr>
            </w:pPr>
          </w:p>
        </w:tc>
      </w:tr>
      <w:tr>
        <w:trPr>
          <w:trHeight w:val="91"/>
        </w:trPr>
        <w:tc>
          <w:tcPr>
            <w:tcW w:w="36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Colombier Sponsor LLC</w:t>
            </w:r>
          </w:p>
        </w:tc>
        <w:tc>
          <w:tcPr>
            <w:tcW w:w="3600" w:type="dxa"/>
            <w:vAlign w:val="bottom"/>
            <w:gridSpan w:val="2"/>
            <w:vMerge w:val="continue"/>
            <w:shd w:val="clear" w:color="auto" w:fill="CCEEFF"/>
          </w:tcPr>
          <w:p>
            <w:pPr>
              <w:spacing w:after="0"/>
              <w:rPr>
                <w:sz w:val="7"/>
                <w:szCs w:val="7"/>
                <w:color w:val="auto"/>
              </w:rPr>
            </w:pPr>
          </w:p>
        </w:tc>
        <w:tc>
          <w:tcPr>
            <w:tcW w:w="4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A (Level 2)</w:t>
            </w:r>
          </w:p>
        </w:tc>
        <w:tc>
          <w:tcPr>
            <w:tcW w:w="0" w:type="dxa"/>
            <w:vAlign w:val="bottom"/>
          </w:tcPr>
          <w:p>
            <w:pPr>
              <w:spacing w:after="0"/>
              <w:rPr>
                <w:sz w:val="1"/>
                <w:szCs w:val="1"/>
                <w:color w:val="auto"/>
              </w:rPr>
            </w:pPr>
          </w:p>
        </w:tc>
      </w:tr>
      <w:tr>
        <w:trPr>
          <w:trHeight w:val="91"/>
        </w:trPr>
        <w:tc>
          <w:tcPr>
            <w:tcW w:w="3600" w:type="dxa"/>
            <w:vAlign w:val="bottom"/>
            <w:gridSpan w:val="2"/>
            <w:vMerge w:val="continue"/>
            <w:shd w:val="clear" w:color="auto" w:fill="CCEEFF"/>
          </w:tcPr>
          <w:p>
            <w:pPr>
              <w:spacing w:after="0"/>
              <w:rPr>
                <w:sz w:val="7"/>
                <w:szCs w:val="7"/>
                <w:color w:val="auto"/>
              </w:rPr>
            </w:pPr>
          </w:p>
        </w:tc>
        <w:tc>
          <w:tcPr>
            <w:tcW w:w="360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color w:val="auto"/>
              </w:rPr>
              <w:t>Class W Units</w:t>
            </w:r>
          </w:p>
        </w:tc>
        <w:tc>
          <w:tcPr>
            <w:tcW w:w="40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33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0" w:type="dxa"/>
            <w:vAlign w:val="bottom"/>
            <w:gridSpan w:val="2"/>
            <w:vMerge w:val="continue"/>
            <w:shd w:val="clear" w:color="auto" w:fill="CCEEFF"/>
          </w:tcPr>
          <w:p>
            <w:pPr>
              <w:spacing w:after="0"/>
              <w:rPr>
                <w:sz w:val="9"/>
                <w:szCs w:val="9"/>
                <w:color w:val="auto"/>
              </w:rPr>
            </w:pPr>
          </w:p>
        </w:tc>
        <w:tc>
          <w:tcPr>
            <w:tcW w:w="4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PSQ Holdings, Inc. (d/b/a PublicSquare) Warrants (Level 1)</w:t>
            </w:r>
          </w:p>
        </w:tc>
        <w:tc>
          <w:tcPr>
            <w:tcW w:w="0" w:type="dxa"/>
            <w:vAlign w:val="bottom"/>
          </w:tcPr>
          <w:p>
            <w:pPr>
              <w:spacing w:after="0"/>
              <w:rPr>
                <w:sz w:val="1"/>
                <w:szCs w:val="1"/>
                <w:color w:val="auto"/>
              </w:rPr>
            </w:pPr>
          </w:p>
        </w:tc>
      </w:tr>
      <w:tr>
        <w:trPr>
          <w:trHeight w:val="91"/>
        </w:trPr>
        <w:tc>
          <w:tcPr>
            <w:tcW w:w="33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3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AltC Sponsor LLC</w:t>
            </w:r>
          </w:p>
        </w:tc>
        <w:tc>
          <w:tcPr>
            <w:tcW w:w="36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5"/>
                <w:szCs w:val="15"/>
                <w:color w:val="auto"/>
              </w:rPr>
              <w:t>Share units</w:t>
            </w:r>
          </w:p>
        </w:tc>
        <w:tc>
          <w:tcPr>
            <w:tcW w:w="4060" w:type="dxa"/>
            <w:vAlign w:val="bottom"/>
          </w:tcPr>
          <w:p>
            <w:pPr>
              <w:jc w:val="center"/>
              <w:spacing w:after="0" w:line="168" w:lineRule="exact"/>
              <w:rPr>
                <w:sz w:val="20"/>
                <w:szCs w:val="20"/>
                <w:color w:val="auto"/>
              </w:rPr>
            </w:pPr>
            <w:r>
              <w:rPr>
                <w:rFonts w:ascii="Times New Roman" w:cs="Times New Roman" w:eastAsia="Times New Roman" w:hAnsi="Times New Roman"/>
                <w:sz w:val="15"/>
                <w:szCs w:val="15"/>
                <w:color w:val="auto"/>
              </w:rPr>
              <w:t>Common shares, Class A</w:t>
            </w:r>
          </w:p>
        </w:tc>
        <w:tc>
          <w:tcPr>
            <w:tcW w:w="0" w:type="dxa"/>
            <w:vAlign w:val="bottom"/>
          </w:tcPr>
          <w:p>
            <w:pPr>
              <w:spacing w:after="0"/>
              <w:rPr>
                <w:sz w:val="1"/>
                <w:szCs w:val="1"/>
                <w:color w:val="auto"/>
              </w:rPr>
            </w:pPr>
          </w:p>
        </w:tc>
      </w:tr>
      <w:tr>
        <w:trPr>
          <w:trHeight w:val="106"/>
        </w:trPr>
        <w:tc>
          <w:tcPr>
            <w:tcW w:w="3600" w:type="dxa"/>
            <w:vAlign w:val="bottom"/>
            <w:gridSpan w:val="2"/>
            <w:vMerge w:val="continue"/>
          </w:tcPr>
          <w:p>
            <w:pPr>
              <w:spacing w:after="0"/>
              <w:rPr>
                <w:sz w:val="9"/>
                <w:szCs w:val="9"/>
                <w:color w:val="auto"/>
              </w:rPr>
            </w:pPr>
          </w:p>
        </w:tc>
        <w:tc>
          <w:tcPr>
            <w:tcW w:w="3600" w:type="dxa"/>
            <w:vAlign w:val="bottom"/>
            <w:gridSpan w:val="2"/>
            <w:vMerge w:val="continue"/>
          </w:tcPr>
          <w:p>
            <w:pPr>
              <w:spacing w:after="0"/>
              <w:rPr>
                <w:sz w:val="9"/>
                <w:szCs w:val="9"/>
                <w:color w:val="auto"/>
              </w:rPr>
            </w:pPr>
          </w:p>
        </w:tc>
        <w:tc>
          <w:tcPr>
            <w:tcW w:w="40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Common shares, Class B</w:t>
            </w:r>
          </w:p>
        </w:tc>
        <w:tc>
          <w:tcPr>
            <w:tcW w:w="0" w:type="dxa"/>
            <w:vAlign w:val="bottom"/>
          </w:tcPr>
          <w:p>
            <w:pPr>
              <w:spacing w:after="0"/>
              <w:rPr>
                <w:sz w:val="1"/>
                <w:szCs w:val="1"/>
                <w:color w:val="auto"/>
              </w:rPr>
            </w:pPr>
          </w:p>
        </w:tc>
      </w:tr>
      <w:tr>
        <w:trPr>
          <w:trHeight w:val="91"/>
        </w:trPr>
        <w:tc>
          <w:tcPr>
            <w:tcW w:w="3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70"/>
        </w:trPr>
        <w:tc>
          <w:tcPr>
            <w:tcW w:w="3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jc w:val="right"/>
              <w:ind w:right="1204"/>
              <w:spacing w:after="0"/>
              <w:rPr>
                <w:sz w:val="20"/>
                <w:szCs w:val="20"/>
                <w:color w:val="auto"/>
              </w:rPr>
            </w:pPr>
            <w:r>
              <w:rPr>
                <w:rFonts w:ascii="Times New Roman" w:cs="Times New Roman" w:eastAsia="Times New Roman" w:hAnsi="Times New Roman"/>
                <w:sz w:val="15"/>
                <w:szCs w:val="15"/>
                <w:color w:val="auto"/>
              </w:rPr>
              <w:t>31</w:t>
            </w:r>
          </w:p>
        </w:tc>
        <w:tc>
          <w:tcPr>
            <w:tcW w:w="2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4441190</wp:posOffset>
            </wp:positionH>
            <wp:positionV relativeFrom="paragraph">
              <wp:posOffset>-1294130</wp:posOffset>
            </wp:positionV>
            <wp:extent cx="13716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698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-1294130</wp:posOffset>
            </wp:positionV>
            <wp:extent cx="14478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4780" cy="6985"/>
                    </a:xfrm>
                    <a:prstGeom prst="rect">
                      <a:avLst/>
                    </a:prstGeom>
                    <a:noFill/>
                  </pic:spPr>
                </pic:pic>
              </a:graphicData>
            </a:graphic>
          </wp:anchor>
        </w:drawing>
      </w:r>
    </w:p>
    <w:p>
      <w:pPr>
        <w:sectPr>
          <w:pgSz w:w="11900" w:h="16838" w:orient="portrait"/>
          <w:cols w:equalWidth="0" w:num="1">
            <w:col w:w="11269"/>
          </w:cols>
          <w:pgMar w:left="311" w:top="216" w:right="319" w:bottom="1440" w:gutter="0" w:footer="0" w:header="0"/>
        </w:sectPr>
      </w:pPr>
    </w:p>
    <w:bookmarkStart w:id="33" w:name="page34"/>
    <w:bookmarkEnd w:id="33"/>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9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September 30,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Schedule of Investments In, and Advances to, Affiliates</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Transactions during the nine months ended September 30, 2024 involving the Company’s controlled investments and non-controlled/affiliate investments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Interest,</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8"/>
              </w:rPr>
              <w:t>Purchases,</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Fees, or</w:t>
            </w:r>
          </w:p>
        </w:tc>
        <w:tc>
          <w:tcPr>
            <w:tcW w:w="800" w:type="dxa"/>
            <w:vAlign w:val="bottom"/>
            <w:gridSpan w:val="3"/>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8"/>
              </w:rPr>
              <w:t>Fair Value</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4"/>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Capitalized</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8"/>
              </w:rPr>
              <w:t>Fair Value</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gridSpan w:val="7"/>
            <w:vMerge w:val="restart"/>
          </w:tcPr>
          <w:p>
            <w:pPr>
              <w:spacing w:after="0"/>
              <w:rPr>
                <w:sz w:val="20"/>
                <w:szCs w:val="20"/>
                <w:color w:val="auto"/>
              </w:rPr>
            </w:pPr>
            <w:r>
              <w:rPr>
                <w:rFonts w:ascii="Times New Roman" w:cs="Times New Roman" w:eastAsia="Times New Roman" w:hAnsi="Times New Roman"/>
                <w:sz w:val="15"/>
                <w:szCs w:val="15"/>
                <w:b w:val="1"/>
                <w:bCs w:val="1"/>
                <w:color w:val="auto"/>
              </w:rPr>
              <w:t>Type/Industry/Portfolio</w:t>
            </w:r>
          </w:p>
        </w:tc>
        <w:tc>
          <w:tcPr>
            <w:tcW w:w="8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Shares/</w:t>
            </w:r>
          </w:p>
        </w:tc>
        <w:tc>
          <w:tcPr>
            <w:tcW w:w="7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Dividends</w:t>
            </w:r>
          </w:p>
        </w:tc>
        <w:tc>
          <w:tcPr>
            <w:tcW w:w="60" w:type="dxa"/>
            <w:vAlign w:val="bottom"/>
          </w:tcPr>
          <w:p>
            <w:pPr>
              <w:spacing w:after="0"/>
              <w:rPr>
                <w:sz w:val="15"/>
                <w:szCs w:val="15"/>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at</w:t>
            </w:r>
          </w:p>
        </w:tc>
        <w:tc>
          <w:tcPr>
            <w:tcW w:w="40" w:type="dxa"/>
            <w:vAlign w:val="bottom"/>
          </w:tcPr>
          <w:p>
            <w:pPr>
              <w:spacing w:after="0"/>
              <w:rPr>
                <w:sz w:val="15"/>
                <w:szCs w:val="15"/>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Transfer In/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Fees,</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Realized</w:t>
            </w:r>
          </w:p>
        </w:tc>
        <w:tc>
          <w:tcPr>
            <w:tcW w:w="100" w:type="dxa"/>
            <w:vAlign w:val="bottom"/>
          </w:tcPr>
          <w:p>
            <w:pPr>
              <w:spacing w:after="0"/>
              <w:rPr>
                <w:sz w:val="15"/>
                <w:szCs w:val="15"/>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w w:val="99"/>
              </w:rPr>
              <w:t>Unrealized</w:t>
            </w:r>
          </w:p>
        </w:tc>
        <w:tc>
          <w:tcPr>
            <w:tcW w:w="100" w:type="dxa"/>
            <w:vAlign w:val="bottom"/>
          </w:tcPr>
          <w:p>
            <w:pPr>
              <w:spacing w:after="0"/>
              <w:rPr>
                <w:sz w:val="15"/>
                <w:szCs w:val="15"/>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5"/>
              </w:rPr>
              <w:t>at</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Percentage</w:t>
            </w:r>
          </w:p>
        </w:tc>
        <w:tc>
          <w:tcPr>
            <w:tcW w:w="0" w:type="dxa"/>
            <w:vAlign w:val="bottom"/>
          </w:tcPr>
          <w:p>
            <w:pPr>
              <w:spacing w:after="0"/>
              <w:rPr>
                <w:sz w:val="1"/>
                <w:szCs w:val="1"/>
                <w:color w:val="auto"/>
              </w:rPr>
            </w:pPr>
          </w:p>
        </w:tc>
      </w:tr>
      <w:tr>
        <w:trPr>
          <w:trHeight w:val="182"/>
        </w:trPr>
        <w:tc>
          <w:tcPr>
            <w:tcW w:w="1980" w:type="dxa"/>
            <w:vAlign w:val="bottom"/>
            <w:gridSpan w:val="7"/>
            <w:vMerge w:val="continue"/>
          </w:tcPr>
          <w:p>
            <w:pPr>
              <w:spacing w:after="0"/>
              <w:rPr>
                <w:sz w:val="15"/>
                <w:szCs w:val="15"/>
                <w:color w:val="auto"/>
              </w:rPr>
            </w:pPr>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Principal/</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Credited</w:t>
            </w: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December</w:t>
            </w:r>
          </w:p>
        </w:tc>
        <w:tc>
          <w:tcPr>
            <w:tcW w:w="4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920" w:type="dxa"/>
            <w:vAlign w:val="bottom"/>
            <w:gridSpan w:val="4"/>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Interest and</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September</w:t>
            </w:r>
          </w:p>
        </w:tc>
        <w:tc>
          <w:tcPr>
            <w:tcW w:w="4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of Net</w:t>
            </w:r>
          </w:p>
        </w:tc>
        <w:tc>
          <w:tcPr>
            <w:tcW w:w="0" w:type="dxa"/>
            <w:vAlign w:val="bottom"/>
          </w:tcPr>
          <w:p>
            <w:pPr>
              <w:spacing w:after="0"/>
              <w:rPr>
                <w:sz w:val="1"/>
                <w:szCs w:val="1"/>
                <w:color w:val="auto"/>
              </w:rPr>
            </w:pPr>
          </w:p>
        </w:tc>
      </w:tr>
      <w:tr>
        <w:trPr>
          <w:trHeight w:val="201"/>
        </w:trPr>
        <w:tc>
          <w:tcPr>
            <w:tcW w:w="1980" w:type="dxa"/>
            <w:vAlign w:val="bottom"/>
            <w:gridSpan w:val="7"/>
          </w:tcPr>
          <w:p>
            <w:pPr>
              <w:spacing w:after="0"/>
              <w:rPr>
                <w:sz w:val="20"/>
                <w:szCs w:val="20"/>
                <w:color w:val="auto"/>
              </w:rPr>
            </w:pPr>
            <w:r>
              <w:rPr>
                <w:rFonts w:ascii="Times New Roman" w:cs="Times New Roman" w:eastAsia="Times New Roman" w:hAnsi="Times New Roman"/>
                <w:sz w:val="15"/>
                <w:szCs w:val="15"/>
                <w:b w:val="1"/>
                <w:bCs w:val="1"/>
                <w:color w:val="auto"/>
              </w:rPr>
              <w:t>Company/Investment</w:t>
            </w:r>
          </w:p>
        </w:tc>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Quantity</w:t>
            </w:r>
          </w:p>
        </w:tc>
        <w:tc>
          <w:tcPr>
            <w:tcW w:w="7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in Income</w:t>
            </w:r>
          </w:p>
        </w:tc>
        <w:tc>
          <w:tcPr>
            <w:tcW w:w="60" w:type="dxa"/>
            <w:vAlign w:val="bottom"/>
          </w:tcPr>
          <w:p>
            <w:pPr>
              <w:spacing w:after="0"/>
              <w:rPr>
                <w:sz w:val="17"/>
                <w:szCs w:val="17"/>
                <w:color w:val="auto"/>
              </w:rPr>
            </w:pPr>
          </w:p>
        </w:tc>
        <w:tc>
          <w:tcPr>
            <w:tcW w:w="700" w:type="dxa"/>
            <w:vAlign w:val="bottom"/>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31, 2023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(Out)</w:t>
            </w:r>
          </w:p>
        </w:tc>
        <w:tc>
          <w:tcPr>
            <w:tcW w:w="920" w:type="dxa"/>
            <w:vAlign w:val="bottom"/>
            <w:gridSpan w:val="4"/>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1360" w:type="dxa"/>
            <w:vAlign w:val="bottom"/>
            <w:gridSpan w:val="4"/>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Sales/Redemptions</w:t>
            </w:r>
          </w:p>
        </w:tc>
        <w:tc>
          <w:tcPr>
            <w:tcW w:w="10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Gains/(Losses)</w:t>
            </w:r>
          </w:p>
        </w:tc>
        <w:tc>
          <w:tcPr>
            <w:tcW w:w="10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Gains/(Losses)</w:t>
            </w:r>
          </w:p>
        </w:tc>
        <w:tc>
          <w:tcPr>
            <w:tcW w:w="100" w:type="dxa"/>
            <w:vAlign w:val="bottom"/>
          </w:tcPr>
          <w:p>
            <w:pPr>
              <w:spacing w:after="0"/>
              <w:rPr>
                <w:sz w:val="17"/>
                <w:szCs w:val="17"/>
                <w:color w:val="auto"/>
              </w:rPr>
            </w:pPr>
          </w:p>
        </w:tc>
        <w:tc>
          <w:tcPr>
            <w:tcW w:w="660" w:type="dxa"/>
            <w:vAlign w:val="bottom"/>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rPr>
              <w:t>30, 2024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0" w:type="dxa"/>
            <w:vAlign w:val="bottom"/>
          </w:tcPr>
          <w:p>
            <w:pPr>
              <w:spacing w:after="0"/>
              <w:rPr>
                <w:sz w:val="1"/>
                <w:szCs w:val="1"/>
                <w:color w:val="auto"/>
              </w:rPr>
            </w:pPr>
          </w:p>
        </w:tc>
      </w:tr>
      <w:tr>
        <w:trPr>
          <w:trHeight w:val="139"/>
        </w:trPr>
        <w:tc>
          <w:tcPr>
            <w:tcW w:w="1080" w:type="dxa"/>
            <w:vAlign w:val="bottom"/>
            <w:tcBorders>
              <w:top w:val="single" w:sz="8" w:color="auto"/>
              <w:bottom w:val="single" w:sz="8" w:color="auto"/>
            </w:tcBorders>
            <w:gridSpan w:val="2"/>
            <w:shd w:val="clear" w:color="auto" w:fill="CCEEFF"/>
          </w:tcPr>
          <w:p>
            <w:pPr>
              <w:spacing w:after="0" w:line="140" w:lineRule="exact"/>
              <w:rPr>
                <w:sz w:val="20"/>
                <w:szCs w:val="20"/>
                <w:color w:val="auto"/>
              </w:rPr>
            </w:pPr>
            <w:r>
              <w:rPr>
                <w:rFonts w:ascii="Times New Roman" w:cs="Times New Roman" w:eastAsia="Times New Roman" w:hAnsi="Times New Roman"/>
                <w:sz w:val="15"/>
                <w:szCs w:val="15"/>
                <w:b w:val="1"/>
                <w:bCs w:val="1"/>
                <w:color w:val="auto"/>
                <w:w w:val="99"/>
              </w:rPr>
              <w:t>CONTROLLED</w:t>
            </w:r>
          </w:p>
        </w:tc>
        <w:tc>
          <w:tcPr>
            <w:tcW w:w="860" w:type="dxa"/>
            <w:vAlign w:val="bottom"/>
            <w:tcBorders>
              <w:top w:val="single" w:sz="8" w:color="auto"/>
              <w:bottom w:val="single" w:sz="8" w:color="CCEEFF"/>
            </w:tcBorders>
            <w:gridSpan w:val="4"/>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80" w:type="dxa"/>
            <w:vAlign w:val="bottom"/>
            <w:tcBorders>
              <w:bottom w:val="single" w:sz="8" w:color="CCEEFF"/>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9"/>
              </w:rPr>
              <w:t>INVESTMENTS*</w:t>
            </w:r>
          </w:p>
        </w:tc>
        <w:tc>
          <w:tcPr>
            <w:tcW w:w="140" w:type="dxa"/>
            <w:vAlign w:val="bottom"/>
            <w:tcBorders>
              <w:bottom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w w:val="78"/>
              </w:rPr>
              <w:t>(2)</w:t>
            </w:r>
          </w:p>
        </w:tc>
        <w:tc>
          <w:tcPr>
            <w:tcW w:w="600" w:type="dxa"/>
            <w:vAlign w:val="bottom"/>
            <w:tcBorders>
              <w:bottom w:val="single" w:sz="8" w:color="CCEEFF"/>
            </w:tcBorders>
            <w:vMerge w:val="restart"/>
            <w:shd w:val="clear" w:color="auto" w:fill="CCEEFF"/>
          </w:tcPr>
          <w:p>
            <w:pPr>
              <w:spacing w:after="0"/>
              <w:rPr>
                <w:sz w:val="12"/>
                <w:szCs w:val="12"/>
                <w:color w:val="auto"/>
              </w:rPr>
            </w:pPr>
          </w:p>
        </w:tc>
        <w:tc>
          <w:tcPr>
            <w:tcW w:w="60" w:type="dxa"/>
            <w:vAlign w:val="bottom"/>
            <w:tcBorders>
              <w:bottom w:val="single" w:sz="8" w:color="CCEEFF"/>
            </w:tcBorders>
            <w:gridSpan w:val="2"/>
            <w:vMerge w:val="restart"/>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1"/>
        </w:trPr>
        <w:tc>
          <w:tcPr>
            <w:tcW w:w="1180" w:type="dxa"/>
            <w:vAlign w:val="bottom"/>
            <w:tcBorders>
              <w:bottom w:val="single" w:sz="8" w:color="auto"/>
            </w:tcBorders>
            <w:gridSpan w:val="3"/>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600" w:type="dxa"/>
            <w:vAlign w:val="bottom"/>
            <w:tcBorders>
              <w:bottom w:val="single" w:sz="8" w:color="CCEEFF"/>
            </w:tcBorders>
            <w:vMerge w:val="continue"/>
            <w:shd w:val="clear" w:color="auto" w:fill="CCEEFF"/>
          </w:tcPr>
          <w:p>
            <w:pPr>
              <w:spacing w:after="0"/>
              <w:rPr>
                <w:sz w:val="4"/>
                <w:szCs w:val="4"/>
                <w:color w:val="auto"/>
              </w:rPr>
            </w:pPr>
          </w:p>
        </w:tc>
        <w:tc>
          <w:tcPr>
            <w:tcW w:w="60" w:type="dxa"/>
            <w:vAlign w:val="bottom"/>
            <w:tcBorders>
              <w:bottom w:val="single" w:sz="8" w:color="CCEEFF"/>
            </w:tcBorders>
            <w:gridSpan w:val="2"/>
            <w:vMerge w:val="continue"/>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6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5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9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980" w:type="dxa"/>
            <w:vAlign w:val="bottom"/>
            <w:gridSpan w:val="7"/>
          </w:tcPr>
          <w:p>
            <w:pPr>
              <w:spacing w:after="0"/>
              <w:rPr>
                <w:sz w:val="20"/>
                <w:szCs w:val="20"/>
                <w:color w:val="auto"/>
              </w:rPr>
            </w:pPr>
            <w:r>
              <w:rPr>
                <w:rFonts w:ascii="Times New Roman" w:cs="Times New Roman" w:eastAsia="Times New Roman" w:hAnsi="Times New Roman"/>
                <w:sz w:val="15"/>
                <w:szCs w:val="15"/>
                <w:b w:val="1"/>
                <w:bCs w:val="1"/>
                <w:color w:val="auto"/>
              </w:rPr>
              <w:t>Options</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980" w:type="dxa"/>
            <w:vAlign w:val="bottom"/>
            <w:gridSpan w:val="7"/>
            <w:shd w:val="clear" w:color="auto" w:fill="CCEEFF"/>
          </w:tcPr>
          <w:p>
            <w:pPr>
              <w:ind w:left="140"/>
              <w:spacing w:after="0" w:line="164" w:lineRule="exact"/>
              <w:rPr>
                <w:sz w:val="20"/>
                <w:szCs w:val="20"/>
                <w:color w:val="auto"/>
              </w:rPr>
            </w:pPr>
            <w:r>
              <w:rPr>
                <w:rFonts w:ascii="Times New Roman" w:cs="Times New Roman" w:eastAsia="Times New Roman" w:hAnsi="Times New Roman"/>
                <w:sz w:val="15"/>
                <w:szCs w:val="15"/>
                <w:i w:val="1"/>
                <w:iCs w:val="1"/>
                <w:color w:val="auto"/>
              </w:rPr>
              <w:t>Special Purpose Acquisition</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980" w:type="dxa"/>
            <w:vAlign w:val="bottom"/>
            <w:gridSpan w:val="7"/>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Company</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980" w:type="dxa"/>
            <w:vAlign w:val="bottom"/>
            <w:gridSpan w:val="7"/>
          </w:tcPr>
          <w:p>
            <w:pPr>
              <w:ind w:left="300"/>
              <w:spacing w:after="0" w:line="168" w:lineRule="exact"/>
              <w:rPr>
                <w:sz w:val="20"/>
                <w:szCs w:val="20"/>
                <w:color w:val="auto"/>
              </w:rPr>
            </w:pPr>
            <w:r>
              <w:rPr>
                <w:rFonts w:ascii="Times New Roman" w:cs="Times New Roman" w:eastAsia="Times New Roman" w:hAnsi="Times New Roman"/>
                <w:sz w:val="15"/>
                <w:szCs w:val="15"/>
                <w:color w:val="auto"/>
              </w:rPr>
              <w:t>Colombier Sponsor II</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980" w:type="dxa"/>
            <w:vAlign w:val="bottom"/>
            <w:gridSpan w:val="7"/>
          </w:tcPr>
          <w:p>
            <w:pPr>
              <w:ind w:left="300"/>
              <w:spacing w:after="0"/>
              <w:rPr>
                <w:sz w:val="20"/>
                <w:szCs w:val="20"/>
                <w:color w:val="auto"/>
              </w:rPr>
            </w:pPr>
            <w:r>
              <w:rPr>
                <w:rFonts w:ascii="Times New Roman" w:cs="Times New Roman" w:eastAsia="Times New Roman" w:hAnsi="Times New Roman"/>
                <w:sz w:val="15"/>
                <w:szCs w:val="15"/>
                <w:color w:val="auto"/>
              </w:rPr>
              <w:t>LLC**–Class W Units</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1,600,000</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498,305</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498,305</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0.32%</w:t>
            </w:r>
          </w:p>
        </w:tc>
        <w:tc>
          <w:tcPr>
            <w:tcW w:w="0" w:type="dxa"/>
            <w:vAlign w:val="bottom"/>
          </w:tcPr>
          <w:p>
            <w:pPr>
              <w:spacing w:after="0"/>
              <w:rPr>
                <w:sz w:val="1"/>
                <w:szCs w:val="1"/>
                <w:color w:val="auto"/>
              </w:rPr>
            </w:pPr>
          </w:p>
        </w:tc>
      </w:tr>
      <w:tr>
        <w:trPr>
          <w:trHeight w:val="182"/>
        </w:trPr>
        <w:tc>
          <w:tcPr>
            <w:tcW w:w="19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Options</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498,305</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498,305</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0.32%</w:t>
            </w:r>
          </w:p>
        </w:tc>
        <w:tc>
          <w:tcPr>
            <w:tcW w:w="0" w:type="dxa"/>
            <w:vAlign w:val="bottom"/>
          </w:tcPr>
          <w:p>
            <w:pPr>
              <w:spacing w:after="0"/>
              <w:rPr>
                <w:sz w:val="1"/>
                <w:szCs w:val="1"/>
                <w:color w:val="auto"/>
              </w:rPr>
            </w:pPr>
          </w:p>
        </w:tc>
      </w:tr>
      <w:tr>
        <w:trPr>
          <w:trHeight w:val="182"/>
        </w:trPr>
        <w:tc>
          <w:tcPr>
            <w:tcW w:w="1980" w:type="dxa"/>
            <w:vAlign w:val="bottom"/>
            <w:gridSpan w:val="7"/>
          </w:tcPr>
          <w:p>
            <w:pPr>
              <w:spacing w:after="0"/>
              <w:rPr>
                <w:sz w:val="20"/>
                <w:szCs w:val="20"/>
                <w:color w:val="auto"/>
              </w:rPr>
            </w:pPr>
            <w:r>
              <w:rPr>
                <w:rFonts w:ascii="Times New Roman" w:cs="Times New Roman" w:eastAsia="Times New Roman" w:hAnsi="Times New Roman"/>
                <w:sz w:val="15"/>
                <w:szCs w:val="15"/>
                <w:b w:val="1"/>
                <w:bCs w:val="1"/>
                <w:color w:val="auto"/>
              </w:rPr>
              <w:t>Preferred Stock</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gridSpan w:val="7"/>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Clean Technology</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980" w:type="dxa"/>
            <w:vAlign w:val="bottom"/>
            <w:gridSpan w:val="7"/>
          </w:tcPr>
          <w:p>
            <w:pPr>
              <w:ind w:left="300"/>
              <w:spacing w:after="0" w:line="168" w:lineRule="exact"/>
              <w:rPr>
                <w:sz w:val="20"/>
                <w:szCs w:val="20"/>
                <w:color w:val="auto"/>
              </w:rPr>
            </w:pPr>
            <w:r>
              <w:rPr>
                <w:rFonts w:ascii="Times New Roman" w:cs="Times New Roman" w:eastAsia="Times New Roman" w:hAnsi="Times New Roman"/>
                <w:sz w:val="15"/>
                <w:szCs w:val="15"/>
                <w:color w:val="auto"/>
              </w:rPr>
              <w:t>SPBRX, INC. (f/k/a GSV</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980" w:type="dxa"/>
            <w:vAlign w:val="bottom"/>
            <w:gridSpan w:val="7"/>
          </w:tcPr>
          <w:p>
            <w:pPr>
              <w:ind w:left="300"/>
              <w:spacing w:after="0"/>
              <w:rPr>
                <w:sz w:val="20"/>
                <w:szCs w:val="20"/>
                <w:color w:val="auto"/>
              </w:rPr>
            </w:pPr>
            <w:r>
              <w:rPr>
                <w:rFonts w:ascii="Times New Roman" w:cs="Times New Roman" w:eastAsia="Times New Roman" w:hAnsi="Times New Roman"/>
                <w:sz w:val="15"/>
                <w:szCs w:val="15"/>
                <w:color w:val="auto"/>
              </w:rPr>
              <w:t>Sustainability Partners,</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gridSpan w:val="7"/>
          </w:tcPr>
          <w:p>
            <w:pPr>
              <w:ind w:left="300"/>
              <w:spacing w:after="0"/>
              <w:rPr>
                <w:sz w:val="20"/>
                <w:szCs w:val="20"/>
                <w:color w:val="auto"/>
              </w:rPr>
            </w:pPr>
            <w:r>
              <w:rPr>
                <w:rFonts w:ascii="Times New Roman" w:cs="Times New Roman" w:eastAsia="Times New Roman" w:hAnsi="Times New Roman"/>
                <w:sz w:val="15"/>
                <w:szCs w:val="15"/>
                <w:color w:val="auto"/>
              </w:rPr>
              <w:t>Inc.)–Preferred shares,</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980" w:type="dxa"/>
            <w:vAlign w:val="bottom"/>
            <w:gridSpan w:val="7"/>
          </w:tcPr>
          <w:p>
            <w:pPr>
              <w:ind w:left="300"/>
              <w:spacing w:after="0"/>
              <w:rPr>
                <w:sz w:val="20"/>
                <w:szCs w:val="20"/>
                <w:color w:val="auto"/>
              </w:rPr>
            </w:pPr>
            <w:r>
              <w:rPr>
                <w:rFonts w:ascii="Times New Roman" w:cs="Times New Roman" w:eastAsia="Times New Roman" w:hAnsi="Times New Roman"/>
                <w:sz w:val="15"/>
                <w:szCs w:val="15"/>
                <w:color w:val="auto"/>
              </w:rPr>
              <w:t>Class A</w:t>
            </w:r>
          </w:p>
        </w:tc>
        <w:tc>
          <w:tcPr>
            <w:tcW w:w="8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382,381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(374,950)</w:t>
            </w:r>
          </w:p>
        </w:tc>
        <w:tc>
          <w:tcPr>
            <w:tcW w:w="14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(6,776,462)</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6,769,031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19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Preferred Stock</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382,381</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(374,950)</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(6,776,462)</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6,769,031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1980" w:type="dxa"/>
            <w:vAlign w:val="bottom"/>
            <w:gridSpan w:val="7"/>
          </w:tcPr>
          <w:p>
            <w:pPr>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gridSpan w:val="7"/>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Clean Technology</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980" w:type="dxa"/>
            <w:vAlign w:val="bottom"/>
            <w:gridSpan w:val="7"/>
          </w:tcPr>
          <w:p>
            <w:pPr>
              <w:ind w:left="300"/>
              <w:spacing w:after="0" w:line="168" w:lineRule="exact"/>
              <w:rPr>
                <w:sz w:val="20"/>
                <w:szCs w:val="20"/>
                <w:color w:val="auto"/>
              </w:rPr>
            </w:pPr>
            <w:r>
              <w:rPr>
                <w:rFonts w:ascii="Times New Roman" w:cs="Times New Roman" w:eastAsia="Times New Roman" w:hAnsi="Times New Roman"/>
                <w:sz w:val="15"/>
                <w:szCs w:val="15"/>
                <w:color w:val="auto"/>
              </w:rPr>
              <w:t>SPBRX, INC. (f/k/a GSV</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980" w:type="dxa"/>
            <w:vAlign w:val="bottom"/>
            <w:gridSpan w:val="7"/>
          </w:tcPr>
          <w:p>
            <w:pPr>
              <w:ind w:left="300"/>
              <w:spacing w:after="0"/>
              <w:rPr>
                <w:sz w:val="20"/>
                <w:szCs w:val="20"/>
                <w:color w:val="auto"/>
              </w:rPr>
            </w:pPr>
            <w:r>
              <w:rPr>
                <w:rFonts w:ascii="Times New Roman" w:cs="Times New Roman" w:eastAsia="Times New Roman" w:hAnsi="Times New Roman"/>
                <w:sz w:val="15"/>
                <w:szCs w:val="15"/>
                <w:color w:val="auto"/>
              </w:rPr>
              <w:t>Sustainability Partners,</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980" w:type="dxa"/>
            <w:vAlign w:val="bottom"/>
            <w:gridSpan w:val="7"/>
          </w:tcPr>
          <w:p>
            <w:pPr>
              <w:ind w:left="300"/>
              <w:spacing w:after="0"/>
              <w:rPr>
                <w:sz w:val="20"/>
                <w:szCs w:val="20"/>
                <w:color w:val="auto"/>
              </w:rPr>
            </w:pPr>
            <w:r>
              <w:rPr>
                <w:rFonts w:ascii="Times New Roman" w:cs="Times New Roman" w:eastAsia="Times New Roman" w:hAnsi="Times New Roman"/>
                <w:sz w:val="15"/>
                <w:szCs w:val="15"/>
                <w:color w:val="auto"/>
              </w:rPr>
              <w:t>Inc.)–Common shares</w:t>
            </w:r>
          </w:p>
        </w:tc>
        <w:tc>
          <w:tcPr>
            <w:tcW w:w="8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(10,000)</w:t>
            </w:r>
          </w:p>
        </w:tc>
        <w:tc>
          <w:tcPr>
            <w:tcW w:w="1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10,000</w:t>
            </w: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1980" w:type="dxa"/>
            <w:vAlign w:val="bottom"/>
            <w:gridSpan w:val="7"/>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Mobile Finance Technology</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980" w:type="dxa"/>
            <w:vAlign w:val="bottom"/>
            <w:gridSpan w:val="7"/>
          </w:tcPr>
          <w:p>
            <w:pPr>
              <w:ind w:left="300"/>
              <w:spacing w:after="0" w:line="168" w:lineRule="exact"/>
              <w:rPr>
                <w:sz w:val="20"/>
                <w:szCs w:val="20"/>
                <w:color w:val="auto"/>
              </w:rPr>
            </w:pPr>
            <w:r>
              <w:rPr>
                <w:rFonts w:ascii="Times New Roman" w:cs="Times New Roman" w:eastAsia="Times New Roman" w:hAnsi="Times New Roman"/>
                <w:sz w:val="15"/>
                <w:szCs w:val="15"/>
                <w:color w:val="auto"/>
              </w:rPr>
              <w:t>Architect Capital PayJoy</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980" w:type="dxa"/>
            <w:vAlign w:val="bottom"/>
            <w:gridSpan w:val="7"/>
          </w:tcPr>
          <w:p>
            <w:pPr>
              <w:ind w:left="300"/>
              <w:spacing w:after="0"/>
              <w:rPr>
                <w:sz w:val="20"/>
                <w:szCs w:val="20"/>
                <w:color w:val="auto"/>
              </w:rPr>
            </w:pPr>
            <w:r>
              <w:rPr>
                <w:rFonts w:ascii="Times New Roman" w:cs="Times New Roman" w:eastAsia="Times New Roman" w:hAnsi="Times New Roman"/>
                <w:sz w:val="15"/>
                <w:szCs w:val="15"/>
                <w:color w:val="auto"/>
              </w:rPr>
              <w:t>SPV, LLC**–Membership</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gridSpan w:val="7"/>
          </w:tcPr>
          <w:p>
            <w:pPr>
              <w:ind w:left="300"/>
              <w:spacing w:after="0"/>
              <w:rPr>
                <w:sz w:val="20"/>
                <w:szCs w:val="20"/>
                <w:color w:val="auto"/>
              </w:rPr>
            </w:pPr>
            <w:r>
              <w:rPr>
                <w:rFonts w:ascii="Times New Roman" w:cs="Times New Roman" w:eastAsia="Times New Roman" w:hAnsi="Times New Roman"/>
                <w:sz w:val="15"/>
                <w:szCs w:val="15"/>
                <w:color w:val="auto"/>
              </w:rPr>
              <w:t>Interest in Lending</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980" w:type="dxa"/>
            <w:vAlign w:val="bottom"/>
            <w:gridSpan w:val="7"/>
          </w:tcPr>
          <w:p>
            <w:pPr>
              <w:ind w:left="300"/>
              <w:spacing w:after="0"/>
              <w:rPr>
                <w:sz w:val="20"/>
                <w:szCs w:val="20"/>
                <w:color w:val="auto"/>
              </w:rPr>
            </w:pPr>
            <w:r>
              <w:rPr>
                <w:rFonts w:ascii="Times New Roman" w:cs="Times New Roman" w:eastAsia="Times New Roman" w:hAnsi="Times New Roman"/>
                <w:sz w:val="15"/>
                <w:szCs w:val="15"/>
                <w:color w:val="auto"/>
              </w:rPr>
              <w:t>SPV***</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955,628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10,000,000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(10,000,000)</w:t>
            </w:r>
          </w:p>
        </w:tc>
        <w:tc>
          <w:tcPr>
            <w:tcW w:w="14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(6,745)</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6,745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4"/>
        </w:trPr>
        <w:tc>
          <w:tcPr>
            <w:tcW w:w="1980" w:type="dxa"/>
            <w:vAlign w:val="bottom"/>
            <w:gridSpan w:val="7"/>
            <w:shd w:val="clear" w:color="auto" w:fill="CCEEFF"/>
          </w:tcPr>
          <w:p>
            <w:pPr>
              <w:ind w:left="140"/>
              <w:spacing w:after="0" w:line="164" w:lineRule="exact"/>
              <w:rPr>
                <w:sz w:val="20"/>
                <w:szCs w:val="20"/>
                <w:color w:val="auto"/>
              </w:rPr>
            </w:pPr>
            <w:r>
              <w:rPr>
                <w:rFonts w:ascii="Times New Roman" w:cs="Times New Roman" w:eastAsia="Times New Roman" w:hAnsi="Times New Roman"/>
                <w:sz w:val="15"/>
                <w:szCs w:val="15"/>
                <w:i w:val="1"/>
                <w:iCs w:val="1"/>
                <w:color w:val="auto"/>
              </w:rPr>
              <w:t>Special Purpose Acquisition</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980" w:type="dxa"/>
            <w:vAlign w:val="bottom"/>
            <w:gridSpan w:val="7"/>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Company</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980" w:type="dxa"/>
            <w:vAlign w:val="bottom"/>
            <w:gridSpan w:val="7"/>
          </w:tcPr>
          <w:p>
            <w:pPr>
              <w:ind w:left="300"/>
              <w:spacing w:after="0" w:line="168" w:lineRule="exact"/>
              <w:rPr>
                <w:sz w:val="20"/>
                <w:szCs w:val="20"/>
                <w:color w:val="auto"/>
              </w:rPr>
            </w:pPr>
            <w:r>
              <w:rPr>
                <w:rFonts w:ascii="Times New Roman" w:cs="Times New Roman" w:eastAsia="Times New Roman" w:hAnsi="Times New Roman"/>
                <w:sz w:val="15"/>
                <w:szCs w:val="15"/>
                <w:color w:val="auto"/>
              </w:rPr>
              <w:t>Colombier Sponsor II</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980" w:type="dxa"/>
            <w:vAlign w:val="bottom"/>
            <w:gridSpan w:val="7"/>
          </w:tcPr>
          <w:p>
            <w:pPr>
              <w:ind w:left="300"/>
              <w:spacing w:after="0"/>
              <w:rPr>
                <w:sz w:val="20"/>
                <w:szCs w:val="20"/>
                <w:color w:val="auto"/>
              </w:rPr>
            </w:pPr>
            <w:r>
              <w:rPr>
                <w:rFonts w:ascii="Times New Roman" w:cs="Times New Roman" w:eastAsia="Times New Roman" w:hAnsi="Times New Roman"/>
                <w:sz w:val="15"/>
                <w:szCs w:val="15"/>
                <w:color w:val="auto"/>
              </w:rPr>
              <w:t>LLC**–Class B Units</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1,040,000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1,101,695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1,101,695</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0.70%</w:t>
            </w:r>
          </w:p>
        </w:tc>
        <w:tc>
          <w:tcPr>
            <w:tcW w:w="0" w:type="dxa"/>
            <w:vAlign w:val="bottom"/>
          </w:tcPr>
          <w:p>
            <w:pPr>
              <w:spacing w:after="0"/>
              <w:rPr>
                <w:sz w:val="1"/>
                <w:szCs w:val="1"/>
                <w:color w:val="auto"/>
              </w:rPr>
            </w:pPr>
          </w:p>
        </w:tc>
      </w:tr>
      <w:tr>
        <w:trPr>
          <w:trHeight w:val="194"/>
        </w:trPr>
        <w:tc>
          <w:tcPr>
            <w:tcW w:w="19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Common Stock</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955,628</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11,101,695</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(10,000,000)</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(16,745)</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16,745</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1,101,695</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0.70%</w:t>
            </w:r>
          </w:p>
        </w:tc>
        <w:tc>
          <w:tcPr>
            <w:tcW w:w="0" w:type="dxa"/>
            <w:vAlign w:val="bottom"/>
          </w:tcPr>
          <w:p>
            <w:pPr>
              <w:spacing w:after="0"/>
              <w:rPr>
                <w:sz w:val="1"/>
                <w:szCs w:val="1"/>
                <w:color w:val="auto"/>
              </w:rPr>
            </w:pPr>
          </w:p>
        </w:tc>
      </w:tr>
      <w:tr>
        <w:trPr>
          <w:trHeight w:val="147"/>
        </w:trPr>
        <w:tc>
          <w:tcPr>
            <w:tcW w:w="1980" w:type="dxa"/>
            <w:vAlign w:val="bottom"/>
            <w:gridSpan w:val="7"/>
          </w:tcPr>
          <w:p>
            <w:pPr>
              <w:spacing w:after="0" w:line="148" w:lineRule="exact"/>
              <w:rPr>
                <w:sz w:val="20"/>
                <w:szCs w:val="20"/>
                <w:color w:val="auto"/>
              </w:rPr>
            </w:pPr>
            <w:r>
              <w:rPr>
                <w:rFonts w:ascii="Times New Roman" w:cs="Times New Roman" w:eastAsia="Times New Roman" w:hAnsi="Times New Roman"/>
                <w:sz w:val="15"/>
                <w:szCs w:val="15"/>
                <w:b w:val="1"/>
                <w:bCs w:val="1"/>
                <w:color w:val="auto"/>
              </w:rPr>
              <w:t>TOTAL CONTROLLED</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1980" w:type="dxa"/>
            <w:vAlign w:val="bottom"/>
            <w:gridSpan w:val="7"/>
          </w:tcPr>
          <w:p>
            <w:pPr>
              <w:spacing w:after="0" w:line="232" w:lineRule="exact"/>
              <w:rPr>
                <w:sz w:val="20"/>
                <w:szCs w:val="20"/>
                <w:color w:val="auto"/>
              </w:rPr>
            </w:pPr>
            <w:r>
              <w:rPr>
                <w:rFonts w:ascii="Times New Roman" w:cs="Times New Roman" w:eastAsia="Times New Roman" w:hAnsi="Times New Roman"/>
                <w:sz w:val="15"/>
                <w:szCs w:val="15"/>
                <w:b w:val="1"/>
                <w:bCs w:val="1"/>
                <w:color w:val="auto"/>
              </w:rPr>
              <w:t>INVESTMENTS*</w:t>
            </w:r>
            <w:r>
              <w:rPr>
                <w:rFonts w:ascii="Times New Roman" w:cs="Times New Roman" w:eastAsia="Times New Roman" w:hAnsi="Times New Roman"/>
                <w:sz w:val="25"/>
                <w:szCs w:val="25"/>
                <w:b w:val="1"/>
                <w:bCs w:val="1"/>
                <w:color w:val="auto"/>
                <w:vertAlign w:val="superscript"/>
              </w:rPr>
              <w:t>(2)</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955,628</w:t>
            </w:r>
          </w:p>
        </w:tc>
        <w:tc>
          <w:tcPr>
            <w:tcW w:w="10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11,982,381</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Pr>
          <w:p>
            <w:pPr>
              <w:spacing w:after="0"/>
              <w:rPr>
                <w:sz w:val="20"/>
                <w:szCs w:val="20"/>
                <w:color w:val="auto"/>
              </w:rPr>
            </w:pPr>
          </w:p>
        </w:tc>
        <w:tc>
          <w:tcPr>
            <w:tcW w:w="1060" w:type="dxa"/>
            <w:vAlign w:val="bottom"/>
            <w:gridSpan w:val="4"/>
          </w:tcPr>
          <w:p>
            <w:pPr>
              <w:jc w:val="right"/>
              <w:ind w:right="200"/>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(10,374,950)</w:t>
            </w:r>
          </w:p>
        </w:tc>
        <w:tc>
          <w:tcPr>
            <w:tcW w:w="1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(6,793,207)</w:t>
            </w:r>
          </w:p>
        </w:tc>
        <w:tc>
          <w:tcPr>
            <w:tcW w:w="1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6,785,776</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1,600,000</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1.02%</w:t>
            </w:r>
          </w:p>
        </w:tc>
        <w:tc>
          <w:tcPr>
            <w:tcW w:w="0" w:type="dxa"/>
            <w:vAlign w:val="bottom"/>
          </w:tcPr>
          <w:p>
            <w:pPr>
              <w:spacing w:after="0"/>
              <w:rPr>
                <w:sz w:val="1"/>
                <w:szCs w:val="1"/>
                <w:color w:val="auto"/>
              </w:rPr>
            </w:pPr>
          </w:p>
        </w:tc>
      </w:tr>
      <w:tr>
        <w:trPr>
          <w:trHeight w:val="148"/>
        </w:trPr>
        <w:tc>
          <w:tcPr>
            <w:tcW w:w="38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5"/>
                <w:szCs w:val="15"/>
                <w:b w:val="1"/>
                <w:bCs w:val="1"/>
                <w:color w:val="auto"/>
                <w:w w:val="93"/>
              </w:rPr>
              <w:t>NON-</w:t>
            </w:r>
          </w:p>
        </w:tc>
        <w:tc>
          <w:tcPr>
            <w:tcW w:w="1600" w:type="dxa"/>
            <w:vAlign w:val="bottom"/>
            <w:tcBorders>
              <w:bottom w:val="single" w:sz="8" w:color="CCEEFF"/>
            </w:tcBorders>
            <w:gridSpan w:val="6"/>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80" w:type="dxa"/>
            <w:vAlign w:val="bottom"/>
            <w:gridSpan w:val="7"/>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CONTROLLED/AFFILIATE</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180" w:type="dxa"/>
            <w:vAlign w:val="bottom"/>
            <w:tcBorders>
              <w:top w:val="single" w:sz="8" w:color="auto"/>
              <w:bottom w:val="single" w:sz="8" w:color="auto"/>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9"/>
              </w:rPr>
              <w:t>INVESTMENTS*</w:t>
            </w:r>
          </w:p>
        </w:tc>
        <w:tc>
          <w:tcPr>
            <w:tcW w:w="14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w w:val="78"/>
              </w:rPr>
              <w:t>(1)</w:t>
            </w:r>
          </w:p>
        </w:tc>
        <w:tc>
          <w:tcPr>
            <w:tcW w:w="60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2"/>
            <w:vMerge w:val="restart"/>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9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1"/>
        </w:trPr>
        <w:tc>
          <w:tcPr>
            <w:tcW w:w="1180" w:type="dxa"/>
            <w:vAlign w:val="bottom"/>
            <w:tcBorders>
              <w:bottom w:val="single" w:sz="8" w:color="auto"/>
            </w:tcBorders>
            <w:gridSpan w:val="3"/>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600" w:type="dxa"/>
            <w:vAlign w:val="bottom"/>
            <w:tcBorders>
              <w:bottom w:val="single" w:sz="8" w:color="CCEEFF"/>
            </w:tcBorders>
            <w:vMerge w:val="continue"/>
            <w:shd w:val="clear" w:color="auto" w:fill="CCEEFF"/>
          </w:tcPr>
          <w:p>
            <w:pPr>
              <w:spacing w:after="0"/>
              <w:rPr>
                <w:sz w:val="4"/>
                <w:szCs w:val="4"/>
                <w:color w:val="auto"/>
              </w:rPr>
            </w:pPr>
          </w:p>
        </w:tc>
        <w:tc>
          <w:tcPr>
            <w:tcW w:w="60" w:type="dxa"/>
            <w:vAlign w:val="bottom"/>
            <w:tcBorders>
              <w:bottom w:val="single" w:sz="8" w:color="CCEEFF"/>
            </w:tcBorders>
            <w:gridSpan w:val="2"/>
            <w:vMerge w:val="continue"/>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6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5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9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980" w:type="dxa"/>
            <w:vAlign w:val="bottom"/>
            <w:gridSpan w:val="7"/>
          </w:tcPr>
          <w:p>
            <w:pPr>
              <w:spacing w:after="0"/>
              <w:rPr>
                <w:sz w:val="20"/>
                <w:szCs w:val="20"/>
                <w:color w:val="auto"/>
              </w:rPr>
            </w:pPr>
            <w:r>
              <w:rPr>
                <w:rFonts w:ascii="Times New Roman" w:cs="Times New Roman" w:eastAsia="Times New Roman" w:hAnsi="Times New Roman"/>
                <w:sz w:val="15"/>
                <w:szCs w:val="15"/>
                <w:b w:val="1"/>
                <w:bCs w:val="1"/>
                <w:color w:val="auto"/>
              </w:rPr>
              <w:t>Debt Investments</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gridSpan w:val="7"/>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Global Innovation Platform</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980" w:type="dxa"/>
            <w:vAlign w:val="bottom"/>
            <w:gridSpan w:val="7"/>
          </w:tcPr>
          <w:p>
            <w:pPr>
              <w:ind w:left="300"/>
              <w:spacing w:after="0" w:line="168" w:lineRule="exact"/>
              <w:rPr>
                <w:sz w:val="20"/>
                <w:szCs w:val="20"/>
                <w:color w:val="auto"/>
              </w:rPr>
            </w:pPr>
            <w:r>
              <w:rPr>
                <w:rFonts w:ascii="Times New Roman" w:cs="Times New Roman" w:eastAsia="Times New Roman" w:hAnsi="Times New Roman"/>
                <w:sz w:val="15"/>
                <w:szCs w:val="15"/>
                <w:color w:val="auto"/>
              </w:rPr>
              <w:t>OneValley, Inc. (f/k/a</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980" w:type="dxa"/>
            <w:vAlign w:val="bottom"/>
            <w:gridSpan w:val="7"/>
          </w:tcPr>
          <w:p>
            <w:pPr>
              <w:ind w:left="300"/>
              <w:spacing w:after="0"/>
              <w:rPr>
                <w:sz w:val="20"/>
                <w:szCs w:val="20"/>
                <w:color w:val="auto"/>
              </w:rPr>
            </w:pPr>
            <w:r>
              <w:rPr>
                <w:rFonts w:ascii="Times New Roman" w:cs="Times New Roman" w:eastAsia="Times New Roman" w:hAnsi="Times New Roman"/>
                <w:sz w:val="15"/>
                <w:szCs w:val="15"/>
                <w:color w:val="auto"/>
              </w:rPr>
              <w:t>NestGSV, Inc.) –</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gridSpan w:val="7"/>
          </w:tcPr>
          <w:p>
            <w:pPr>
              <w:ind w:left="300"/>
              <w:spacing w:after="0"/>
              <w:rPr>
                <w:sz w:val="20"/>
                <w:szCs w:val="20"/>
                <w:color w:val="auto"/>
              </w:rPr>
            </w:pPr>
            <w:r>
              <w:rPr>
                <w:rFonts w:ascii="Times New Roman" w:cs="Times New Roman" w:eastAsia="Times New Roman" w:hAnsi="Times New Roman"/>
                <w:sz w:val="15"/>
                <w:szCs w:val="15"/>
                <w:color w:val="auto"/>
              </w:rPr>
              <w:t>Convertible Promissory</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980" w:type="dxa"/>
            <w:vAlign w:val="bottom"/>
            <w:gridSpan w:val="7"/>
          </w:tcPr>
          <w:p>
            <w:pPr>
              <w:ind w:left="300"/>
              <w:spacing w:after="0"/>
              <w:rPr>
                <w:sz w:val="20"/>
                <w:szCs w:val="20"/>
                <w:color w:val="auto"/>
              </w:rPr>
            </w:pPr>
            <w:r>
              <w:rPr>
                <w:rFonts w:ascii="Times New Roman" w:cs="Times New Roman" w:eastAsia="Times New Roman" w:hAnsi="Times New Roman"/>
                <w:sz w:val="15"/>
                <w:szCs w:val="15"/>
                <w:color w:val="auto"/>
              </w:rPr>
              <w:t>Note 8%, Due 8/23/2024</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1,267,395</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(1,414,278)</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384,102</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(237,219)</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19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Debt Investments</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1,267,395</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(1,414,278)</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384,102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(237,219)</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1980" w:type="dxa"/>
            <w:vAlign w:val="bottom"/>
            <w:gridSpan w:val="7"/>
          </w:tcPr>
          <w:p>
            <w:pPr>
              <w:spacing w:after="0"/>
              <w:rPr>
                <w:sz w:val="20"/>
                <w:szCs w:val="20"/>
                <w:color w:val="auto"/>
              </w:rPr>
            </w:pPr>
            <w:r>
              <w:rPr>
                <w:rFonts w:ascii="Times New Roman" w:cs="Times New Roman" w:eastAsia="Times New Roman" w:hAnsi="Times New Roman"/>
                <w:sz w:val="15"/>
                <w:szCs w:val="15"/>
                <w:b w:val="1"/>
                <w:bCs w:val="1"/>
                <w:color w:val="auto"/>
              </w:rPr>
              <w:t>Preferred Stock</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gridSpan w:val="7"/>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Knowledge Networks</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980" w:type="dxa"/>
            <w:vAlign w:val="bottom"/>
            <w:gridSpan w:val="7"/>
          </w:tcPr>
          <w:p>
            <w:pPr>
              <w:ind w:left="300"/>
              <w:spacing w:after="0" w:line="168" w:lineRule="exact"/>
              <w:rPr>
                <w:sz w:val="20"/>
                <w:szCs w:val="20"/>
                <w:color w:val="auto"/>
              </w:rPr>
            </w:pPr>
            <w:r>
              <w:rPr>
                <w:rFonts w:ascii="Times New Roman" w:cs="Times New Roman" w:eastAsia="Times New Roman" w:hAnsi="Times New Roman"/>
                <w:sz w:val="15"/>
                <w:szCs w:val="15"/>
                <w:color w:val="auto"/>
              </w:rPr>
              <w:t>Maven Research, Inc.–</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980" w:type="dxa"/>
            <w:vAlign w:val="bottom"/>
            <w:gridSpan w:val="7"/>
          </w:tcPr>
          <w:p>
            <w:pPr>
              <w:ind w:left="300"/>
              <w:spacing w:after="0"/>
              <w:rPr>
                <w:sz w:val="20"/>
                <w:szCs w:val="20"/>
                <w:color w:val="auto"/>
              </w:rPr>
            </w:pPr>
            <w:r>
              <w:rPr>
                <w:rFonts w:ascii="Times New Roman" w:cs="Times New Roman" w:eastAsia="Times New Roman" w:hAnsi="Times New Roman"/>
                <w:sz w:val="15"/>
                <w:szCs w:val="15"/>
                <w:color w:val="auto"/>
              </w:rPr>
              <w:t>Preferred shares, Series C</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318,979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8"/>
        </w:trPr>
        <w:tc>
          <w:tcPr>
            <w:tcW w:w="1980" w:type="dxa"/>
            <w:vAlign w:val="bottom"/>
            <w:gridSpan w:val="7"/>
            <w:shd w:val="clear" w:color="auto" w:fill="CCEEFF"/>
          </w:tcPr>
          <w:p>
            <w:pPr>
              <w:ind w:left="300"/>
              <w:spacing w:after="0" w:line="168" w:lineRule="exact"/>
              <w:rPr>
                <w:sz w:val="20"/>
                <w:szCs w:val="20"/>
                <w:color w:val="auto"/>
              </w:rPr>
            </w:pPr>
            <w:r>
              <w:rPr>
                <w:rFonts w:ascii="Times New Roman" w:cs="Times New Roman" w:eastAsia="Times New Roman" w:hAnsi="Times New Roman"/>
                <w:sz w:val="15"/>
                <w:szCs w:val="15"/>
                <w:color w:val="auto"/>
              </w:rPr>
              <w:t>Maven Research, Inc.–</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980" w:type="dxa"/>
            <w:vAlign w:val="bottom"/>
            <w:gridSpan w:val="7"/>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Preferred shares, Series B</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49,505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980" w:type="dxa"/>
            <w:vAlign w:val="bottom"/>
            <w:gridSpan w:val="7"/>
            <w:vMerge w:val="restart"/>
          </w:tcPr>
          <w:p>
            <w:pPr>
              <w:ind w:left="140"/>
              <w:spacing w:after="0"/>
              <w:rPr>
                <w:sz w:val="20"/>
                <w:szCs w:val="20"/>
                <w:color w:val="auto"/>
              </w:rPr>
            </w:pPr>
            <w:r>
              <w:rPr>
                <w:rFonts w:ascii="Times New Roman" w:cs="Times New Roman" w:eastAsia="Times New Roman" w:hAnsi="Times New Roman"/>
                <w:sz w:val="15"/>
                <w:szCs w:val="15"/>
                <w:i w:val="1"/>
                <w:iCs w:val="1"/>
                <w:color w:val="auto"/>
              </w:rPr>
              <w:t>Total Knowledge Networks</w:t>
            </w: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980" w:type="dxa"/>
            <w:vAlign w:val="bottom"/>
            <w:gridSpan w:val="7"/>
            <w:vMerge w:val="continue"/>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ind w:left="520"/>
              <w:spacing w:after="0"/>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1980" w:type="dxa"/>
            <w:vAlign w:val="bottom"/>
            <w:gridSpan w:val="7"/>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Interactive Learning</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980" w:type="dxa"/>
            <w:vAlign w:val="bottom"/>
            <w:gridSpan w:val="7"/>
          </w:tcPr>
          <w:p>
            <w:pPr>
              <w:ind w:left="300"/>
              <w:spacing w:after="0" w:line="202" w:lineRule="exact"/>
              <w:rPr>
                <w:sz w:val="20"/>
                <w:szCs w:val="20"/>
                <w:color w:val="auto"/>
              </w:rPr>
            </w:pPr>
            <w:r>
              <w:rPr>
                <w:rFonts w:ascii="Times New Roman" w:cs="Times New Roman" w:eastAsia="Times New Roman" w:hAnsi="Times New Roman"/>
                <w:sz w:val="14"/>
                <w:szCs w:val="14"/>
                <w:color w:val="auto"/>
              </w:rPr>
              <w:t>StormWind, LLC</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4"/>
                <w:szCs w:val="14"/>
                <w:color w:val="auto"/>
              </w:rPr>
              <w:t xml:space="preserve"> –</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980" w:type="dxa"/>
            <w:vAlign w:val="bottom"/>
            <w:gridSpan w:val="7"/>
          </w:tcPr>
          <w:p>
            <w:pPr>
              <w:ind w:left="300"/>
              <w:spacing w:after="0"/>
              <w:rPr>
                <w:sz w:val="20"/>
                <w:szCs w:val="20"/>
                <w:color w:val="auto"/>
              </w:rPr>
            </w:pPr>
            <w:r>
              <w:rPr>
                <w:rFonts w:ascii="Times New Roman" w:cs="Times New Roman" w:eastAsia="Times New Roman" w:hAnsi="Times New Roman"/>
                <w:sz w:val="15"/>
                <w:szCs w:val="15"/>
                <w:color w:val="auto"/>
              </w:rPr>
              <w:t>Preferred shares, Series D</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329,337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653,975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(181,418)</w:t>
            </w: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472,557</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0.30%</w:t>
            </w:r>
          </w:p>
        </w:tc>
        <w:tc>
          <w:tcPr>
            <w:tcW w:w="0" w:type="dxa"/>
            <w:vAlign w:val="bottom"/>
          </w:tcPr>
          <w:p>
            <w:pPr>
              <w:spacing w:after="0"/>
              <w:rPr>
                <w:sz w:val="1"/>
                <w:szCs w:val="1"/>
                <w:color w:val="auto"/>
              </w:rPr>
            </w:pPr>
          </w:p>
        </w:tc>
      </w:tr>
      <w:tr>
        <w:trPr>
          <w:trHeight w:val="202"/>
        </w:trPr>
        <w:tc>
          <w:tcPr>
            <w:tcW w:w="1980" w:type="dxa"/>
            <w:vAlign w:val="bottom"/>
            <w:gridSpan w:val="7"/>
            <w:shd w:val="clear" w:color="auto" w:fill="CCEEFF"/>
          </w:tcPr>
          <w:p>
            <w:pPr>
              <w:ind w:left="300"/>
              <w:spacing w:after="0" w:line="202" w:lineRule="exact"/>
              <w:rPr>
                <w:sz w:val="20"/>
                <w:szCs w:val="20"/>
                <w:color w:val="auto"/>
              </w:rPr>
            </w:pPr>
            <w:r>
              <w:rPr>
                <w:rFonts w:ascii="Times New Roman" w:cs="Times New Roman" w:eastAsia="Times New Roman" w:hAnsi="Times New Roman"/>
                <w:sz w:val="14"/>
                <w:szCs w:val="14"/>
                <w:color w:val="auto"/>
              </w:rPr>
              <w:t>StormWind, LLC</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4"/>
                <w:szCs w:val="14"/>
                <w:color w:val="auto"/>
              </w:rPr>
              <w:t xml:space="preserve"> –</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980" w:type="dxa"/>
            <w:vAlign w:val="bottom"/>
            <w:gridSpan w:val="7"/>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Preferred shares, Series C</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0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2,779,134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6,804,933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(1,700,394)</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5,104,539</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3.24%</w:t>
            </w:r>
          </w:p>
        </w:tc>
        <w:tc>
          <w:tcPr>
            <w:tcW w:w="0" w:type="dxa"/>
            <w:vAlign w:val="bottom"/>
          </w:tcPr>
          <w:p>
            <w:pPr>
              <w:spacing w:after="0"/>
              <w:rPr>
                <w:sz w:val="1"/>
                <w:szCs w:val="1"/>
                <w:color w:val="auto"/>
              </w:rPr>
            </w:pPr>
          </w:p>
        </w:tc>
      </w:tr>
      <w:tr>
        <w:trPr>
          <w:trHeight w:val="202"/>
        </w:trPr>
        <w:tc>
          <w:tcPr>
            <w:tcW w:w="1980" w:type="dxa"/>
            <w:vAlign w:val="bottom"/>
            <w:gridSpan w:val="7"/>
          </w:tcPr>
          <w:p>
            <w:pPr>
              <w:ind w:left="300"/>
              <w:spacing w:after="0" w:line="202" w:lineRule="exact"/>
              <w:rPr>
                <w:sz w:val="20"/>
                <w:szCs w:val="20"/>
                <w:color w:val="auto"/>
              </w:rPr>
            </w:pPr>
            <w:r>
              <w:rPr>
                <w:rFonts w:ascii="Times New Roman" w:cs="Times New Roman" w:eastAsia="Times New Roman" w:hAnsi="Times New Roman"/>
                <w:sz w:val="14"/>
                <w:szCs w:val="14"/>
                <w:color w:val="auto"/>
              </w:rPr>
              <w:t>StormWind, LLC</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4"/>
                <w:szCs w:val="14"/>
                <w:color w:val="auto"/>
              </w:rPr>
              <w:t xml:space="preserve"> –</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980" w:type="dxa"/>
            <w:vAlign w:val="bottom"/>
            <w:gridSpan w:val="7"/>
          </w:tcPr>
          <w:p>
            <w:pPr>
              <w:ind w:left="300"/>
              <w:spacing w:after="0"/>
              <w:rPr>
                <w:sz w:val="20"/>
                <w:szCs w:val="20"/>
                <w:color w:val="auto"/>
              </w:rPr>
            </w:pPr>
            <w:r>
              <w:rPr>
                <w:rFonts w:ascii="Times New Roman" w:cs="Times New Roman" w:eastAsia="Times New Roman" w:hAnsi="Times New Roman"/>
                <w:sz w:val="15"/>
                <w:szCs w:val="15"/>
                <w:color w:val="auto"/>
              </w:rPr>
              <w:t>Preferred shares, Series B</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3,279,629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4,751,064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(1,806,617)</w:t>
            </w: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2,944,447</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1.87%</w:t>
            </w:r>
          </w:p>
        </w:tc>
        <w:tc>
          <w:tcPr>
            <w:tcW w:w="0" w:type="dxa"/>
            <w:vAlign w:val="bottom"/>
          </w:tcPr>
          <w:p>
            <w:pPr>
              <w:spacing w:after="0"/>
              <w:rPr>
                <w:sz w:val="1"/>
                <w:szCs w:val="1"/>
                <w:color w:val="auto"/>
              </w:rPr>
            </w:pPr>
          </w:p>
        </w:tc>
      </w:tr>
      <w:tr>
        <w:trPr>
          <w:trHeight w:val="202"/>
        </w:trPr>
        <w:tc>
          <w:tcPr>
            <w:tcW w:w="1980" w:type="dxa"/>
            <w:vAlign w:val="bottom"/>
            <w:gridSpan w:val="7"/>
            <w:shd w:val="clear" w:color="auto" w:fill="CCEEFF"/>
          </w:tcPr>
          <w:p>
            <w:pPr>
              <w:ind w:left="300"/>
              <w:spacing w:after="0" w:line="202" w:lineRule="exact"/>
              <w:rPr>
                <w:sz w:val="20"/>
                <w:szCs w:val="20"/>
                <w:color w:val="auto"/>
              </w:rPr>
            </w:pPr>
            <w:r>
              <w:rPr>
                <w:rFonts w:ascii="Times New Roman" w:cs="Times New Roman" w:eastAsia="Times New Roman" w:hAnsi="Times New Roman"/>
                <w:sz w:val="14"/>
                <w:szCs w:val="14"/>
                <w:color w:val="auto"/>
              </w:rPr>
              <w:t>StormWind, LLC</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4"/>
                <w:szCs w:val="14"/>
                <w:color w:val="auto"/>
              </w:rPr>
              <w:t xml:space="preserve"> –</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980" w:type="dxa"/>
            <w:vAlign w:val="bottom"/>
            <w:gridSpan w:val="7"/>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Preferred shares, Series A</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0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366,666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325,903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(201,981)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123,922</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0.08%</w:t>
            </w:r>
          </w:p>
        </w:tc>
        <w:tc>
          <w:tcPr>
            <w:tcW w:w="0" w:type="dxa"/>
            <w:vAlign w:val="bottom"/>
          </w:tcPr>
          <w:p>
            <w:pPr>
              <w:spacing w:after="0"/>
              <w:rPr>
                <w:sz w:val="1"/>
                <w:szCs w:val="1"/>
                <w:color w:val="auto"/>
              </w:rPr>
            </w:pPr>
          </w:p>
        </w:tc>
      </w:tr>
      <w:tr>
        <w:trPr>
          <w:trHeight w:val="20"/>
        </w:trPr>
        <w:tc>
          <w:tcPr>
            <w:tcW w:w="1980" w:type="dxa"/>
            <w:vAlign w:val="bottom"/>
            <w:gridSpan w:val="7"/>
            <w:vMerge w:val="restart"/>
          </w:tcPr>
          <w:p>
            <w:pPr>
              <w:ind w:left="140"/>
              <w:spacing w:after="0"/>
              <w:rPr>
                <w:sz w:val="20"/>
                <w:szCs w:val="20"/>
                <w:color w:val="auto"/>
              </w:rPr>
            </w:pPr>
            <w:r>
              <w:rPr>
                <w:rFonts w:ascii="Times New Roman" w:cs="Times New Roman" w:eastAsia="Times New Roman" w:hAnsi="Times New Roman"/>
                <w:sz w:val="15"/>
                <w:szCs w:val="15"/>
                <w:i w:val="1"/>
                <w:iCs w:val="1"/>
                <w:color w:val="auto"/>
              </w:rPr>
              <w:t>Total Interactive Learning</w:t>
            </w: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980" w:type="dxa"/>
            <w:vAlign w:val="bottom"/>
            <w:gridSpan w:val="7"/>
            <w:vMerge w:val="continue"/>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12,535,875</w:t>
            </w:r>
          </w:p>
        </w:tc>
        <w:tc>
          <w:tcPr>
            <w:tcW w:w="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ind w:left="520"/>
              <w:spacing w:after="0"/>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(3,890,410)</w:t>
            </w:r>
          </w:p>
        </w:tc>
        <w:tc>
          <w:tcPr>
            <w:tcW w:w="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8,645,465</w:t>
            </w:r>
          </w:p>
        </w:tc>
        <w:tc>
          <w:tcPr>
            <w:tcW w:w="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5.49%</w:t>
            </w:r>
          </w:p>
        </w:tc>
        <w:tc>
          <w:tcPr>
            <w:tcW w:w="0" w:type="dxa"/>
            <w:vAlign w:val="bottom"/>
          </w:tcPr>
          <w:p>
            <w:pPr>
              <w:spacing w:after="0"/>
              <w:rPr>
                <w:sz w:val="1"/>
                <w:szCs w:val="1"/>
                <w:color w:val="auto"/>
              </w:rPr>
            </w:pPr>
          </w:p>
        </w:tc>
      </w:tr>
      <w:tr>
        <w:trPr>
          <w:trHeight w:val="182"/>
        </w:trPr>
        <w:tc>
          <w:tcPr>
            <w:tcW w:w="19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Preferred Stock</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12,535,875</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(3,890,410)</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8,645,465</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5.49%</w:t>
            </w:r>
          </w:p>
        </w:tc>
        <w:tc>
          <w:tcPr>
            <w:tcW w:w="0" w:type="dxa"/>
            <w:vAlign w:val="bottom"/>
          </w:tcPr>
          <w:p>
            <w:pPr>
              <w:spacing w:after="0"/>
              <w:rPr>
                <w:sz w:val="1"/>
                <w:szCs w:val="1"/>
                <w:color w:val="auto"/>
              </w:rPr>
            </w:pPr>
          </w:p>
        </w:tc>
      </w:tr>
      <w:tr>
        <w:trPr>
          <w:trHeight w:val="194"/>
        </w:trPr>
        <w:tc>
          <w:tcPr>
            <w:tcW w:w="1980" w:type="dxa"/>
            <w:vAlign w:val="bottom"/>
            <w:gridSpan w:val="7"/>
          </w:tcPr>
          <w:p>
            <w:pPr>
              <w:spacing w:after="0"/>
              <w:rPr>
                <w:sz w:val="20"/>
                <w:szCs w:val="20"/>
                <w:color w:val="auto"/>
              </w:rPr>
            </w:pPr>
            <w:r>
              <w:rPr>
                <w:rFonts w:ascii="Times New Roman" w:cs="Times New Roman" w:eastAsia="Times New Roman" w:hAnsi="Times New Roman"/>
                <w:sz w:val="15"/>
                <w:szCs w:val="15"/>
                <w:b w:val="1"/>
                <w:bCs w:val="1"/>
                <w:color w:val="auto"/>
              </w:rPr>
              <w:t>Options</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980" w:type="dxa"/>
            <w:vAlign w:val="bottom"/>
            <w:gridSpan w:val="7"/>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Global Innovation Platform</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980" w:type="dxa"/>
            <w:vAlign w:val="bottom"/>
            <w:gridSpan w:val="7"/>
          </w:tcPr>
          <w:p>
            <w:pPr>
              <w:ind w:left="300"/>
              <w:spacing w:after="0" w:line="168" w:lineRule="exact"/>
              <w:rPr>
                <w:sz w:val="20"/>
                <w:szCs w:val="20"/>
                <w:color w:val="auto"/>
              </w:rPr>
            </w:pPr>
            <w:r>
              <w:rPr>
                <w:rFonts w:ascii="Times New Roman" w:cs="Times New Roman" w:eastAsia="Times New Roman" w:hAnsi="Times New Roman"/>
                <w:sz w:val="15"/>
                <w:szCs w:val="15"/>
                <w:color w:val="auto"/>
              </w:rPr>
              <w:t>OneValley, Inc. (f/k/a</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980" w:type="dxa"/>
            <w:vAlign w:val="bottom"/>
            <w:gridSpan w:val="7"/>
          </w:tcPr>
          <w:p>
            <w:pPr>
              <w:ind w:left="300"/>
              <w:spacing w:after="0"/>
              <w:rPr>
                <w:sz w:val="20"/>
                <w:szCs w:val="20"/>
                <w:color w:val="auto"/>
              </w:rPr>
            </w:pPr>
            <w:r>
              <w:rPr>
                <w:rFonts w:ascii="Times New Roman" w:cs="Times New Roman" w:eastAsia="Times New Roman" w:hAnsi="Times New Roman"/>
                <w:sz w:val="15"/>
                <w:szCs w:val="15"/>
                <w:color w:val="auto"/>
              </w:rPr>
              <w:t>NestGSV, Inc.)–Derivative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80" w:type="dxa"/>
            <w:vAlign w:val="bottom"/>
            <w:gridSpan w:val="7"/>
          </w:tcPr>
          <w:p>
            <w:pPr>
              <w:ind w:left="300"/>
              <w:spacing w:after="0"/>
              <w:rPr>
                <w:sz w:val="20"/>
                <w:szCs w:val="20"/>
                <w:color w:val="auto"/>
              </w:rPr>
            </w:pPr>
            <w:r>
              <w:rPr>
                <w:rFonts w:ascii="Times New Roman" w:cs="Times New Roman" w:eastAsia="Times New Roman" w:hAnsi="Times New Roman"/>
                <w:sz w:val="15"/>
                <w:szCs w:val="15"/>
                <w:color w:val="auto"/>
              </w:rPr>
              <w:t>Security, Expiration Date</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080" w:type="dxa"/>
            <w:vAlign w:val="bottom"/>
            <w:gridSpan w:val="2"/>
          </w:tcPr>
          <w:p>
            <w:pPr>
              <w:ind w:left="300"/>
              <w:spacing w:after="0" w:line="240" w:lineRule="exact"/>
              <w:rPr>
                <w:sz w:val="20"/>
                <w:szCs w:val="20"/>
                <w:color w:val="auto"/>
              </w:rPr>
            </w:pPr>
            <w:r>
              <w:rPr>
                <w:rFonts w:ascii="Times New Roman" w:cs="Times New Roman" w:eastAsia="Times New Roman" w:hAnsi="Times New Roman"/>
                <w:sz w:val="15"/>
                <w:szCs w:val="15"/>
                <w:color w:val="auto"/>
                <w:w w:val="94"/>
              </w:rPr>
              <w:t>8/23/2024</w:t>
            </w:r>
            <w:r>
              <w:rPr>
                <w:rFonts w:ascii="Times New Roman" w:cs="Times New Roman" w:eastAsia="Times New Roman" w:hAnsi="Times New Roman"/>
                <w:sz w:val="25"/>
                <w:szCs w:val="25"/>
                <w:color w:val="auto"/>
                <w:w w:val="94"/>
                <w:vertAlign w:val="superscript"/>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620,927</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13,230</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(1,585,722)</w:t>
            </w:r>
          </w:p>
        </w:tc>
        <w:tc>
          <w:tcPr>
            <w:tcW w:w="1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(6,982,628)</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7,934,193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4"/>
        </w:trPr>
        <w:tc>
          <w:tcPr>
            <w:tcW w:w="1980" w:type="dxa"/>
            <w:vAlign w:val="bottom"/>
            <w:tcBorders>
              <w:top w:val="single" w:sz="8" w:color="CCEEFF"/>
            </w:tcBorders>
            <w:gridSpan w:val="7"/>
            <w:shd w:val="clear" w:color="auto" w:fill="CCEEFF"/>
          </w:tcPr>
          <w:p>
            <w:pPr>
              <w:ind w:left="300"/>
              <w:spacing w:after="0" w:line="144" w:lineRule="exact"/>
              <w:rPr>
                <w:sz w:val="20"/>
                <w:szCs w:val="20"/>
                <w:color w:val="auto"/>
              </w:rPr>
            </w:pPr>
            <w:r>
              <w:rPr>
                <w:rFonts w:ascii="Times New Roman" w:cs="Times New Roman" w:eastAsia="Times New Roman" w:hAnsi="Times New Roman"/>
                <w:sz w:val="15"/>
                <w:szCs w:val="15"/>
                <w:i w:val="1"/>
                <w:iCs w:val="1"/>
                <w:color w:val="auto"/>
              </w:rPr>
              <w:t>Total Global Innovation</w:t>
            </w: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980" w:type="dxa"/>
            <w:vAlign w:val="bottom"/>
            <w:gridSpan w:val="7"/>
            <w:shd w:val="clear" w:color="auto" w:fill="CCEEFF"/>
          </w:tcPr>
          <w:p>
            <w:pPr>
              <w:ind w:left="300"/>
              <w:spacing w:after="0"/>
              <w:rPr>
                <w:sz w:val="20"/>
                <w:szCs w:val="20"/>
                <w:color w:val="auto"/>
              </w:rPr>
            </w:pPr>
            <w:r>
              <w:rPr>
                <w:rFonts w:ascii="Times New Roman" w:cs="Times New Roman" w:eastAsia="Times New Roman" w:hAnsi="Times New Roman"/>
                <w:sz w:val="15"/>
                <w:szCs w:val="15"/>
                <w:i w:val="1"/>
                <w:iCs w:val="1"/>
                <w:color w:val="auto"/>
              </w:rPr>
              <w:t>Platform</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620,927</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13,230</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(1,585,722)</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(6,982,628)</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7,934,193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ectPr>
          <w:pgSz w:w="11900" w:h="16880" w:orient="portrait"/>
          <w:cols w:equalWidth="0" w:num="1">
            <w:col w:w="11340"/>
          </w:cols>
          <w:pgMar w:left="320" w:top="216" w:right="239"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00" w:type="dxa"/>
            <w:vAlign w:val="bottom"/>
          </w:tcPr>
          <w:p>
            <w:pPr>
              <w:ind w:left="140"/>
              <w:spacing w:after="0"/>
              <w:rPr>
                <w:sz w:val="20"/>
                <w:szCs w:val="20"/>
                <w:color w:val="auto"/>
              </w:rPr>
            </w:pPr>
            <w:r>
              <w:rPr>
                <w:rFonts w:ascii="Times New Roman" w:cs="Times New Roman" w:eastAsia="Times New Roman" w:hAnsi="Times New Roman"/>
                <w:sz w:val="15"/>
                <w:szCs w:val="15"/>
                <w:i w:val="1"/>
                <w:iCs w:val="1"/>
                <w:color w:val="auto"/>
              </w:rPr>
              <w:t>E-Commerce Marketplace</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69"/>
        </w:trPr>
        <w:tc>
          <w:tcPr>
            <w:tcW w:w="2000" w:type="dxa"/>
            <w:vAlign w:val="bottom"/>
            <w:shd w:val="clear" w:color="auto" w:fill="CCEEFF"/>
          </w:tcPr>
          <w:p>
            <w:pPr>
              <w:ind w:left="300"/>
              <w:spacing w:after="0" w:line="169" w:lineRule="exact"/>
              <w:rPr>
                <w:sz w:val="20"/>
                <w:szCs w:val="20"/>
                <w:color w:val="auto"/>
              </w:rPr>
            </w:pPr>
            <w:r>
              <w:rPr>
                <w:rFonts w:ascii="Times New Roman" w:cs="Times New Roman" w:eastAsia="Times New Roman" w:hAnsi="Times New Roman"/>
                <w:sz w:val="15"/>
                <w:szCs w:val="15"/>
                <w:color w:val="auto"/>
              </w:rPr>
              <w:t>PSQ Holdings, Inc. (d/b/a</w:t>
            </w: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15"/>
        </w:trPr>
        <w:tc>
          <w:tcPr>
            <w:tcW w:w="2000" w:type="dxa"/>
            <w:vAlign w:val="bottom"/>
            <w:shd w:val="clear" w:color="auto" w:fill="CCEEFF"/>
          </w:tcPr>
          <w:p>
            <w:pPr>
              <w:ind w:left="300"/>
              <w:spacing w:after="0" w:line="214" w:lineRule="exact"/>
              <w:rPr>
                <w:sz w:val="20"/>
                <w:szCs w:val="20"/>
                <w:color w:val="auto"/>
              </w:rPr>
            </w:pPr>
            <w:r>
              <w:rPr>
                <w:rFonts w:ascii="Times New Roman" w:cs="Times New Roman" w:eastAsia="Times New Roman" w:hAnsi="Times New Roman"/>
                <w:sz w:val="15"/>
                <w:szCs w:val="15"/>
                <w:color w:val="auto"/>
              </w:rPr>
              <w:t>PublicSquare)**</w:t>
            </w:r>
            <w:r>
              <w:rPr>
                <w:rFonts w:ascii="Times New Roman" w:cs="Times New Roman" w:eastAsia="Times New Roman" w:hAnsi="Times New Roman"/>
                <w:sz w:val="24"/>
                <w:szCs w:val="24"/>
                <w:color w:val="auto"/>
                <w:vertAlign w:val="superscript"/>
              </w:rPr>
              <w:t>(3)(4)</w:t>
            </w:r>
            <w:r>
              <w:rPr>
                <w:rFonts w:ascii="Times New Roman" w:cs="Times New Roman" w:eastAsia="Times New Roman" w:hAnsi="Times New Roman"/>
                <w:sz w:val="15"/>
                <w:szCs w:val="15"/>
                <w:color w:val="auto"/>
              </w:rPr>
              <w:t xml:space="preserve"> –</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7"/>
        </w:trPr>
        <w:tc>
          <w:tcPr>
            <w:tcW w:w="2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Warrants</w:t>
            </w:r>
          </w:p>
        </w:tc>
        <w:tc>
          <w:tcPr>
            <w:tcW w:w="7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2,296,037</w:t>
            </w:r>
          </w:p>
        </w:tc>
        <w:tc>
          <w:tcPr>
            <w:tcW w:w="2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1,964,750</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(1,964,750)</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20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Options</w:t>
            </w: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2,585,677</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(1,964,750)</w:t>
            </w:r>
          </w:p>
        </w:tc>
        <w:tc>
          <w:tcPr>
            <w:tcW w:w="18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13,230</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(1,585,722)</w:t>
            </w:r>
          </w:p>
        </w:tc>
        <w:tc>
          <w:tcPr>
            <w:tcW w:w="18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(6,982,628)</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7,934,193</w:t>
            </w:r>
          </w:p>
        </w:tc>
        <w:tc>
          <w:tcPr>
            <w:tcW w:w="10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3"/>
          </w:tcPr>
          <w:p>
            <w:pPr>
              <w:ind w:left="560"/>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2"/>
        </w:trPr>
        <w:tc>
          <w:tcPr>
            <w:tcW w:w="2000" w:type="dxa"/>
            <w:vAlign w:val="bottom"/>
          </w:tcPr>
          <w:p>
            <w:pPr>
              <w:ind w:left="140"/>
              <w:spacing w:after="0"/>
              <w:rPr>
                <w:sz w:val="20"/>
                <w:szCs w:val="20"/>
                <w:color w:val="auto"/>
              </w:rPr>
            </w:pPr>
            <w:r>
              <w:rPr>
                <w:rFonts w:ascii="Times New Roman" w:cs="Times New Roman" w:eastAsia="Times New Roman" w:hAnsi="Times New Roman"/>
                <w:sz w:val="15"/>
                <w:szCs w:val="15"/>
                <w:i w:val="1"/>
                <w:iCs w:val="1"/>
                <w:color w:val="auto"/>
              </w:rPr>
              <w:t>Online Education</w:t>
            </w: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8"/>
        </w:trPr>
        <w:tc>
          <w:tcPr>
            <w:tcW w:w="2000" w:type="dxa"/>
            <w:vAlign w:val="bottom"/>
            <w:shd w:val="clear" w:color="auto" w:fill="CCEEFF"/>
          </w:tcPr>
          <w:p>
            <w:pPr>
              <w:ind w:left="300"/>
              <w:spacing w:after="0" w:line="168" w:lineRule="exact"/>
              <w:rPr>
                <w:sz w:val="20"/>
                <w:szCs w:val="20"/>
                <w:color w:val="auto"/>
              </w:rPr>
            </w:pPr>
            <w:r>
              <w:rPr>
                <w:rFonts w:ascii="Times New Roman" w:cs="Times New Roman" w:eastAsia="Times New Roman" w:hAnsi="Times New Roman"/>
                <w:sz w:val="15"/>
                <w:szCs w:val="15"/>
                <w:color w:val="auto"/>
              </w:rPr>
              <w:t>Curious.com, Inc.–</w:t>
            </w: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97"/>
        </w:trPr>
        <w:tc>
          <w:tcPr>
            <w:tcW w:w="2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Common shares</w:t>
            </w:r>
          </w:p>
        </w:tc>
        <w:tc>
          <w:tcPr>
            <w:tcW w:w="7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1,135,944</w:t>
            </w:r>
          </w:p>
        </w:tc>
        <w:tc>
          <w:tcPr>
            <w:tcW w:w="2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2000" w:type="dxa"/>
            <w:vAlign w:val="bottom"/>
          </w:tcPr>
          <w:p>
            <w:pPr>
              <w:ind w:left="140"/>
              <w:spacing w:after="0"/>
              <w:rPr>
                <w:sz w:val="20"/>
                <w:szCs w:val="20"/>
                <w:color w:val="auto"/>
              </w:rPr>
            </w:pPr>
            <w:r>
              <w:rPr>
                <w:rFonts w:ascii="Times New Roman" w:cs="Times New Roman" w:eastAsia="Times New Roman" w:hAnsi="Times New Roman"/>
                <w:sz w:val="15"/>
                <w:szCs w:val="15"/>
                <w:i w:val="1"/>
                <w:iCs w:val="1"/>
                <w:color w:val="auto"/>
              </w:rPr>
              <w:t>E-Commerce Marketplace</w:t>
            </w: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2000" w:type="dxa"/>
            <w:vAlign w:val="bottom"/>
            <w:shd w:val="clear" w:color="auto" w:fill="CCEEFF"/>
          </w:tcPr>
          <w:p>
            <w:pPr>
              <w:ind w:left="300"/>
              <w:spacing w:after="0" w:line="169" w:lineRule="exact"/>
              <w:rPr>
                <w:sz w:val="20"/>
                <w:szCs w:val="20"/>
                <w:color w:val="auto"/>
              </w:rPr>
            </w:pPr>
            <w:r>
              <w:rPr>
                <w:rFonts w:ascii="Times New Roman" w:cs="Times New Roman" w:eastAsia="Times New Roman" w:hAnsi="Times New Roman"/>
                <w:sz w:val="15"/>
                <w:szCs w:val="15"/>
                <w:color w:val="auto"/>
              </w:rPr>
              <w:t>PSQ Holdings, Inc. (d/b/a</w:t>
            </w: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15"/>
        </w:trPr>
        <w:tc>
          <w:tcPr>
            <w:tcW w:w="2000" w:type="dxa"/>
            <w:vAlign w:val="bottom"/>
            <w:shd w:val="clear" w:color="auto" w:fill="CCEEFF"/>
          </w:tcPr>
          <w:p>
            <w:pPr>
              <w:ind w:left="300"/>
              <w:spacing w:after="0" w:line="214" w:lineRule="exact"/>
              <w:rPr>
                <w:sz w:val="20"/>
                <w:szCs w:val="20"/>
                <w:color w:val="auto"/>
              </w:rPr>
            </w:pPr>
            <w:r>
              <w:rPr>
                <w:rFonts w:ascii="Times New Roman" w:cs="Times New Roman" w:eastAsia="Times New Roman" w:hAnsi="Times New Roman"/>
                <w:sz w:val="15"/>
                <w:szCs w:val="15"/>
                <w:color w:val="auto"/>
              </w:rPr>
              <w:t>PublicSquare)**</w:t>
            </w:r>
            <w:r>
              <w:rPr>
                <w:rFonts w:ascii="Times New Roman" w:cs="Times New Roman" w:eastAsia="Times New Roman" w:hAnsi="Times New Roman"/>
                <w:sz w:val="24"/>
                <w:szCs w:val="24"/>
                <w:color w:val="auto"/>
                <w:vertAlign w:val="superscript"/>
              </w:rPr>
              <w:t>(3)(4)</w:t>
            </w:r>
            <w:r>
              <w:rPr>
                <w:rFonts w:ascii="Times New Roman" w:cs="Times New Roman" w:eastAsia="Times New Roman" w:hAnsi="Times New Roman"/>
                <w:sz w:val="15"/>
                <w:szCs w:val="15"/>
                <w:color w:val="auto"/>
              </w:rPr>
              <w:t xml:space="preserve"> –</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7"/>
        </w:trPr>
        <w:tc>
          <w:tcPr>
            <w:tcW w:w="2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Common shares, Class A</w:t>
            </w:r>
          </w:p>
        </w:tc>
        <w:tc>
          <w:tcPr>
            <w:tcW w:w="7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1,616,187</w:t>
            </w:r>
          </w:p>
        </w:tc>
        <w:tc>
          <w:tcPr>
            <w:tcW w:w="2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8,542,386</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(8,542,386)</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20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Common Stock</w:t>
            </w: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8,542,386</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(8,542,386)</w:t>
            </w:r>
          </w:p>
        </w:tc>
        <w:tc>
          <w:tcPr>
            <w:tcW w:w="18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3"/>
          </w:tcPr>
          <w:p>
            <w:pPr>
              <w:ind w:left="560"/>
              <w:spacing w:after="0"/>
              <w:rPr>
                <w:sz w:val="20"/>
                <w:szCs w:val="20"/>
                <w:color w:val="auto"/>
              </w:rPr>
            </w:pPr>
            <w:r>
              <w:rPr>
                <w:rFonts w:ascii="Times New Roman" w:cs="Times New Roman" w:eastAsia="Times New Roman" w:hAnsi="Times New Roman"/>
                <w:sz w:val="15"/>
                <w:szCs w:val="15"/>
                <w:color w:val="auto"/>
              </w:rPr>
              <w:t>—%</w:t>
            </w:r>
          </w:p>
        </w:tc>
      </w:tr>
      <w:tr>
        <w:trPr>
          <w:trHeight w:val="144"/>
        </w:trPr>
        <w:tc>
          <w:tcPr>
            <w:tcW w:w="2000" w:type="dxa"/>
            <w:vAlign w:val="bottom"/>
            <w:tcBorders>
              <w:top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5"/>
                <w:szCs w:val="15"/>
                <w:b w:val="1"/>
                <w:bCs w:val="1"/>
                <w:color w:val="auto"/>
              </w:rPr>
              <w:t>TOTAL NON-</w:t>
            </w:r>
          </w:p>
        </w:tc>
        <w:tc>
          <w:tcPr>
            <w:tcW w:w="7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18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CONTROLLED/AFFILIATE</w:t>
            </w: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54"/>
        </w:trPr>
        <w:tc>
          <w:tcPr>
            <w:tcW w:w="2000" w:type="dxa"/>
            <w:vAlign w:val="bottom"/>
            <w:shd w:val="clear" w:color="auto" w:fill="CCEEFF"/>
          </w:tcPr>
          <w:p>
            <w:pPr>
              <w:spacing w:after="0" w:line="254" w:lineRule="exact"/>
              <w:rPr>
                <w:sz w:val="20"/>
                <w:szCs w:val="20"/>
                <w:color w:val="auto"/>
              </w:rPr>
            </w:pPr>
            <w:r>
              <w:rPr>
                <w:rFonts w:ascii="Times New Roman" w:cs="Times New Roman" w:eastAsia="Times New Roman" w:hAnsi="Times New Roman"/>
                <w:sz w:val="15"/>
                <w:szCs w:val="15"/>
                <w:b w:val="1"/>
                <w:bCs w:val="1"/>
                <w:color w:val="auto"/>
              </w:rPr>
              <w:t>INVESTMENTS*</w:t>
            </w:r>
            <w:r>
              <w:rPr>
                <w:rFonts w:ascii="Times New Roman" w:cs="Times New Roman" w:eastAsia="Times New Roman" w:hAnsi="Times New Roman"/>
                <w:sz w:val="25"/>
                <w:szCs w:val="25"/>
                <w:b w:val="1"/>
                <w:bCs w:val="1"/>
                <w:color w:val="auto"/>
                <w:vertAlign w:val="superscript"/>
              </w:rPr>
              <w:t>(1)</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u w:val="single" w:color="auto"/>
                <w:color w:val="auto"/>
                <w:w w:val="98"/>
              </w:rPr>
              <w:t>$</w:t>
            </w:r>
            <w:r>
              <w:rPr>
                <w:rFonts w:ascii="Times New Roman" w:cs="Times New Roman" w:eastAsia="Times New Roman" w:hAnsi="Times New Roman"/>
                <w:sz w:val="15"/>
                <w:szCs w:val="15"/>
                <w:b w:val="1"/>
                <w:bCs w:val="1"/>
                <w:color w:val="auto"/>
                <w:w w:val="98"/>
              </w:rPr>
              <w:t>24,931,333</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(10,507,136) $</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13,230</w:t>
            </w: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(3,000,000) $</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(6,598,526)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3,806,564</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$ 8,645,465</w:t>
            </w:r>
          </w:p>
        </w:tc>
        <w:tc>
          <w:tcPr>
            <w:tcW w:w="8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5"/>
                <w:szCs w:val="15"/>
                <w:b w:val="1"/>
                <w:bCs w:val="1"/>
                <w:color w:val="auto"/>
                <w:w w:val="96"/>
              </w:rPr>
              <w:t>5.49%</w:t>
            </w: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339"/>
        </w:trPr>
        <w:tc>
          <w:tcPr>
            <w:tcW w:w="20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color w:val="auto"/>
              </w:rPr>
              <w:t>32</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340"/>
          </w:cols>
          <w:pgMar w:left="320" w:top="121" w:right="239" w:bottom="1440" w:gutter="0" w:footer="0" w:header="0"/>
        </w:sectPr>
      </w:pPr>
    </w:p>
    <w:bookmarkStart w:id="35" w:name="page36"/>
    <w:bookmarkEnd w:id="35"/>
    <w:p>
      <w:pPr>
        <w:ind w:left="9"/>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9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178689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86890" cy="6985"/>
                    </a:xfrm>
                    <a:prstGeom prst="rect">
                      <a:avLst/>
                    </a:prstGeom>
                    <a:noFill/>
                  </pic:spPr>
                </pic:pic>
              </a:graphicData>
            </a:graphic>
          </wp:anchor>
        </w:drawing>
      </w:r>
    </w:p>
    <w:p>
      <w:pPr>
        <w:spacing w:after="0" w:line="180" w:lineRule="exact"/>
        <w:rPr>
          <w:sz w:val="20"/>
          <w:szCs w:val="20"/>
          <w:color w:val="auto"/>
        </w:rPr>
      </w:pPr>
    </w:p>
    <w:p>
      <w:pPr>
        <w:jc w:val="both"/>
        <w:ind w:left="269" w:hanging="269"/>
        <w:spacing w:after="0" w:line="260" w:lineRule="auto"/>
        <w:tabs>
          <w:tab w:leader="none" w:pos="269"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All portfolio investments are non-income-producing, unless otherwise identified. Equity investments may be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 </w:t>
      </w:r>
      <w:r>
        <w:rPr>
          <w:rFonts w:ascii="Times New Roman" w:cs="Times New Roman" w:eastAsia="Times New Roman" w:hAnsi="Times New Roman"/>
          <w:sz w:val="15"/>
          <w:szCs w:val="15"/>
          <w:i w:val="1"/>
          <w:iCs w:val="1"/>
          <w:color w:val="auto"/>
        </w:rPr>
        <w:t>Investments at Fair Value</w:t>
      </w:r>
      <w:r>
        <w:rPr>
          <w:rFonts w:ascii="Times New Roman" w:cs="Times New Roman" w:eastAsia="Times New Roman" w:hAnsi="Times New Roman"/>
          <w:sz w:val="15"/>
          <w:szCs w:val="15"/>
          <w:color w:val="auto"/>
        </w:rPr>
        <w:t>”).</w:t>
      </w:r>
    </w:p>
    <w:p>
      <w:pPr>
        <w:spacing w:after="0" w:line="155" w:lineRule="exact"/>
        <w:rPr>
          <w:sz w:val="20"/>
          <w:szCs w:val="20"/>
          <w:color w:val="auto"/>
        </w:rPr>
      </w:pPr>
    </w:p>
    <w:p>
      <w:pPr>
        <w:ind w:left="269" w:right="20" w:hanging="269"/>
        <w:spacing w:after="0" w:line="288" w:lineRule="auto"/>
        <w:tabs>
          <w:tab w:leader="none" w:pos="269"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Indicates assets that SuRo Capital Corp. believes do not represent “qualifying assets” under Section 55(a) of the 1940 Act. Of the Company’s total investments as of September 30, 2024, 28.23% of its total investments are non-qualifying assets.</w:t>
      </w:r>
    </w:p>
    <w:p>
      <w:pPr>
        <w:spacing w:after="0" w:line="132"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 is income-producing.</w:t>
      </w:r>
    </w:p>
    <w:p>
      <w:pPr>
        <w:spacing w:after="0" w:line="192" w:lineRule="exact"/>
        <w:rPr>
          <w:sz w:val="20"/>
          <w:szCs w:val="20"/>
          <w:color w:val="auto"/>
        </w:rPr>
      </w:pPr>
    </w:p>
    <w:p>
      <w:pPr>
        <w:jc w:val="both"/>
        <w:ind w:left="269" w:hanging="269"/>
        <w:spacing w:after="0" w:line="270" w:lineRule="auto"/>
        <w:tabs>
          <w:tab w:leader="none" w:pos="269"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(i.e., securities with the right to elect directors) of such company.</w:t>
      </w:r>
    </w:p>
    <w:p>
      <w:pPr>
        <w:spacing w:after="0" w:line="146" w:lineRule="exact"/>
        <w:rPr>
          <w:rFonts w:ascii="Times New Roman" w:cs="Times New Roman" w:eastAsia="Times New Roman" w:hAnsi="Times New Roman"/>
          <w:sz w:val="15"/>
          <w:szCs w:val="15"/>
          <w:color w:val="auto"/>
        </w:rPr>
      </w:pPr>
    </w:p>
    <w:p>
      <w:pPr>
        <w:jc w:val="both"/>
        <w:ind w:left="269" w:hanging="269"/>
        <w:spacing w:after="0" w:line="270" w:lineRule="auto"/>
        <w:tabs>
          <w:tab w:leader="none" w:pos="269"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w:t>
      </w:r>
    </w:p>
    <w:p>
      <w:pPr>
        <w:spacing w:after="0" w:line="146"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Denotes an investment considered Level 1 or Level 2 and valued using observable inputs. Refer to “Note 4—Investments at Fair Value”.</w:t>
      </w:r>
    </w:p>
    <w:p>
      <w:pPr>
        <w:spacing w:after="0" w:line="192" w:lineRule="exact"/>
        <w:rPr>
          <w:rFonts w:ascii="Times New Roman" w:cs="Times New Roman" w:eastAsia="Times New Roman" w:hAnsi="Times New Roman"/>
          <w:sz w:val="15"/>
          <w:szCs w:val="15"/>
          <w:color w:val="auto"/>
        </w:rPr>
      </w:pPr>
    </w:p>
    <w:p>
      <w:pPr>
        <w:jc w:val="both"/>
        <w:ind w:left="269" w:hanging="269"/>
        <w:spacing w:after="0" w:line="265" w:lineRule="auto"/>
        <w:tabs>
          <w:tab w:leader="none" w:pos="269"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SuRo Capital Corp.’s ownership percentage in PSQ Holdings, Inc. (d/b/a PublicSquare) decreased to below 5% and as such, PSQ Holdings, Inc. (d/b/a PublicSquare) is no longer classified as an “affiliate investment” as of September 30, 2024. As such, the Company has reflected a “transfer out” of the “Non-Controlled/Affiliate Investment” category above as of September 30, 2024 to indicate that the investment in PSQ Holdings, Inc. (d/b/a PublicSquare), while still held as of September 30, 2024, does not meet the criteria of an affiliate investment as defined in the 1940 Act.</w:t>
      </w:r>
    </w:p>
    <w:p>
      <w:pPr>
        <w:spacing w:after="0" w:line="14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SuRo Capital Corp.’s investments in StormWind, LLC are held through SuRo Capital Corp.’s wholly owned subsidiary, GSVC SW Holdings, Inc.</w:t>
      </w:r>
    </w:p>
    <w:p>
      <w:pPr>
        <w:spacing w:after="0" w:line="19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5391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216"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September 30,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Schedule of Investments In, and Advances to, Affiliates</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Transactions during the year ended December 31, 2023 involving the Company’s controlled investments and non-controlled/affiliate investments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Interest,</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Purchases,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Fees, or</w:t>
            </w: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8"/>
              </w:rPr>
              <w:t>Fair Value</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Capitalized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8"/>
              </w:rPr>
              <w:t>Fair Value</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Dividends</w:t>
            </w:r>
          </w:p>
        </w:tc>
        <w:tc>
          <w:tcPr>
            <w:tcW w:w="8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5"/>
              </w:rPr>
              <w:t>at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Fees,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w w:val="95"/>
              </w:rPr>
              <w:t>Percentage</w:t>
            </w:r>
          </w:p>
        </w:tc>
        <w:tc>
          <w:tcPr>
            <w:tcW w:w="0" w:type="dxa"/>
            <w:vAlign w:val="bottom"/>
          </w:tcPr>
          <w:p>
            <w:pPr>
              <w:spacing w:after="0"/>
              <w:rPr>
                <w:sz w:val="1"/>
                <w:szCs w:val="1"/>
                <w:color w:val="auto"/>
              </w:rPr>
            </w:pPr>
          </w:p>
        </w:tc>
      </w:tr>
      <w:tr>
        <w:trPr>
          <w:trHeight w:val="182"/>
        </w:trPr>
        <w:tc>
          <w:tcPr>
            <w:tcW w:w="202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auto"/>
              </w:rPr>
              <w:t>Type/Industry/Portfolio</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Principal/</w:t>
            </w:r>
          </w:p>
        </w:tc>
        <w:tc>
          <w:tcPr>
            <w:tcW w:w="86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Credited</w:t>
            </w: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December</w:t>
            </w:r>
          </w:p>
        </w:tc>
        <w:tc>
          <w:tcPr>
            <w:tcW w:w="8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w w:val="95"/>
              </w:rPr>
              <w:t>Transfer</w:t>
            </w:r>
          </w:p>
        </w:tc>
        <w:tc>
          <w:tcPr>
            <w:tcW w:w="60" w:type="dxa"/>
            <w:vAlign w:val="bottom"/>
          </w:tcPr>
          <w:p>
            <w:pPr>
              <w:spacing w:after="0"/>
              <w:rPr>
                <w:sz w:val="15"/>
                <w:szCs w:val="15"/>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Interest and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Realized</w:t>
            </w:r>
          </w:p>
        </w:tc>
        <w:tc>
          <w:tcPr>
            <w:tcW w:w="1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w w:val="99"/>
              </w:rPr>
              <w:t>Unrealized</w:t>
            </w:r>
          </w:p>
        </w:tc>
        <w:tc>
          <w:tcPr>
            <w:tcW w:w="60" w:type="dxa"/>
            <w:vAlign w:val="bottom"/>
          </w:tcPr>
          <w:p>
            <w:pPr>
              <w:spacing w:after="0"/>
              <w:rPr>
                <w:sz w:val="15"/>
                <w:szCs w:val="15"/>
                <w:color w:val="auto"/>
              </w:rPr>
            </w:pPr>
          </w:p>
        </w:tc>
        <w:tc>
          <w:tcPr>
            <w:tcW w:w="96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December</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of Net</w:t>
            </w:r>
          </w:p>
        </w:tc>
        <w:tc>
          <w:tcPr>
            <w:tcW w:w="0" w:type="dxa"/>
            <w:vAlign w:val="bottom"/>
          </w:tcPr>
          <w:p>
            <w:pPr>
              <w:spacing w:after="0"/>
              <w:rPr>
                <w:sz w:val="1"/>
                <w:szCs w:val="1"/>
                <w:color w:val="auto"/>
              </w:rPr>
            </w:pPr>
          </w:p>
        </w:tc>
      </w:tr>
      <w:tr>
        <w:trPr>
          <w:trHeight w:val="201"/>
        </w:trPr>
        <w:tc>
          <w:tcPr>
            <w:tcW w:w="202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auto"/>
              </w:rPr>
              <w:t>Company/Investment</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Quantity</w:t>
            </w:r>
          </w:p>
        </w:tc>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in Income</w:t>
            </w:r>
          </w:p>
        </w:tc>
        <w:tc>
          <w:tcPr>
            <w:tcW w:w="80" w:type="dxa"/>
            <w:vAlign w:val="bottom"/>
          </w:tcPr>
          <w:p>
            <w:pPr>
              <w:spacing w:after="0"/>
              <w:rPr>
                <w:sz w:val="17"/>
                <w:szCs w:val="17"/>
                <w:color w:val="auto"/>
              </w:rPr>
            </w:pPr>
          </w:p>
        </w:tc>
        <w:tc>
          <w:tcPr>
            <w:tcW w:w="700" w:type="dxa"/>
            <w:vAlign w:val="bottom"/>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31, 2022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w w:val="98"/>
              </w:rPr>
              <w:t>In/ (Out)</w:t>
            </w:r>
          </w:p>
        </w:tc>
        <w:tc>
          <w:tcPr>
            <w:tcW w:w="1000" w:type="dxa"/>
            <w:vAlign w:val="bottom"/>
            <w:gridSpan w:val="4"/>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80" w:type="dxa"/>
            <w:vAlign w:val="bottom"/>
          </w:tcPr>
          <w:p>
            <w:pPr>
              <w:spacing w:after="0"/>
              <w:rPr>
                <w:sz w:val="17"/>
                <w:szCs w:val="17"/>
                <w:color w:val="auto"/>
              </w:rPr>
            </w:pPr>
          </w:p>
        </w:tc>
        <w:tc>
          <w:tcPr>
            <w:tcW w:w="4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Sales</w:t>
            </w:r>
          </w:p>
        </w:tc>
        <w:tc>
          <w:tcPr>
            <w:tcW w:w="1180" w:type="dxa"/>
            <w:vAlign w:val="bottom"/>
            <w:gridSpan w:val="4"/>
          </w:tcPr>
          <w:p>
            <w:pPr>
              <w:ind w:left="80"/>
              <w:spacing w:after="0"/>
              <w:rPr>
                <w:sz w:val="20"/>
                <w:szCs w:val="20"/>
                <w:color w:val="auto"/>
              </w:rPr>
            </w:pPr>
            <w:r>
              <w:rPr>
                <w:rFonts w:ascii="Times New Roman" w:cs="Times New Roman" w:eastAsia="Times New Roman" w:hAnsi="Times New Roman"/>
                <w:sz w:val="15"/>
                <w:szCs w:val="15"/>
                <w:b w:val="1"/>
                <w:bCs w:val="1"/>
                <w:color w:val="auto"/>
              </w:rPr>
              <w:t>Gains/(Losses)</w:t>
            </w:r>
          </w:p>
        </w:tc>
        <w:tc>
          <w:tcPr>
            <w:tcW w:w="10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Gains/(Losses)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31, 2023</w:t>
            </w:r>
          </w:p>
        </w:tc>
        <w:tc>
          <w:tcPr>
            <w:tcW w:w="18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0" w:type="dxa"/>
            <w:vAlign w:val="bottom"/>
          </w:tcPr>
          <w:p>
            <w:pPr>
              <w:spacing w:after="0"/>
              <w:rPr>
                <w:sz w:val="1"/>
                <w:szCs w:val="1"/>
                <w:color w:val="auto"/>
              </w:rPr>
            </w:pPr>
          </w:p>
        </w:tc>
      </w:tr>
      <w:tr>
        <w:trPr>
          <w:trHeight w:val="139"/>
        </w:trPr>
        <w:tc>
          <w:tcPr>
            <w:tcW w:w="1080" w:type="dxa"/>
            <w:vAlign w:val="bottom"/>
            <w:tcBorders>
              <w:top w:val="single" w:sz="8" w:color="auto"/>
              <w:bottom w:val="single" w:sz="8" w:color="auto"/>
            </w:tcBorders>
            <w:shd w:val="clear" w:color="auto" w:fill="CCEEFF"/>
          </w:tcPr>
          <w:p>
            <w:pPr>
              <w:spacing w:after="0" w:line="140" w:lineRule="exact"/>
              <w:rPr>
                <w:sz w:val="20"/>
                <w:szCs w:val="20"/>
                <w:color w:val="auto"/>
              </w:rPr>
            </w:pPr>
            <w:r>
              <w:rPr>
                <w:rFonts w:ascii="Times New Roman" w:cs="Times New Roman" w:eastAsia="Times New Roman" w:hAnsi="Times New Roman"/>
                <w:sz w:val="15"/>
                <w:szCs w:val="15"/>
                <w:b w:val="1"/>
                <w:bCs w:val="1"/>
                <w:color w:val="auto"/>
                <w:w w:val="99"/>
              </w:rPr>
              <w:t>CONTROLLED</w:t>
            </w:r>
          </w:p>
        </w:tc>
        <w:tc>
          <w:tcPr>
            <w:tcW w:w="840" w:type="dxa"/>
            <w:vAlign w:val="bottom"/>
            <w:tcBorders>
              <w:top w:val="single" w:sz="8" w:color="auto"/>
              <w:bottom w:val="single" w:sz="8" w:color="CCEEFF"/>
            </w:tcBorders>
            <w:gridSpan w:val="3"/>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80" w:type="dxa"/>
            <w:vAlign w:val="bottom"/>
            <w:tcBorders>
              <w:bottom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9"/>
              </w:rPr>
              <w:t>INVESTMENTS*</w:t>
            </w:r>
          </w:p>
        </w:tc>
        <w:tc>
          <w:tcPr>
            <w:tcW w:w="140" w:type="dxa"/>
            <w:vAlign w:val="bottom"/>
            <w:tcBorders>
              <w:bottom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w w:val="78"/>
              </w:rPr>
              <w:t>(2)</w:t>
            </w:r>
          </w:p>
        </w:tc>
        <w:tc>
          <w:tcPr>
            <w:tcW w:w="700" w:type="dxa"/>
            <w:vAlign w:val="bottom"/>
            <w:tcBorders>
              <w:bottom w:val="single" w:sz="8" w:color="CCEEFF"/>
            </w:tcBorders>
            <w:gridSpan w:val="2"/>
            <w:vMerge w:val="restart"/>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1"/>
        </w:trPr>
        <w:tc>
          <w:tcPr>
            <w:tcW w:w="1180" w:type="dxa"/>
            <w:vAlign w:val="bottom"/>
            <w:tcBorders>
              <w:bottom w:val="single" w:sz="8" w:color="auto"/>
            </w:tcBorders>
            <w:gridSpan w:val="2"/>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gridSpan w:val="2"/>
            <w:vMerge w:val="continue"/>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6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2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auto"/>
              </w:rPr>
              <w:t>Options</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20" w:type="dxa"/>
            <w:vAlign w:val="bottom"/>
            <w:gridSpan w:val="5"/>
            <w:shd w:val="clear" w:color="auto" w:fill="CCEEFF"/>
          </w:tcPr>
          <w:p>
            <w:pPr>
              <w:ind w:left="100"/>
              <w:spacing w:after="0" w:line="164" w:lineRule="exact"/>
              <w:rPr>
                <w:sz w:val="20"/>
                <w:szCs w:val="20"/>
                <w:color w:val="auto"/>
              </w:rPr>
            </w:pPr>
            <w:r>
              <w:rPr>
                <w:rFonts w:ascii="Times New Roman" w:cs="Times New Roman" w:eastAsia="Times New Roman" w:hAnsi="Times New Roman"/>
                <w:sz w:val="15"/>
                <w:szCs w:val="15"/>
                <w:i w:val="1"/>
                <w:iCs w:val="1"/>
                <w:color w:val="auto"/>
              </w:rPr>
              <w:t>Special Purpose Acquisition</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2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5"/>
                <w:szCs w:val="15"/>
                <w:i w:val="1"/>
                <w:iCs w:val="1"/>
                <w:color w:val="auto"/>
              </w:rPr>
              <w:t>Company</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20" w:type="dxa"/>
            <w:vAlign w:val="bottom"/>
            <w:gridSpan w:val="5"/>
          </w:tcPr>
          <w:p>
            <w:pPr>
              <w:ind w:left="160"/>
              <w:spacing w:after="0" w:line="168" w:lineRule="exact"/>
              <w:rPr>
                <w:sz w:val="20"/>
                <w:szCs w:val="20"/>
                <w:color w:val="auto"/>
              </w:rPr>
            </w:pPr>
            <w:r>
              <w:rPr>
                <w:rFonts w:ascii="Times New Roman" w:cs="Times New Roman" w:eastAsia="Times New Roman" w:hAnsi="Times New Roman"/>
                <w:sz w:val="15"/>
                <w:szCs w:val="15"/>
                <w:color w:val="auto"/>
              </w:rPr>
              <w:t>Colombier Sponsor II</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20" w:type="dxa"/>
            <w:vAlign w:val="bottom"/>
            <w:gridSpan w:val="5"/>
          </w:tcPr>
          <w:p>
            <w:pPr>
              <w:ind w:left="160"/>
              <w:spacing w:after="0"/>
              <w:rPr>
                <w:sz w:val="20"/>
                <w:szCs w:val="20"/>
                <w:color w:val="auto"/>
              </w:rPr>
            </w:pPr>
            <w:r>
              <w:rPr>
                <w:rFonts w:ascii="Times New Roman" w:cs="Times New Roman" w:eastAsia="Times New Roman" w:hAnsi="Times New Roman"/>
                <w:sz w:val="15"/>
                <w:szCs w:val="15"/>
                <w:color w:val="auto"/>
              </w:rPr>
              <w:t>LLC**–Class W Units</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1,600,000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760,651</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(262,347)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498,305</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0.25%</w:t>
            </w:r>
          </w:p>
        </w:tc>
        <w:tc>
          <w:tcPr>
            <w:tcW w:w="0" w:type="dxa"/>
            <w:vAlign w:val="bottom"/>
          </w:tcPr>
          <w:p>
            <w:pPr>
              <w:spacing w:after="0"/>
              <w:rPr>
                <w:sz w:val="1"/>
                <w:szCs w:val="1"/>
                <w:color w:val="auto"/>
              </w:rPr>
            </w:pPr>
          </w:p>
        </w:tc>
      </w:tr>
      <w:tr>
        <w:trPr>
          <w:trHeight w:val="169"/>
        </w:trPr>
        <w:tc>
          <w:tcPr>
            <w:tcW w:w="2020" w:type="dxa"/>
            <w:vAlign w:val="bottom"/>
            <w:gridSpan w:val="5"/>
            <w:shd w:val="clear" w:color="auto" w:fill="CCEEFF"/>
          </w:tcPr>
          <w:p>
            <w:pPr>
              <w:ind w:left="160"/>
              <w:spacing w:after="0" w:line="169" w:lineRule="exact"/>
              <w:rPr>
                <w:sz w:val="20"/>
                <w:szCs w:val="20"/>
                <w:color w:val="auto"/>
              </w:rPr>
            </w:pPr>
            <w:r>
              <w:rPr>
                <w:rFonts w:ascii="Times New Roman" w:cs="Times New Roman" w:eastAsia="Times New Roman" w:hAnsi="Times New Roman"/>
                <w:sz w:val="15"/>
                <w:szCs w:val="15"/>
                <w:color w:val="auto"/>
              </w:rPr>
              <w:t>Colombier Sponsor LLC**</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20" w:type="dxa"/>
            <w:vAlign w:val="bottom"/>
            <w:gridSpan w:val="5"/>
            <w:shd w:val="clear" w:color="auto" w:fill="CCEEFF"/>
          </w:tcPr>
          <w:p>
            <w:pPr>
              <w:ind w:left="160"/>
              <w:spacing w:after="0" w:line="229" w:lineRule="exact"/>
              <w:rPr>
                <w:sz w:val="20"/>
                <w:szCs w:val="20"/>
                <w:color w:val="auto"/>
              </w:rPr>
            </w:pP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5"/>
                <w:szCs w:val="15"/>
                <w:color w:val="auto"/>
              </w:rPr>
              <w:t xml:space="preserve"> –Class W Units</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1,157,487</w:t>
            </w: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w w:val="99"/>
              </w:rPr>
              <w:t>(1,159,150)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1,663</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2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auto"/>
              </w:rPr>
              <w:t>Total Options</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1,157,487</w:t>
            </w:r>
          </w:p>
        </w:tc>
        <w:tc>
          <w:tcPr>
            <w:tcW w:w="8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w w:val="99"/>
              </w:rPr>
              <w:t>(1,159,150)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760,651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(260,684)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498,304</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0.25%</w:t>
            </w:r>
          </w:p>
        </w:tc>
        <w:tc>
          <w:tcPr>
            <w:tcW w:w="0" w:type="dxa"/>
            <w:vAlign w:val="bottom"/>
          </w:tcPr>
          <w:p>
            <w:pPr>
              <w:spacing w:after="0"/>
              <w:rPr>
                <w:sz w:val="1"/>
                <w:szCs w:val="1"/>
                <w:color w:val="auto"/>
              </w:rPr>
            </w:pPr>
          </w:p>
        </w:tc>
      </w:tr>
      <w:tr>
        <w:trPr>
          <w:trHeight w:val="182"/>
        </w:trPr>
        <w:tc>
          <w:tcPr>
            <w:tcW w:w="20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Preferred Stock</w:t>
            </w: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20" w:type="dxa"/>
            <w:vAlign w:val="bottom"/>
            <w:gridSpan w:val="5"/>
          </w:tcPr>
          <w:p>
            <w:pPr>
              <w:ind w:left="100"/>
              <w:spacing w:after="0"/>
              <w:rPr>
                <w:sz w:val="20"/>
                <w:szCs w:val="20"/>
                <w:color w:val="auto"/>
              </w:rPr>
            </w:pPr>
            <w:r>
              <w:rPr>
                <w:rFonts w:ascii="Times New Roman" w:cs="Times New Roman" w:eastAsia="Times New Roman" w:hAnsi="Times New Roman"/>
                <w:sz w:val="15"/>
                <w:szCs w:val="15"/>
                <w:i w:val="1"/>
                <w:iCs w:val="1"/>
                <w:color w:val="auto"/>
              </w:rPr>
              <w:t>Clean Technology</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20" w:type="dxa"/>
            <w:vAlign w:val="bottom"/>
            <w:gridSpan w:val="5"/>
            <w:shd w:val="clear" w:color="auto" w:fill="CCEEFF"/>
          </w:tcPr>
          <w:p>
            <w:pPr>
              <w:ind w:left="160"/>
              <w:spacing w:after="0" w:line="168" w:lineRule="exact"/>
              <w:rPr>
                <w:sz w:val="20"/>
                <w:szCs w:val="20"/>
                <w:color w:val="auto"/>
              </w:rPr>
            </w:pPr>
            <w:r>
              <w:rPr>
                <w:rFonts w:ascii="Times New Roman" w:cs="Times New Roman" w:eastAsia="Times New Roman" w:hAnsi="Times New Roman"/>
                <w:sz w:val="15"/>
                <w:szCs w:val="15"/>
                <w:color w:val="auto"/>
              </w:rPr>
              <w:t>SPBRX, INC. (f/k/a GSV</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Sustainability Partners,</w:t>
            </w: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Inc.)–Preferred shares, Class</w:t>
            </w: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14,300,000</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984,028</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(601,647)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382,381</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0.19%</w:t>
            </w:r>
          </w:p>
        </w:tc>
        <w:tc>
          <w:tcPr>
            <w:tcW w:w="0" w:type="dxa"/>
            <w:vAlign w:val="bottom"/>
          </w:tcPr>
          <w:p>
            <w:pPr>
              <w:spacing w:after="0"/>
              <w:rPr>
                <w:sz w:val="1"/>
                <w:szCs w:val="1"/>
                <w:color w:val="auto"/>
              </w:rPr>
            </w:pPr>
          </w:p>
        </w:tc>
      </w:tr>
      <w:tr>
        <w:trPr>
          <w:trHeight w:val="182"/>
        </w:trPr>
        <w:tc>
          <w:tcPr>
            <w:tcW w:w="202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auto"/>
              </w:rPr>
              <w:t>Total Preferred Stock</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500,000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984,028</w:t>
            </w:r>
          </w:p>
        </w:tc>
        <w:tc>
          <w:tcPr>
            <w:tcW w:w="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(601,647)</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382,381</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0.19%</w:t>
            </w:r>
          </w:p>
        </w:tc>
        <w:tc>
          <w:tcPr>
            <w:tcW w:w="0" w:type="dxa"/>
            <w:vAlign w:val="bottom"/>
          </w:tcPr>
          <w:p>
            <w:pPr>
              <w:spacing w:after="0"/>
              <w:rPr>
                <w:sz w:val="1"/>
                <w:szCs w:val="1"/>
                <w:color w:val="auto"/>
              </w:rPr>
            </w:pPr>
          </w:p>
        </w:tc>
      </w:tr>
      <w:tr>
        <w:trPr>
          <w:trHeight w:val="182"/>
        </w:trPr>
        <w:tc>
          <w:tcPr>
            <w:tcW w:w="20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20" w:type="dxa"/>
            <w:vAlign w:val="bottom"/>
            <w:gridSpan w:val="5"/>
          </w:tcPr>
          <w:p>
            <w:pPr>
              <w:ind w:left="100"/>
              <w:spacing w:after="0"/>
              <w:rPr>
                <w:sz w:val="20"/>
                <w:szCs w:val="20"/>
                <w:color w:val="auto"/>
              </w:rPr>
            </w:pPr>
            <w:r>
              <w:rPr>
                <w:rFonts w:ascii="Times New Roman" w:cs="Times New Roman" w:eastAsia="Times New Roman" w:hAnsi="Times New Roman"/>
                <w:sz w:val="15"/>
                <w:szCs w:val="15"/>
                <w:i w:val="1"/>
                <w:iCs w:val="1"/>
                <w:color w:val="auto"/>
              </w:rPr>
              <w:t>Clean Technology</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20" w:type="dxa"/>
            <w:vAlign w:val="bottom"/>
            <w:gridSpan w:val="5"/>
            <w:shd w:val="clear" w:color="auto" w:fill="CCEEFF"/>
          </w:tcPr>
          <w:p>
            <w:pPr>
              <w:ind w:left="160"/>
              <w:spacing w:after="0" w:line="168" w:lineRule="exact"/>
              <w:rPr>
                <w:sz w:val="20"/>
                <w:szCs w:val="20"/>
                <w:color w:val="auto"/>
              </w:rPr>
            </w:pPr>
            <w:r>
              <w:rPr>
                <w:rFonts w:ascii="Times New Roman" w:cs="Times New Roman" w:eastAsia="Times New Roman" w:hAnsi="Times New Roman"/>
                <w:sz w:val="15"/>
                <w:szCs w:val="15"/>
                <w:color w:val="auto"/>
              </w:rPr>
              <w:t>SPBRX, INC. (f/k/a GSV</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Sustainability Partners,</w:t>
            </w: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Inc.)–Common shares</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100,000</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20" w:type="dxa"/>
            <w:vAlign w:val="bottom"/>
            <w:gridSpan w:val="5"/>
          </w:tcPr>
          <w:p>
            <w:pPr>
              <w:ind w:left="100"/>
              <w:spacing w:after="0"/>
              <w:rPr>
                <w:sz w:val="20"/>
                <w:szCs w:val="20"/>
                <w:color w:val="auto"/>
              </w:rPr>
            </w:pPr>
            <w:r>
              <w:rPr>
                <w:rFonts w:ascii="Times New Roman" w:cs="Times New Roman" w:eastAsia="Times New Roman" w:hAnsi="Times New Roman"/>
                <w:sz w:val="15"/>
                <w:szCs w:val="15"/>
                <w:i w:val="1"/>
                <w:iCs w:val="1"/>
                <w:color w:val="auto"/>
              </w:rPr>
              <w:t>Mobile Finance Technology</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20" w:type="dxa"/>
            <w:vAlign w:val="bottom"/>
            <w:gridSpan w:val="5"/>
            <w:shd w:val="clear" w:color="auto" w:fill="CCEEFF"/>
          </w:tcPr>
          <w:p>
            <w:pPr>
              <w:ind w:left="160"/>
              <w:spacing w:after="0" w:line="168" w:lineRule="exact"/>
              <w:rPr>
                <w:sz w:val="20"/>
                <w:szCs w:val="20"/>
                <w:color w:val="auto"/>
              </w:rPr>
            </w:pPr>
            <w:r>
              <w:rPr>
                <w:rFonts w:ascii="Times New Roman" w:cs="Times New Roman" w:eastAsia="Times New Roman" w:hAnsi="Times New Roman"/>
                <w:sz w:val="15"/>
                <w:szCs w:val="15"/>
                <w:color w:val="auto"/>
              </w:rPr>
              <w:t>Architect Capital PayJoy</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SPV, LLC**–Membership</w:t>
            </w: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Interest in Lending SPV***</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$10,000,000</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1,331,258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10,000,000</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10,000,000</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4.92%</w:t>
            </w:r>
          </w:p>
        </w:tc>
        <w:tc>
          <w:tcPr>
            <w:tcW w:w="0" w:type="dxa"/>
            <w:vAlign w:val="bottom"/>
          </w:tcPr>
          <w:p>
            <w:pPr>
              <w:spacing w:after="0"/>
              <w:rPr>
                <w:sz w:val="1"/>
                <w:szCs w:val="1"/>
                <w:color w:val="auto"/>
              </w:rPr>
            </w:pPr>
          </w:p>
        </w:tc>
      </w:tr>
      <w:tr>
        <w:trPr>
          <w:trHeight w:val="164"/>
        </w:trPr>
        <w:tc>
          <w:tcPr>
            <w:tcW w:w="2020" w:type="dxa"/>
            <w:vAlign w:val="bottom"/>
            <w:gridSpan w:val="5"/>
          </w:tcPr>
          <w:p>
            <w:pPr>
              <w:ind w:left="100"/>
              <w:spacing w:after="0" w:line="164" w:lineRule="exact"/>
              <w:rPr>
                <w:sz w:val="20"/>
                <w:szCs w:val="20"/>
                <w:color w:val="auto"/>
              </w:rPr>
            </w:pPr>
            <w:r>
              <w:rPr>
                <w:rFonts w:ascii="Times New Roman" w:cs="Times New Roman" w:eastAsia="Times New Roman" w:hAnsi="Times New Roman"/>
                <w:sz w:val="15"/>
                <w:szCs w:val="15"/>
                <w:i w:val="1"/>
                <w:iCs w:val="1"/>
                <w:color w:val="auto"/>
              </w:rPr>
              <w:t>Special Purpose Acquisition</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20" w:type="dxa"/>
            <w:vAlign w:val="bottom"/>
            <w:gridSpan w:val="5"/>
          </w:tcPr>
          <w:p>
            <w:pPr>
              <w:ind w:left="100"/>
              <w:spacing w:after="0"/>
              <w:rPr>
                <w:sz w:val="20"/>
                <w:szCs w:val="20"/>
                <w:color w:val="auto"/>
              </w:rPr>
            </w:pPr>
            <w:r>
              <w:rPr>
                <w:rFonts w:ascii="Times New Roman" w:cs="Times New Roman" w:eastAsia="Times New Roman" w:hAnsi="Times New Roman"/>
                <w:sz w:val="15"/>
                <w:szCs w:val="15"/>
                <w:i w:val="1"/>
                <w:iCs w:val="1"/>
                <w:color w:val="auto"/>
              </w:rPr>
              <w:t>Company</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20" w:type="dxa"/>
            <w:vAlign w:val="bottom"/>
            <w:gridSpan w:val="5"/>
            <w:shd w:val="clear" w:color="auto" w:fill="CCEEFF"/>
          </w:tcPr>
          <w:p>
            <w:pPr>
              <w:ind w:left="160"/>
              <w:spacing w:after="0" w:line="168" w:lineRule="exact"/>
              <w:rPr>
                <w:sz w:val="20"/>
                <w:szCs w:val="20"/>
                <w:color w:val="auto"/>
              </w:rPr>
            </w:pPr>
            <w:r>
              <w:rPr>
                <w:rFonts w:ascii="Times New Roman" w:cs="Times New Roman" w:eastAsia="Times New Roman" w:hAnsi="Times New Roman"/>
                <w:sz w:val="15"/>
                <w:szCs w:val="15"/>
                <w:color w:val="auto"/>
              </w:rPr>
              <w:t>Colombier Sponsor II</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LLC**–Class B Units</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1,040,000</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842,289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259,406</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1,101,695</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0.54%</w:t>
            </w: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20" w:type="dxa"/>
            <w:vAlign w:val="bottom"/>
            <w:gridSpan w:val="5"/>
            <w:shd w:val="clear" w:color="auto" w:fill="CCEEFF"/>
          </w:tcPr>
          <w:p>
            <w:pPr>
              <w:ind w:left="160"/>
              <w:spacing w:after="0" w:line="169" w:lineRule="exact"/>
              <w:rPr>
                <w:sz w:val="20"/>
                <w:szCs w:val="20"/>
                <w:color w:val="auto"/>
              </w:rPr>
            </w:pPr>
            <w:r>
              <w:rPr>
                <w:rFonts w:ascii="Times New Roman" w:cs="Times New Roman" w:eastAsia="Times New Roman" w:hAnsi="Times New Roman"/>
                <w:sz w:val="15"/>
                <w:szCs w:val="15"/>
                <w:color w:val="auto"/>
              </w:rPr>
              <w:t>Colombier Sponsor LLC**</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20" w:type="dxa"/>
            <w:vAlign w:val="bottom"/>
            <w:gridSpan w:val="5"/>
            <w:shd w:val="clear" w:color="auto" w:fill="CCEEFF"/>
          </w:tcPr>
          <w:p>
            <w:pPr>
              <w:ind w:left="160"/>
              <w:spacing w:after="0" w:line="229" w:lineRule="exact"/>
              <w:rPr>
                <w:sz w:val="20"/>
                <w:szCs w:val="20"/>
                <w:color w:val="auto"/>
              </w:rPr>
            </w:pP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5"/>
                <w:szCs w:val="15"/>
                <w:color w:val="auto"/>
              </w:rPr>
              <w:t xml:space="preserve"> –Class B Units</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1,554,355</w:t>
            </w: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w w:val="99"/>
              </w:rPr>
              <w:t>(1,556,587)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2,232</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4"/>
        </w:trPr>
        <w:tc>
          <w:tcPr>
            <w:tcW w:w="202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auto"/>
              </w:rPr>
              <w:t>Total Common Stock</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1,331,258</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11,554,355</w:t>
            </w: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w w:val="99"/>
              </w:rPr>
              <w:t>(1,556,587)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842,289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261,638</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11,101,695</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5.46%</w:t>
            </w:r>
          </w:p>
        </w:tc>
        <w:tc>
          <w:tcPr>
            <w:tcW w:w="0" w:type="dxa"/>
            <w:vAlign w:val="bottom"/>
          </w:tcPr>
          <w:p>
            <w:pPr>
              <w:spacing w:after="0"/>
              <w:rPr>
                <w:sz w:val="1"/>
                <w:szCs w:val="1"/>
                <w:color w:val="auto"/>
              </w:rPr>
            </w:pPr>
          </w:p>
        </w:tc>
      </w:tr>
      <w:tr>
        <w:trPr>
          <w:trHeight w:val="147"/>
        </w:trPr>
        <w:tc>
          <w:tcPr>
            <w:tcW w:w="2020" w:type="dxa"/>
            <w:vAlign w:val="bottom"/>
            <w:tcBorders>
              <w:top w:val="single" w:sz="8" w:color="CCEEFF"/>
            </w:tcBorders>
            <w:gridSpan w:val="5"/>
            <w:shd w:val="clear" w:color="auto" w:fill="CCEEFF"/>
          </w:tcPr>
          <w:p>
            <w:pPr>
              <w:spacing w:after="0" w:line="148" w:lineRule="exact"/>
              <w:rPr>
                <w:sz w:val="20"/>
                <w:szCs w:val="20"/>
                <w:color w:val="auto"/>
              </w:rPr>
            </w:pPr>
            <w:r>
              <w:rPr>
                <w:rFonts w:ascii="Times New Roman" w:cs="Times New Roman" w:eastAsia="Times New Roman" w:hAnsi="Times New Roman"/>
                <w:sz w:val="15"/>
                <w:szCs w:val="15"/>
                <w:b w:val="1"/>
                <w:bCs w:val="1"/>
                <w:color w:val="auto"/>
              </w:rPr>
              <w:t>TOTAL CONTROLLED</w:t>
            </w:r>
          </w:p>
        </w:tc>
        <w:tc>
          <w:tcPr>
            <w:tcW w:w="7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2020" w:type="dxa"/>
            <w:vAlign w:val="bottom"/>
            <w:gridSpan w:val="5"/>
            <w:shd w:val="clear" w:color="auto" w:fill="CCEEFF"/>
          </w:tcPr>
          <w:p>
            <w:pPr>
              <w:spacing w:after="0" w:line="232" w:lineRule="exact"/>
              <w:rPr>
                <w:sz w:val="20"/>
                <w:szCs w:val="20"/>
                <w:color w:val="auto"/>
              </w:rPr>
            </w:pPr>
            <w:r>
              <w:rPr>
                <w:rFonts w:ascii="Times New Roman" w:cs="Times New Roman" w:eastAsia="Times New Roman" w:hAnsi="Times New Roman"/>
                <w:sz w:val="15"/>
                <w:szCs w:val="15"/>
                <w:b w:val="1"/>
                <w:bCs w:val="1"/>
                <w:color w:val="auto"/>
              </w:rPr>
              <w:t>INVESTMENTS*</w:t>
            </w:r>
            <w:r>
              <w:rPr>
                <w:rFonts w:ascii="Times New Roman" w:cs="Times New Roman" w:eastAsia="Times New Roman" w:hAnsi="Times New Roman"/>
                <w:sz w:val="25"/>
                <w:szCs w:val="25"/>
                <w:b w:val="1"/>
                <w:bCs w:val="1"/>
                <w:color w:val="auto"/>
                <w:vertAlign w:val="superscript"/>
              </w:rPr>
              <w:t>(2)</w:t>
            </w: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1,831,258</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13,695,870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w w:val="99"/>
              </w:rPr>
              <w:t>(2,715,737)</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1,602,940</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(600,693)</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11,982,380</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5.89%</w:t>
            </w:r>
          </w:p>
        </w:tc>
        <w:tc>
          <w:tcPr>
            <w:tcW w:w="0" w:type="dxa"/>
            <w:vAlign w:val="bottom"/>
          </w:tcPr>
          <w:p>
            <w:pPr>
              <w:spacing w:after="0"/>
              <w:rPr>
                <w:sz w:val="1"/>
                <w:szCs w:val="1"/>
                <w:color w:val="auto"/>
              </w:rPr>
            </w:pPr>
          </w:p>
        </w:tc>
      </w:tr>
      <w:tr>
        <w:trPr>
          <w:trHeight w:val="387"/>
        </w:trPr>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16"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Interest,</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8"/>
              </w:rPr>
              <w:t>Purchases,</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Fees, or</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Fair Value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Capitalized</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Dividends</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at</w:t>
            </w:r>
          </w:p>
        </w:tc>
        <w:tc>
          <w:tcPr>
            <w:tcW w:w="780" w:type="dxa"/>
            <w:vAlign w:val="bottom"/>
            <w:gridSpan w:val="4"/>
          </w:tcPr>
          <w:p>
            <w:pPr>
              <w:jc w:val="center"/>
              <w:ind w:left="24"/>
              <w:spacing w:after="0"/>
              <w:rPr>
                <w:sz w:val="20"/>
                <w:szCs w:val="20"/>
                <w:color w:val="auto"/>
              </w:rPr>
            </w:pPr>
            <w:r>
              <w:rPr>
                <w:rFonts w:ascii="Times New Roman" w:cs="Times New Roman" w:eastAsia="Times New Roman" w:hAnsi="Times New Roman"/>
                <w:sz w:val="15"/>
                <w:szCs w:val="15"/>
                <w:b w:val="1"/>
                <w:bCs w:val="1"/>
                <w:color w:val="auto"/>
                <w:w w:val="98"/>
              </w:rPr>
              <w:t>Transfer</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Fees,</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w w:val="95"/>
              </w:rPr>
              <w:t>Percentage</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20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auto"/>
              </w:rPr>
              <w:t>Type/Industry/Portfolio</w:t>
            </w:r>
          </w:p>
        </w:tc>
        <w:tc>
          <w:tcPr>
            <w:tcW w:w="80" w:type="dxa"/>
            <w:vAlign w:val="bottom"/>
          </w:tcPr>
          <w:p>
            <w:pPr>
              <w:spacing w:after="0"/>
              <w:rPr>
                <w:sz w:val="15"/>
                <w:szCs w:val="15"/>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Principal/</w:t>
            </w:r>
          </w:p>
        </w:tc>
        <w:tc>
          <w:tcPr>
            <w:tcW w:w="80" w:type="dxa"/>
            <w:vAlign w:val="bottom"/>
          </w:tcPr>
          <w:p>
            <w:pPr>
              <w:spacing w:after="0"/>
              <w:rPr>
                <w:sz w:val="15"/>
                <w:szCs w:val="15"/>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Credited</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December</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7"/>
              </w:rPr>
              <w:t>In/</w:t>
            </w:r>
          </w:p>
        </w:tc>
        <w:tc>
          <w:tcPr>
            <w:tcW w:w="100" w:type="dxa"/>
            <w:vAlign w:val="bottom"/>
          </w:tcPr>
          <w:p>
            <w:pPr>
              <w:spacing w:after="0"/>
              <w:rPr>
                <w:sz w:val="15"/>
                <w:szCs w:val="15"/>
                <w:color w:val="auto"/>
              </w:rPr>
            </w:pPr>
          </w:p>
        </w:tc>
        <w:tc>
          <w:tcPr>
            <w:tcW w:w="102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Interest and</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Realized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w w:val="99"/>
              </w:rPr>
              <w:t>Unrealized</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at December</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of Net</w:t>
            </w: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220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auto"/>
              </w:rPr>
              <w:t>Company/Investment</w:t>
            </w:r>
          </w:p>
        </w:tc>
        <w:tc>
          <w:tcPr>
            <w:tcW w:w="80" w:type="dxa"/>
            <w:vAlign w:val="bottom"/>
          </w:tcPr>
          <w:p>
            <w:pPr>
              <w:spacing w:after="0"/>
              <w:rPr>
                <w:sz w:val="17"/>
                <w:szCs w:val="17"/>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Quantity</w:t>
            </w:r>
          </w:p>
        </w:tc>
        <w:tc>
          <w:tcPr>
            <w:tcW w:w="8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w w:val="97"/>
              </w:rPr>
              <w:t>in Income</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31, 2022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(Out)</w:t>
            </w:r>
          </w:p>
        </w:tc>
        <w:tc>
          <w:tcPr>
            <w:tcW w:w="100" w:type="dxa"/>
            <w:vAlign w:val="bottom"/>
          </w:tcPr>
          <w:p>
            <w:pPr>
              <w:spacing w:after="0"/>
              <w:rPr>
                <w:sz w:val="17"/>
                <w:szCs w:val="17"/>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Sales</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Gains/(Losses)</w:t>
            </w:r>
          </w:p>
        </w:tc>
        <w:tc>
          <w:tcPr>
            <w:tcW w:w="1160" w:type="dxa"/>
            <w:vAlign w:val="bottom"/>
            <w:gridSpan w:val="4"/>
          </w:tcPr>
          <w:p>
            <w:pPr>
              <w:ind w:left="60"/>
              <w:spacing w:after="0"/>
              <w:rPr>
                <w:sz w:val="20"/>
                <w:szCs w:val="20"/>
                <w:color w:val="auto"/>
              </w:rPr>
            </w:pPr>
            <w:r>
              <w:rPr>
                <w:rFonts w:ascii="Times New Roman" w:cs="Times New Roman" w:eastAsia="Times New Roman" w:hAnsi="Times New Roman"/>
                <w:sz w:val="15"/>
                <w:szCs w:val="15"/>
                <w:b w:val="1"/>
                <w:bCs w:val="1"/>
                <w:color w:val="auto"/>
              </w:rPr>
              <w:t>Gains/(Losses)</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31, 2023</w:t>
            </w:r>
          </w:p>
        </w:tc>
        <w:tc>
          <w:tcPr>
            <w:tcW w:w="16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0" w:type="dxa"/>
            <w:vAlign w:val="bottom"/>
          </w:tcPr>
          <w:p>
            <w:pPr>
              <w:spacing w:after="0"/>
              <w:rPr>
                <w:sz w:val="1"/>
                <w:szCs w:val="1"/>
                <w:color w:val="auto"/>
              </w:rPr>
            </w:pPr>
          </w:p>
        </w:tc>
      </w:tr>
      <w:tr>
        <w:trPr>
          <w:trHeight w:val="139"/>
        </w:trPr>
        <w:tc>
          <w:tcPr>
            <w:tcW w:w="40" w:type="dxa"/>
            <w:vAlign w:val="bottom"/>
            <w:tcBorders>
              <w:top w:val="single" w:sz="8" w:color="auto"/>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spacing w:after="0" w:line="140" w:lineRule="exact"/>
              <w:rPr>
                <w:sz w:val="20"/>
                <w:szCs w:val="20"/>
                <w:color w:val="auto"/>
              </w:rPr>
            </w:pPr>
            <w:r>
              <w:rPr>
                <w:rFonts w:ascii="Times New Roman" w:cs="Times New Roman" w:eastAsia="Times New Roman" w:hAnsi="Times New Roman"/>
                <w:sz w:val="15"/>
                <w:szCs w:val="15"/>
                <w:b w:val="1"/>
                <w:bCs w:val="1"/>
                <w:color w:val="auto"/>
                <w:w w:val="93"/>
              </w:rPr>
              <w:t>NON-</w:t>
            </w:r>
          </w:p>
        </w:tc>
        <w:tc>
          <w:tcPr>
            <w:tcW w:w="1820" w:type="dxa"/>
            <w:vAlign w:val="bottom"/>
            <w:tcBorders>
              <w:top w:val="single" w:sz="8" w:color="auto"/>
              <w:bottom w:val="single" w:sz="8" w:color="CCEEFF"/>
            </w:tcBorders>
            <w:gridSpan w:val="4"/>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2200" w:type="dxa"/>
            <w:vAlign w:val="bottom"/>
            <w:gridSpan w:val="5"/>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CONTROLLED/AFFILIATE</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180" w:type="dxa"/>
            <w:vAlign w:val="bottom"/>
            <w:tcBorders>
              <w:top w:val="single" w:sz="8" w:color="auto"/>
              <w:bottom w:val="single" w:sz="8" w:color="auto"/>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9"/>
              </w:rPr>
              <w:t>INVESTMENTS*</w:t>
            </w:r>
          </w:p>
        </w:tc>
        <w:tc>
          <w:tcPr>
            <w:tcW w:w="14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w w:val="78"/>
              </w:rPr>
              <w:t>(1)</w:t>
            </w:r>
          </w:p>
        </w:tc>
        <w:tc>
          <w:tcPr>
            <w:tcW w:w="600" w:type="dxa"/>
            <w:vAlign w:val="bottom"/>
            <w:tcBorders>
              <w:top w:val="single" w:sz="8" w:color="auto"/>
              <w:bottom w:val="single" w:sz="8" w:color="auto"/>
            </w:tcBorders>
            <w:vMerge w:val="restart"/>
            <w:shd w:val="clear" w:color="auto" w:fill="CCEEFF"/>
          </w:tcPr>
          <w:p>
            <w:pPr>
              <w:spacing w:after="0"/>
              <w:rPr>
                <w:sz w:val="12"/>
                <w:szCs w:val="12"/>
                <w:color w:val="auto"/>
              </w:rPr>
            </w:pPr>
          </w:p>
        </w:tc>
        <w:tc>
          <w:tcPr>
            <w:tcW w:w="280" w:type="dxa"/>
            <w:vAlign w:val="bottom"/>
            <w:tcBorders>
              <w:top w:val="single" w:sz="8" w:color="CCEEFF"/>
              <w:bottom w:val="single" w:sz="8" w:color="CCEEFF"/>
            </w:tcBorders>
            <w:vMerge w:val="restart"/>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1"/>
        </w:trPr>
        <w:tc>
          <w:tcPr>
            <w:tcW w:w="40" w:type="dxa"/>
            <w:vAlign w:val="bottom"/>
            <w:tcBorders>
              <w:bottom w:val="single" w:sz="8" w:color="CCEEFF"/>
            </w:tcBorders>
            <w:shd w:val="clear" w:color="auto" w:fill="CCEEFF"/>
          </w:tcPr>
          <w:p>
            <w:pPr>
              <w:spacing w:after="0"/>
              <w:rPr>
                <w:sz w:val="4"/>
                <w:szCs w:val="4"/>
                <w:color w:val="auto"/>
              </w:rPr>
            </w:pPr>
          </w:p>
        </w:tc>
        <w:tc>
          <w:tcPr>
            <w:tcW w:w="1180" w:type="dxa"/>
            <w:vAlign w:val="bottom"/>
            <w:tcBorders>
              <w:bottom w:val="single" w:sz="8" w:color="auto"/>
            </w:tcBorders>
            <w:gridSpan w:val="2"/>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600" w:type="dxa"/>
            <w:vAlign w:val="bottom"/>
            <w:tcBorders>
              <w:bottom w:val="single" w:sz="8" w:color="CCEEFF"/>
            </w:tcBorders>
            <w:vMerge w:val="continue"/>
            <w:shd w:val="clear" w:color="auto" w:fill="CCEEFF"/>
          </w:tcPr>
          <w:p>
            <w:pPr>
              <w:spacing w:after="0"/>
              <w:rPr>
                <w:sz w:val="4"/>
                <w:szCs w:val="4"/>
                <w:color w:val="auto"/>
              </w:rPr>
            </w:pPr>
          </w:p>
        </w:tc>
        <w:tc>
          <w:tcPr>
            <w:tcW w:w="28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72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46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9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7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240" w:type="dxa"/>
            <w:vAlign w:val="bottom"/>
            <w:gridSpan w:val="6"/>
          </w:tcPr>
          <w:p>
            <w:pPr>
              <w:spacing w:after="0"/>
              <w:rPr>
                <w:sz w:val="20"/>
                <w:szCs w:val="20"/>
                <w:color w:val="auto"/>
              </w:rPr>
            </w:pPr>
            <w:r>
              <w:rPr>
                <w:rFonts w:ascii="Times New Roman" w:cs="Times New Roman" w:eastAsia="Times New Roman" w:hAnsi="Times New Roman"/>
                <w:sz w:val="15"/>
                <w:szCs w:val="15"/>
                <w:b w:val="1"/>
                <w:bCs w:val="1"/>
                <w:color w:val="auto"/>
              </w:rPr>
              <w:t>Debt Investments</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shd w:val="clear" w:color="auto" w:fill="CCEEFF"/>
          </w:tcPr>
          <w:p>
            <w:pPr>
              <w:spacing w:after="0"/>
              <w:rPr>
                <w:sz w:val="15"/>
                <w:szCs w:val="15"/>
                <w:color w:val="auto"/>
              </w:rPr>
            </w:pPr>
          </w:p>
        </w:tc>
        <w:tc>
          <w:tcPr>
            <w:tcW w:w="220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5"/>
                <w:szCs w:val="15"/>
                <w:i w:val="1"/>
                <w:iCs w:val="1"/>
                <w:color w:val="auto"/>
              </w:rPr>
              <w:t>Global Innovation Platform</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2200" w:type="dxa"/>
            <w:vAlign w:val="bottom"/>
            <w:gridSpan w:val="5"/>
          </w:tcPr>
          <w:p>
            <w:pPr>
              <w:ind w:left="120"/>
              <w:spacing w:after="0" w:line="168" w:lineRule="exact"/>
              <w:rPr>
                <w:sz w:val="20"/>
                <w:szCs w:val="20"/>
                <w:color w:val="auto"/>
              </w:rPr>
            </w:pPr>
            <w:r>
              <w:rPr>
                <w:rFonts w:ascii="Times New Roman" w:cs="Times New Roman" w:eastAsia="Times New Roman" w:hAnsi="Times New Roman"/>
                <w:sz w:val="15"/>
                <w:szCs w:val="15"/>
                <w:color w:val="auto"/>
              </w:rPr>
              <w:t>OneValley, Inc. (f/k/a NestGSV,</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200" w:type="dxa"/>
            <w:vAlign w:val="bottom"/>
            <w:gridSpan w:val="5"/>
          </w:tcPr>
          <w:p>
            <w:pPr>
              <w:ind w:left="120"/>
              <w:spacing w:after="0"/>
              <w:rPr>
                <w:sz w:val="20"/>
                <w:szCs w:val="20"/>
                <w:color w:val="auto"/>
              </w:rPr>
            </w:pPr>
            <w:r>
              <w:rPr>
                <w:rFonts w:ascii="Times New Roman" w:cs="Times New Roman" w:eastAsia="Times New Roman" w:hAnsi="Times New Roman"/>
                <w:sz w:val="15"/>
                <w:szCs w:val="15"/>
                <w:color w:val="auto"/>
              </w:rPr>
              <w:t>Inc.) –Convertible Promissory</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200" w:type="dxa"/>
            <w:vAlign w:val="bottom"/>
            <w:gridSpan w:val="5"/>
          </w:tcPr>
          <w:p>
            <w:pPr>
              <w:ind w:left="120"/>
              <w:spacing w:after="0" w:line="229" w:lineRule="exact"/>
              <w:rPr>
                <w:sz w:val="20"/>
                <w:szCs w:val="20"/>
                <w:color w:val="auto"/>
              </w:rPr>
            </w:pPr>
            <w:r>
              <w:rPr>
                <w:rFonts w:ascii="Times New Roman" w:cs="Times New Roman" w:eastAsia="Times New Roman" w:hAnsi="Times New Roman"/>
                <w:sz w:val="15"/>
                <w:szCs w:val="15"/>
                <w:color w:val="auto"/>
              </w:rPr>
              <w:t>Note 8%, Due 8/23/2024</w:t>
            </w:r>
            <w:r>
              <w:rPr>
                <w:rFonts w:ascii="Times New Roman" w:cs="Times New Roman" w:eastAsia="Times New Roman" w:hAnsi="Times New Roman"/>
                <w:sz w:val="25"/>
                <w:szCs w:val="25"/>
                <w:color w:val="auto"/>
                <w:vertAlign w:val="superscript"/>
              </w:rPr>
              <w:t>(3)</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$ 1,010,198</w:t>
            </w:r>
          </w:p>
        </w:tc>
        <w:tc>
          <w:tcPr>
            <w:tcW w:w="36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$ 1,988,200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(720,805)</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1,267,395</w:t>
            </w:r>
          </w:p>
        </w:tc>
        <w:tc>
          <w:tcPr>
            <w:tcW w:w="1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0.62%</w:t>
            </w:r>
          </w:p>
        </w:tc>
        <w:tc>
          <w:tcPr>
            <w:tcW w:w="0" w:type="dxa"/>
            <w:vAlign w:val="bottom"/>
          </w:tcPr>
          <w:p>
            <w:pPr>
              <w:spacing w:after="0"/>
              <w:rPr>
                <w:sz w:val="1"/>
                <w:szCs w:val="1"/>
                <w:color w:val="auto"/>
              </w:rPr>
            </w:pPr>
          </w:p>
        </w:tc>
      </w:tr>
      <w:tr>
        <w:trPr>
          <w:trHeight w:val="182"/>
        </w:trPr>
        <w:tc>
          <w:tcPr>
            <w:tcW w:w="22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Debt Investments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1,988,200</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(720,805)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1,267,395</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0.62%</w:t>
            </w:r>
          </w:p>
        </w:tc>
        <w:tc>
          <w:tcPr>
            <w:tcW w:w="0" w:type="dxa"/>
            <w:vAlign w:val="bottom"/>
          </w:tcPr>
          <w:p>
            <w:pPr>
              <w:spacing w:after="0"/>
              <w:rPr>
                <w:sz w:val="1"/>
                <w:szCs w:val="1"/>
                <w:color w:val="auto"/>
              </w:rPr>
            </w:pPr>
          </w:p>
        </w:tc>
      </w:tr>
      <w:tr>
        <w:trPr>
          <w:trHeight w:val="182"/>
        </w:trPr>
        <w:tc>
          <w:tcPr>
            <w:tcW w:w="2240" w:type="dxa"/>
            <w:vAlign w:val="bottom"/>
            <w:gridSpan w:val="6"/>
          </w:tcPr>
          <w:p>
            <w:pPr>
              <w:spacing w:after="0"/>
              <w:rPr>
                <w:sz w:val="20"/>
                <w:szCs w:val="20"/>
                <w:color w:val="auto"/>
              </w:rPr>
            </w:pPr>
            <w:r>
              <w:rPr>
                <w:rFonts w:ascii="Times New Roman" w:cs="Times New Roman" w:eastAsia="Times New Roman" w:hAnsi="Times New Roman"/>
                <w:sz w:val="15"/>
                <w:szCs w:val="15"/>
                <w:b w:val="1"/>
                <w:bCs w:val="1"/>
                <w:color w:val="auto"/>
              </w:rPr>
              <w:t>Preferred Stock</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shd w:val="clear" w:color="auto" w:fill="CCEEFF"/>
          </w:tcPr>
          <w:p>
            <w:pPr>
              <w:spacing w:after="0"/>
              <w:rPr>
                <w:sz w:val="15"/>
                <w:szCs w:val="15"/>
                <w:color w:val="auto"/>
              </w:rPr>
            </w:pPr>
          </w:p>
        </w:tc>
        <w:tc>
          <w:tcPr>
            <w:tcW w:w="220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5"/>
                <w:szCs w:val="15"/>
                <w:i w:val="1"/>
                <w:iCs w:val="1"/>
                <w:color w:val="auto"/>
              </w:rPr>
              <w:t>Knowledge Networks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2200" w:type="dxa"/>
            <w:vAlign w:val="bottom"/>
            <w:gridSpan w:val="5"/>
          </w:tcPr>
          <w:p>
            <w:pPr>
              <w:ind w:left="120"/>
              <w:spacing w:after="0" w:line="168" w:lineRule="exact"/>
              <w:rPr>
                <w:sz w:val="20"/>
                <w:szCs w:val="20"/>
                <w:color w:val="auto"/>
              </w:rPr>
            </w:pPr>
            <w:r>
              <w:rPr>
                <w:rFonts w:ascii="Times New Roman" w:cs="Times New Roman" w:eastAsia="Times New Roman" w:hAnsi="Times New Roman"/>
                <w:sz w:val="15"/>
                <w:szCs w:val="15"/>
                <w:color w:val="auto"/>
              </w:rPr>
              <w:t>Maven Research, Inc.–Preferred</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2200" w:type="dxa"/>
            <w:vAlign w:val="bottom"/>
            <w:gridSpan w:val="5"/>
          </w:tcPr>
          <w:p>
            <w:pPr>
              <w:ind w:left="120"/>
              <w:spacing w:after="0"/>
              <w:rPr>
                <w:sz w:val="20"/>
                <w:szCs w:val="20"/>
                <w:color w:val="auto"/>
              </w:rPr>
            </w:pPr>
            <w:r>
              <w:rPr>
                <w:rFonts w:ascii="Times New Roman" w:cs="Times New Roman" w:eastAsia="Times New Roman" w:hAnsi="Times New Roman"/>
                <w:sz w:val="15"/>
                <w:szCs w:val="15"/>
                <w:color w:val="auto"/>
              </w:rPr>
              <w:t>shares, Series C</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318,979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8"/>
        </w:trPr>
        <w:tc>
          <w:tcPr>
            <w:tcW w:w="40" w:type="dxa"/>
            <w:vAlign w:val="bottom"/>
            <w:shd w:val="clear" w:color="auto" w:fill="CCEEFF"/>
          </w:tcPr>
          <w:p>
            <w:pPr>
              <w:spacing w:after="0"/>
              <w:rPr>
                <w:sz w:val="14"/>
                <w:szCs w:val="14"/>
                <w:color w:val="auto"/>
              </w:rPr>
            </w:pPr>
          </w:p>
        </w:tc>
        <w:tc>
          <w:tcPr>
            <w:tcW w:w="2200" w:type="dxa"/>
            <w:vAlign w:val="bottom"/>
            <w:gridSpan w:val="5"/>
            <w:shd w:val="clear" w:color="auto" w:fill="CCEEFF"/>
          </w:tcPr>
          <w:p>
            <w:pPr>
              <w:ind w:left="120"/>
              <w:spacing w:after="0" w:line="168" w:lineRule="exact"/>
              <w:rPr>
                <w:sz w:val="20"/>
                <w:szCs w:val="20"/>
                <w:color w:val="auto"/>
              </w:rPr>
            </w:pPr>
            <w:r>
              <w:rPr>
                <w:rFonts w:ascii="Times New Roman" w:cs="Times New Roman" w:eastAsia="Times New Roman" w:hAnsi="Times New Roman"/>
                <w:sz w:val="15"/>
                <w:szCs w:val="15"/>
                <w:color w:val="auto"/>
              </w:rPr>
              <w:t>Maven Research, Inc.–Preferred</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0" w:type="dxa"/>
            <w:vAlign w:val="bottom"/>
            <w:shd w:val="clear" w:color="auto" w:fill="CCEEFF"/>
          </w:tcPr>
          <w:p>
            <w:pPr>
              <w:spacing w:after="0"/>
              <w:rPr>
                <w:sz w:val="18"/>
                <w:szCs w:val="18"/>
                <w:color w:val="auto"/>
              </w:rPr>
            </w:pPr>
          </w:p>
        </w:tc>
        <w:tc>
          <w:tcPr>
            <w:tcW w:w="220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shares, Series B</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49,505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2200" w:type="dxa"/>
            <w:vAlign w:val="bottom"/>
            <w:gridSpan w:val="5"/>
            <w:vMerge w:val="restart"/>
          </w:tcPr>
          <w:p>
            <w:pPr>
              <w:ind w:left="60"/>
              <w:spacing w:after="0"/>
              <w:rPr>
                <w:sz w:val="20"/>
                <w:szCs w:val="20"/>
                <w:color w:val="auto"/>
              </w:rPr>
            </w:pPr>
            <w:r>
              <w:rPr>
                <w:rFonts w:ascii="Times New Roman" w:cs="Times New Roman" w:eastAsia="Times New Roman" w:hAnsi="Times New Roman"/>
                <w:sz w:val="15"/>
                <w:szCs w:val="15"/>
                <w:i w:val="1"/>
                <w:iCs w:val="1"/>
                <w:color w:val="auto"/>
              </w:rPr>
              <w:t>Total Knowledge Networks</w:t>
            </w: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vMerge w:val="continue"/>
          </w:tcPr>
          <w:p>
            <w:pPr>
              <w:spacing w:after="0"/>
              <w:rPr>
                <w:sz w:val="15"/>
                <w:szCs w:val="15"/>
                <w:color w:val="auto"/>
              </w:rPr>
            </w:pPr>
          </w:p>
        </w:tc>
        <w:tc>
          <w:tcPr>
            <w:tcW w:w="220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vMerge w:val="continue"/>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ind w:left="320"/>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ind w:left="520"/>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vMerge w:val="continue"/>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vMerge w:val="continue"/>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vMerge w:val="continue"/>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40" w:type="dxa"/>
            <w:vAlign w:val="bottom"/>
            <w:shd w:val="clear" w:color="auto" w:fill="CCEEFF"/>
          </w:tcPr>
          <w:p>
            <w:pPr>
              <w:spacing w:after="0"/>
              <w:rPr>
                <w:sz w:val="15"/>
                <w:szCs w:val="15"/>
                <w:color w:val="auto"/>
              </w:rPr>
            </w:pPr>
          </w:p>
        </w:tc>
        <w:tc>
          <w:tcPr>
            <w:tcW w:w="220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5"/>
                <w:szCs w:val="15"/>
                <w:i w:val="1"/>
                <w:iCs w:val="1"/>
                <w:color w:val="auto"/>
              </w:rPr>
              <w:t>Digital Media Platform</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200" w:type="dxa"/>
            <w:vAlign w:val="bottom"/>
            <w:gridSpan w:val="5"/>
          </w:tcPr>
          <w:p>
            <w:pPr>
              <w:ind w:left="120"/>
              <w:spacing w:after="0" w:line="202" w:lineRule="exact"/>
              <w:rPr>
                <w:sz w:val="20"/>
                <w:szCs w:val="20"/>
                <w:color w:val="auto"/>
              </w:rPr>
            </w:pPr>
            <w:r>
              <w:rPr>
                <w:rFonts w:ascii="Times New Roman" w:cs="Times New Roman" w:eastAsia="Times New Roman" w:hAnsi="Times New Roman"/>
                <w:sz w:val="14"/>
                <w:szCs w:val="14"/>
                <w:color w:val="auto"/>
              </w:rPr>
              <w:t>Ozy Media, Inc.</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4"/>
                <w:szCs w:val="14"/>
                <w:color w:val="auto"/>
              </w:rPr>
              <w:t xml:space="preserve"> – Preferred</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2200" w:type="dxa"/>
            <w:vAlign w:val="bottom"/>
            <w:gridSpan w:val="5"/>
          </w:tcPr>
          <w:p>
            <w:pPr>
              <w:ind w:left="120"/>
              <w:spacing w:after="0"/>
              <w:rPr>
                <w:sz w:val="20"/>
                <w:szCs w:val="20"/>
                <w:color w:val="auto"/>
              </w:rPr>
            </w:pPr>
            <w:r>
              <w:rPr>
                <w:rFonts w:ascii="Times New Roman" w:cs="Times New Roman" w:eastAsia="Times New Roman" w:hAnsi="Times New Roman"/>
                <w:sz w:val="15"/>
                <w:szCs w:val="15"/>
                <w:color w:val="auto"/>
              </w:rPr>
              <w:t>shares, Series C-2 6%</w:t>
            </w:r>
          </w:p>
        </w:tc>
        <w:tc>
          <w:tcPr>
            <w:tcW w:w="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(2,414,178)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2,414,178</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40" w:type="dxa"/>
            <w:vAlign w:val="bottom"/>
            <w:shd w:val="clear" w:color="auto" w:fill="CCEEFF"/>
          </w:tcPr>
          <w:p>
            <w:pPr>
              <w:spacing w:after="0"/>
              <w:rPr>
                <w:sz w:val="17"/>
                <w:szCs w:val="17"/>
                <w:color w:val="auto"/>
              </w:rPr>
            </w:pPr>
          </w:p>
        </w:tc>
        <w:tc>
          <w:tcPr>
            <w:tcW w:w="2200" w:type="dxa"/>
            <w:vAlign w:val="bottom"/>
            <w:gridSpan w:val="5"/>
            <w:shd w:val="clear" w:color="auto" w:fill="CCEEFF"/>
          </w:tcPr>
          <w:p>
            <w:pPr>
              <w:ind w:left="120"/>
              <w:spacing w:after="0" w:line="202" w:lineRule="exact"/>
              <w:rPr>
                <w:sz w:val="20"/>
                <w:szCs w:val="20"/>
                <w:color w:val="auto"/>
              </w:rPr>
            </w:pPr>
            <w:r>
              <w:rPr>
                <w:rFonts w:ascii="Times New Roman" w:cs="Times New Roman" w:eastAsia="Times New Roman" w:hAnsi="Times New Roman"/>
                <w:sz w:val="14"/>
                <w:szCs w:val="14"/>
                <w:color w:val="auto"/>
              </w:rPr>
              <w:t>Ozy Media, Inc.</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4"/>
                <w:szCs w:val="14"/>
                <w:color w:val="auto"/>
              </w:rPr>
              <w:t xml:space="preserve"> – Preferred</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220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shares, Series B 6%</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(4,999,999)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4,999,999</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200" w:type="dxa"/>
            <w:vAlign w:val="bottom"/>
            <w:gridSpan w:val="5"/>
          </w:tcPr>
          <w:p>
            <w:pPr>
              <w:ind w:left="120"/>
              <w:spacing w:after="0" w:line="202" w:lineRule="exact"/>
              <w:rPr>
                <w:sz w:val="20"/>
                <w:szCs w:val="20"/>
                <w:color w:val="auto"/>
              </w:rPr>
            </w:pPr>
            <w:r>
              <w:rPr>
                <w:rFonts w:ascii="Times New Roman" w:cs="Times New Roman" w:eastAsia="Times New Roman" w:hAnsi="Times New Roman"/>
                <w:sz w:val="14"/>
                <w:szCs w:val="14"/>
                <w:color w:val="auto"/>
              </w:rPr>
              <w:t>Ozy Media, Inc.</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4"/>
                <w:szCs w:val="14"/>
                <w:color w:val="auto"/>
              </w:rPr>
              <w:t xml:space="preserve"> – Preferred</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2200" w:type="dxa"/>
            <w:vAlign w:val="bottom"/>
            <w:gridSpan w:val="5"/>
          </w:tcPr>
          <w:p>
            <w:pPr>
              <w:ind w:left="120"/>
              <w:spacing w:after="0"/>
              <w:rPr>
                <w:sz w:val="20"/>
                <w:szCs w:val="20"/>
                <w:color w:val="auto"/>
              </w:rPr>
            </w:pPr>
            <w:r>
              <w:rPr>
                <w:rFonts w:ascii="Times New Roman" w:cs="Times New Roman" w:eastAsia="Times New Roman" w:hAnsi="Times New Roman"/>
                <w:sz w:val="15"/>
                <w:szCs w:val="15"/>
                <w:color w:val="auto"/>
              </w:rPr>
              <w:t>shares, Series A 6%</w:t>
            </w:r>
          </w:p>
        </w:tc>
        <w:tc>
          <w:tcPr>
            <w:tcW w:w="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(3,000,200)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3,000,200</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40" w:type="dxa"/>
            <w:vAlign w:val="bottom"/>
            <w:shd w:val="clear" w:color="auto" w:fill="CCEEFF"/>
          </w:tcPr>
          <w:p>
            <w:pPr>
              <w:spacing w:after="0"/>
              <w:rPr>
                <w:sz w:val="17"/>
                <w:szCs w:val="17"/>
                <w:color w:val="auto"/>
              </w:rPr>
            </w:pPr>
          </w:p>
        </w:tc>
        <w:tc>
          <w:tcPr>
            <w:tcW w:w="2200" w:type="dxa"/>
            <w:vAlign w:val="bottom"/>
            <w:gridSpan w:val="5"/>
            <w:shd w:val="clear" w:color="auto" w:fill="CCEEFF"/>
          </w:tcPr>
          <w:p>
            <w:pPr>
              <w:ind w:left="120"/>
              <w:spacing w:after="0" w:line="202" w:lineRule="exact"/>
              <w:rPr>
                <w:sz w:val="20"/>
                <w:szCs w:val="20"/>
                <w:color w:val="auto"/>
              </w:rPr>
            </w:pPr>
            <w:r>
              <w:rPr>
                <w:rFonts w:ascii="Times New Roman" w:cs="Times New Roman" w:eastAsia="Times New Roman" w:hAnsi="Times New Roman"/>
                <w:sz w:val="14"/>
                <w:szCs w:val="14"/>
                <w:color w:val="auto"/>
              </w:rPr>
              <w:t>Ozy Media, Inc.</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4"/>
                <w:szCs w:val="14"/>
                <w:color w:val="auto"/>
              </w:rPr>
              <w:t xml:space="preserve"> – Preferred</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0" w:type="dxa"/>
            <w:vAlign w:val="bottom"/>
            <w:shd w:val="clear" w:color="auto" w:fill="CCEEFF"/>
          </w:tcPr>
          <w:p>
            <w:pPr>
              <w:spacing w:after="0"/>
              <w:rPr>
                <w:sz w:val="18"/>
                <w:szCs w:val="18"/>
                <w:color w:val="auto"/>
              </w:rPr>
            </w:pPr>
          </w:p>
        </w:tc>
        <w:tc>
          <w:tcPr>
            <w:tcW w:w="220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shares, Series Seed 6%</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(500,000)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500,000</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2200" w:type="dxa"/>
            <w:vAlign w:val="bottom"/>
            <w:gridSpan w:val="5"/>
            <w:vMerge w:val="restart"/>
          </w:tcPr>
          <w:p>
            <w:pPr>
              <w:ind w:left="60"/>
              <w:spacing w:after="0"/>
              <w:rPr>
                <w:sz w:val="20"/>
                <w:szCs w:val="20"/>
                <w:color w:val="auto"/>
              </w:rPr>
            </w:pPr>
            <w:r>
              <w:rPr>
                <w:rFonts w:ascii="Times New Roman" w:cs="Times New Roman" w:eastAsia="Times New Roman" w:hAnsi="Times New Roman"/>
                <w:sz w:val="15"/>
                <w:szCs w:val="15"/>
                <w:i w:val="1"/>
                <w:iCs w:val="1"/>
                <w:color w:val="auto"/>
              </w:rPr>
              <w:t>Total Digital Media Platform</w:t>
            </w: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vMerge w:val="continue"/>
          </w:tcPr>
          <w:p>
            <w:pPr>
              <w:spacing w:after="0"/>
              <w:rPr>
                <w:sz w:val="15"/>
                <w:szCs w:val="15"/>
                <w:color w:val="auto"/>
              </w:rPr>
            </w:pPr>
          </w:p>
        </w:tc>
        <w:tc>
          <w:tcPr>
            <w:tcW w:w="220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vMerge w:val="continue"/>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ind w:left="320"/>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ind w:left="520"/>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vMerge w:val="continue"/>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(10,914,377)</w:t>
            </w:r>
          </w:p>
        </w:tc>
        <w:tc>
          <w:tcPr>
            <w:tcW w:w="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10,914,377</w:t>
            </w:r>
          </w:p>
        </w:tc>
        <w:tc>
          <w:tcPr>
            <w:tcW w:w="160" w:type="dxa"/>
            <w:vAlign w:val="bottom"/>
            <w:vMerge w:val="continue"/>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vMerge w:val="continue"/>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40" w:type="dxa"/>
            <w:vAlign w:val="bottom"/>
            <w:shd w:val="clear" w:color="auto" w:fill="CCEEFF"/>
          </w:tcPr>
          <w:p>
            <w:pPr>
              <w:spacing w:after="0"/>
              <w:rPr>
                <w:sz w:val="15"/>
                <w:szCs w:val="15"/>
                <w:color w:val="auto"/>
              </w:rPr>
            </w:pPr>
          </w:p>
        </w:tc>
        <w:tc>
          <w:tcPr>
            <w:tcW w:w="220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5"/>
                <w:szCs w:val="15"/>
                <w:i w:val="1"/>
                <w:iCs w:val="1"/>
                <w:color w:val="auto"/>
              </w:rPr>
              <w:t>Interactive Learning</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200" w:type="dxa"/>
            <w:vAlign w:val="bottom"/>
            <w:gridSpan w:val="5"/>
          </w:tcPr>
          <w:p>
            <w:pPr>
              <w:ind w:left="120"/>
              <w:spacing w:after="0" w:line="202" w:lineRule="exact"/>
              <w:rPr>
                <w:sz w:val="20"/>
                <w:szCs w:val="20"/>
                <w:color w:val="auto"/>
              </w:rPr>
            </w:pPr>
            <w:r>
              <w:rPr>
                <w:rFonts w:ascii="Times New Roman" w:cs="Times New Roman" w:eastAsia="Times New Roman" w:hAnsi="Times New Roman"/>
                <w:sz w:val="14"/>
                <w:szCs w:val="14"/>
                <w:color w:val="auto"/>
              </w:rPr>
              <w:t>StormWind, LLC</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4"/>
                <w:szCs w:val="14"/>
                <w:color w:val="auto"/>
              </w:rPr>
              <w:t xml:space="preserve"> – Preferred</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2200" w:type="dxa"/>
            <w:vAlign w:val="bottom"/>
            <w:gridSpan w:val="5"/>
          </w:tcPr>
          <w:p>
            <w:pPr>
              <w:ind w:left="120"/>
              <w:spacing w:after="0"/>
              <w:rPr>
                <w:sz w:val="20"/>
                <w:szCs w:val="20"/>
                <w:color w:val="auto"/>
              </w:rPr>
            </w:pPr>
            <w:r>
              <w:rPr>
                <w:rFonts w:ascii="Times New Roman" w:cs="Times New Roman" w:eastAsia="Times New Roman" w:hAnsi="Times New Roman"/>
                <w:sz w:val="15"/>
                <w:szCs w:val="15"/>
                <w:color w:val="auto"/>
              </w:rPr>
              <w:t>shares, Series D 8%</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329,337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533,429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120,546</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653,975</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0.32%</w:t>
            </w:r>
          </w:p>
        </w:tc>
        <w:tc>
          <w:tcPr>
            <w:tcW w:w="0" w:type="dxa"/>
            <w:vAlign w:val="bottom"/>
          </w:tcPr>
          <w:p>
            <w:pPr>
              <w:spacing w:after="0"/>
              <w:rPr>
                <w:sz w:val="1"/>
                <w:szCs w:val="1"/>
                <w:color w:val="auto"/>
              </w:rPr>
            </w:pPr>
          </w:p>
        </w:tc>
      </w:tr>
      <w:tr>
        <w:trPr>
          <w:trHeight w:val="202"/>
        </w:trPr>
        <w:tc>
          <w:tcPr>
            <w:tcW w:w="40" w:type="dxa"/>
            <w:vAlign w:val="bottom"/>
            <w:shd w:val="clear" w:color="auto" w:fill="CCEEFF"/>
          </w:tcPr>
          <w:p>
            <w:pPr>
              <w:spacing w:after="0"/>
              <w:rPr>
                <w:sz w:val="17"/>
                <w:szCs w:val="17"/>
                <w:color w:val="auto"/>
              </w:rPr>
            </w:pPr>
          </w:p>
        </w:tc>
        <w:tc>
          <w:tcPr>
            <w:tcW w:w="2200" w:type="dxa"/>
            <w:vAlign w:val="bottom"/>
            <w:gridSpan w:val="5"/>
            <w:shd w:val="clear" w:color="auto" w:fill="CCEEFF"/>
          </w:tcPr>
          <w:p>
            <w:pPr>
              <w:ind w:left="120"/>
              <w:spacing w:after="0" w:line="202" w:lineRule="exact"/>
              <w:rPr>
                <w:sz w:val="20"/>
                <w:szCs w:val="20"/>
                <w:color w:val="auto"/>
              </w:rPr>
            </w:pPr>
            <w:r>
              <w:rPr>
                <w:rFonts w:ascii="Times New Roman" w:cs="Times New Roman" w:eastAsia="Times New Roman" w:hAnsi="Times New Roman"/>
                <w:sz w:val="14"/>
                <w:szCs w:val="14"/>
                <w:color w:val="auto"/>
              </w:rPr>
              <w:t>StormWind, LLC</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4"/>
                <w:szCs w:val="14"/>
                <w:color w:val="auto"/>
              </w:rPr>
              <w:t xml:space="preserve"> – Preferred</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220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shares, Series C 8%</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2,779,134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5,675,081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1,129,852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6,804,933</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3.35%</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200" w:type="dxa"/>
            <w:vAlign w:val="bottom"/>
            <w:gridSpan w:val="5"/>
          </w:tcPr>
          <w:p>
            <w:pPr>
              <w:ind w:left="120"/>
              <w:spacing w:after="0" w:line="202" w:lineRule="exact"/>
              <w:rPr>
                <w:sz w:val="20"/>
                <w:szCs w:val="20"/>
                <w:color w:val="auto"/>
              </w:rPr>
            </w:pPr>
            <w:r>
              <w:rPr>
                <w:rFonts w:ascii="Times New Roman" w:cs="Times New Roman" w:eastAsia="Times New Roman" w:hAnsi="Times New Roman"/>
                <w:sz w:val="14"/>
                <w:szCs w:val="14"/>
                <w:color w:val="auto"/>
              </w:rPr>
              <w:t>StormWind, LLC</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4"/>
                <w:szCs w:val="14"/>
                <w:color w:val="auto"/>
              </w:rPr>
              <w:t xml:space="preserve"> – Preferred</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2200" w:type="dxa"/>
            <w:vAlign w:val="bottom"/>
            <w:gridSpan w:val="5"/>
          </w:tcPr>
          <w:p>
            <w:pPr>
              <w:ind w:left="120"/>
              <w:spacing w:after="0"/>
              <w:rPr>
                <w:sz w:val="20"/>
                <w:szCs w:val="20"/>
                <w:color w:val="auto"/>
              </w:rPr>
            </w:pPr>
            <w:r>
              <w:rPr>
                <w:rFonts w:ascii="Times New Roman" w:cs="Times New Roman" w:eastAsia="Times New Roman" w:hAnsi="Times New Roman"/>
                <w:sz w:val="15"/>
                <w:szCs w:val="15"/>
                <w:color w:val="auto"/>
              </w:rPr>
              <w:t>shares, Series B 8%</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3,279,629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3,550,631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1,200,433</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4,751,064</w:t>
            </w:r>
          </w:p>
        </w:tc>
        <w:tc>
          <w:tcPr>
            <w:tcW w:w="16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2.34%</w:t>
            </w:r>
          </w:p>
        </w:tc>
        <w:tc>
          <w:tcPr>
            <w:tcW w:w="0" w:type="dxa"/>
            <w:vAlign w:val="bottom"/>
          </w:tcPr>
          <w:p>
            <w:pPr>
              <w:spacing w:after="0"/>
              <w:rPr>
                <w:sz w:val="1"/>
                <w:szCs w:val="1"/>
                <w:color w:val="auto"/>
              </w:rPr>
            </w:pPr>
          </w:p>
        </w:tc>
      </w:tr>
      <w:tr>
        <w:trPr>
          <w:trHeight w:val="202"/>
        </w:trPr>
        <w:tc>
          <w:tcPr>
            <w:tcW w:w="40" w:type="dxa"/>
            <w:vAlign w:val="bottom"/>
            <w:shd w:val="clear" w:color="auto" w:fill="CCEEFF"/>
          </w:tcPr>
          <w:p>
            <w:pPr>
              <w:spacing w:after="0"/>
              <w:rPr>
                <w:sz w:val="17"/>
                <w:szCs w:val="17"/>
                <w:color w:val="auto"/>
              </w:rPr>
            </w:pPr>
          </w:p>
        </w:tc>
        <w:tc>
          <w:tcPr>
            <w:tcW w:w="2200" w:type="dxa"/>
            <w:vAlign w:val="bottom"/>
            <w:gridSpan w:val="5"/>
            <w:shd w:val="clear" w:color="auto" w:fill="CCEEFF"/>
          </w:tcPr>
          <w:p>
            <w:pPr>
              <w:ind w:left="120"/>
              <w:spacing w:after="0" w:line="202" w:lineRule="exact"/>
              <w:rPr>
                <w:sz w:val="20"/>
                <w:szCs w:val="20"/>
                <w:color w:val="auto"/>
              </w:rPr>
            </w:pPr>
            <w:r>
              <w:rPr>
                <w:rFonts w:ascii="Times New Roman" w:cs="Times New Roman" w:eastAsia="Times New Roman" w:hAnsi="Times New Roman"/>
                <w:sz w:val="14"/>
                <w:szCs w:val="14"/>
                <w:color w:val="auto"/>
              </w:rPr>
              <w:t>StormWind, LLC</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4"/>
                <w:szCs w:val="14"/>
                <w:color w:val="auto"/>
              </w:rPr>
              <w:t xml:space="preserve"> – Preferred</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0" w:type="dxa"/>
            <w:vAlign w:val="bottom"/>
            <w:shd w:val="clear" w:color="auto" w:fill="CCEEFF"/>
          </w:tcPr>
          <w:p>
            <w:pPr>
              <w:spacing w:after="0"/>
              <w:rPr>
                <w:sz w:val="18"/>
                <w:szCs w:val="18"/>
                <w:color w:val="auto"/>
              </w:rPr>
            </w:pPr>
          </w:p>
        </w:tc>
        <w:tc>
          <w:tcPr>
            <w:tcW w:w="220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shares, Series A 8%</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366,666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191,694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134,209</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325,903</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0.16%</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2200" w:type="dxa"/>
            <w:vAlign w:val="bottom"/>
            <w:gridSpan w:val="5"/>
            <w:vMerge w:val="restart"/>
          </w:tcPr>
          <w:p>
            <w:pPr>
              <w:ind w:left="60"/>
              <w:spacing w:after="0"/>
              <w:rPr>
                <w:sz w:val="20"/>
                <w:szCs w:val="20"/>
                <w:color w:val="auto"/>
              </w:rPr>
            </w:pPr>
            <w:r>
              <w:rPr>
                <w:rFonts w:ascii="Times New Roman" w:cs="Times New Roman" w:eastAsia="Times New Roman" w:hAnsi="Times New Roman"/>
                <w:sz w:val="15"/>
                <w:szCs w:val="15"/>
                <w:i w:val="1"/>
                <w:iCs w:val="1"/>
                <w:color w:val="auto"/>
              </w:rPr>
              <w:t>Total Interactive Learning</w:t>
            </w: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vMerge w:val="continue"/>
          </w:tcPr>
          <w:p>
            <w:pPr>
              <w:spacing w:after="0"/>
              <w:rPr>
                <w:sz w:val="16"/>
                <w:szCs w:val="16"/>
                <w:color w:val="auto"/>
              </w:rPr>
            </w:pPr>
          </w:p>
        </w:tc>
        <w:tc>
          <w:tcPr>
            <w:tcW w:w="2200" w:type="dxa"/>
            <w:vAlign w:val="bottom"/>
            <w:gridSpan w:val="5"/>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vMerge w:val="continue"/>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9,950,835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ind w:left="320"/>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ind w:left="520"/>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vMerge w:val="continue"/>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2,585,040</w:t>
            </w:r>
          </w:p>
        </w:tc>
        <w:tc>
          <w:tcPr>
            <w:tcW w:w="160" w:type="dxa"/>
            <w:vAlign w:val="bottom"/>
            <w:vMerge w:val="continue"/>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12,535,875</w:t>
            </w:r>
          </w:p>
        </w:tc>
        <w:tc>
          <w:tcPr>
            <w:tcW w:w="160" w:type="dxa"/>
            <w:vAlign w:val="bottom"/>
            <w:vMerge w:val="continue"/>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6.16%</w:t>
            </w:r>
          </w:p>
        </w:tc>
        <w:tc>
          <w:tcPr>
            <w:tcW w:w="0" w:type="dxa"/>
            <w:vAlign w:val="bottom"/>
          </w:tcPr>
          <w:p>
            <w:pPr>
              <w:spacing w:after="0"/>
              <w:rPr>
                <w:sz w:val="1"/>
                <w:szCs w:val="1"/>
                <w:color w:val="auto"/>
              </w:rPr>
            </w:pPr>
          </w:p>
        </w:tc>
      </w:tr>
      <w:tr>
        <w:trPr>
          <w:trHeight w:val="372"/>
        </w:trPr>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35</w:t>
            </w: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16" w:right="319" w:bottom="1440" w:gutter="0" w:footer="0" w:header="0"/>
        </w:sectPr>
      </w:pPr>
    </w:p>
    <w:bookmarkStart w:id="38" w:name="page39"/>
    <w:bookmarkEnd w:id="38"/>
    <w:p>
      <w:pPr>
        <w:ind w:left="9"/>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SURO CAPITAL CORP. AND SUBSIDIARIES</w:t>
      </w:r>
    </w:p>
    <w:p>
      <w:pPr>
        <w:spacing w:after="0" w:line="20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187" w:lineRule="exact"/>
        <w:rPr>
          <w:sz w:val="20"/>
          <w:szCs w:val="20"/>
          <w:color w:val="auto"/>
        </w:rPr>
      </w:pPr>
    </w:p>
    <w:tbl>
      <w:tblPr>
        <w:tblLayout w:type="fixed"/>
        <w:tblInd w:w="9" w:type="dxa"/>
        <w:tblCellMar>
          <w:top w:w="0" w:type="dxa"/>
          <w:left w:w="0" w:type="dxa"/>
          <w:bottom w:w="0" w:type="dxa"/>
          <w:right w:w="0" w:type="dxa"/>
        </w:tblCellMar>
      </w:tblPr>
      <w:tr>
        <w:trPr>
          <w:trHeight w:val="182"/>
        </w:trPr>
        <w:tc>
          <w:tcPr>
            <w:tcW w:w="2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Interest,</w:t>
            </w: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8"/>
              </w:rPr>
              <w:t>Purchases,</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Fees, or</w:t>
            </w:r>
          </w:p>
        </w:tc>
        <w:tc>
          <w:tcPr>
            <w:tcW w:w="60" w:type="dxa"/>
            <w:vAlign w:val="bottom"/>
          </w:tcPr>
          <w:p>
            <w:pPr>
              <w:spacing w:after="0"/>
              <w:rPr>
                <w:sz w:val="15"/>
                <w:szCs w:val="15"/>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8"/>
              </w:rPr>
              <w:t>Fair Value</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Capitalized</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8"/>
              </w:rPr>
              <w:t>Fair Value</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4"/>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Dividends</w:t>
            </w:r>
          </w:p>
        </w:tc>
        <w:tc>
          <w:tcPr>
            <w:tcW w:w="60" w:type="dxa"/>
            <w:vAlign w:val="bottom"/>
          </w:tcPr>
          <w:p>
            <w:pPr>
              <w:spacing w:after="0"/>
              <w:rPr>
                <w:sz w:val="15"/>
                <w:szCs w:val="15"/>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5"/>
              </w:rPr>
              <w:t>at</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Fees, Interest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Realized</w:t>
            </w:r>
          </w:p>
        </w:tc>
        <w:tc>
          <w:tcPr>
            <w:tcW w:w="60" w:type="dxa"/>
            <w:vAlign w:val="bottom"/>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Unrealized</w:t>
            </w:r>
          </w:p>
        </w:tc>
        <w:tc>
          <w:tcPr>
            <w:tcW w:w="6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5"/>
              </w:rPr>
              <w:t>at</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w w:val="95"/>
              </w:rPr>
              <w:t>Percentage</w:t>
            </w:r>
          </w:p>
        </w:tc>
        <w:tc>
          <w:tcPr>
            <w:tcW w:w="0" w:type="dxa"/>
            <w:vAlign w:val="bottom"/>
          </w:tcPr>
          <w:p>
            <w:pPr>
              <w:spacing w:after="0"/>
              <w:rPr>
                <w:sz w:val="1"/>
                <w:szCs w:val="1"/>
                <w:color w:val="auto"/>
              </w:rPr>
            </w:pPr>
          </w:p>
        </w:tc>
      </w:tr>
      <w:tr>
        <w:trPr>
          <w:trHeight w:val="182"/>
        </w:trPr>
        <w:tc>
          <w:tcPr>
            <w:tcW w:w="2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Type/Industry/Portfolio</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Principal/</w:t>
            </w:r>
          </w:p>
        </w:tc>
        <w:tc>
          <w:tcPr>
            <w:tcW w:w="80" w:type="dxa"/>
            <w:vAlign w:val="bottom"/>
          </w:tcPr>
          <w:p>
            <w:pPr>
              <w:spacing w:after="0"/>
              <w:rPr>
                <w:sz w:val="15"/>
                <w:szCs w:val="15"/>
                <w:color w:val="auto"/>
              </w:rPr>
            </w:pP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Credited</w:t>
            </w:r>
          </w:p>
        </w:tc>
        <w:tc>
          <w:tcPr>
            <w:tcW w:w="60" w:type="dxa"/>
            <w:vAlign w:val="bottom"/>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December</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Transfer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and</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Gains/</w:t>
            </w:r>
          </w:p>
        </w:tc>
        <w:tc>
          <w:tcPr>
            <w:tcW w:w="60" w:type="dxa"/>
            <w:vAlign w:val="bottom"/>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Gains/</w:t>
            </w:r>
          </w:p>
        </w:tc>
        <w:tc>
          <w:tcPr>
            <w:tcW w:w="60" w:type="dxa"/>
            <w:vAlign w:val="bottom"/>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December</w:t>
            </w:r>
          </w:p>
        </w:tc>
        <w:tc>
          <w:tcPr>
            <w:tcW w:w="86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of Net</w:t>
            </w:r>
          </w:p>
        </w:tc>
        <w:tc>
          <w:tcPr>
            <w:tcW w:w="0" w:type="dxa"/>
            <w:vAlign w:val="bottom"/>
          </w:tcPr>
          <w:p>
            <w:pPr>
              <w:spacing w:after="0"/>
              <w:rPr>
                <w:sz w:val="1"/>
                <w:szCs w:val="1"/>
                <w:color w:val="auto"/>
              </w:rPr>
            </w:pPr>
          </w:p>
        </w:tc>
      </w:tr>
      <w:tr>
        <w:trPr>
          <w:trHeight w:val="201"/>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Company/Investment</w:t>
            </w: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Quantity</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w w:val="97"/>
              </w:rPr>
              <w:t>in Income</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31, 2022</w:t>
            </w:r>
          </w:p>
        </w:tc>
        <w:tc>
          <w:tcPr>
            <w:tcW w:w="16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In/(Out)</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Sales</w:t>
            </w:r>
          </w:p>
        </w:tc>
        <w:tc>
          <w:tcPr>
            <w:tcW w:w="1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(Losses)</w:t>
            </w: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(Losses)</w:t>
            </w: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31, 2023</w:t>
            </w:r>
          </w:p>
        </w:tc>
        <w:tc>
          <w:tcPr>
            <w:tcW w:w="16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60" w:type="dxa"/>
            <w:vAlign w:val="bottom"/>
            <w:tcBorders>
              <w:bottom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Preferred Stock</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9,950,835</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(10,914,377)</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13,499,417</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12,535,875</w:t>
            </w:r>
          </w:p>
        </w:tc>
        <w:tc>
          <w:tcPr>
            <w:tcW w:w="16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6.16%</w:t>
            </w:r>
          </w:p>
        </w:tc>
        <w:tc>
          <w:tcPr>
            <w:tcW w:w="0" w:type="dxa"/>
            <w:vAlign w:val="bottom"/>
          </w:tcPr>
          <w:p>
            <w:pPr>
              <w:spacing w:after="0"/>
              <w:rPr>
                <w:sz w:val="1"/>
                <w:szCs w:val="1"/>
                <w:color w:val="auto"/>
              </w:rPr>
            </w:pPr>
          </w:p>
        </w:tc>
      </w:tr>
      <w:tr>
        <w:trPr>
          <w:trHeight w:val="194"/>
        </w:trPr>
        <w:tc>
          <w:tcPr>
            <w:tcW w:w="2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Options</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i w:val="1"/>
                <w:iCs w:val="1"/>
                <w:color w:val="auto"/>
              </w:rPr>
              <w:t>Digital Media Platform</w:t>
            </w: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30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4"/>
                <w:szCs w:val="14"/>
                <w:color w:val="auto"/>
              </w:rPr>
              <w:t>Ozy Media, Inc.</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4"/>
                <w:szCs w:val="14"/>
                <w:color w:val="auto"/>
              </w:rPr>
              <w:t xml:space="preserve"> – Common</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3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Warrants, Strike Price $0.01,</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3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Expiration Date 4/9/2028</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(30,647)</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30,647</w:t>
            </w:r>
          </w:p>
        </w:tc>
        <w:tc>
          <w:tcPr>
            <w:tcW w:w="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i w:val="1"/>
                <w:iCs w:val="1"/>
                <w:color w:val="auto"/>
              </w:rPr>
              <w:t>Global Innovation Platform</w:t>
            </w: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300" w:type="dxa"/>
            <w:vAlign w:val="bottom"/>
            <w:gridSpan w:val="2"/>
          </w:tcPr>
          <w:p>
            <w:pPr>
              <w:ind w:left="160"/>
              <w:spacing w:after="0" w:line="168" w:lineRule="exact"/>
              <w:rPr>
                <w:sz w:val="20"/>
                <w:szCs w:val="20"/>
                <w:color w:val="auto"/>
              </w:rPr>
            </w:pPr>
            <w:r>
              <w:rPr>
                <w:rFonts w:ascii="Times New Roman" w:cs="Times New Roman" w:eastAsia="Times New Roman" w:hAnsi="Times New Roman"/>
                <w:sz w:val="15"/>
                <w:szCs w:val="15"/>
                <w:color w:val="auto"/>
              </w:rPr>
              <w:t>OneValley, Inc. (f/k/a NestGSV,</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3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Inc.)–Preferred Warrant Series B,</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Strike Price $2.31, Expiration</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Date 12/31/2023</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(5,080)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5,080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3"/>
        </w:trPr>
        <w:tc>
          <w:tcPr>
            <w:tcW w:w="2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OneValley, Inc. (f/k/a NestGSV,</w:t>
            </w: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Inc.)–Derivative Security,</w:t>
            </w: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300" w:type="dxa"/>
            <w:vAlign w:val="bottom"/>
            <w:gridSpan w:val="2"/>
            <w:shd w:val="clear" w:color="auto" w:fill="CCEEFF"/>
          </w:tcPr>
          <w:p>
            <w:pPr>
              <w:ind w:left="160"/>
              <w:spacing w:after="0" w:line="240" w:lineRule="exact"/>
              <w:rPr>
                <w:sz w:val="20"/>
                <w:szCs w:val="20"/>
                <w:color w:val="auto"/>
              </w:rPr>
            </w:pPr>
            <w:r>
              <w:rPr>
                <w:rFonts w:ascii="Times New Roman" w:cs="Times New Roman" w:eastAsia="Times New Roman" w:hAnsi="Times New Roman"/>
                <w:sz w:val="15"/>
                <w:szCs w:val="15"/>
                <w:color w:val="auto"/>
              </w:rPr>
              <w:t>Expiration Date 8/23/2024</w:t>
            </w:r>
            <w:r>
              <w:rPr>
                <w:rFonts w:ascii="Times New Roman" w:cs="Times New Roman" w:eastAsia="Times New Roman" w:hAnsi="Times New Roman"/>
                <w:sz w:val="25"/>
                <w:szCs w:val="25"/>
                <w:color w:val="auto"/>
                <w:vertAlign w:val="superscript"/>
              </w:rPr>
              <w:t>(5)</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652,127</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(31,200)</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620,927</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0.31%</w:t>
            </w:r>
          </w:p>
        </w:tc>
        <w:tc>
          <w:tcPr>
            <w:tcW w:w="0" w:type="dxa"/>
            <w:vAlign w:val="bottom"/>
          </w:tcPr>
          <w:p>
            <w:pPr>
              <w:spacing w:after="0"/>
              <w:rPr>
                <w:sz w:val="1"/>
                <w:szCs w:val="1"/>
                <w:color w:val="auto"/>
              </w:rPr>
            </w:pPr>
          </w:p>
        </w:tc>
      </w:tr>
      <w:tr>
        <w:trPr>
          <w:trHeight w:val="20"/>
        </w:trPr>
        <w:tc>
          <w:tcPr>
            <w:tcW w:w="2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5"/>
                <w:szCs w:val="15"/>
                <w:i w:val="1"/>
                <w:iCs w:val="1"/>
                <w:color w:val="auto"/>
              </w:rPr>
              <w:t>Total Global Innovation Platform</w:t>
            </w: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30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652,127</w:t>
            </w:r>
          </w:p>
        </w:tc>
        <w:tc>
          <w:tcPr>
            <w:tcW w:w="160" w:type="dxa"/>
            <w:vAlign w:val="bottom"/>
          </w:tcPr>
          <w:p>
            <w:pPr>
              <w:spacing w:after="0"/>
              <w:rPr>
                <w:sz w:val="15"/>
                <w:szCs w:val="15"/>
                <w:color w:val="auto"/>
              </w:rPr>
            </w:pPr>
          </w:p>
        </w:tc>
        <w:tc>
          <w:tcPr>
            <w:tcW w:w="700" w:type="dxa"/>
            <w:vAlign w:val="bottom"/>
          </w:tcPr>
          <w:p>
            <w:pPr>
              <w:ind w:left="560"/>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(5,080)</w:t>
            </w:r>
          </w:p>
        </w:tc>
        <w:tc>
          <w:tcPr>
            <w:tcW w:w="10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(26,120)</w:t>
            </w:r>
          </w:p>
        </w:tc>
        <w:tc>
          <w:tcPr>
            <w:tcW w:w="10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620,927</w:t>
            </w:r>
          </w:p>
        </w:tc>
        <w:tc>
          <w:tcPr>
            <w:tcW w:w="160" w:type="dxa"/>
            <w:vAlign w:val="bottom"/>
            <w:vMerge w:val="continue"/>
          </w:tcPr>
          <w:p>
            <w:pPr>
              <w:spacing w:after="0"/>
              <w:rPr>
                <w:sz w:val="15"/>
                <w:szCs w:val="15"/>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0.31%</w:t>
            </w:r>
          </w:p>
        </w:tc>
        <w:tc>
          <w:tcPr>
            <w:tcW w:w="0" w:type="dxa"/>
            <w:vAlign w:val="bottom"/>
          </w:tcPr>
          <w:p>
            <w:pPr>
              <w:spacing w:after="0"/>
              <w:rPr>
                <w:sz w:val="1"/>
                <w:szCs w:val="1"/>
                <w:color w:val="auto"/>
              </w:rPr>
            </w:pPr>
          </w:p>
        </w:tc>
      </w:tr>
      <w:tr>
        <w:trPr>
          <w:trHeight w:val="182"/>
        </w:trPr>
        <w:tc>
          <w:tcPr>
            <w:tcW w:w="2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i w:val="1"/>
                <w:iCs w:val="1"/>
                <w:color w:val="auto"/>
              </w:rPr>
              <w:t>E-Commerce Marketplace</w:t>
            </w: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300" w:type="dxa"/>
            <w:vAlign w:val="bottom"/>
            <w:gridSpan w:val="2"/>
          </w:tcPr>
          <w:p>
            <w:pPr>
              <w:ind w:left="160"/>
              <w:spacing w:after="0" w:line="169" w:lineRule="exact"/>
              <w:rPr>
                <w:sz w:val="20"/>
                <w:szCs w:val="20"/>
                <w:color w:val="auto"/>
              </w:rPr>
            </w:pPr>
            <w:r>
              <w:rPr>
                <w:rFonts w:ascii="Times New Roman" w:cs="Times New Roman" w:eastAsia="Times New Roman" w:hAnsi="Times New Roman"/>
                <w:sz w:val="15"/>
                <w:szCs w:val="15"/>
                <w:color w:val="auto"/>
              </w:rPr>
              <w:t>PSQ Holdings, Inc. (d/b/a</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300" w:type="dxa"/>
            <w:vAlign w:val="bottom"/>
            <w:gridSpan w:val="2"/>
          </w:tcPr>
          <w:p>
            <w:pPr>
              <w:ind w:left="160"/>
              <w:spacing w:after="0" w:line="229" w:lineRule="exact"/>
              <w:rPr>
                <w:sz w:val="20"/>
                <w:szCs w:val="20"/>
                <w:color w:val="auto"/>
              </w:rPr>
            </w:pPr>
            <w:r>
              <w:rPr>
                <w:rFonts w:ascii="Times New Roman" w:cs="Times New Roman" w:eastAsia="Times New Roman" w:hAnsi="Times New Roman"/>
                <w:sz w:val="15"/>
                <w:szCs w:val="15"/>
                <w:color w:val="auto"/>
              </w:rPr>
              <w:t>PublicSquare)**</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5"/>
                <w:szCs w:val="15"/>
                <w:color w:val="auto"/>
              </w:rPr>
              <w:t xml:space="preserve"> – Warrants</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2,396,037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1,159,150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(318,368)</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187,872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936,096</w:t>
            </w: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1,964,750</w:t>
            </w:r>
          </w:p>
        </w:tc>
        <w:tc>
          <w:tcPr>
            <w:tcW w:w="16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0.97%</w:t>
            </w:r>
          </w:p>
        </w:tc>
        <w:tc>
          <w:tcPr>
            <w:tcW w:w="0" w:type="dxa"/>
            <w:vAlign w:val="bottom"/>
          </w:tcPr>
          <w:p>
            <w:pPr>
              <w:spacing w:after="0"/>
              <w:rPr>
                <w:sz w:val="1"/>
                <w:szCs w:val="1"/>
                <w:color w:val="auto"/>
              </w:rPr>
            </w:pPr>
          </w:p>
        </w:tc>
      </w:tr>
      <w:tr>
        <w:trPr>
          <w:trHeight w:val="194"/>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Options</w:t>
            </w: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652,127</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1,159,150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(318,368)</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152,145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940,623</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2,585,677</w:t>
            </w:r>
          </w:p>
        </w:tc>
        <w:tc>
          <w:tcPr>
            <w:tcW w:w="16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1.27%</w:t>
            </w:r>
          </w:p>
        </w:tc>
        <w:tc>
          <w:tcPr>
            <w:tcW w:w="0" w:type="dxa"/>
            <w:vAlign w:val="bottom"/>
          </w:tcPr>
          <w:p>
            <w:pPr>
              <w:spacing w:after="0"/>
              <w:rPr>
                <w:sz w:val="1"/>
                <w:szCs w:val="1"/>
                <w:color w:val="auto"/>
              </w:rPr>
            </w:pPr>
          </w:p>
        </w:tc>
      </w:tr>
      <w:tr>
        <w:trPr>
          <w:trHeight w:val="194"/>
        </w:trPr>
        <w:tc>
          <w:tcPr>
            <w:tcW w:w="2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i w:val="1"/>
                <w:iCs w:val="1"/>
                <w:color w:val="auto"/>
              </w:rPr>
              <w:t>Online Education</w:t>
            </w: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300" w:type="dxa"/>
            <w:vAlign w:val="bottom"/>
            <w:gridSpan w:val="2"/>
          </w:tcPr>
          <w:p>
            <w:pPr>
              <w:ind w:left="160"/>
              <w:spacing w:after="0" w:line="168" w:lineRule="exact"/>
              <w:rPr>
                <w:sz w:val="20"/>
                <w:szCs w:val="20"/>
                <w:color w:val="auto"/>
              </w:rPr>
            </w:pPr>
            <w:r>
              <w:rPr>
                <w:rFonts w:ascii="Times New Roman" w:cs="Times New Roman" w:eastAsia="Times New Roman" w:hAnsi="Times New Roman"/>
                <w:sz w:val="15"/>
                <w:szCs w:val="15"/>
                <w:color w:val="auto"/>
              </w:rPr>
              <w:t>Curious.com, Inc.–Common</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3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shares</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1,135,944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i w:val="1"/>
                <w:iCs w:val="1"/>
                <w:color w:val="auto"/>
              </w:rPr>
              <w:t>E-Commerce Marketplace</w:t>
            </w: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300" w:type="dxa"/>
            <w:vAlign w:val="bottom"/>
            <w:gridSpan w:val="2"/>
          </w:tcPr>
          <w:p>
            <w:pPr>
              <w:ind w:left="160"/>
              <w:spacing w:after="0" w:line="169" w:lineRule="exact"/>
              <w:rPr>
                <w:sz w:val="20"/>
                <w:szCs w:val="20"/>
                <w:color w:val="auto"/>
              </w:rPr>
            </w:pPr>
            <w:r>
              <w:rPr>
                <w:rFonts w:ascii="Times New Roman" w:cs="Times New Roman" w:eastAsia="Times New Roman" w:hAnsi="Times New Roman"/>
                <w:sz w:val="15"/>
                <w:szCs w:val="15"/>
                <w:color w:val="auto"/>
              </w:rPr>
              <w:t>PSQ Holdings, Inc. (d/b/a</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300" w:type="dxa"/>
            <w:vAlign w:val="bottom"/>
            <w:gridSpan w:val="2"/>
          </w:tcPr>
          <w:p>
            <w:pPr>
              <w:ind w:left="160"/>
              <w:spacing w:after="0" w:line="214" w:lineRule="exact"/>
              <w:rPr>
                <w:sz w:val="20"/>
                <w:szCs w:val="20"/>
                <w:color w:val="auto"/>
              </w:rPr>
            </w:pPr>
            <w:r>
              <w:rPr>
                <w:rFonts w:ascii="Times New Roman" w:cs="Times New Roman" w:eastAsia="Times New Roman" w:hAnsi="Times New Roman"/>
                <w:sz w:val="15"/>
                <w:szCs w:val="15"/>
                <w:color w:val="auto"/>
              </w:rPr>
              <w:t>PublicSquare)**</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5"/>
                <w:szCs w:val="15"/>
                <w:color w:val="auto"/>
              </w:rPr>
              <w:t xml:space="preserve"> – Class A</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3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Common shares</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1,976,032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1,556,587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6,985,799</w:t>
            </w:r>
          </w:p>
        </w:tc>
        <w:tc>
          <w:tcPr>
            <w:tcW w:w="1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8,542,386</w:t>
            </w:r>
          </w:p>
        </w:tc>
        <w:tc>
          <w:tcPr>
            <w:tcW w:w="160" w:type="dxa"/>
            <w:vAlign w:val="bottom"/>
          </w:tcPr>
          <w:p>
            <w:pPr>
              <w:spacing w:after="0"/>
              <w:rPr>
                <w:sz w:val="17"/>
                <w:szCs w:val="17"/>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4.20%</w:t>
            </w:r>
          </w:p>
        </w:tc>
        <w:tc>
          <w:tcPr>
            <w:tcW w:w="0" w:type="dxa"/>
            <w:vAlign w:val="bottom"/>
          </w:tcPr>
          <w:p>
            <w:pPr>
              <w:spacing w:after="0"/>
              <w:rPr>
                <w:sz w:val="1"/>
                <w:szCs w:val="1"/>
                <w:color w:val="auto"/>
              </w:rPr>
            </w:pPr>
          </w:p>
        </w:tc>
      </w:tr>
      <w:tr>
        <w:trPr>
          <w:trHeight w:val="194"/>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Common Stock</w:t>
            </w: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1,556,587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6,985,799</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8,542,386</w:t>
            </w:r>
          </w:p>
        </w:tc>
        <w:tc>
          <w:tcPr>
            <w:tcW w:w="16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4.20%</w:t>
            </w:r>
          </w:p>
        </w:tc>
        <w:tc>
          <w:tcPr>
            <w:tcW w:w="0" w:type="dxa"/>
            <w:vAlign w:val="bottom"/>
          </w:tcPr>
          <w:p>
            <w:pPr>
              <w:spacing w:after="0"/>
              <w:rPr>
                <w:sz w:val="1"/>
                <w:szCs w:val="1"/>
                <w:color w:val="auto"/>
              </w:rPr>
            </w:pPr>
          </w:p>
        </w:tc>
      </w:tr>
      <w:tr>
        <w:trPr>
          <w:trHeight w:val="144"/>
        </w:trPr>
        <w:tc>
          <w:tcPr>
            <w:tcW w:w="230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b w:val="1"/>
                <w:bCs w:val="1"/>
                <w:color w:val="auto"/>
              </w:rPr>
              <w:t>TOTAL NON-</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CONTROLLED/AFFILIATE</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300" w:type="dxa"/>
            <w:vAlign w:val="bottom"/>
            <w:gridSpan w:val="2"/>
          </w:tcPr>
          <w:p>
            <w:pPr>
              <w:spacing w:after="0" w:line="254" w:lineRule="exact"/>
              <w:rPr>
                <w:sz w:val="20"/>
                <w:szCs w:val="20"/>
                <w:color w:val="auto"/>
              </w:rPr>
            </w:pPr>
            <w:r>
              <w:rPr>
                <w:rFonts w:ascii="Times New Roman" w:cs="Times New Roman" w:eastAsia="Times New Roman" w:hAnsi="Times New Roman"/>
                <w:sz w:val="15"/>
                <w:szCs w:val="15"/>
                <w:b w:val="1"/>
                <w:bCs w:val="1"/>
                <w:color w:val="auto"/>
              </w:rPr>
              <w:t>INVESTMENTS*</w:t>
            </w:r>
            <w:r>
              <w:rPr>
                <w:rFonts w:ascii="Times New Roman" w:cs="Times New Roman" w:eastAsia="Times New Roman" w:hAnsi="Times New Roman"/>
                <w:sz w:val="25"/>
                <w:szCs w:val="25"/>
                <w:b w:val="1"/>
                <w:bCs w:val="1"/>
                <w:color w:val="auto"/>
                <w:vertAlign w:val="superscript"/>
              </w:rPr>
              <w:t>(1)</w:t>
            </w: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12,591,162</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w w:val="98"/>
              </w:rPr>
              <w:t>$ 2,715,737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 xml:space="preserve"> (318,368)</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w w:val="96"/>
              </w:rPr>
              <w:t>$ (10,762,233)</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20,705,035</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24,931,333</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12.26%</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78689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86890" cy="6985"/>
                    </a:xfrm>
                    <a:prstGeom prst="rect">
                      <a:avLst/>
                    </a:prstGeom>
                    <a:noFill/>
                  </pic:spPr>
                </pic:pic>
              </a:graphicData>
            </a:graphic>
          </wp:anchor>
        </w:drawing>
      </w:r>
    </w:p>
    <w:p>
      <w:pPr>
        <w:spacing w:after="0" w:line="170" w:lineRule="exact"/>
        <w:rPr>
          <w:sz w:val="20"/>
          <w:szCs w:val="20"/>
          <w:color w:val="auto"/>
        </w:rPr>
      </w:pPr>
    </w:p>
    <w:p>
      <w:pPr>
        <w:jc w:val="both"/>
        <w:ind w:left="269" w:hanging="269"/>
        <w:spacing w:after="0" w:line="260" w:lineRule="auto"/>
        <w:tabs>
          <w:tab w:leader="none" w:pos="269"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Policies—Investments at Fair Value”).</w:t>
      </w:r>
    </w:p>
    <w:p>
      <w:pPr>
        <w:spacing w:after="0" w:line="15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5391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216" w:right="319" w:bottom="1440" w:gutter="0" w:footer="0" w:header="0"/>
        </w:sectPr>
      </w:pPr>
    </w:p>
    <w:bookmarkStart w:id="39" w:name="page40"/>
    <w:bookmarkEnd w:id="39"/>
    <w:p>
      <w:pPr>
        <w:ind w:left="9"/>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9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September 30, 2024</w:t>
      </w:r>
    </w:p>
    <w:p>
      <w:pPr>
        <w:spacing w:after="0" w:line="177" w:lineRule="exact"/>
        <w:rPr>
          <w:sz w:val="20"/>
          <w:szCs w:val="20"/>
          <w:color w:val="auto"/>
        </w:rPr>
      </w:pPr>
    </w:p>
    <w:p>
      <w:pPr>
        <w:ind w:left="269" w:hanging="269"/>
        <w:spacing w:after="0" w:line="288" w:lineRule="auto"/>
        <w:tabs>
          <w:tab w:leader="none" w:pos="269"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Indicates assets that SuRo Capital Corp. believes do not represent “qualifying assets” under Section 55(a) of the 1940 Act. Of the Company’s total investments as of December 31, 2023, 14.03% of its total investments are non-qualifying assets.</w:t>
      </w:r>
    </w:p>
    <w:p>
      <w:pPr>
        <w:spacing w:after="0" w:line="223"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 is income-producing.</w:t>
      </w:r>
    </w:p>
    <w:p>
      <w:pPr>
        <w:spacing w:after="0" w:line="192" w:lineRule="exact"/>
        <w:rPr>
          <w:sz w:val="20"/>
          <w:szCs w:val="20"/>
          <w:color w:val="auto"/>
        </w:rPr>
      </w:pPr>
    </w:p>
    <w:p>
      <w:pPr>
        <w:jc w:val="both"/>
        <w:ind w:left="269" w:hanging="269"/>
        <w:spacing w:after="0" w:line="270" w:lineRule="auto"/>
        <w:tabs>
          <w:tab w:leader="none" w:pos="269"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(i.e., securities with the right to elect directors) of such company.</w:t>
      </w:r>
    </w:p>
    <w:p>
      <w:pPr>
        <w:spacing w:after="0" w:line="146" w:lineRule="exact"/>
        <w:rPr>
          <w:rFonts w:ascii="Times New Roman" w:cs="Times New Roman" w:eastAsia="Times New Roman" w:hAnsi="Times New Roman"/>
          <w:sz w:val="15"/>
          <w:szCs w:val="15"/>
          <w:color w:val="auto"/>
        </w:rPr>
      </w:pPr>
    </w:p>
    <w:p>
      <w:pPr>
        <w:jc w:val="both"/>
        <w:ind w:left="269" w:hanging="269"/>
        <w:spacing w:after="0" w:line="270" w:lineRule="auto"/>
        <w:tabs>
          <w:tab w:leader="none" w:pos="269"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w:t>
      </w:r>
    </w:p>
    <w:p>
      <w:pPr>
        <w:spacing w:after="0" w:line="146"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December 31, 2023, the investments noted had been placed on non-accrual status.</w:t>
      </w:r>
    </w:p>
    <w:p>
      <w:pPr>
        <w:spacing w:after="0" w:line="192"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SuRo Capital Corp.’s investments in StormWind, LLC are held through SuRo Capital Corp.’s wholly owned subsidiary, GSVC SW Holdings, Inc.</w:t>
      </w:r>
    </w:p>
    <w:p>
      <w:pPr>
        <w:spacing w:after="0" w:line="192" w:lineRule="exact"/>
        <w:rPr>
          <w:rFonts w:ascii="Times New Roman" w:cs="Times New Roman" w:eastAsia="Times New Roman" w:hAnsi="Times New Roman"/>
          <w:sz w:val="15"/>
          <w:szCs w:val="15"/>
          <w:color w:val="auto"/>
        </w:rPr>
      </w:pPr>
    </w:p>
    <w:p>
      <w:pPr>
        <w:jc w:val="both"/>
        <w:ind w:left="269" w:hanging="269"/>
        <w:spacing w:after="0" w:line="270" w:lineRule="auto"/>
        <w:tabs>
          <w:tab w:leader="none" w:pos="269"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ending August 23, 2024, while SuRo Capital Corp. can put the shares to OneValley, Inc. (f/k/a NestGSV, Inc.) at the end of the five year period.</w:t>
      </w:r>
    </w:p>
    <w:p>
      <w:pPr>
        <w:spacing w:after="0" w:line="146" w:lineRule="exact"/>
        <w:rPr>
          <w:rFonts w:ascii="Times New Roman" w:cs="Times New Roman" w:eastAsia="Times New Roman" w:hAnsi="Times New Roman"/>
          <w:sz w:val="15"/>
          <w:szCs w:val="15"/>
          <w:color w:val="auto"/>
        </w:rPr>
      </w:pPr>
    </w:p>
    <w:p>
      <w:pPr>
        <w:jc w:val="both"/>
        <w:ind w:left="269" w:hanging="269"/>
        <w:spacing w:after="0" w:line="265" w:lineRule="auto"/>
        <w:tabs>
          <w:tab w:leader="none" w:pos="269"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July 19, 2023, Colombier Acquisition Corp. (“Colombier”) stockholders approved a business combination with PSQ Holdings, Inc. (d/b/a PublicSquare) and related proposals at a special meeting. Also on July 19, 2023, PSQ Holdings, Inc. announced that it had consummated the business combination with Colombier pursuant to a merger agreement between the parties, creating the resultant combined company PSQ Holdings, Inc. (d/b/a PublicSquare). SuRo Capital Corp.’s shares of PSQ Holdings, Inc. (d/b/a PublicSquare) Class A Common shares are subject to certain restrictions on transfer, while the Company’s PSQ Holdings, Inc. warrants are freely tradable.</w:t>
      </w:r>
    </w:p>
    <w:p>
      <w:pPr>
        <w:spacing w:after="0" w:line="14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March 1, 2023, Ozy Media, Inc. suspended operations. On May 4, 2023, SuRo Capital Corp. abandoned its investment in Ozy Media, Inc.</w:t>
      </w:r>
    </w:p>
    <w:p>
      <w:pPr>
        <w:spacing w:after="0" w:line="19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216"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September 30,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5—COMMON STOCK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Share Repurchase Program</w:t>
      </w:r>
    </w:p>
    <w:p>
      <w:pPr>
        <w:spacing w:after="0" w:line="196" w:lineRule="exact"/>
        <w:rPr>
          <w:sz w:val="20"/>
          <w:szCs w:val="20"/>
          <w:color w:val="auto"/>
        </w:rPr>
      </w:pPr>
    </w:p>
    <w:p>
      <w:pPr>
        <w:jc w:val="both"/>
        <w:ind w:firstLine="307"/>
        <w:spacing w:after="0" w:line="260" w:lineRule="auto"/>
        <w:rPr>
          <w:sz w:val="20"/>
          <w:szCs w:val="20"/>
          <w:color w:val="auto"/>
        </w:rPr>
      </w:pPr>
      <w:r>
        <w:rPr>
          <w:rFonts w:ascii="Times New Roman" w:cs="Times New Roman" w:eastAsia="Times New Roman" w:hAnsi="Times New Roman"/>
          <w:sz w:val="15"/>
          <w:szCs w:val="15"/>
          <w:color w:val="auto"/>
        </w:rPr>
        <w:t>On August 8, 2017, the Company announced a $5.0 million discretionary open-market share repurchase program of shares of the Company’s common stock, $0.01 par value per share, of up to $5.0 million until the earlier of (i) August 6, 2018 or (ii) the repurchase of $5.0 million in aggregate amount of the Company’s common stock (the “Share Repurchase Program”). Following several intervening approvals from the Company’s Board of Directors to increase the amount of shares of the Company’s common stock that may be repurchased under the discretionary Share Repurchase Program and/or to extend the Share Repurchase Program to later expiration dates, on August 7, 2023, the Company’s Board of Directors authorized an extension of, and an increase in the amount of shares of the Company’s common stock that may be repurchased under, the discretionary Share Repurchase Program until the earlier of (i) October 31, 2024 or (ii) the repurchase of $60.0 million in aggregate amount of the Company’s common stock.</w:t>
      </w:r>
    </w:p>
    <w:p>
      <w:pPr>
        <w:spacing w:after="0" w:line="155"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5"/>
          <w:szCs w:val="15"/>
          <w:color w:val="auto"/>
        </w:rPr>
        <w:t>The timing and number of shares to be repurchased will depend on a number of factors, including market conditions and alternative investment opportunities. The Share Repurchase Program may be suspended, terminated or modified at any time for any reason and does not obligate the Company to acquire any specific number of shares of its common stock. Under the Share Repurchase Program, the Company may repurchase its outstanding common stock in the open market, provided that it complies with the prohibitions under its insider trading policies and procedures and the applicable provisions of the 1940 Act and the Exchange Act.</w:t>
      </w:r>
    </w:p>
    <w:p>
      <w:pPr>
        <w:spacing w:after="0" w:line="149" w:lineRule="exact"/>
        <w:rPr>
          <w:sz w:val="20"/>
          <w:szCs w:val="20"/>
          <w:color w:val="auto"/>
        </w:rPr>
      </w:pPr>
    </w:p>
    <w:p>
      <w:pPr>
        <w:jc w:val="both"/>
        <w:ind w:firstLine="307"/>
        <w:spacing w:after="0" w:line="270" w:lineRule="auto"/>
        <w:rPr>
          <w:sz w:val="20"/>
          <w:szCs w:val="20"/>
          <w:color w:val="auto"/>
        </w:rPr>
      </w:pPr>
      <w:r>
        <w:rPr>
          <w:rFonts w:ascii="Times New Roman" w:cs="Times New Roman" w:eastAsia="Times New Roman" w:hAnsi="Times New Roman"/>
          <w:sz w:val="15"/>
          <w:szCs w:val="15"/>
          <w:color w:val="auto"/>
        </w:rPr>
        <w:t>During the three and nine months ended September 30, 2024, the Company did not repurchase any shares of the Company’s common stock under the Share Repurchase Program. During the three and nine months ended September 30, 2023, the Company repurchased 186,493 shares of the Company’s common stock under the Share Repurchase Program. As of September 30, 2024, the dollar value of shares that remained available to be purchased by the Company under the Share Repurchase Program was approximately $20.7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Modified Dutch Auction Tender Offer</w:t>
      </w:r>
    </w:p>
    <w:p>
      <w:pPr>
        <w:spacing w:after="0" w:line="196" w:lineRule="exact"/>
        <w:rPr>
          <w:sz w:val="20"/>
          <w:szCs w:val="20"/>
          <w:color w:val="auto"/>
        </w:rPr>
      </w:pPr>
    </w:p>
    <w:p>
      <w:pPr>
        <w:jc w:val="both"/>
        <w:ind w:firstLine="307"/>
        <w:spacing w:after="0" w:line="270" w:lineRule="auto"/>
        <w:rPr>
          <w:sz w:val="20"/>
          <w:szCs w:val="20"/>
          <w:color w:val="auto"/>
        </w:rPr>
      </w:pPr>
      <w:r>
        <w:rPr>
          <w:rFonts w:ascii="Times New Roman" w:cs="Times New Roman" w:eastAsia="Times New Roman" w:hAnsi="Times New Roman"/>
          <w:sz w:val="15"/>
          <w:szCs w:val="15"/>
          <w:color w:val="auto"/>
        </w:rPr>
        <w:t>On February 20, 2024, the Company commenced a modified “Dutch Auction” tender offer (the “Modified Dutch Auction Tender Offer”) to purchase up to 2,000,000 shares of its common stock from its stockholders, which expired on April 1, 2024. In accordance with the terms of the Modified Dutch Auction Tender Offer, the Company selected the lowest price per share of not less than $4.00 per share and not greater than $5.00 per share.</w:t>
      </w:r>
    </w:p>
    <w:p>
      <w:pPr>
        <w:spacing w:after="0" w:line="147" w:lineRule="exact"/>
        <w:rPr>
          <w:sz w:val="20"/>
          <w:szCs w:val="20"/>
          <w:color w:val="auto"/>
        </w:rPr>
      </w:pPr>
    </w:p>
    <w:p>
      <w:pPr>
        <w:jc w:val="both"/>
        <w:ind w:firstLine="307"/>
        <w:spacing w:after="0" w:line="270" w:lineRule="auto"/>
        <w:rPr>
          <w:sz w:val="20"/>
          <w:szCs w:val="20"/>
          <w:color w:val="auto"/>
        </w:rPr>
      </w:pPr>
      <w:r>
        <w:rPr>
          <w:rFonts w:ascii="Times New Roman" w:cs="Times New Roman" w:eastAsia="Times New Roman" w:hAnsi="Times New Roman"/>
          <w:sz w:val="15"/>
          <w:szCs w:val="15"/>
          <w:color w:val="auto"/>
        </w:rPr>
        <w:t>Pursuant to the Modified Dutch Auction Tender Offer, the Company repurchased 2,000,000 shares, representing 7.9% of its then-outstanding shares, on or about April 5, 2024 at a price of $4.70 per share. The Company used available cash to fund the purchase of its shares of common stock in the Modified Dutch Auction Tender Offer and to pay for all related fees and expenses.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Amended and Restated 2019 Equity Incentive Plan</w:t>
      </w:r>
    </w:p>
    <w:p>
      <w:pPr>
        <w:spacing w:after="0" w:line="196" w:lineRule="exact"/>
        <w:rPr>
          <w:sz w:val="20"/>
          <w:szCs w:val="20"/>
          <w:color w:val="auto"/>
        </w:rPr>
      </w:pPr>
    </w:p>
    <w:p>
      <w:pPr>
        <w:jc w:val="both"/>
        <w:ind w:right="20" w:firstLine="273"/>
        <w:spacing w:after="0" w:line="288" w:lineRule="auto"/>
        <w:rPr>
          <w:sz w:val="20"/>
          <w:szCs w:val="20"/>
          <w:color w:val="auto"/>
        </w:rPr>
      </w:pPr>
      <w:r>
        <w:rPr>
          <w:rFonts w:ascii="Times New Roman" w:cs="Times New Roman" w:eastAsia="Times New Roman" w:hAnsi="Times New Roman"/>
          <w:sz w:val="15"/>
          <w:szCs w:val="15"/>
          <w:color w:val="auto"/>
        </w:rPr>
        <w:t>Refer to “Note 11—Stock-Based Compensation” for a description of the Company’s restricted shares of common stock granted under the Amended &amp; Restated 2019 Equity Incentive Plan (as defined therein).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At-the-Market Offering</w:t>
      </w:r>
    </w:p>
    <w:p>
      <w:pPr>
        <w:spacing w:after="0" w:line="196" w:lineRule="exact"/>
        <w:rPr>
          <w:sz w:val="20"/>
          <w:szCs w:val="20"/>
          <w:color w:val="auto"/>
        </w:rPr>
      </w:pPr>
    </w:p>
    <w:p>
      <w:pPr>
        <w:jc w:val="both"/>
        <w:ind w:firstLine="273"/>
        <w:spacing w:after="0" w:line="263" w:lineRule="auto"/>
        <w:rPr>
          <w:sz w:val="20"/>
          <w:szCs w:val="20"/>
          <w:color w:val="auto"/>
        </w:rPr>
      </w:pPr>
      <w:r>
        <w:rPr>
          <w:rFonts w:ascii="Times New Roman" w:cs="Times New Roman" w:eastAsia="Times New Roman" w:hAnsi="Times New Roman"/>
          <w:sz w:val="15"/>
          <w:szCs w:val="15"/>
          <w:color w:val="auto"/>
        </w:rPr>
        <w:t>On July 29, 2020, the Company entered into an At-the-Market Sales Agreement, dated July 29, 2020 (as amended, the “Sales Agreement”), with BTIG, LLC, JMP Securities LLC and Ladenburg Thalmann &amp; Co., Inc. (collectively, the “Agents”). Under the Sales Agreement, the Company may, but has no obligation to, issue and sell up to $150.0 million in aggregate amount of shares of its common stock (the “Shares”) from time to time through the Agents or to them as principal for their own account (the “ATM Program”). The Company intends to use the net proceeds from the ATM Program to make investments in portfolio companies in accordance with its investment objective and strategy and for general corporate purposes.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216" w:right="319" w:bottom="1440" w:gutter="0" w:footer="0" w:header="0"/>
        </w:sectPr>
      </w:pPr>
    </w:p>
    <w:bookmarkStart w:id="41" w:name="page42"/>
    <w:bookmarkEnd w:id="41"/>
    <w:p>
      <w:pPr>
        <w:ind w:left="9"/>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9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September 30, 2024</w:t>
      </w:r>
    </w:p>
    <w:p>
      <w:pPr>
        <w:spacing w:after="0" w:line="177" w:lineRule="exact"/>
        <w:rPr>
          <w:sz w:val="20"/>
          <w:szCs w:val="20"/>
          <w:color w:val="auto"/>
        </w:rPr>
      </w:pPr>
    </w:p>
    <w:p>
      <w:pPr>
        <w:jc w:val="both"/>
        <w:ind w:left="9" w:firstLine="273"/>
        <w:spacing w:after="0" w:line="265" w:lineRule="auto"/>
        <w:rPr>
          <w:sz w:val="20"/>
          <w:szCs w:val="20"/>
          <w:color w:val="auto"/>
        </w:rPr>
      </w:pPr>
      <w:r>
        <w:rPr>
          <w:rFonts w:ascii="Times New Roman" w:cs="Times New Roman" w:eastAsia="Times New Roman" w:hAnsi="Times New Roman"/>
          <w:sz w:val="15"/>
          <w:szCs w:val="15"/>
          <w:color w:val="auto"/>
        </w:rPr>
        <w:t>Sales of the Shares, if any, will be made by any method that is deemed to be an “at-the-market” offering as defined in Rule 415 under the Securities Act of 1933, as amended, including sales made directly on the Nasdaq Global Select Market or sales made to or through a market maker other than on an exchange, at market prices prevailing at the time of sale, at prices related to prevailing market prices or at other negotiated prices. Actual sales in the ATM Program will depend on a variety of factors to be determined by the Company from time to time.</w:t>
      </w:r>
    </w:p>
    <w:p>
      <w:pPr>
        <w:spacing w:after="0" w:line="149" w:lineRule="exact"/>
        <w:rPr>
          <w:sz w:val="20"/>
          <w:szCs w:val="20"/>
          <w:color w:val="auto"/>
        </w:rPr>
      </w:pPr>
    </w:p>
    <w:p>
      <w:pPr>
        <w:jc w:val="both"/>
        <w:ind w:left="9" w:firstLine="273"/>
        <w:spacing w:after="0" w:line="270" w:lineRule="auto"/>
        <w:rPr>
          <w:sz w:val="20"/>
          <w:szCs w:val="20"/>
          <w:color w:val="auto"/>
        </w:rPr>
      </w:pPr>
      <w:r>
        <w:rPr>
          <w:rFonts w:ascii="Times New Roman" w:cs="Times New Roman" w:eastAsia="Times New Roman" w:hAnsi="Times New Roman"/>
          <w:sz w:val="15"/>
          <w:szCs w:val="15"/>
          <w:color w:val="auto"/>
        </w:rPr>
        <w:t>The Agents will receive a commission from the Company equal to up to 2.0% of the gross sales price of any Shares sold through the Agents under the Sales Agreement and reimbursement of certain expenses. The Sales Agreement contains customary representations, warranties and agreements of the Company, conditions to closing, indemnification rights and obligations of the parties and termination provisions.</w:t>
      </w:r>
    </w:p>
    <w:p>
      <w:pPr>
        <w:spacing w:after="0" w:line="147" w:lineRule="exact"/>
        <w:rPr>
          <w:sz w:val="20"/>
          <w:szCs w:val="20"/>
          <w:color w:val="auto"/>
        </w:rPr>
      </w:pPr>
    </w:p>
    <w:p>
      <w:pPr>
        <w:jc w:val="both"/>
        <w:ind w:left="9" w:firstLine="273"/>
        <w:spacing w:after="0" w:line="288" w:lineRule="auto"/>
        <w:rPr>
          <w:sz w:val="20"/>
          <w:szCs w:val="20"/>
          <w:color w:val="auto"/>
        </w:rPr>
      </w:pPr>
      <w:r>
        <w:rPr>
          <w:rFonts w:ascii="Times New Roman" w:cs="Times New Roman" w:eastAsia="Times New Roman" w:hAnsi="Times New Roman"/>
          <w:sz w:val="15"/>
          <w:szCs w:val="15"/>
          <w:color w:val="auto"/>
        </w:rPr>
        <w:t>During the three and nine months ended September 30, 2024 and 2023, the Company did not issue or sell Shares under the ATM Program. As of September 30, 2024, up to approximately $98.8 million in aggregate amount of the Shares remain available for sale under the ATM Program.</w:t>
      </w:r>
    </w:p>
    <w:p>
      <w:pPr>
        <w:spacing w:after="0" w:line="12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NOTE 6—NET CHANGE IN NET ASSETS RESULTING FROM OPERATIONS PER COMMON SHARE—BASIC AND DILUTED</w:t>
      </w:r>
    </w:p>
    <w:p>
      <w:pPr>
        <w:spacing w:after="0" w:line="196" w:lineRule="exact"/>
        <w:rPr>
          <w:sz w:val="20"/>
          <w:szCs w:val="20"/>
          <w:color w:val="auto"/>
        </w:rPr>
      </w:pPr>
    </w:p>
    <w:p>
      <w:pPr>
        <w:jc w:val="both"/>
        <w:ind w:left="9" w:right="20" w:firstLine="273"/>
        <w:spacing w:after="0" w:line="288" w:lineRule="auto"/>
        <w:rPr>
          <w:sz w:val="20"/>
          <w:szCs w:val="20"/>
          <w:color w:val="auto"/>
        </w:rPr>
      </w:pPr>
      <w:r>
        <w:rPr>
          <w:rFonts w:ascii="Times New Roman" w:cs="Times New Roman" w:eastAsia="Times New Roman" w:hAnsi="Times New Roman"/>
          <w:sz w:val="15"/>
          <w:szCs w:val="15"/>
          <w:color w:val="auto"/>
        </w:rPr>
        <w:t>The following information sets forth the computation of basic and diluted net change in net assets resulting from operations per common share, pursuant to ASC 260, for the three and nine months ended September 30, 2024 and 2023.</w:t>
      </w:r>
    </w:p>
    <w:p>
      <w:pPr>
        <w:spacing w:after="0" w:line="140"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40" w:type="dxa"/>
            <w:vAlign w:val="bottom"/>
            <w:gridSpan w:val="5"/>
          </w:tcPr>
          <w:p>
            <w:pPr>
              <w:jc w:val="right"/>
              <w:ind w:right="80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300" w:type="dxa"/>
            <w:vAlign w:val="bottom"/>
          </w:tcPr>
          <w:p>
            <w:pPr>
              <w:spacing w:after="0"/>
              <w:rPr>
                <w:sz w:val="17"/>
                <w:szCs w:val="17"/>
                <w:color w:val="auto"/>
              </w:rPr>
            </w:pPr>
          </w:p>
        </w:tc>
        <w:tc>
          <w:tcPr>
            <w:tcW w:w="3060" w:type="dxa"/>
            <w:vAlign w:val="bottom"/>
            <w:gridSpan w:val="6"/>
          </w:tcPr>
          <w:p>
            <w:pPr>
              <w:ind w:left="200"/>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0" w:type="dxa"/>
            <w:vAlign w:val="bottom"/>
          </w:tcPr>
          <w:p>
            <w:pPr>
              <w:spacing w:after="0"/>
              <w:rPr>
                <w:sz w:val="1"/>
                <w:szCs w:val="1"/>
                <w:color w:val="auto"/>
              </w:rPr>
            </w:pPr>
          </w:p>
        </w:tc>
      </w:tr>
      <w:tr>
        <w:trPr>
          <w:trHeight w:val="185"/>
        </w:trPr>
        <w:tc>
          <w:tcPr>
            <w:tcW w:w="22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2024</w:t>
            </w:r>
          </w:p>
        </w:tc>
        <w:tc>
          <w:tcPr>
            <w:tcW w:w="34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2023</w:t>
            </w:r>
          </w:p>
        </w:tc>
        <w:tc>
          <w:tcPr>
            <w:tcW w:w="34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8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280" w:type="dxa"/>
            <w:vAlign w:val="bottom"/>
            <w:tcBorders>
              <w:bottom w:val="single" w:sz="8" w:color="auto"/>
            </w:tcBorders>
            <w:shd w:val="clear" w:color="auto" w:fill="CCEEFF"/>
          </w:tcPr>
          <w:p>
            <w:pPr>
              <w:spacing w:after="0" w:line="140" w:lineRule="exact"/>
              <w:rPr>
                <w:sz w:val="20"/>
                <w:szCs w:val="20"/>
                <w:color w:val="auto"/>
              </w:rPr>
            </w:pPr>
            <w:r>
              <w:rPr>
                <w:rFonts w:ascii="Times New Roman" w:cs="Times New Roman" w:eastAsia="Times New Roman" w:hAnsi="Times New Roman"/>
                <w:sz w:val="15"/>
                <w:szCs w:val="15"/>
                <w:b w:val="1"/>
                <w:bCs w:val="1"/>
                <w:color w:val="auto"/>
                <w:w w:val="99"/>
              </w:rPr>
              <w:t>Earnings per common share–basic:</w:t>
            </w:r>
          </w:p>
        </w:tc>
        <w:tc>
          <w:tcPr>
            <w:tcW w:w="2000" w:type="dxa"/>
            <w:vAlign w:val="bottom"/>
            <w:tcBorders>
              <w:bottom w:val="single" w:sz="8" w:color="CCEEFF"/>
            </w:tcBorders>
            <w:gridSpan w:val="2"/>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2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Net change in net assets resulting from operations</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gridSpan w:val="2"/>
          </w:tcPr>
          <w:p>
            <w:pPr>
              <w:jc w:val="right"/>
              <w:ind w:right="262"/>
              <w:spacing w:after="0"/>
              <w:rPr>
                <w:sz w:val="20"/>
                <w:szCs w:val="20"/>
                <w:color w:val="auto"/>
              </w:rPr>
            </w:pPr>
            <w:r>
              <w:rPr>
                <w:rFonts w:ascii="Times New Roman" w:cs="Times New Roman" w:eastAsia="Times New Roman" w:hAnsi="Times New Roman"/>
                <w:sz w:val="15"/>
                <w:szCs w:val="15"/>
                <w:color w:val="auto"/>
              </w:rPr>
              <w:t>(5,452,245)</w:t>
            </w:r>
          </w:p>
        </w:tc>
        <w:tc>
          <w:tcPr>
            <w:tcW w:w="32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25,193,360</w:t>
            </w: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(38,168,774)</w:t>
            </w:r>
          </w:p>
        </w:tc>
        <w:tc>
          <w:tcPr>
            <w:tcW w:w="480" w:type="dxa"/>
            <w:vAlign w:val="bottom"/>
            <w:gridSpan w:val="2"/>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14,189,845</w:t>
            </w:r>
          </w:p>
        </w:tc>
        <w:tc>
          <w:tcPr>
            <w:tcW w:w="0" w:type="dxa"/>
            <w:vAlign w:val="bottom"/>
          </w:tcPr>
          <w:p>
            <w:pPr>
              <w:spacing w:after="0"/>
              <w:rPr>
                <w:sz w:val="1"/>
                <w:szCs w:val="1"/>
                <w:color w:val="auto"/>
              </w:rPr>
            </w:pPr>
          </w:p>
        </w:tc>
      </w:tr>
      <w:tr>
        <w:trPr>
          <w:trHeight w:val="194"/>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Weighted-average common shares–basic</w:t>
            </w:r>
          </w:p>
        </w:tc>
        <w:tc>
          <w:tcPr>
            <w:tcW w:w="2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5"/>
                <w:szCs w:val="15"/>
                <w:color w:val="auto"/>
              </w:rPr>
              <w:t>23,378,002</w:t>
            </w:r>
          </w:p>
        </w:tc>
        <w:tc>
          <w:tcPr>
            <w:tcW w:w="3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25,351,306</w:t>
            </w:r>
          </w:p>
        </w:tc>
        <w:tc>
          <w:tcPr>
            <w:tcW w:w="3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24,058,085</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26,549,672</w:t>
            </w:r>
          </w:p>
        </w:tc>
        <w:tc>
          <w:tcPr>
            <w:tcW w:w="0" w:type="dxa"/>
            <w:vAlign w:val="bottom"/>
          </w:tcPr>
          <w:p>
            <w:pPr>
              <w:spacing w:after="0"/>
              <w:rPr>
                <w:sz w:val="1"/>
                <w:szCs w:val="1"/>
                <w:color w:val="auto"/>
              </w:rPr>
            </w:pPr>
          </w:p>
        </w:tc>
      </w:tr>
      <w:tr>
        <w:trPr>
          <w:trHeight w:val="225"/>
        </w:trPr>
        <w:tc>
          <w:tcPr>
            <w:tcW w:w="42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5"/>
                <w:szCs w:val="15"/>
                <w:b w:val="1"/>
                <w:bCs w:val="1"/>
                <w:color w:val="auto"/>
              </w:rPr>
              <w:t>Earnings per common share–basic</w:t>
            </w: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(0.23</w:t>
            </w:r>
          </w:p>
        </w:tc>
        <w:tc>
          <w:tcPr>
            <w:tcW w:w="340" w:type="dxa"/>
            <w:vAlign w:val="bottom"/>
            <w:tcBorders>
              <w:bottom w:val="single" w:sz="8" w:color="CCEEFF"/>
            </w:tcBorders>
          </w:tcPr>
          <w:p>
            <w:pPr>
              <w:jc w:val="right"/>
              <w:ind w:right="262"/>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0.99</w:t>
            </w:r>
          </w:p>
        </w:tc>
        <w:tc>
          <w:tcPr>
            <w:tcW w:w="3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180" w:type="dxa"/>
            <w:vAlign w:val="bottom"/>
            <w:tcBorders>
              <w:bottom w:val="single" w:sz="8" w:color="CCEEFF"/>
            </w:tcBorders>
          </w:tcPr>
          <w:p>
            <w:pPr>
              <w:jc w:val="right"/>
              <w:ind w:right="102"/>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0.53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4280" w:type="dxa"/>
            <w:vAlign w:val="bottom"/>
            <w:gridSpan w:val="3"/>
            <w:shd w:val="clear" w:color="auto" w:fill="CCEEFF"/>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Earnings per common share–diluted:</w:t>
            </w:r>
          </w:p>
        </w:tc>
        <w:tc>
          <w:tcPr>
            <w:tcW w:w="2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2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Net change in net assets resulting from operations</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gridSpan w:val="2"/>
          </w:tcPr>
          <w:p>
            <w:pPr>
              <w:jc w:val="right"/>
              <w:ind w:right="262"/>
              <w:spacing w:after="0"/>
              <w:rPr>
                <w:sz w:val="20"/>
                <w:szCs w:val="20"/>
                <w:color w:val="auto"/>
              </w:rPr>
            </w:pPr>
            <w:r>
              <w:rPr>
                <w:rFonts w:ascii="Times New Roman" w:cs="Times New Roman" w:eastAsia="Times New Roman" w:hAnsi="Times New Roman"/>
                <w:sz w:val="15"/>
                <w:szCs w:val="15"/>
                <w:color w:val="auto"/>
              </w:rPr>
              <w:t>(5,452,245)</w:t>
            </w:r>
          </w:p>
        </w:tc>
        <w:tc>
          <w:tcPr>
            <w:tcW w:w="32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25,193,360</w:t>
            </w: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(38,168,774)</w:t>
            </w:r>
          </w:p>
        </w:tc>
        <w:tc>
          <w:tcPr>
            <w:tcW w:w="480" w:type="dxa"/>
            <w:vAlign w:val="bottom"/>
            <w:gridSpan w:val="2"/>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14,189,845</w:t>
            </w:r>
          </w:p>
        </w:tc>
        <w:tc>
          <w:tcPr>
            <w:tcW w:w="0" w:type="dxa"/>
            <w:vAlign w:val="bottom"/>
          </w:tcPr>
          <w:p>
            <w:pPr>
              <w:spacing w:after="0"/>
              <w:rPr>
                <w:sz w:val="1"/>
                <w:szCs w:val="1"/>
                <w:color w:val="auto"/>
              </w:rPr>
            </w:pPr>
          </w:p>
        </w:tc>
      </w:tr>
      <w:tr>
        <w:trPr>
          <w:trHeight w:val="169"/>
        </w:trPr>
        <w:tc>
          <w:tcPr>
            <w:tcW w:w="4280" w:type="dxa"/>
            <w:vAlign w:val="bottom"/>
            <w:gridSpan w:val="3"/>
            <w:shd w:val="clear" w:color="auto" w:fill="CCEEFF"/>
          </w:tcPr>
          <w:p>
            <w:pPr>
              <w:ind w:left="140"/>
              <w:spacing w:after="0" w:line="169" w:lineRule="exact"/>
              <w:rPr>
                <w:sz w:val="20"/>
                <w:szCs w:val="20"/>
                <w:color w:val="auto"/>
              </w:rPr>
            </w:pPr>
            <w:r>
              <w:rPr>
                <w:rFonts w:ascii="Times New Roman" w:cs="Times New Roman" w:eastAsia="Times New Roman" w:hAnsi="Times New Roman"/>
                <w:sz w:val="15"/>
                <w:szCs w:val="15"/>
                <w:color w:val="auto"/>
              </w:rPr>
              <w:t>Adjustment for interest and amortization on 6.50% Convertible</w:t>
            </w: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280" w:type="dxa"/>
            <w:vAlign w:val="bottom"/>
            <w:gridSpan w:val="3"/>
            <w:shd w:val="clear" w:color="auto" w:fill="CCEEFF"/>
          </w:tcPr>
          <w:p>
            <w:pPr>
              <w:ind w:left="140"/>
              <w:spacing w:after="0" w:line="240" w:lineRule="exact"/>
              <w:rPr>
                <w:sz w:val="20"/>
                <w:szCs w:val="20"/>
                <w:color w:val="auto"/>
              </w:rPr>
            </w:pPr>
            <w:r>
              <w:rPr>
                <w:rFonts w:ascii="Times New Roman" w:cs="Times New Roman" w:eastAsia="Times New Roman" w:hAnsi="Times New Roman"/>
                <w:sz w:val="15"/>
                <w:szCs w:val="15"/>
                <w:color w:val="auto"/>
              </w:rPr>
              <w:t>Notes due 2029</w:t>
            </w:r>
            <w:r>
              <w:rPr>
                <w:rFonts w:ascii="Times New Roman" w:cs="Times New Roman" w:eastAsia="Times New Roman" w:hAnsi="Times New Roman"/>
                <w:sz w:val="25"/>
                <w:szCs w:val="25"/>
                <w:color w:val="auto"/>
                <w:vertAlign w:val="superscript"/>
              </w:rPr>
              <w:t>(1)</w:t>
            </w:r>
          </w:p>
        </w:tc>
        <w:tc>
          <w:tcPr>
            <w:tcW w:w="28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4"/>
        </w:trPr>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Net change in net assets resulting from operations, as adjusted</w:t>
            </w:r>
          </w:p>
        </w:tc>
        <w:tc>
          <w:tcPr>
            <w:tcW w:w="28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(5,452,245)</w:t>
            </w:r>
          </w:p>
        </w:tc>
        <w:tc>
          <w:tcPr>
            <w:tcW w:w="340" w:type="dxa"/>
            <w:vAlign w:val="bottom"/>
          </w:tcPr>
          <w:p>
            <w:pPr>
              <w:spacing w:after="0"/>
              <w:rPr>
                <w:sz w:val="15"/>
                <w:szCs w:val="15"/>
                <w:color w:val="auto"/>
              </w:rPr>
            </w:pPr>
          </w:p>
        </w:tc>
        <w:tc>
          <w:tcPr>
            <w:tcW w:w="320" w:type="dxa"/>
            <w:vAlign w:val="bottom"/>
            <w:tcBorders>
              <w:top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4,616,509</w:t>
            </w:r>
          </w:p>
        </w:tc>
        <w:tc>
          <w:tcPr>
            <w:tcW w:w="340" w:type="dxa"/>
            <w:vAlign w:val="bottom"/>
          </w:tcPr>
          <w:p>
            <w:pPr>
              <w:spacing w:after="0"/>
              <w:rPr>
                <w:sz w:val="15"/>
                <w:szCs w:val="15"/>
                <w:color w:val="auto"/>
              </w:rPr>
            </w:pPr>
          </w:p>
        </w:tc>
        <w:tc>
          <w:tcPr>
            <w:tcW w:w="30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(38,168,774)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Borders>
              <w:top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4,616,509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80" w:type="dxa"/>
            <w:vAlign w:val="bottom"/>
            <w:gridSpan w:val="3"/>
            <w:shd w:val="clear" w:color="auto" w:fill="CCEEFF"/>
          </w:tcPr>
          <w:p>
            <w:pPr>
              <w:ind w:left="140"/>
              <w:spacing w:after="0" w:line="169" w:lineRule="exact"/>
              <w:rPr>
                <w:sz w:val="20"/>
                <w:szCs w:val="20"/>
                <w:color w:val="auto"/>
              </w:rPr>
            </w:pPr>
            <w:r>
              <w:rPr>
                <w:rFonts w:ascii="Times New Roman" w:cs="Times New Roman" w:eastAsia="Times New Roman" w:hAnsi="Times New Roman"/>
                <w:sz w:val="15"/>
                <w:szCs w:val="15"/>
                <w:color w:val="auto"/>
              </w:rPr>
              <w:t>Adjustment for dilutive effect of 6.50% Convertible Notes due</w:t>
            </w: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280" w:type="dxa"/>
            <w:vAlign w:val="bottom"/>
            <w:shd w:val="clear" w:color="auto" w:fill="CCEEFF"/>
          </w:tcPr>
          <w:p>
            <w:pPr>
              <w:ind w:left="140"/>
              <w:spacing w:after="0" w:line="240" w:lineRule="exact"/>
              <w:rPr>
                <w:sz w:val="20"/>
                <w:szCs w:val="20"/>
                <w:color w:val="auto"/>
              </w:rPr>
            </w:pPr>
            <w:r>
              <w:rPr>
                <w:rFonts w:ascii="Times New Roman" w:cs="Times New Roman" w:eastAsia="Times New Roman" w:hAnsi="Times New Roman"/>
                <w:sz w:val="15"/>
                <w:szCs w:val="15"/>
                <w:color w:val="auto"/>
              </w:rPr>
              <w:t>2029</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280" w:type="dxa"/>
            <w:vAlign w:val="bottom"/>
            <w:gridSpan w:val="3"/>
            <w:vMerge w:val="restart"/>
          </w:tcPr>
          <w:p>
            <w:pPr>
              <w:spacing w:after="0" w:line="228" w:lineRule="exact"/>
              <w:rPr>
                <w:sz w:val="20"/>
                <w:szCs w:val="20"/>
                <w:color w:val="auto"/>
              </w:rPr>
            </w:pPr>
            <w:r>
              <w:rPr>
                <w:rFonts w:ascii="Times New Roman" w:cs="Times New Roman" w:eastAsia="Times New Roman" w:hAnsi="Times New Roman"/>
                <w:sz w:val="15"/>
                <w:szCs w:val="15"/>
                <w:color w:val="auto"/>
              </w:rPr>
              <w:t>Weighted-average common shares outstanding–diluted</w:t>
            </w:r>
            <w:r>
              <w:rPr>
                <w:rFonts w:ascii="Times New Roman" w:cs="Times New Roman" w:eastAsia="Times New Roman" w:hAnsi="Times New Roman"/>
                <w:sz w:val="25"/>
                <w:szCs w:val="25"/>
                <w:color w:val="auto"/>
                <w:vertAlign w:val="superscript"/>
              </w:rPr>
              <w:t>(1)</w:t>
            </w: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8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23,378,002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25,351,306</w:t>
            </w:r>
          </w:p>
        </w:tc>
        <w:tc>
          <w:tcPr>
            <w:tcW w:w="300" w:type="dxa"/>
            <w:vAlign w:val="bottom"/>
          </w:tcPr>
          <w:p>
            <w:pPr>
              <w:spacing w:after="0"/>
              <w:rPr>
                <w:sz w:val="18"/>
                <w:szCs w:val="18"/>
                <w:color w:val="auto"/>
              </w:rPr>
            </w:pPr>
          </w:p>
        </w:tc>
        <w:tc>
          <w:tcPr>
            <w:tcW w:w="136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24,058,085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26,549,672</w:t>
            </w:r>
          </w:p>
        </w:tc>
        <w:tc>
          <w:tcPr>
            <w:tcW w:w="0" w:type="dxa"/>
            <w:vAlign w:val="bottom"/>
          </w:tcPr>
          <w:p>
            <w:pPr>
              <w:spacing w:after="0"/>
              <w:rPr>
                <w:sz w:val="1"/>
                <w:szCs w:val="1"/>
                <w:color w:val="auto"/>
              </w:rPr>
            </w:pPr>
          </w:p>
        </w:tc>
      </w:tr>
      <w:tr>
        <w:trPr>
          <w:trHeight w:val="185"/>
        </w:trPr>
        <w:tc>
          <w:tcPr>
            <w:tcW w:w="42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Earnings per common share–diluted</w:t>
            </w:r>
          </w:p>
        </w:tc>
        <w:tc>
          <w:tcPr>
            <w:tcW w:w="28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(0.23</w:t>
            </w:r>
          </w:p>
        </w:tc>
        <w:tc>
          <w:tcPr>
            <w:tcW w:w="340" w:type="dxa"/>
            <w:vAlign w:val="bottom"/>
            <w:tcBorders>
              <w:top w:val="single" w:sz="8" w:color="CCEEFF"/>
              <w:bottom w:val="single" w:sz="8" w:color="CCEEFF"/>
            </w:tcBorders>
            <w:shd w:val="clear" w:color="auto" w:fill="CCEEFF"/>
          </w:tcPr>
          <w:p>
            <w:pPr>
              <w:jc w:val="right"/>
              <w:ind w:right="262"/>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Borders>
              <w:top w:val="single" w:sz="8" w:color="auto"/>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0.99</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180" w:type="dxa"/>
            <w:vAlign w:val="bottom"/>
            <w:tcBorders>
              <w:top w:val="single" w:sz="8" w:color="CCEEFF"/>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78689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86890" cy="6985"/>
                    </a:xfrm>
                    <a:prstGeom prst="rect">
                      <a:avLst/>
                    </a:prstGeom>
                    <a:noFill/>
                  </pic:spPr>
                </pic:pic>
              </a:graphicData>
            </a:graphic>
          </wp:anchor>
        </w:drawing>
      </w:r>
    </w:p>
    <w:p>
      <w:pPr>
        <w:spacing w:after="0" w:line="170" w:lineRule="exact"/>
        <w:rPr>
          <w:sz w:val="20"/>
          <w:szCs w:val="20"/>
          <w:color w:val="auto"/>
        </w:rPr>
      </w:pPr>
    </w:p>
    <w:p>
      <w:pPr>
        <w:jc w:val="both"/>
        <w:ind w:left="269" w:hanging="269"/>
        <w:spacing w:after="0" w:line="270" w:lineRule="auto"/>
        <w:tabs>
          <w:tab w:leader="none" w:pos="269"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three and nine months ended September 30, 2024, 3,225,808 potentially dilutive common shares were excluded from the weighted-average common shares outstanding for diluted net decrease in net assets resulting from operations per common shares because the effect of these shares would have been anti-dilutive. For the three and nine months ended September 30, 2023, there were no potentially dilutive securities outstanding.</w:t>
      </w:r>
    </w:p>
    <w:p>
      <w:pPr>
        <w:spacing w:after="0" w:line="16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NOTE 7—COMMITMENTS AND CONTINGENCIES</w:t>
      </w:r>
    </w:p>
    <w:p>
      <w:pPr>
        <w:spacing w:after="0" w:line="196" w:lineRule="exact"/>
        <w:rPr>
          <w:sz w:val="20"/>
          <w:szCs w:val="20"/>
          <w:color w:val="auto"/>
        </w:rPr>
      </w:pPr>
    </w:p>
    <w:p>
      <w:pPr>
        <w:jc w:val="both"/>
        <w:ind w:left="9" w:firstLine="273"/>
        <w:spacing w:after="0" w:line="288" w:lineRule="auto"/>
        <w:rPr>
          <w:sz w:val="20"/>
          <w:szCs w:val="20"/>
          <w:color w:val="auto"/>
        </w:rPr>
      </w:pPr>
      <w:r>
        <w:rPr>
          <w:rFonts w:ascii="Times New Roman" w:cs="Times New Roman" w:eastAsia="Times New Roman" w:hAnsi="Times New Roman"/>
          <w:sz w:val="15"/>
          <w:szCs w:val="15"/>
          <w:color w:val="auto"/>
        </w:rPr>
        <w:t>In the normal course of business, the Company may enter into investment agreements under which it commits to make an investment in a portfolio company at some future date or over a specified period of time.</w:t>
      </w:r>
    </w:p>
    <w:p>
      <w:pPr>
        <w:spacing w:after="0" w:line="133" w:lineRule="exact"/>
        <w:rPr>
          <w:sz w:val="20"/>
          <w:szCs w:val="20"/>
          <w:color w:val="auto"/>
        </w:rPr>
      </w:pPr>
    </w:p>
    <w:p>
      <w:pPr>
        <w:jc w:val="both"/>
        <w:ind w:left="9" w:firstLine="273"/>
        <w:spacing w:after="0" w:line="270" w:lineRule="auto"/>
        <w:rPr>
          <w:sz w:val="20"/>
          <w:szCs w:val="20"/>
          <w:color w:val="auto"/>
        </w:rPr>
      </w:pPr>
      <w:r>
        <w:rPr>
          <w:rFonts w:ascii="Times New Roman" w:cs="Times New Roman" w:eastAsia="Times New Roman" w:hAnsi="Times New Roman"/>
          <w:sz w:val="15"/>
          <w:szCs w:val="15"/>
          <w:color w:val="auto"/>
        </w:rPr>
        <w:t>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 The Company is not currently a party to any material legal proceedings.</w:t>
      </w:r>
    </w:p>
    <w:p>
      <w:pPr>
        <w:spacing w:after="0" w:line="14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5391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216"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September 30,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Operating Leases and Related Deposits</w:t>
      </w:r>
    </w:p>
    <w:p>
      <w:pPr>
        <w:spacing w:after="0" w:line="196" w:lineRule="exact"/>
        <w:rPr>
          <w:sz w:val="20"/>
          <w:szCs w:val="20"/>
          <w:color w:val="auto"/>
        </w:rPr>
      </w:pPr>
    </w:p>
    <w:p>
      <w:pPr>
        <w:jc w:val="both"/>
        <w:ind w:firstLine="273"/>
        <w:spacing w:after="0" w:line="268" w:lineRule="auto"/>
        <w:rPr>
          <w:sz w:val="20"/>
          <w:szCs w:val="20"/>
          <w:color w:val="auto"/>
        </w:rPr>
      </w:pPr>
      <w:r>
        <w:rPr>
          <w:rFonts w:ascii="Times New Roman" w:cs="Times New Roman" w:eastAsia="Times New Roman" w:hAnsi="Times New Roman"/>
          <w:sz w:val="15"/>
          <w:szCs w:val="15"/>
          <w:color w:val="auto"/>
        </w:rPr>
        <w:t>The Company currently has one operating lease for office space for which the Company has recorded a right-of-use asset and lease liability for the operating lease obligation. The lease originally commenced on June 3, 2019 and expired on August 31, 2024. On September 1, 2024, the Company extended the previous operating lease for office space for an additional term of three years and three months, expiring March 31, 2028. The lease expense is presented as a single lease cost that is amortized on a straight-line basis over the life of the lease.</w:t>
      </w:r>
    </w:p>
    <w:p>
      <w:pPr>
        <w:spacing w:after="0" w:line="333"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As of September 30, 2024 and December 31, 2023, the Company booked a right-of-use asset and operating lease liability of $455,109 and $112,485, respectively, on the Condensed Consolidated Statement of Assets and Liabilities. As of September 30, 2024 and December 31, 2023, the Company recorded a security deposit of $16,574 and $16,574, respectively, on the Condensed Consolidated Statement of Assets and Liabilities. For the three months ended September 30, 2024 and 2023, the Company incurred $49,512 and $52,472, respectively, of operating lease expense. For the nine months ended September 30, 2024 and 2023, the Company incurred $155,859 and $151,637, respectively, of operating lease expense. The amounts reflected on the Condensed Consolidated Statement of Assets and Liabilities have been discounted using the rate implicit in the lease. As of September 30, 2024, the remaining lease term was 3.3 years and the discount rate was 3.00%.</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following table shows future minimum payments under the Company’s operating lease as of September 30, 2024:</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440" w:type="dxa"/>
            <w:vAlign w:val="bottom"/>
            <w:gridSpan w:val="2"/>
          </w:tcPr>
          <w:p>
            <w:pPr>
              <w:ind w:left="1120"/>
              <w:spacing w:after="0"/>
              <w:rPr>
                <w:sz w:val="20"/>
                <w:szCs w:val="20"/>
                <w:color w:val="auto"/>
              </w:rPr>
            </w:pPr>
            <w:r>
              <w:rPr>
                <w:rFonts w:ascii="Times New Roman" w:cs="Times New Roman" w:eastAsia="Times New Roman" w:hAnsi="Times New Roman"/>
                <w:sz w:val="15"/>
                <w:szCs w:val="15"/>
                <w:b w:val="1"/>
                <w:bCs w:val="1"/>
                <w:color w:val="auto"/>
              </w:rPr>
              <w:t>For the Year Ended December 31,</w:t>
            </w:r>
          </w:p>
        </w:tc>
        <w:tc>
          <w:tcPr>
            <w:tcW w:w="4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120" w:type="dxa"/>
            <w:vAlign w:val="bottom"/>
          </w:tcPr>
          <w:p>
            <w:pPr>
              <w:spacing w:after="0"/>
              <w:rPr>
                <w:sz w:val="15"/>
                <w:szCs w:val="15"/>
                <w:color w:val="auto"/>
              </w:rPr>
            </w:pPr>
          </w:p>
        </w:tc>
        <w:tc>
          <w:tcPr>
            <w:tcW w:w="3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2024</w:t>
            </w:r>
          </w:p>
        </w:tc>
        <w:tc>
          <w:tcPr>
            <w:tcW w:w="40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12,570</w:t>
            </w:r>
          </w:p>
        </w:tc>
        <w:tc>
          <w:tcPr>
            <w:tcW w:w="80" w:type="dxa"/>
            <w:vAlign w:val="bottom"/>
            <w:tcBorders>
              <w:top w:val="single" w:sz="8" w:color="CCEEFF"/>
            </w:tcBorders>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5"/>
                <w:szCs w:val="15"/>
                <w:color w:val="auto"/>
              </w:rPr>
              <w:t>2025</w:t>
            </w:r>
          </w:p>
        </w:tc>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113,130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2026</w:t>
            </w:r>
          </w:p>
        </w:tc>
        <w:tc>
          <w:tcPr>
            <w:tcW w:w="4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155,365</w:t>
            </w:r>
          </w:p>
        </w:tc>
        <w:tc>
          <w:tcPr>
            <w:tcW w:w="8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5"/>
                <w:szCs w:val="15"/>
                <w:color w:val="auto"/>
              </w:rPr>
              <w:t>2027</w:t>
            </w:r>
          </w:p>
        </w:tc>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160,026</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20" w:type="dxa"/>
            <w:vAlign w:val="bottom"/>
          </w:tcPr>
          <w:p>
            <w:pPr>
              <w:spacing w:after="0"/>
              <w:rPr>
                <w:sz w:val="16"/>
                <w:szCs w:val="16"/>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2028</w:t>
            </w:r>
          </w:p>
        </w:tc>
        <w:tc>
          <w:tcPr>
            <w:tcW w:w="4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41,207</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482,298</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080" w:type="dxa"/>
            <w:vAlign w:val="bottom"/>
            <w:vMerge w:val="restart"/>
          </w:tcPr>
          <w:p>
            <w:pPr>
              <w:jc w:val="right"/>
              <w:ind w:right="2744"/>
              <w:spacing w:after="0"/>
              <w:rPr>
                <w:sz w:val="20"/>
                <w:szCs w:val="20"/>
                <w:color w:val="auto"/>
              </w:rPr>
            </w:pPr>
            <w:r>
              <w:rPr>
                <w:rFonts w:ascii="Times New Roman" w:cs="Times New Roman" w:eastAsia="Times New Roman" w:hAnsi="Times New Roman"/>
                <w:sz w:val="15"/>
                <w:szCs w:val="15"/>
                <w:color w:val="auto"/>
              </w:rPr>
              <w:t>40</w:t>
            </w: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11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16" w:right="319" w:bottom="1440" w:gutter="0" w:footer="0" w:header="0"/>
        </w:sectPr>
      </w:pPr>
    </w:p>
    <w:bookmarkStart w:id="43" w:name="page44"/>
    <w:bookmarkEnd w:id="43"/>
    <w:p>
      <w:pPr>
        <w:ind w:left="9"/>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9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September 30, 2024</w:t>
      </w:r>
    </w:p>
    <w:p>
      <w:pPr>
        <w:spacing w:after="0" w:line="173"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3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NOTE 8—FINANCIAL HIGHLIGHTS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5"/>
        </w:trPr>
        <w:tc>
          <w:tcPr>
            <w:tcW w:w="3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20" w:type="dxa"/>
            <w:vAlign w:val="bottom"/>
            <w:gridSpan w:val="5"/>
          </w:tcPr>
          <w:p>
            <w:pPr>
              <w:jc w:val="right"/>
              <w:ind w:right="108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360" w:type="dxa"/>
            <w:vAlign w:val="bottom"/>
          </w:tcPr>
          <w:p>
            <w:pPr>
              <w:spacing w:after="0"/>
              <w:rPr>
                <w:sz w:val="24"/>
                <w:szCs w:val="24"/>
                <w:color w:val="auto"/>
              </w:rPr>
            </w:pPr>
          </w:p>
        </w:tc>
        <w:tc>
          <w:tcPr>
            <w:tcW w:w="3520" w:type="dxa"/>
            <w:vAlign w:val="bottom"/>
            <w:gridSpan w:val="5"/>
          </w:tcPr>
          <w:p>
            <w:pPr>
              <w:jc w:val="right"/>
              <w:ind w:right="900"/>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0" w:type="dxa"/>
            <w:vAlign w:val="bottom"/>
          </w:tcPr>
          <w:p>
            <w:pPr>
              <w:spacing w:after="0"/>
              <w:rPr>
                <w:sz w:val="1"/>
                <w:szCs w:val="1"/>
                <w:color w:val="auto"/>
              </w:rPr>
            </w:pPr>
          </w:p>
        </w:tc>
      </w:tr>
      <w:tr>
        <w:trPr>
          <w:trHeight w:val="185"/>
        </w:trPr>
        <w:tc>
          <w:tcPr>
            <w:tcW w:w="32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Per Basic Share Data</w:t>
            </w: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86"/>
              <w:spacing w:after="0"/>
              <w:rPr>
                <w:sz w:val="20"/>
                <w:szCs w:val="20"/>
                <w:color w:val="auto"/>
              </w:rPr>
            </w:pPr>
            <w:r>
              <w:rPr>
                <w:rFonts w:ascii="Times New Roman" w:cs="Times New Roman" w:eastAsia="Times New Roman" w:hAnsi="Times New Roman"/>
                <w:sz w:val="15"/>
                <w:szCs w:val="15"/>
                <w:b w:val="1"/>
                <w:bCs w:val="1"/>
                <w:color w:val="auto"/>
              </w:rPr>
              <w:t>2024</w:t>
            </w:r>
          </w:p>
        </w:tc>
        <w:tc>
          <w:tcPr>
            <w:tcW w:w="40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06"/>
              <w:spacing w:after="0"/>
              <w:rPr>
                <w:sz w:val="20"/>
                <w:szCs w:val="20"/>
                <w:color w:val="auto"/>
              </w:rPr>
            </w:pPr>
            <w:r>
              <w:rPr>
                <w:rFonts w:ascii="Times New Roman" w:cs="Times New Roman" w:eastAsia="Times New Roman" w:hAnsi="Times New Roman"/>
                <w:sz w:val="15"/>
                <w:szCs w:val="15"/>
                <w:b w:val="1"/>
                <w:bCs w:val="1"/>
                <w:color w:val="auto"/>
              </w:rPr>
              <w:t>2023</w:t>
            </w:r>
          </w:p>
        </w:tc>
        <w:tc>
          <w:tcPr>
            <w:tcW w:w="40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84"/>
              <w:spacing w:after="0"/>
              <w:rPr>
                <w:sz w:val="20"/>
                <w:szCs w:val="20"/>
                <w:color w:val="auto"/>
              </w:rPr>
            </w:pPr>
            <w:r>
              <w:rPr>
                <w:rFonts w:ascii="Times New Roman" w:cs="Times New Roman" w:eastAsia="Times New Roman" w:hAnsi="Times New Roman"/>
                <w:sz w:val="15"/>
                <w:szCs w:val="15"/>
                <w:b w:val="1"/>
                <w:bCs w:val="1"/>
                <w:color w:val="auto"/>
              </w:rPr>
              <w:t>2024</w:t>
            </w:r>
          </w:p>
        </w:tc>
        <w:tc>
          <w:tcPr>
            <w:tcW w:w="40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06"/>
              <w:spacing w:after="0"/>
              <w:rPr>
                <w:sz w:val="20"/>
                <w:szCs w:val="20"/>
                <w:color w:val="auto"/>
              </w:rPr>
            </w:pPr>
            <w:r>
              <w:rPr>
                <w:rFonts w:ascii="Times New Roman" w:cs="Times New Roman" w:eastAsia="Times New Roman" w:hAnsi="Times New Roman"/>
                <w:sz w:val="15"/>
                <w:szCs w:val="15"/>
                <w:b w:val="1"/>
                <w:bCs w:val="1"/>
                <w:color w:val="auto"/>
              </w:rPr>
              <w:t>2023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2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asset value at beginning of the year</w:t>
            </w:r>
          </w:p>
        </w:tc>
        <w:tc>
          <w:tcPr>
            <w:tcW w:w="38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5"/>
                <w:szCs w:val="15"/>
                <w:color w:val="auto"/>
              </w:rPr>
              <w:t>6.94</w:t>
            </w:r>
          </w:p>
        </w:tc>
        <w:tc>
          <w:tcPr>
            <w:tcW w:w="38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5"/>
                <w:szCs w:val="15"/>
                <w:color w:val="auto"/>
              </w:rPr>
              <w:t>7.35</w:t>
            </w: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7.99</w:t>
            </w: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7.39</w:t>
            </w:r>
          </w:p>
        </w:tc>
        <w:tc>
          <w:tcPr>
            <w:tcW w:w="0" w:type="dxa"/>
            <w:vAlign w:val="bottom"/>
          </w:tcPr>
          <w:p>
            <w:pPr>
              <w:spacing w:after="0"/>
              <w:rPr>
                <w:sz w:val="1"/>
                <w:szCs w:val="1"/>
                <w:color w:val="auto"/>
              </w:rPr>
            </w:pPr>
          </w:p>
        </w:tc>
      </w:tr>
      <w:tr>
        <w:trPr>
          <w:trHeight w:val="216"/>
        </w:trPr>
        <w:tc>
          <w:tcPr>
            <w:tcW w:w="3280" w:type="dxa"/>
            <w:vAlign w:val="bottom"/>
          </w:tcPr>
          <w:p>
            <w:pPr>
              <w:ind w:left="100"/>
              <w:spacing w:after="0" w:line="216" w:lineRule="exact"/>
              <w:rPr>
                <w:sz w:val="20"/>
                <w:szCs w:val="20"/>
                <w:color w:val="auto"/>
              </w:rPr>
            </w:pPr>
            <w:r>
              <w:rPr>
                <w:rFonts w:ascii="Times New Roman" w:cs="Times New Roman" w:eastAsia="Times New Roman" w:hAnsi="Times New Roman"/>
                <w:sz w:val="15"/>
                <w:szCs w:val="15"/>
                <w:color w:val="auto"/>
              </w:rPr>
              <w:t>Net investment loss</w:t>
            </w:r>
            <w:r>
              <w:rPr>
                <w:rFonts w:ascii="Times New Roman" w:cs="Times New Roman" w:eastAsia="Times New Roman" w:hAnsi="Times New Roman"/>
                <w:sz w:val="25"/>
                <w:szCs w:val="25"/>
                <w:color w:val="auto"/>
                <w:vertAlign w:val="superscript"/>
              </w:rPr>
              <w:t>(1)</w:t>
            </w:r>
          </w:p>
        </w:tc>
        <w:tc>
          <w:tcPr>
            <w:tcW w:w="38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(0.14)</w:t>
            </w:r>
          </w:p>
        </w:tc>
        <w:tc>
          <w:tcPr>
            <w:tcW w:w="3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(0.11)</w:t>
            </w:r>
          </w:p>
        </w:tc>
        <w:tc>
          <w:tcPr>
            <w:tcW w:w="360" w:type="dxa"/>
            <w:vAlign w:val="bottom"/>
          </w:tcPr>
          <w:p>
            <w:pPr>
              <w:spacing w:after="0"/>
              <w:rPr>
                <w:sz w:val="18"/>
                <w:szCs w:val="18"/>
                <w:color w:val="auto"/>
              </w:rPr>
            </w:pPr>
          </w:p>
        </w:tc>
        <w:tc>
          <w:tcPr>
            <w:tcW w:w="1680" w:type="dxa"/>
            <w:vAlign w:val="bottom"/>
            <w:gridSpan w:val="2"/>
          </w:tcPr>
          <w:p>
            <w:pPr>
              <w:jc w:val="right"/>
              <w:ind w:right="264"/>
              <w:spacing w:after="0"/>
              <w:rPr>
                <w:sz w:val="20"/>
                <w:szCs w:val="20"/>
                <w:color w:val="auto"/>
              </w:rPr>
            </w:pPr>
            <w:r>
              <w:rPr>
                <w:rFonts w:ascii="Times New Roman" w:cs="Times New Roman" w:eastAsia="Times New Roman" w:hAnsi="Times New Roman"/>
                <w:sz w:val="15"/>
                <w:szCs w:val="15"/>
                <w:color w:val="auto"/>
              </w:rPr>
              <w:t>(0.42)</w:t>
            </w:r>
          </w:p>
        </w:tc>
        <w:tc>
          <w:tcPr>
            <w:tcW w:w="3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(0.40)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15"/>
                <w:szCs w:val="15"/>
                <w:color w:val="auto"/>
              </w:rPr>
              <w:t>Net realized loss on investments</w:t>
            </w:r>
            <w:r>
              <w:rPr>
                <w:rFonts w:ascii="Times New Roman" w:cs="Times New Roman" w:eastAsia="Times New Roman" w:hAnsi="Times New Roman"/>
                <w:sz w:val="25"/>
                <w:szCs w:val="25"/>
                <w:color w:val="auto"/>
                <w:vertAlign w:val="superscript"/>
              </w:rPr>
              <w:t>(1)</w:t>
            </w: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(0.59)</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(0.06)</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(0.59)</w:t>
            </w: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(0.55)</w:t>
            </w:r>
          </w:p>
        </w:tc>
        <w:tc>
          <w:tcPr>
            <w:tcW w:w="0" w:type="dxa"/>
            <w:vAlign w:val="bottom"/>
          </w:tcPr>
          <w:p>
            <w:pPr>
              <w:spacing w:after="0"/>
              <w:rPr>
                <w:sz w:val="1"/>
                <w:szCs w:val="1"/>
                <w:color w:val="auto"/>
              </w:rPr>
            </w:pPr>
          </w:p>
        </w:tc>
      </w:tr>
      <w:tr>
        <w:trPr>
          <w:trHeight w:val="169"/>
        </w:trPr>
        <w:tc>
          <w:tcPr>
            <w:tcW w:w="3280" w:type="dxa"/>
            <w:vAlign w:val="bottom"/>
          </w:tcPr>
          <w:p>
            <w:pPr>
              <w:ind w:left="100"/>
              <w:spacing w:after="0" w:line="169" w:lineRule="exact"/>
              <w:rPr>
                <w:sz w:val="20"/>
                <w:szCs w:val="20"/>
                <w:color w:val="auto"/>
              </w:rPr>
            </w:pPr>
            <w:r>
              <w:rPr>
                <w:rFonts w:ascii="Times New Roman" w:cs="Times New Roman" w:eastAsia="Times New Roman" w:hAnsi="Times New Roman"/>
                <w:sz w:val="15"/>
                <w:szCs w:val="15"/>
                <w:color w:val="auto"/>
              </w:rPr>
              <w:t>Realized loss on partial repurchase of 6.00%</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240"/>
              <w:spacing w:after="0" w:line="229" w:lineRule="exact"/>
              <w:rPr>
                <w:sz w:val="20"/>
                <w:szCs w:val="20"/>
                <w:color w:val="auto"/>
              </w:rPr>
            </w:pPr>
            <w:r>
              <w:rPr>
                <w:rFonts w:ascii="Times New Roman" w:cs="Times New Roman" w:eastAsia="Times New Roman" w:hAnsi="Times New Roman"/>
                <w:sz w:val="15"/>
                <w:szCs w:val="15"/>
                <w:color w:val="auto"/>
              </w:rPr>
              <w:t>Notes due December 30, 2026</w:t>
            </w:r>
            <w:r>
              <w:rPr>
                <w:rFonts w:ascii="Times New Roman" w:cs="Times New Roman" w:eastAsia="Times New Roman" w:hAnsi="Times New Roman"/>
                <w:sz w:val="25"/>
                <w:szCs w:val="25"/>
                <w:color w:val="auto"/>
                <w:vertAlign w:val="superscript"/>
              </w:rPr>
              <w:t>(1)</w:t>
            </w:r>
          </w:p>
        </w:tc>
        <w:tc>
          <w:tcPr>
            <w:tcW w:w="380" w:type="dxa"/>
            <w:vAlign w:val="bottom"/>
          </w:tcPr>
          <w:p>
            <w:pPr>
              <w:spacing w:after="0"/>
              <w:rPr>
                <w:sz w:val="19"/>
                <w:szCs w:val="19"/>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(0.01)</w:t>
            </w:r>
          </w:p>
        </w:tc>
        <w:tc>
          <w:tcPr>
            <w:tcW w:w="380" w:type="dxa"/>
            <w:vAlign w:val="bottom"/>
          </w:tcPr>
          <w:p>
            <w:pPr>
              <w:spacing w:after="0"/>
              <w:rPr>
                <w:sz w:val="19"/>
                <w:szCs w:val="19"/>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9"/>
                <w:szCs w:val="19"/>
                <w:color w:val="auto"/>
              </w:rPr>
            </w:pPr>
          </w:p>
        </w:tc>
        <w:tc>
          <w:tcPr>
            <w:tcW w:w="1680" w:type="dxa"/>
            <w:vAlign w:val="bottom"/>
            <w:gridSpan w:val="2"/>
          </w:tcPr>
          <w:p>
            <w:pPr>
              <w:jc w:val="right"/>
              <w:ind w:right="264"/>
              <w:spacing w:after="0"/>
              <w:rPr>
                <w:sz w:val="20"/>
                <w:szCs w:val="20"/>
                <w:color w:val="auto"/>
              </w:rPr>
            </w:pPr>
            <w:r>
              <w:rPr>
                <w:rFonts w:ascii="Times New Roman" w:cs="Times New Roman" w:eastAsia="Times New Roman" w:hAnsi="Times New Roman"/>
                <w:sz w:val="15"/>
                <w:szCs w:val="15"/>
                <w:color w:val="auto"/>
              </w:rPr>
              <w:t>(0.01)</w:t>
            </w:r>
          </w:p>
        </w:tc>
        <w:tc>
          <w:tcPr>
            <w:tcW w:w="3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9"/>
        </w:trPr>
        <w:tc>
          <w:tcPr>
            <w:tcW w:w="3280" w:type="dxa"/>
            <w:vAlign w:val="bottom"/>
            <w:shd w:val="clear" w:color="auto" w:fill="CCEEFF"/>
          </w:tcPr>
          <w:p>
            <w:pPr>
              <w:ind w:left="100"/>
              <w:spacing w:after="0" w:line="169" w:lineRule="exact"/>
              <w:rPr>
                <w:sz w:val="20"/>
                <w:szCs w:val="20"/>
                <w:color w:val="auto"/>
              </w:rPr>
            </w:pPr>
            <w:r>
              <w:rPr>
                <w:rFonts w:ascii="Times New Roman" w:cs="Times New Roman" w:eastAsia="Times New Roman" w:hAnsi="Times New Roman"/>
                <w:sz w:val="15"/>
                <w:szCs w:val="15"/>
                <w:color w:val="auto"/>
              </w:rPr>
              <w:t>Net change in unrealized</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40"/>
              <w:spacing w:after="0" w:line="229" w:lineRule="exact"/>
              <w:rPr>
                <w:sz w:val="20"/>
                <w:szCs w:val="20"/>
                <w:color w:val="auto"/>
              </w:rPr>
            </w:pPr>
            <w:r>
              <w:rPr>
                <w:rFonts w:ascii="Times New Roman" w:cs="Times New Roman" w:eastAsia="Times New Roman" w:hAnsi="Times New Roman"/>
                <w:sz w:val="15"/>
                <w:szCs w:val="15"/>
                <w:color w:val="auto"/>
              </w:rPr>
              <w:t>appreciation/(depreciation) of investments</w:t>
            </w:r>
            <w:r>
              <w:rPr>
                <w:rFonts w:ascii="Times New Roman" w:cs="Times New Roman" w:eastAsia="Times New Roman" w:hAnsi="Times New Roman"/>
                <w:sz w:val="25"/>
                <w:szCs w:val="25"/>
                <w:color w:val="auto"/>
                <w:vertAlign w:val="superscript"/>
              </w:rPr>
              <w:t>(1)</w:t>
            </w:r>
          </w:p>
        </w:tc>
        <w:tc>
          <w:tcPr>
            <w:tcW w:w="3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5"/>
                <w:szCs w:val="15"/>
                <w:color w:val="auto"/>
              </w:rPr>
              <w:t>0.50</w:t>
            </w:r>
          </w:p>
        </w:tc>
        <w:tc>
          <w:tcPr>
            <w:tcW w:w="3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5"/>
                <w:szCs w:val="15"/>
                <w:color w:val="auto"/>
              </w:rPr>
              <w:t>1.16</w:t>
            </w:r>
          </w:p>
        </w:tc>
        <w:tc>
          <w:tcPr>
            <w:tcW w:w="3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(0.57)</w:t>
            </w:r>
          </w:p>
        </w:tc>
        <w:tc>
          <w:tcPr>
            <w:tcW w:w="3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1.49</w:t>
            </w:r>
          </w:p>
        </w:tc>
        <w:tc>
          <w:tcPr>
            <w:tcW w:w="0" w:type="dxa"/>
            <w:vAlign w:val="bottom"/>
          </w:tcPr>
          <w:p>
            <w:pPr>
              <w:spacing w:after="0"/>
              <w:rPr>
                <w:sz w:val="1"/>
                <w:szCs w:val="1"/>
                <w:color w:val="auto"/>
              </w:rPr>
            </w:pPr>
          </w:p>
        </w:tc>
      </w:tr>
      <w:tr>
        <w:trPr>
          <w:trHeight w:val="216"/>
        </w:trPr>
        <w:tc>
          <w:tcPr>
            <w:tcW w:w="3280" w:type="dxa"/>
            <w:vAlign w:val="bottom"/>
          </w:tcPr>
          <w:p>
            <w:pPr>
              <w:ind w:left="100"/>
              <w:spacing w:after="0" w:line="216" w:lineRule="exact"/>
              <w:rPr>
                <w:sz w:val="20"/>
                <w:szCs w:val="20"/>
                <w:color w:val="auto"/>
              </w:rPr>
            </w:pPr>
            <w:r>
              <w:rPr>
                <w:rFonts w:ascii="Times New Roman" w:cs="Times New Roman" w:eastAsia="Times New Roman" w:hAnsi="Times New Roman"/>
                <w:sz w:val="15"/>
                <w:szCs w:val="15"/>
                <w:color w:val="auto"/>
              </w:rPr>
              <w:t>Repurchase of common stock</w:t>
            </w:r>
            <w:r>
              <w:rPr>
                <w:rFonts w:ascii="Times New Roman" w:cs="Times New Roman" w:eastAsia="Times New Roman" w:hAnsi="Times New Roman"/>
                <w:sz w:val="25"/>
                <w:szCs w:val="25"/>
                <w:color w:val="auto"/>
                <w:vertAlign w:val="superscript"/>
              </w:rPr>
              <w:t>(1)</w:t>
            </w:r>
          </w:p>
        </w:tc>
        <w:tc>
          <w:tcPr>
            <w:tcW w:w="380" w:type="dxa"/>
            <w:vAlign w:val="bottom"/>
          </w:tcPr>
          <w:p>
            <w:pPr>
              <w:spacing w:after="0"/>
              <w:rPr>
                <w:sz w:val="18"/>
                <w:szCs w:val="18"/>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8"/>
                <w:szCs w:val="18"/>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color w:val="auto"/>
              </w:rPr>
              <w:t>0.04</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0.23</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0.41</w:t>
            </w:r>
          </w:p>
        </w:tc>
        <w:tc>
          <w:tcPr>
            <w:tcW w:w="0" w:type="dxa"/>
            <w:vAlign w:val="bottom"/>
          </w:tcPr>
          <w:p>
            <w:pPr>
              <w:spacing w:after="0"/>
              <w:rPr>
                <w:sz w:val="1"/>
                <w:szCs w:val="1"/>
                <w:color w:val="auto"/>
              </w:rPr>
            </w:pPr>
          </w:p>
        </w:tc>
      </w:tr>
      <w:tr>
        <w:trPr>
          <w:trHeight w:val="228"/>
        </w:trPr>
        <w:tc>
          <w:tcPr>
            <w:tcW w:w="3280" w:type="dxa"/>
            <w:vAlign w:val="bottom"/>
            <w:shd w:val="clear" w:color="auto" w:fill="CCEEFF"/>
          </w:tcPr>
          <w:p>
            <w:pPr>
              <w:ind w:left="100"/>
              <w:spacing w:after="0" w:line="228" w:lineRule="exact"/>
              <w:rPr>
                <w:sz w:val="20"/>
                <w:szCs w:val="20"/>
                <w:color w:val="auto"/>
              </w:rPr>
            </w:pPr>
            <w:r>
              <w:rPr>
                <w:rFonts w:ascii="Times New Roman" w:cs="Times New Roman" w:eastAsia="Times New Roman" w:hAnsi="Times New Roman"/>
                <w:sz w:val="15"/>
                <w:szCs w:val="15"/>
                <w:color w:val="auto"/>
              </w:rPr>
              <w:t>Stock-based compensation</w:t>
            </w:r>
            <w:r>
              <w:rPr>
                <w:rFonts w:ascii="Times New Roman" w:cs="Times New Roman" w:eastAsia="Times New Roman" w:hAnsi="Times New Roman"/>
                <w:sz w:val="25"/>
                <w:szCs w:val="25"/>
                <w:color w:val="auto"/>
                <w:vertAlign w:val="superscript"/>
              </w:rPr>
              <w:t>(1)</w:t>
            </w:r>
          </w:p>
        </w:tc>
        <w:tc>
          <w:tcPr>
            <w:tcW w:w="3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5"/>
                <w:szCs w:val="15"/>
                <w:color w:val="auto"/>
              </w:rPr>
              <w:t>0.03</w:t>
            </w:r>
          </w:p>
        </w:tc>
        <w:tc>
          <w:tcPr>
            <w:tcW w:w="3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5"/>
                <w:szCs w:val="15"/>
                <w:color w:val="auto"/>
              </w:rPr>
              <w:t>0.03</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0.10</w:t>
            </w: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0.07</w:t>
            </w:r>
          </w:p>
        </w:tc>
        <w:tc>
          <w:tcPr>
            <w:tcW w:w="0" w:type="dxa"/>
            <w:vAlign w:val="bottom"/>
          </w:tcPr>
          <w:p>
            <w:pPr>
              <w:spacing w:after="0"/>
              <w:rPr>
                <w:sz w:val="1"/>
                <w:szCs w:val="1"/>
                <w:color w:val="auto"/>
              </w:rPr>
            </w:pPr>
          </w:p>
        </w:tc>
      </w:tr>
      <w:tr>
        <w:trPr>
          <w:trHeight w:val="225"/>
        </w:trPr>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Net asset value at end of period</w:t>
            </w:r>
          </w:p>
        </w:tc>
        <w:tc>
          <w:tcPr>
            <w:tcW w:w="38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6.73</w:t>
            </w:r>
          </w:p>
        </w:tc>
        <w:tc>
          <w:tcPr>
            <w:tcW w:w="4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8.41</w:t>
            </w:r>
          </w:p>
        </w:tc>
        <w:tc>
          <w:tcPr>
            <w:tcW w:w="4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6.73</w:t>
            </w:r>
          </w:p>
        </w:tc>
        <w:tc>
          <w:tcPr>
            <w:tcW w:w="4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8.41</w:t>
            </w: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280" w:type="dxa"/>
            <w:vAlign w:val="bottom"/>
            <w:shd w:val="clear" w:color="auto" w:fill="CCEEFF"/>
          </w:tcPr>
          <w:p>
            <w:pPr>
              <w:ind w:left="40"/>
              <w:spacing w:after="0" w:line="156" w:lineRule="exact"/>
              <w:rPr>
                <w:sz w:val="20"/>
                <w:szCs w:val="20"/>
                <w:color w:val="auto"/>
              </w:rPr>
            </w:pPr>
            <w:r>
              <w:rPr>
                <w:rFonts w:ascii="Times New Roman" w:cs="Times New Roman" w:eastAsia="Times New Roman" w:hAnsi="Times New Roman"/>
                <w:sz w:val="15"/>
                <w:szCs w:val="15"/>
                <w:color w:val="auto"/>
              </w:rPr>
              <w:t>Per share market value at end of period</w:t>
            </w:r>
          </w:p>
        </w:tc>
        <w:tc>
          <w:tcPr>
            <w:tcW w:w="380" w:type="dxa"/>
            <w:vAlign w:val="bottom"/>
            <w:shd w:val="clear" w:color="auto" w:fill="CCEEFF"/>
          </w:tcPr>
          <w:p>
            <w:pPr>
              <w:jc w:val="right"/>
              <w:ind w:right="2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4.04</w:t>
            </w: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3.62</w:t>
            </w:r>
          </w:p>
        </w:tc>
        <w:tc>
          <w:tcPr>
            <w:tcW w:w="4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4.04</w:t>
            </w: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3.62</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Total return based on market value</w:t>
            </w:r>
            <w:r>
              <w:rPr>
                <w:rFonts w:ascii="Times New Roman" w:cs="Times New Roman" w:eastAsia="Times New Roman" w:hAnsi="Times New Roman"/>
                <w:sz w:val="25"/>
                <w:szCs w:val="25"/>
                <w:color w:val="auto"/>
                <w:vertAlign w:val="superscript"/>
              </w:rPr>
              <w:t>(2)</w:t>
            </w:r>
          </w:p>
        </w:tc>
        <w:tc>
          <w:tcPr>
            <w:tcW w:w="38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0.75%</w:t>
            </w:r>
          </w:p>
        </w:tc>
        <w:tc>
          <w:tcPr>
            <w:tcW w:w="38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13.13%</w:t>
            </w:r>
          </w:p>
        </w:tc>
        <w:tc>
          <w:tcPr>
            <w:tcW w:w="360" w:type="dxa"/>
            <w:vAlign w:val="bottom"/>
          </w:tcPr>
          <w:p>
            <w:pPr>
              <w:spacing w:after="0"/>
              <w:rPr>
                <w:sz w:val="18"/>
                <w:szCs w:val="18"/>
                <w:color w:val="auto"/>
              </w:rPr>
            </w:pPr>
          </w:p>
        </w:tc>
        <w:tc>
          <w:tcPr>
            <w:tcW w:w="1680" w:type="dxa"/>
            <w:vAlign w:val="bottom"/>
            <w:gridSpan w:val="2"/>
          </w:tcPr>
          <w:p>
            <w:pPr>
              <w:jc w:val="right"/>
              <w:ind w:right="184"/>
              <w:spacing w:after="0"/>
              <w:rPr>
                <w:sz w:val="20"/>
                <w:szCs w:val="20"/>
                <w:color w:val="auto"/>
              </w:rPr>
            </w:pPr>
            <w:r>
              <w:rPr>
                <w:rFonts w:ascii="Times New Roman" w:cs="Times New Roman" w:eastAsia="Times New Roman" w:hAnsi="Times New Roman"/>
                <w:sz w:val="15"/>
                <w:szCs w:val="15"/>
                <w:color w:val="auto"/>
              </w:rPr>
              <w:t>2.54%</w:t>
            </w:r>
          </w:p>
        </w:tc>
        <w:tc>
          <w:tcPr>
            <w:tcW w:w="3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(4.74)%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Total return based on net asset value</w:t>
            </w:r>
            <w:r>
              <w:rPr>
                <w:rFonts w:ascii="Times New Roman" w:cs="Times New Roman" w:eastAsia="Times New Roman" w:hAnsi="Times New Roman"/>
                <w:sz w:val="25"/>
                <w:szCs w:val="25"/>
                <w:color w:val="auto"/>
                <w:vertAlign w:val="superscript"/>
              </w:rPr>
              <w:t>(2)</w:t>
            </w: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(3.03)%</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14.42%</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(15.77)%</w:t>
            </w: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13.80%</w:t>
            </w:r>
          </w:p>
        </w:tc>
        <w:tc>
          <w:tcPr>
            <w:tcW w:w="0" w:type="dxa"/>
            <w:vAlign w:val="bottom"/>
          </w:tcPr>
          <w:p>
            <w:pPr>
              <w:spacing w:after="0"/>
              <w:rPr>
                <w:sz w:val="1"/>
                <w:szCs w:val="1"/>
                <w:color w:val="auto"/>
              </w:rPr>
            </w:pPr>
          </w:p>
        </w:tc>
      </w:tr>
      <w:tr>
        <w:trPr>
          <w:trHeight w:val="182"/>
        </w:trPr>
        <w:tc>
          <w:tcPr>
            <w:tcW w:w="3280" w:type="dxa"/>
            <w:vAlign w:val="bottom"/>
          </w:tcPr>
          <w:p>
            <w:pPr>
              <w:spacing w:after="0"/>
              <w:rPr>
                <w:sz w:val="20"/>
                <w:szCs w:val="20"/>
                <w:color w:val="auto"/>
              </w:rPr>
            </w:pPr>
            <w:r>
              <w:rPr>
                <w:rFonts w:ascii="Times New Roman" w:cs="Times New Roman" w:eastAsia="Times New Roman" w:hAnsi="Times New Roman"/>
                <w:sz w:val="15"/>
                <w:szCs w:val="15"/>
                <w:color w:val="auto"/>
              </w:rPr>
              <w:t>Shares outstanding at end of period</w:t>
            </w:r>
          </w:p>
        </w:tc>
        <w:tc>
          <w:tcPr>
            <w:tcW w:w="380" w:type="dxa"/>
            <w:vAlign w:val="bottom"/>
          </w:tcPr>
          <w:p>
            <w:pPr>
              <w:spacing w:after="0"/>
              <w:rPr>
                <w:sz w:val="15"/>
                <w:szCs w:val="15"/>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color w:val="auto"/>
              </w:rPr>
              <w:t>23,378,002</w:t>
            </w:r>
          </w:p>
        </w:tc>
        <w:tc>
          <w:tcPr>
            <w:tcW w:w="380" w:type="dxa"/>
            <w:vAlign w:val="bottom"/>
          </w:tcPr>
          <w:p>
            <w:pPr>
              <w:spacing w:after="0"/>
              <w:rPr>
                <w:sz w:val="15"/>
                <w:szCs w:val="15"/>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color w:val="auto"/>
              </w:rPr>
              <w:t>25,209,108</w:t>
            </w:r>
          </w:p>
        </w:tc>
        <w:tc>
          <w:tcPr>
            <w:tcW w:w="3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23,378,002</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25,209,108</w:t>
            </w:r>
          </w:p>
        </w:tc>
        <w:tc>
          <w:tcPr>
            <w:tcW w:w="0" w:type="dxa"/>
            <w:vAlign w:val="bottom"/>
          </w:tcPr>
          <w:p>
            <w:pPr>
              <w:spacing w:after="0"/>
              <w:rPr>
                <w:sz w:val="1"/>
                <w:szCs w:val="1"/>
                <w:color w:val="auto"/>
              </w:rPr>
            </w:pPr>
          </w:p>
        </w:tc>
      </w:tr>
      <w:tr>
        <w:trPr>
          <w:trHeight w:val="18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Ratios/Supplemental Data:</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80" w:type="dxa"/>
            <w:vAlign w:val="bottom"/>
          </w:tcPr>
          <w:p>
            <w:pPr>
              <w:spacing w:after="0"/>
              <w:rPr>
                <w:sz w:val="20"/>
                <w:szCs w:val="20"/>
                <w:color w:val="auto"/>
              </w:rPr>
            </w:pPr>
            <w:r>
              <w:rPr>
                <w:rFonts w:ascii="Times New Roman" w:cs="Times New Roman" w:eastAsia="Times New Roman" w:hAnsi="Times New Roman"/>
                <w:sz w:val="15"/>
                <w:szCs w:val="15"/>
                <w:color w:val="auto"/>
              </w:rPr>
              <w:t>Net assets at end of period</w:t>
            </w:r>
          </w:p>
        </w:tc>
        <w:tc>
          <w:tcPr>
            <w:tcW w:w="38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157,437,207</w:t>
            </w:r>
          </w:p>
        </w:tc>
        <w:tc>
          <w:tcPr>
            <w:tcW w:w="400" w:type="dxa"/>
            <w:vAlign w:val="bottom"/>
          </w:tcPr>
          <w:p>
            <w:pPr>
              <w:spacing w:after="0"/>
              <w:rPr>
                <w:sz w:val="15"/>
                <w:szCs w:val="15"/>
                <w:color w:val="auto"/>
              </w:rPr>
            </w:pPr>
          </w:p>
        </w:tc>
        <w:tc>
          <w:tcPr>
            <w:tcW w:w="38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color w:val="auto"/>
              </w:rPr>
              <w:t>211,971,043</w:t>
            </w: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157,437,207</w:t>
            </w:r>
          </w:p>
        </w:tc>
        <w:tc>
          <w:tcPr>
            <w:tcW w:w="400" w:type="dxa"/>
            <w:vAlign w:val="bottom"/>
          </w:tcPr>
          <w:p>
            <w:pPr>
              <w:spacing w:after="0"/>
              <w:rPr>
                <w:sz w:val="15"/>
                <w:szCs w:val="15"/>
                <w:color w:val="auto"/>
              </w:rPr>
            </w:pPr>
          </w:p>
        </w:tc>
        <w:tc>
          <w:tcPr>
            <w:tcW w:w="38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211,971,043</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Average net assets</w:t>
            </w: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161,407,400</w:t>
            </w:r>
          </w:p>
        </w:tc>
        <w:tc>
          <w:tcPr>
            <w:tcW w:w="4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204,284,971</w:t>
            </w:r>
          </w:p>
        </w:tc>
        <w:tc>
          <w:tcPr>
            <w:tcW w:w="4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179,655,590</w:t>
            </w:r>
          </w:p>
        </w:tc>
        <w:tc>
          <w:tcPr>
            <w:tcW w:w="4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206,224,853</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Ratio of net operating expenses to average net</w:t>
            </w: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280" w:type="dxa"/>
            <w:vAlign w:val="bottom"/>
          </w:tcPr>
          <w:p>
            <w:pPr>
              <w:ind w:left="120"/>
              <w:spacing w:after="0" w:line="184" w:lineRule="exact"/>
              <w:rPr>
                <w:sz w:val="20"/>
                <w:szCs w:val="20"/>
                <w:color w:val="auto"/>
              </w:rPr>
            </w:pPr>
            <w:r>
              <w:rPr>
                <w:rFonts w:ascii="Times New Roman" w:cs="Times New Roman" w:eastAsia="Times New Roman" w:hAnsi="Times New Roman"/>
                <w:sz w:val="13"/>
                <w:szCs w:val="13"/>
                <w:color w:val="auto"/>
              </w:rPr>
              <w:t>assets</w:t>
            </w:r>
            <w:r>
              <w:rPr>
                <w:rFonts w:ascii="Times New Roman" w:cs="Times New Roman" w:eastAsia="Times New Roman" w:hAnsi="Times New Roman"/>
                <w:sz w:val="21"/>
                <w:szCs w:val="21"/>
                <w:color w:val="auto"/>
                <w:vertAlign w:val="superscript"/>
              </w:rPr>
              <w:t>(3)</w:t>
            </w:r>
          </w:p>
        </w:tc>
        <w:tc>
          <w:tcPr>
            <w:tcW w:w="380" w:type="dxa"/>
            <w:vAlign w:val="bottom"/>
          </w:tcPr>
          <w:p>
            <w:pPr>
              <w:spacing w:after="0"/>
              <w:rPr>
                <w:sz w:val="15"/>
                <w:szCs w:val="15"/>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5"/>
                <w:szCs w:val="15"/>
                <w:color w:val="auto"/>
              </w:rPr>
            </w:pP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10.06</w:t>
            </w:r>
          </w:p>
        </w:tc>
        <w:tc>
          <w:tcPr>
            <w:tcW w:w="40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w w:val="95"/>
              </w:rPr>
              <w:t>%</w:t>
            </w:r>
          </w:p>
        </w:tc>
        <w:tc>
          <w:tcPr>
            <w:tcW w:w="380" w:type="dxa"/>
            <w:vAlign w:val="bottom"/>
          </w:tcPr>
          <w:p>
            <w:pPr>
              <w:spacing w:after="0"/>
              <w:rPr>
                <w:sz w:val="15"/>
                <w:szCs w:val="15"/>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08"/>
        </w:trPr>
        <w:tc>
          <w:tcPr>
            <w:tcW w:w="3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60" w:type="dxa"/>
            <w:vAlign w:val="bottom"/>
            <w:gridSpan w:val="2"/>
          </w:tcPr>
          <w:p>
            <w:pPr>
              <w:jc w:val="right"/>
              <w:ind w:right="400"/>
              <w:spacing w:after="0" w:line="69" w:lineRule="exact"/>
              <w:rPr>
                <w:sz w:val="20"/>
                <w:szCs w:val="20"/>
                <w:color w:val="auto"/>
              </w:rPr>
            </w:pPr>
            <w:r>
              <w:rPr>
                <w:rFonts w:ascii="Times New Roman" w:cs="Times New Roman" w:eastAsia="Times New Roman" w:hAnsi="Times New Roman"/>
                <w:sz w:val="7"/>
                <w:szCs w:val="7"/>
                <w:color w:val="auto"/>
              </w:rPr>
              <w:t>10.10</w:t>
            </w:r>
          </w:p>
        </w:tc>
        <w:tc>
          <w:tcPr>
            <w:tcW w:w="380" w:type="dxa"/>
            <w:vAlign w:val="bottom"/>
          </w:tcPr>
          <w:p>
            <w:pPr>
              <w:spacing w:after="0"/>
              <w:rPr>
                <w:sz w:val="9"/>
                <w:szCs w:val="9"/>
                <w:color w:val="auto"/>
              </w:rPr>
            </w:pPr>
          </w:p>
        </w:tc>
        <w:tc>
          <w:tcPr>
            <w:tcW w:w="1680" w:type="dxa"/>
            <w:vAlign w:val="bottom"/>
            <w:gridSpan w:val="2"/>
          </w:tcPr>
          <w:p>
            <w:pPr>
              <w:jc w:val="right"/>
              <w:ind w:right="400"/>
              <w:spacing w:after="0" w:line="69" w:lineRule="exact"/>
              <w:rPr>
                <w:sz w:val="20"/>
                <w:szCs w:val="20"/>
                <w:color w:val="auto"/>
              </w:rPr>
            </w:pPr>
            <w:r>
              <w:rPr>
                <w:rFonts w:ascii="Times New Roman" w:cs="Times New Roman" w:eastAsia="Times New Roman" w:hAnsi="Times New Roman"/>
                <w:sz w:val="7"/>
                <w:szCs w:val="7"/>
                <w:color w:val="auto"/>
              </w:rPr>
              <w:t>8.03</w:t>
            </w:r>
          </w:p>
        </w:tc>
        <w:tc>
          <w:tcPr>
            <w:tcW w:w="36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60" w:type="dxa"/>
            <w:vAlign w:val="bottom"/>
            <w:gridSpan w:val="2"/>
          </w:tcPr>
          <w:p>
            <w:pPr>
              <w:jc w:val="right"/>
              <w:ind w:right="180"/>
              <w:spacing w:after="0" w:line="69" w:lineRule="exact"/>
              <w:rPr>
                <w:sz w:val="20"/>
                <w:szCs w:val="20"/>
                <w:color w:val="auto"/>
              </w:rPr>
            </w:pPr>
            <w:r>
              <w:rPr>
                <w:rFonts w:ascii="Times New Roman" w:cs="Times New Roman" w:eastAsia="Times New Roman" w:hAnsi="Times New Roman"/>
                <w:sz w:val="7"/>
                <w:szCs w:val="7"/>
                <w:color w:val="auto"/>
              </w:rPr>
              <w:t>9.62</w:t>
            </w:r>
          </w:p>
        </w:tc>
        <w:tc>
          <w:tcPr>
            <w:tcW w:w="0" w:type="dxa"/>
            <w:vAlign w:val="bottom"/>
          </w:tcPr>
          <w:p>
            <w:pPr>
              <w:spacing w:after="0"/>
              <w:rPr>
                <w:sz w:val="1"/>
                <w:szCs w:val="1"/>
                <w:color w:val="auto"/>
              </w:rPr>
            </w:pPr>
          </w:p>
        </w:tc>
      </w:tr>
      <w:tr>
        <w:trPr>
          <w:trHeight w:val="121"/>
        </w:trPr>
        <w:tc>
          <w:tcPr>
            <w:tcW w:w="3280" w:type="dxa"/>
            <w:vAlign w:val="bottom"/>
            <w:tcBorders>
              <w:top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4"/>
                <w:szCs w:val="14"/>
                <w:color w:val="auto"/>
              </w:rPr>
              <w:t>Ratio of net investment loss to average net</w:t>
            </w:r>
          </w:p>
        </w:tc>
        <w:tc>
          <w:tcPr>
            <w:tcW w:w="380" w:type="dxa"/>
            <w:vAlign w:val="bottom"/>
            <w:tcBorders>
              <w:top w:val="single" w:sz="8" w:color="auto"/>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2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2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2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15"/>
                <w:szCs w:val="15"/>
                <w:color w:val="auto"/>
              </w:rPr>
              <w:t>assets</w:t>
            </w:r>
            <w:r>
              <w:rPr>
                <w:rFonts w:ascii="Times New Roman" w:cs="Times New Roman" w:eastAsia="Times New Roman" w:hAnsi="Times New Roman"/>
                <w:sz w:val="25"/>
                <w:szCs w:val="25"/>
                <w:color w:val="auto"/>
                <w:vertAlign w:val="superscript"/>
              </w:rPr>
              <w:t>(3)</w:t>
            </w:r>
          </w:p>
        </w:tc>
        <w:tc>
          <w:tcPr>
            <w:tcW w:w="3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(7.91)%</w:t>
            </w:r>
          </w:p>
        </w:tc>
        <w:tc>
          <w:tcPr>
            <w:tcW w:w="3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(5.18)%</w:t>
            </w:r>
          </w:p>
        </w:tc>
        <w:tc>
          <w:tcPr>
            <w:tcW w:w="3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(7.50)%</w:t>
            </w:r>
          </w:p>
        </w:tc>
        <w:tc>
          <w:tcPr>
            <w:tcW w:w="3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(6.93)%</w:t>
            </w:r>
          </w:p>
        </w:tc>
        <w:tc>
          <w:tcPr>
            <w:tcW w:w="0" w:type="dxa"/>
            <w:vAlign w:val="bottom"/>
          </w:tcPr>
          <w:p>
            <w:pPr>
              <w:spacing w:after="0"/>
              <w:rPr>
                <w:sz w:val="1"/>
                <w:szCs w:val="1"/>
                <w:color w:val="auto"/>
              </w:rPr>
            </w:pPr>
          </w:p>
        </w:tc>
      </w:tr>
      <w:tr>
        <w:trPr>
          <w:trHeight w:val="197"/>
        </w:trPr>
        <w:tc>
          <w:tcPr>
            <w:tcW w:w="3280" w:type="dxa"/>
            <w:vAlign w:val="bottom"/>
          </w:tcPr>
          <w:p>
            <w:pPr>
              <w:spacing w:after="0"/>
              <w:rPr>
                <w:sz w:val="20"/>
                <w:szCs w:val="20"/>
                <w:color w:val="auto"/>
              </w:rPr>
            </w:pPr>
            <w:r>
              <w:rPr>
                <w:rFonts w:ascii="Times New Roman" w:cs="Times New Roman" w:eastAsia="Times New Roman" w:hAnsi="Times New Roman"/>
                <w:sz w:val="15"/>
                <w:szCs w:val="15"/>
                <w:color w:val="auto"/>
              </w:rPr>
              <w:t>Portfolio Turnover Ratio</w:t>
            </w:r>
          </w:p>
        </w:tc>
        <w:tc>
          <w:tcPr>
            <w:tcW w:w="38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2.30%</w:t>
            </w:r>
          </w:p>
        </w:tc>
        <w:tc>
          <w:tcPr>
            <w:tcW w:w="380" w:type="dxa"/>
            <w:vAlign w:val="bottom"/>
          </w:tcPr>
          <w:p>
            <w:pPr>
              <w:spacing w:after="0"/>
              <w:rPr>
                <w:sz w:val="17"/>
                <w:szCs w:val="17"/>
                <w:color w:val="auto"/>
              </w:rPr>
            </w:pP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1.17%</w:t>
            </w:r>
          </w:p>
        </w:tc>
        <w:tc>
          <w:tcPr>
            <w:tcW w:w="360" w:type="dxa"/>
            <w:vAlign w:val="bottom"/>
          </w:tcPr>
          <w:p>
            <w:pPr>
              <w:spacing w:after="0"/>
              <w:rPr>
                <w:sz w:val="17"/>
                <w:szCs w:val="17"/>
                <w:color w:val="auto"/>
              </w:rPr>
            </w:pPr>
          </w:p>
        </w:tc>
        <w:tc>
          <w:tcPr>
            <w:tcW w:w="1680" w:type="dxa"/>
            <w:vAlign w:val="bottom"/>
            <w:gridSpan w:val="2"/>
          </w:tcPr>
          <w:p>
            <w:pPr>
              <w:jc w:val="right"/>
              <w:ind w:right="184"/>
              <w:spacing w:after="0"/>
              <w:rPr>
                <w:sz w:val="20"/>
                <w:szCs w:val="20"/>
                <w:color w:val="auto"/>
              </w:rPr>
            </w:pPr>
            <w:r>
              <w:rPr>
                <w:rFonts w:ascii="Times New Roman" w:cs="Times New Roman" w:eastAsia="Times New Roman" w:hAnsi="Times New Roman"/>
                <w:sz w:val="15"/>
                <w:szCs w:val="15"/>
                <w:color w:val="auto"/>
              </w:rPr>
              <w:t>8.06%</w:t>
            </w:r>
          </w:p>
        </w:tc>
        <w:tc>
          <w:tcPr>
            <w:tcW w:w="38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178689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86890" cy="6985"/>
                    </a:xfrm>
                    <a:prstGeom prst="rect">
                      <a:avLst/>
                    </a:prstGeom>
                    <a:noFill/>
                  </pic:spPr>
                </pic:pic>
              </a:graphicData>
            </a:graphic>
          </wp:anchor>
        </w:drawing>
      </w:r>
    </w:p>
    <w:p>
      <w:pPr>
        <w:spacing w:after="0" w:line="155" w:lineRule="exact"/>
        <w:rPr>
          <w:sz w:val="20"/>
          <w:szCs w:val="20"/>
          <w:color w:val="auto"/>
        </w:rPr>
      </w:pPr>
    </w:p>
    <w:p>
      <w:pPr>
        <w:ind w:left="269" w:hanging="269"/>
        <w:spacing w:after="0"/>
        <w:tabs>
          <w:tab w:leader="none" w:pos="269"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weighted-average number of shares outstanding for the relevant period.</w:t>
      </w:r>
    </w:p>
    <w:p>
      <w:pPr>
        <w:spacing w:after="0" w:line="24" w:lineRule="exact"/>
        <w:rPr>
          <w:rFonts w:ascii="Times New Roman" w:cs="Times New Roman" w:eastAsia="Times New Roman" w:hAnsi="Times New Roman"/>
          <w:sz w:val="15"/>
          <w:szCs w:val="15"/>
          <w:color w:val="auto"/>
        </w:rPr>
      </w:pPr>
    </w:p>
    <w:p>
      <w:pPr>
        <w:jc w:val="both"/>
        <w:ind w:left="269" w:hanging="269"/>
        <w:spacing w:after="0" w:line="253" w:lineRule="auto"/>
        <w:tabs>
          <w:tab w:leader="none" w:pos="269"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return based on market value is based upon the change in market price per share between the opening and ending market values per share in the period, adjusted for dividends and equity issuances. Total return based on net asset value is based upon the change in net asset value per share between the opening and ending net asset values per share in the period, adjusted for dividends and equity issuances.</w:t>
      </w:r>
    </w:p>
    <w:p>
      <w:pPr>
        <w:spacing w:after="0" w:line="1" w:lineRule="exact"/>
        <w:rPr>
          <w:rFonts w:ascii="Times New Roman" w:cs="Times New Roman" w:eastAsia="Times New Roman" w:hAnsi="Times New Roman"/>
          <w:sz w:val="15"/>
          <w:szCs w:val="15"/>
          <w:color w:val="auto"/>
        </w:rPr>
      </w:pPr>
    </w:p>
    <w:p>
      <w:pPr>
        <w:ind w:left="269" w:hanging="269"/>
        <w:spacing w:after="0" w:line="267" w:lineRule="auto"/>
        <w:tabs>
          <w:tab w:leader="none" w:pos="269"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highlights for periods of less than one year are annualized and the ratios of operating expenses to average net assets and net investment loss to average net assets are adjusted accordingly. Because the ratios are calculated for the Company’s common stock taken as a whole, an individual investor’s ratios may vary from these ratios.</w:t>
      </w:r>
    </w:p>
    <w:p>
      <w:pPr>
        <w:spacing w:after="0" w:line="14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NOTE 9—INCOME TAXES</w:t>
      </w:r>
    </w:p>
    <w:p>
      <w:pPr>
        <w:spacing w:after="0" w:line="196" w:lineRule="exact"/>
        <w:rPr>
          <w:sz w:val="20"/>
          <w:szCs w:val="20"/>
          <w:color w:val="auto"/>
        </w:rPr>
      </w:pPr>
    </w:p>
    <w:p>
      <w:pPr>
        <w:jc w:val="both"/>
        <w:ind w:left="9" w:firstLine="273"/>
        <w:spacing w:after="0" w:line="260" w:lineRule="auto"/>
        <w:rPr>
          <w:sz w:val="20"/>
          <w:szCs w:val="20"/>
          <w:color w:val="auto"/>
        </w:rPr>
      </w:pPr>
      <w:r>
        <w:rPr>
          <w:rFonts w:ascii="Times New Roman" w:cs="Times New Roman" w:eastAsia="Times New Roman" w:hAnsi="Times New Roman"/>
          <w:sz w:val="15"/>
          <w:szCs w:val="15"/>
          <w:color w:val="auto"/>
        </w:rPr>
        <w:t>The Company elected to be treated as a RIC under Subchapter M of the Code beginning with its taxable year ended December 31, 2014 and has qualified to be treated as a RIC for subsequent taxable years. The Company intends to continue to operate so as to qualify to be subject to tax treatment as a RIC under Subchapter M of the Code and, as such, will not be subject to U.S. federal income tax on the portion of taxable income (including gains) distributed as dividends for U.S. federal income tax purposes to stockholders. Taxable income includes the Company’s taxable interest, dividend and fee income, reduced by certain deductions, as well as taxable net realized investment gains.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155" w:lineRule="exact"/>
        <w:rPr>
          <w:sz w:val="20"/>
          <w:szCs w:val="20"/>
          <w:color w:val="auto"/>
        </w:rPr>
      </w:pPr>
    </w:p>
    <w:p>
      <w:pPr>
        <w:jc w:val="both"/>
        <w:ind w:left="9" w:firstLine="273"/>
        <w:spacing w:after="0" w:line="262" w:lineRule="auto"/>
        <w:rPr>
          <w:sz w:val="20"/>
          <w:szCs w:val="20"/>
          <w:color w:val="auto"/>
        </w:rPr>
      </w:pPr>
      <w:r>
        <w:rPr>
          <w:rFonts w:ascii="Times New Roman" w:cs="Times New Roman" w:eastAsia="Times New Roman" w:hAnsi="Times New Roman"/>
          <w:sz w:val="15"/>
          <w:szCs w:val="15"/>
          <w:color w:val="auto"/>
        </w:rPr>
        <w:t>To qualify and be subject to tax as a RIC, the Company is required to meet certain income and asset diversification tests in addition to distributing dividends of an amount generally at least equal to 90% of its investment company taxable income, as defined by the Code and determined without regard to any deduction for distributions paid, to its stockholders. The amount to be paid out as a distribution is determined by the Board of Directors each quarter and is based upon the annual earnings estimated by the management of the Company. To the extent that the Company’s earnings fall below the amount of dividend distributions declared, however, a portion of the total amount of the Company’s distributions for the fiscal year may be deemed a return of capital for tax purposes to the Company’s stockholders.</w:t>
      </w:r>
    </w:p>
    <w:p>
      <w:pPr>
        <w:spacing w:after="0" w:line="15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5391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216"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September 30, 2024</w:t>
      </w:r>
    </w:p>
    <w:p>
      <w:pPr>
        <w:spacing w:after="0" w:line="177"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As a RIC, the Company will be subject to a 4% nondeductible U.S. federal excise tax on certain undistributed income unless the Company makes distributions treated as dividends for U.S. federal income tax purposes in a timely manner to its stockholders in respect of each calendar year of an amount at least equal to the sum of (1) 98% of its ordinary income (taking into account certain deferrals and elections) for each calendar year, (2) 98.2% of its capital gain net income (adjusted for certain ordinary losses) for the 1-year period ending October 31 of each such calendar year and (3) any ordinary income and net capital gains for preceding years, but not distributed during such years and on which the Company paid no U.S. federal income tax. The Company will not be subject to this excise tax on any amount on which the Company incurred U.S. federal corporate income tax (such as the tax imposed on a RIC’s retained net capital gains).</w:t>
      </w:r>
    </w:p>
    <w:p>
      <w:pPr>
        <w:spacing w:after="0" w:line="155"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Depending on the level of taxable income earned in a taxable year, the Company may choose to carry over taxable income in excess of current taxable year distributions from such taxable income into the next taxable year and incur a 4% excise tax on such taxable income, as required. The maximum amount of excess taxable income that may be carried over for distribution in the next taxable year under the Code is the total amount of distributions paid in the following taxable year, subject to certain declaration and payment guidelines. To the extent the Company chooses to carry over taxable income into the next taxable year, distributions declared and paid by the Company in a taxable year may differ from the Company’s taxable income for that taxable year as such distributions may include the distribution of current taxable year taxable income, the distribution of prior taxable year taxable income carried over into and distributed in the current taxable year, or returns of capital.</w:t>
      </w:r>
    </w:p>
    <w:p>
      <w:pPr>
        <w:spacing w:after="0" w:line="155" w:lineRule="exact"/>
        <w:rPr>
          <w:sz w:val="20"/>
          <w:szCs w:val="20"/>
          <w:color w:val="auto"/>
        </w:rPr>
      </w:pPr>
    </w:p>
    <w:p>
      <w:pPr>
        <w:jc w:val="both"/>
        <w:ind w:firstLine="273"/>
        <w:spacing w:after="0" w:line="262" w:lineRule="auto"/>
        <w:rPr>
          <w:sz w:val="20"/>
          <w:szCs w:val="20"/>
          <w:color w:val="auto"/>
        </w:rPr>
      </w:pPr>
      <w:r>
        <w:rPr>
          <w:rFonts w:ascii="Times New Roman" w:cs="Times New Roman" w:eastAsia="Times New Roman" w:hAnsi="Times New Roman"/>
          <w:sz w:val="15"/>
          <w:szCs w:val="15"/>
          <w:color w:val="auto"/>
        </w:rPr>
        <w:t>The Company has taxable subsidiaries which hold certain portfolio investments in an effort to limit potential legal liability and/or comply with source-income type requirements contained in the RIC tax provisions of the Code. These taxable subsidiaries are consolidated for GAAP and the portfolio investments held by the taxable subsidiaries are included in the Company’s condensed consolidated financial statements and are recorded at fair value. These taxable subsidiaries are not consolidated with the Company for income tax purposes and may generate income tax expense, or benefit, and tax assets and liabilities as a result of their ownership of certain portfolio investments. Any income generated by these taxable subsidiaries generally would be subject to tax at normal corporate tax rates based on its taxable income.</w:t>
      </w:r>
    </w:p>
    <w:p>
      <w:pPr>
        <w:spacing w:after="0" w:line="152"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The Company intends to timely distribute to its stockholders substantially all of its annual taxable income for each year, except that it may retain certain net capital gains for reinvestment and, depending upon the level of taxable income earned in a year, may choose to carry forward taxable income for distribution in the following year and pay any applicable U.S. federal excise tax.</w:t>
      </w:r>
    </w:p>
    <w:p>
      <w:pPr>
        <w:spacing w:after="0" w:line="1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The Company is required to include net deferred tax provision/benefit in calculating its total expenses even though these net deferred taxes are not currently payable/receivable.</w:t>
      </w:r>
    </w:p>
    <w:p>
      <w:pPr>
        <w:spacing w:after="0" w:line="192" w:lineRule="exact"/>
        <w:rPr>
          <w:sz w:val="20"/>
          <w:szCs w:val="20"/>
          <w:color w:val="auto"/>
        </w:rPr>
      </w:pPr>
    </w:p>
    <w:p>
      <w:pPr>
        <w:jc w:val="both"/>
        <w:ind w:firstLine="307"/>
        <w:spacing w:after="0" w:line="270" w:lineRule="auto"/>
        <w:rPr>
          <w:sz w:val="20"/>
          <w:szCs w:val="20"/>
          <w:color w:val="auto"/>
        </w:rPr>
      </w:pPr>
      <w:r>
        <w:rPr>
          <w:rFonts w:ascii="Times New Roman" w:cs="Times New Roman" w:eastAsia="Times New Roman" w:hAnsi="Times New Roman"/>
          <w:sz w:val="15"/>
          <w:szCs w:val="15"/>
          <w:color w:val="auto"/>
        </w:rPr>
        <w:t>For U.S. federal and state income tax purposes, a portion of the Taxable Subsidiaries’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147" w:lineRule="exact"/>
        <w:rPr>
          <w:sz w:val="20"/>
          <w:szCs w:val="20"/>
          <w:color w:val="auto"/>
        </w:rPr>
      </w:pPr>
    </w:p>
    <w:p>
      <w:pPr>
        <w:jc w:val="both"/>
        <w:ind w:firstLine="307"/>
        <w:spacing w:after="0" w:line="270" w:lineRule="auto"/>
        <w:rPr>
          <w:sz w:val="20"/>
          <w:szCs w:val="20"/>
          <w:color w:val="auto"/>
        </w:rPr>
      </w:pPr>
      <w:r>
        <w:rPr>
          <w:rFonts w:ascii="Times New Roman" w:cs="Times New Roman" w:eastAsia="Times New Roman" w:hAnsi="Times New Roman"/>
          <w:sz w:val="15"/>
          <w:szCs w:val="15"/>
          <w:color w:val="auto"/>
        </w:rPr>
        <w:t>The Company and the Taxable Subsidiaries identified their major tax jurisdictions as U.S. federal, New York, and California and may be subject to the taxing authorities’ examination for the tax years 2020–2023 in New York and 2019–2023 in California, respectively. Further, the Company and the Taxable Subsidiaries accrue all interest and penalties related to uncertain tax positions as incurred. As of September 30, 2024, there were no material interest or penalties incurred related to uncertain tax positions.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216"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September 30,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10—DEBT CAPITAL ACTIVITIES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6.00% Notes due 2026</w:t>
      </w:r>
    </w:p>
    <w:p>
      <w:pPr>
        <w:spacing w:after="0" w:line="196" w:lineRule="exact"/>
        <w:rPr>
          <w:sz w:val="20"/>
          <w:szCs w:val="20"/>
          <w:color w:val="auto"/>
        </w:rPr>
      </w:pPr>
    </w:p>
    <w:p>
      <w:pPr>
        <w:jc w:val="both"/>
        <w:ind w:firstLine="273"/>
        <w:spacing w:after="0" w:line="258" w:lineRule="auto"/>
        <w:rPr>
          <w:sz w:val="20"/>
          <w:szCs w:val="20"/>
          <w:color w:val="auto"/>
        </w:rPr>
      </w:pPr>
      <w:r>
        <w:rPr>
          <w:rFonts w:ascii="Times New Roman" w:cs="Times New Roman" w:eastAsia="Times New Roman" w:hAnsi="Times New Roman"/>
          <w:sz w:val="15"/>
          <w:szCs w:val="15"/>
          <w:color w:val="auto"/>
        </w:rPr>
        <w:t>On December 17, 2021, the Company issued $70.0 million aggregate principal amount of its 6.00% Notes due 2026 pursuant to an Indenture, dated as of March 28, 2018 (the “Base Indenture”), between the Company and U.S. Bank Trust Company, National Association (as successor in interest to U.S. Bank National Association), as trustee (the “Trustee”), as supplemented by a second supplemental indenture, dated as of December 17, 2021 (together with the Base Indenture, the “Indenture”), between the Company and the Trustee. On December 21, 2021, the Company issued an additional $5.0 million aggregate principal amount of 6.00% Notes due 2026 pursuant to an overallotment option. The 6.00% Notes due 2026 bear interest at a fixed rate of 6.00% per year, payable quarterly in arrears on March 30, June 30, September 30, and December 30 of each year, commencing on March 30, 2022. The 6.00% Notes due 2026 have a maturity date of December 30, 2026, unless previously repurchased or redeemed in accordance with their terms. The Company has the right to redeem the 6.00% Notes due 2026, in whole or in part, at any time or from time to time, on or after December 30, 2024 at a redemption price of 100% of the outstanding principal amount of the 6.00% Notes due 2026 plus accrued and unpaid interest.</w:t>
      </w:r>
    </w:p>
    <w:p>
      <w:pPr>
        <w:spacing w:after="0" w:line="153"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 xml:space="preserve">The 6.00% Notes due 2026 are direct unsecured obligations of the Company and rank </w:t>
      </w:r>
      <w:r>
        <w:rPr>
          <w:rFonts w:ascii="Times New Roman" w:cs="Times New Roman" w:eastAsia="Times New Roman" w:hAnsi="Times New Roman"/>
          <w:sz w:val="15"/>
          <w:szCs w:val="15"/>
          <w:i w:val="1"/>
          <w:iCs w:val="1"/>
          <w:color w:val="auto"/>
        </w:rPr>
        <w:t>pari passu</w:t>
      </w:r>
      <w:r>
        <w:rPr>
          <w:rFonts w:ascii="Times New Roman" w:cs="Times New Roman" w:eastAsia="Times New Roman" w:hAnsi="Times New Roman"/>
          <w:sz w:val="15"/>
          <w:szCs w:val="15"/>
          <w:color w:val="auto"/>
        </w:rPr>
        <w:t>, or equal in right of payment, with all outstanding and future unsecured, unsubordinated indebtedness of the Company; senior to any of the Company’s future indebtedness that expressly provides it is subordinated to the 6.00% Notes due 2026; effectively subordinated to any of the Company’s future secured indebtedness (including indebtedness that is initially unsecured in respect of which the Company subsequently grants a security interest), to the extent of the value of the assets securing such indebtedness (provided, however, that the Company has agreed under the Indenture to not incur any secured or unsecured indebtedness that would be senior to the 6.00% Notes due 2026 while the 6.00% Notes due 2026 are outstanding, subject to certain exceptions); and structurally subordinated to all existing and future indebtedness and other obligations of any of the Company’s subsidiaries.</w:t>
      </w:r>
    </w:p>
    <w:p>
      <w:pPr>
        <w:spacing w:after="0" w:line="154" w:lineRule="exact"/>
        <w:rPr>
          <w:sz w:val="20"/>
          <w:szCs w:val="20"/>
          <w:color w:val="auto"/>
        </w:rPr>
      </w:pPr>
    </w:p>
    <w:p>
      <w:pPr>
        <w:jc w:val="both"/>
        <w:ind w:firstLine="273"/>
        <w:spacing w:after="0" w:line="258" w:lineRule="auto"/>
        <w:rPr>
          <w:sz w:val="20"/>
          <w:szCs w:val="20"/>
          <w:color w:val="auto"/>
        </w:rPr>
      </w:pPr>
      <w:r>
        <w:rPr>
          <w:rFonts w:ascii="Times New Roman" w:cs="Times New Roman" w:eastAsia="Times New Roman" w:hAnsi="Times New Roman"/>
          <w:sz w:val="15"/>
          <w:szCs w:val="15"/>
          <w:color w:val="auto"/>
        </w:rPr>
        <w:t>The Company records certain fees and expenses incurred in connection with its 6.00% Notes due 2026 as deferred debt issuance costs. Such costs are reflected in the carrying value of the 6.00% Notes due 2026. As of September 30, 2024 and December 31, 2023, the Company had deferred debt issuance costs of $587,682 and $1,254,793, respectively, associated with the 6.00% Notes due 2026. The table below shows a reconciliation from the aggregate principal amount of 6.00% Notes due 2026 to the balance shown on the Condensed Consolidated Statements of Assets and Liabilities.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2"/>
          </w:tcPr>
          <w:p>
            <w:pPr>
              <w:jc w:val="right"/>
              <w:ind w:right="680"/>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200" w:type="dxa"/>
            <w:vAlign w:val="bottom"/>
          </w:tcPr>
          <w:p>
            <w:pPr>
              <w:spacing w:after="0"/>
              <w:rPr>
                <w:sz w:val="16"/>
                <w:szCs w:val="16"/>
                <w:color w:val="auto"/>
              </w:rPr>
            </w:pPr>
          </w:p>
        </w:tc>
        <w:tc>
          <w:tcPr>
            <w:tcW w:w="18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174"/>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Aggregate principal amount of 6.00% Notes due 2026</w:t>
            </w: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49,746,600</w:t>
            </w: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75,000,000</w:t>
            </w:r>
          </w:p>
        </w:tc>
        <w:tc>
          <w:tcPr>
            <w:tcW w:w="100" w:type="dxa"/>
            <w:vAlign w:val="bottom"/>
            <w:tcBorders>
              <w:top w:val="single" w:sz="8" w:color="CCEEFF"/>
            </w:tcBorders>
            <w:shd w:val="clear" w:color="auto" w:fill="CCEEFF"/>
          </w:tcPr>
          <w:p>
            <w:pPr>
              <w:spacing w:after="0"/>
              <w:rPr>
                <w:sz w:val="15"/>
                <w:szCs w:val="15"/>
                <w:color w:val="auto"/>
              </w:rPr>
            </w:pPr>
          </w:p>
        </w:tc>
      </w:tr>
      <w:tr>
        <w:trPr>
          <w:trHeight w:val="194"/>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Direct deduction of deferred debt issuance costs</w:t>
            </w:r>
          </w:p>
        </w:tc>
        <w:tc>
          <w:tcPr>
            <w:tcW w:w="200" w:type="dxa"/>
            <w:vAlign w:val="bottom"/>
          </w:tcPr>
          <w:p>
            <w:pPr>
              <w:spacing w:after="0"/>
              <w:rPr>
                <w:sz w:val="16"/>
                <w:szCs w:val="16"/>
                <w:color w:val="auto"/>
              </w:rPr>
            </w:pPr>
          </w:p>
        </w:tc>
        <w:tc>
          <w:tcPr>
            <w:tcW w:w="20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(587,682)</w:t>
            </w:r>
          </w:p>
        </w:tc>
        <w:tc>
          <w:tcPr>
            <w:tcW w:w="200" w:type="dxa"/>
            <w:vAlign w:val="bottom"/>
          </w:tcPr>
          <w:p>
            <w:pPr>
              <w:spacing w:after="0"/>
              <w:rPr>
                <w:sz w:val="16"/>
                <w:szCs w:val="16"/>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(1,254,793)</w:t>
            </w:r>
          </w:p>
        </w:tc>
      </w:tr>
      <w:tr>
        <w:trPr>
          <w:trHeight w:val="185"/>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49,158,918</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73,745,207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273"/>
        <w:spacing w:after="0" w:line="265" w:lineRule="auto"/>
        <w:rPr>
          <w:sz w:val="20"/>
          <w:szCs w:val="20"/>
          <w:color w:val="auto"/>
        </w:rPr>
      </w:pPr>
      <w:r>
        <w:rPr>
          <w:rFonts w:ascii="Times New Roman" w:cs="Times New Roman" w:eastAsia="Times New Roman" w:hAnsi="Times New Roman"/>
          <w:sz w:val="15"/>
          <w:szCs w:val="15"/>
          <w:color w:val="auto"/>
        </w:rPr>
        <w:t>The 6.00% Notes due 2026 are listed for trading on the Nasdaq Global Select Market under the symbol “SSSSL”. The reported closing market price of SSSSL on September 30, 2024 and December 31, 2023 was $24.68 and $23.80 per note, respectively. As of September 30, 2024 and December 31, 2023, the fair value of the 6.00% Notes due 2026 was $49.1 million and $71.4 million, respectively. The 6.00% Notes due 2026 are classified as Level 1 of the fair value hierarchy (Refer to “Note 2 — Significant Accounting Policies”). As of September 30, 2024 and December 31, 2023, the Company was in compliance with the terms of the Indenture.</w:t>
      </w:r>
    </w:p>
    <w:p>
      <w:pPr>
        <w:spacing w:after="0" w:line="149" w:lineRule="exact"/>
        <w:rPr>
          <w:sz w:val="20"/>
          <w:szCs w:val="20"/>
          <w:color w:val="auto"/>
        </w:rPr>
      </w:pPr>
    </w:p>
    <w:p>
      <w:pPr>
        <w:jc w:val="both"/>
        <w:ind w:firstLine="273"/>
        <w:spacing w:after="0" w:line="265" w:lineRule="auto"/>
        <w:rPr>
          <w:sz w:val="20"/>
          <w:szCs w:val="20"/>
          <w:color w:val="auto"/>
        </w:rPr>
      </w:pPr>
      <w:r>
        <w:rPr>
          <w:rFonts w:ascii="Times New Roman" w:cs="Times New Roman" w:eastAsia="Times New Roman" w:hAnsi="Times New Roman"/>
          <w:sz w:val="15"/>
          <w:szCs w:val="15"/>
          <w:color w:val="auto"/>
        </w:rPr>
        <w:t>On August 6, 2024, the Company’s Board of Directors approved a discretionary note repurchase program (the “Note Repurchase Program”), which allows the Company to repurchase up to 46.67%, or $35.0 million in aggregate principal amount, of its 6.00% Notes due 2026 through open market purchases, including block purchases, in such manner as will comply with the provisions of the 1940 Act and the Exchange Act. During the three months ended September 30, 2024, the Company repurchased and retired $25.3 million of aggregate principal amount of the 6.00% Notes due 2026.</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6.50% Convertible Notes due 2029</w:t>
      </w:r>
    </w:p>
    <w:p>
      <w:pPr>
        <w:spacing w:after="0" w:line="196"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On August 14, 2024, the Company issued $25.0 million aggregate principal amount of convertible notes, which bear interest at a rate of 6.50% per year, payable quarterly in arrears on March 30, June 30, September 30, and December 30 of each year, commencing on September 30, 2024 (the “6.50% Convertible Notes due 2029”). The 6.50% Convertible Notes due 2029 were issued privately pursuant to a Notes Purchase Agreement (the “Notes Purchase Agreement”) between the Company and the purchaser identified therein (the “Purchaser”). The 6.50% Convertible Notes due 2029 mature on August 14, 2029 (the “6.50% Convertible Notes due 2029”), unless previously repurchased, redeemed or converted in accordance with the terms of the Notes Purchase Agreement . The Company does not have the right to redeem the 6.50% Convertible Notes due 2029 prior to August 6, 2027. On or after August 6, 2027, the Company may redeem the 6.50% Convertible Notes due 2029 upon the fulfillment of certain conditions.</w:t>
      </w:r>
    </w:p>
    <w:p>
      <w:pPr>
        <w:spacing w:after="0" w:line="155"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The 6.50% Convertible Notes due 2029 will be convertible into shares of the Company’s common stock at the Purchaser’s sole discretion at an initial conversion rate of 129.0323 shares of common stock per $1,000 principal amount of the 6.50% Convertible Notes due 2029, which represent a conversion price of approximately $7.75 per share, subject to adjustment as provided in the Notes Purchase Agreement.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216"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September 30, 2024</w:t>
      </w:r>
    </w:p>
    <w:p>
      <w:pPr>
        <w:spacing w:after="0" w:line="177" w:lineRule="exact"/>
        <w:rPr>
          <w:sz w:val="20"/>
          <w:szCs w:val="20"/>
          <w:color w:val="auto"/>
        </w:rPr>
      </w:pPr>
    </w:p>
    <w:p>
      <w:pPr>
        <w:jc w:val="both"/>
        <w:ind w:right="20" w:firstLine="273"/>
        <w:spacing w:after="0" w:line="265" w:lineRule="auto"/>
        <w:rPr>
          <w:sz w:val="20"/>
          <w:szCs w:val="20"/>
          <w:color w:val="auto"/>
        </w:rPr>
      </w:pPr>
      <w:r>
        <w:rPr>
          <w:rFonts w:ascii="Times New Roman" w:cs="Times New Roman" w:eastAsia="Times New Roman" w:hAnsi="Times New Roman"/>
          <w:sz w:val="15"/>
          <w:szCs w:val="15"/>
          <w:color w:val="auto"/>
        </w:rPr>
        <w:t>The 6.50% Convertible Notes due 2029 are direct unsecured obligations of the Company and rank pari passu, or equal in right of payment, with any outstanding existing or future unsecured, unsubordinated indebtedness of the Company. The 6.50% Convertible Notes due 2029 are junior in right of payment to any existing or future secured credit facility; provided, however, that if the Company enters into a future credit facility senior in right of payment to the 6.50% Convertible Notes due 2029 (including any secured indebtedness), the interest on the outstanding principal amount of the 6.50% Convertible Notes due 2029 shall increase as of the date of such entry to 7.00% per annum.</w:t>
      </w:r>
    </w:p>
    <w:p>
      <w:pPr>
        <w:spacing w:after="0" w:line="149"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The Company records fees and expenses incurred in connection with its 6.50% Convertible Notes due 2029 as deferred debt issuance costs. Such costs are reflected in the carrying value of the 6.50% Convertible Notes due 2029. As of September 30, 2024, the Company had deferred debt issuance costs of $844,430 associated with the 6.50% Convertible Notes due 2029.</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2"/>
          </w:tcPr>
          <w:p>
            <w:pPr>
              <w:jc w:val="right"/>
              <w:ind w:right="680"/>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200" w:type="dxa"/>
            <w:vAlign w:val="bottom"/>
          </w:tcPr>
          <w:p>
            <w:pPr>
              <w:spacing w:after="0"/>
              <w:rPr>
                <w:sz w:val="17"/>
                <w:szCs w:val="17"/>
                <w:color w:val="auto"/>
              </w:rPr>
            </w:pP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174"/>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Aggregate principal amount of 6.50% Convertible Notes due 2029</w:t>
            </w: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25,000,000</w:t>
            </w: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Borders>
              <w:top w:val="single" w:sz="8" w:color="auto"/>
            </w:tcBorders>
            <w:shd w:val="clear" w:color="auto" w:fill="CCEEFF"/>
          </w:tcPr>
          <w:p>
            <w:pPr>
              <w:ind w:left="154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Borders>
              <w:top w:val="single" w:sz="8" w:color="CCEEFF"/>
            </w:tcBorders>
            <w:shd w:val="clear" w:color="auto" w:fill="CCEEFF"/>
          </w:tcPr>
          <w:p>
            <w:pPr>
              <w:spacing w:after="0"/>
              <w:rPr>
                <w:sz w:val="15"/>
                <w:szCs w:val="15"/>
                <w:color w:val="auto"/>
              </w:rPr>
            </w:pPr>
          </w:p>
        </w:tc>
      </w:tr>
      <w:tr>
        <w:trPr>
          <w:trHeight w:val="194"/>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Direct deduction of deferred debt issuance costs</w:t>
            </w:r>
          </w:p>
        </w:tc>
        <w:tc>
          <w:tcPr>
            <w:tcW w:w="200" w:type="dxa"/>
            <w:vAlign w:val="bottom"/>
          </w:tcPr>
          <w:p>
            <w:pPr>
              <w:spacing w:after="0"/>
              <w:rPr>
                <w:sz w:val="16"/>
                <w:szCs w:val="16"/>
                <w:color w:val="auto"/>
              </w:rPr>
            </w:pPr>
          </w:p>
        </w:tc>
        <w:tc>
          <w:tcPr>
            <w:tcW w:w="20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(844,430)</w:t>
            </w:r>
          </w:p>
        </w:tc>
        <w:tc>
          <w:tcPr>
            <w:tcW w:w="200" w:type="dxa"/>
            <w:vAlign w:val="bottom"/>
          </w:tcPr>
          <w:p>
            <w:pPr>
              <w:spacing w:after="0"/>
              <w:rPr>
                <w:sz w:val="16"/>
                <w:szCs w:val="16"/>
                <w:color w:val="auto"/>
              </w:rPr>
            </w:pPr>
          </w:p>
        </w:tc>
        <w:tc>
          <w:tcPr>
            <w:tcW w:w="1800" w:type="dxa"/>
            <w:vAlign w:val="bottom"/>
            <w:gridSpan w:val="2"/>
          </w:tcPr>
          <w:p>
            <w:pPr>
              <w:ind w:left="1540"/>
              <w:spacing w:after="0"/>
              <w:rPr>
                <w:sz w:val="20"/>
                <w:szCs w:val="20"/>
                <w:color w:val="auto"/>
              </w:rPr>
            </w:pPr>
            <w:r>
              <w:rPr>
                <w:rFonts w:ascii="Times New Roman" w:cs="Times New Roman" w:eastAsia="Times New Roman" w:hAnsi="Times New Roman"/>
                <w:sz w:val="15"/>
                <w:szCs w:val="15"/>
                <w:color w:val="auto"/>
              </w:rPr>
              <w:t>—</w:t>
            </w:r>
          </w:p>
        </w:tc>
      </w:tr>
      <w:tr>
        <w:trPr>
          <w:trHeight w:val="185"/>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24,155,570</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Borders>
              <w:top w:val="single" w:sz="8" w:color="auto"/>
              <w:bottom w:val="single" w:sz="8" w:color="auto"/>
            </w:tcBorders>
            <w:shd w:val="clear" w:color="auto" w:fill="CCEEFF"/>
          </w:tcPr>
          <w:p>
            <w:pPr>
              <w:ind w:left="154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11—STOCK-BASED COMPENSATION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Amended and Restated 2019 Equity Incentive Plan</w:t>
      </w:r>
    </w:p>
    <w:p>
      <w:pPr>
        <w:spacing w:after="0" w:line="196" w:lineRule="exact"/>
        <w:rPr>
          <w:sz w:val="20"/>
          <w:szCs w:val="20"/>
          <w:color w:val="auto"/>
        </w:rPr>
      </w:pPr>
    </w:p>
    <w:p>
      <w:pPr>
        <w:jc w:val="both"/>
        <w:ind w:firstLine="273"/>
        <w:spacing w:after="0" w:line="258" w:lineRule="auto"/>
        <w:rPr>
          <w:sz w:val="20"/>
          <w:szCs w:val="20"/>
          <w:color w:val="auto"/>
        </w:rPr>
      </w:pPr>
      <w:r>
        <w:rPr>
          <w:rFonts w:ascii="Times New Roman" w:cs="Times New Roman" w:eastAsia="Times New Roman" w:hAnsi="Times New Roman"/>
          <w:sz w:val="15"/>
          <w:szCs w:val="15"/>
          <w:color w:val="auto"/>
        </w:rPr>
        <w:t>On June 19, 2020, the Company’s Board of Directors adopted, and the Company’s stockholders approved, an amendment and restatement of the Company’s 2019 Equity Incentive Plan (the “Amended &amp; Restated 2019 Equity Incentive Plan”) under which the Company is authorized to grant equity awards for up to 1,627,967 shares of its common stock. In accordance with the exemptive relief granted to the Company by the SEC on June 16, 2020 with respect to the Amended &amp; Restated 2019 Equity Incentive Plan, the Company is generally authorized to (i) issue restricted shares as part of the compensation package for certain of its employees, officers and all directors, including non-employee directors (collectively, the “Participants”), (ii) issue options to acquire shares of its common stock (“Options”) to certain employees, officers and employee directors as a part of such compensation packages, (iii) withhold shares of the Company’s common stock or purchase shares of common stock from the Participants to satisfy tax withholding obligations relating to the vesting of restricted shares or the exercise of Options granted to the certain Participants pursuant to the Amended &amp; Restated 2019 Equity Incentive Plan, and (iv) permit the Participants to pay the exercise price of Options granted to them with shares of the Company’s common stock.</w:t>
      </w:r>
    </w:p>
    <w:p>
      <w:pPr>
        <w:spacing w:after="0" w:line="157"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Under the Amended &amp; Restated 2019 Equity Incentive Plan, each non-employee director will receive an annual grant of $50,000 worth of restricted shares of common stock (based on the closing stock price of the common stock on the grant date). Each grant of $50,000 in restricted shares will vest, in full, if the non-employee director is in continuous service as a director of the Company through the anniversary of such grant (or, if earlier, the annual meeting of the Company’s stockholders that is closest to the anniversary of such grant). During the nine months ended September 30, 2024, the Company granted 48,192 restricted shares to the Company’s non-employee directors pursuant to the Amended &amp; Restated 2019 Equity Incentive Plan. Additionally, on May 31, 2024, 60,060 restricted shares related to the 2023 non-employee director grants vested. Compensation expense associated with the restricted shares is recognized on a quarterly basis over the respective vesting periods.</w:t>
      </w:r>
    </w:p>
    <w:p>
      <w:pPr>
        <w:spacing w:after="0" w:line="155"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Other than such restricted shares granted to non-employee directors, the Compensation Committee of the Company’s Board of Directors may determine the time or times at which Options and restricted shares granted to other Participants will vest or become payable or exercisable, as applicable. The exercise price of each Option will not be less than 100% of the fair market value of the Company’s common stock on the date the option is granted. However, any optionee who owns more than 10% of the combined voting power of all classes of the Company’s outstanding common stock (a “10% Stockholder”), will not be eligible for the grant of an incentive stock option unless the exercise price of the incentive stock option is at least 110% of the fair market value of the Company’s common stock on the date of grant. Generally, no Option will be exercisable after the expiration of ten years from the date of grant. In the case of an Option granted to a 10% Stockholder, the term of an incentive stock option will be for no more than five years from the date of grant.</w:t>
      </w:r>
    </w:p>
    <w:p>
      <w:pPr>
        <w:spacing w:after="0" w:line="155" w:lineRule="exact"/>
        <w:rPr>
          <w:sz w:val="20"/>
          <w:szCs w:val="20"/>
          <w:color w:val="auto"/>
        </w:rPr>
      </w:pPr>
    </w:p>
    <w:p>
      <w:pPr>
        <w:jc w:val="both"/>
        <w:ind w:firstLine="273"/>
        <w:spacing w:after="0" w:line="288" w:lineRule="auto"/>
        <w:rPr>
          <w:sz w:val="20"/>
          <w:szCs w:val="20"/>
          <w:color w:val="auto"/>
        </w:rPr>
      </w:pPr>
      <w:r>
        <w:rPr>
          <w:rFonts w:ascii="Times New Roman" w:cs="Times New Roman" w:eastAsia="Times New Roman" w:hAnsi="Times New Roman"/>
          <w:sz w:val="15"/>
          <w:szCs w:val="15"/>
          <w:color w:val="auto"/>
        </w:rPr>
        <w:t>During the nine months ended September 30, 2024, the Company did not grant any restricted shares to the Company’s officers pursuant to the Amended &amp; Restated 2019 Equity Incentive Plan.</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216" w:right="319" w:bottom="1440" w:gutter="0" w:footer="0" w:header="0"/>
        </w:sectPr>
      </w:pPr>
    </w:p>
    <w:bookmarkStart w:id="47" w:name="page48"/>
    <w:bookmarkEnd w:id="47"/>
    <w:p>
      <w:pPr>
        <w:ind w:left="9"/>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9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5"/>
          <w:szCs w:val="15"/>
          <w:b w:val="1"/>
          <w:bCs w:val="1"/>
          <w:color w:val="auto"/>
        </w:rPr>
        <w:t>September 30, 2024</w:t>
      </w:r>
    </w:p>
    <w:p>
      <w:pPr>
        <w:spacing w:after="0" w:line="177" w:lineRule="exact"/>
        <w:rPr>
          <w:sz w:val="20"/>
          <w:szCs w:val="20"/>
          <w:color w:val="auto"/>
        </w:rPr>
      </w:pPr>
    </w:p>
    <w:p>
      <w:pPr>
        <w:jc w:val="both"/>
        <w:ind w:left="9" w:firstLine="273"/>
        <w:spacing w:after="0" w:line="268" w:lineRule="auto"/>
        <w:rPr>
          <w:sz w:val="20"/>
          <w:szCs w:val="20"/>
          <w:color w:val="auto"/>
        </w:rPr>
      </w:pPr>
      <w:r>
        <w:rPr>
          <w:rFonts w:ascii="Times New Roman" w:cs="Times New Roman" w:eastAsia="Times New Roman" w:hAnsi="Times New Roman"/>
          <w:sz w:val="15"/>
          <w:szCs w:val="15"/>
          <w:color w:val="auto"/>
        </w:rPr>
        <w:t>For the nine months ended September 30, 2024 and 2023, the Company recognized stock-based compensation expense of $1,969,534 and $2,300,237, respectively, not including executive and employee forfeits. As of September 30, 2024 and December 31, 2023, there were approximately $3,080,353 and $4,849,887, respectively, of total unrecognized compensation costs related to the restricted share grants. Compensation expense associated with the restricted shares is recognized on a quarterly basis over the respective vesting periods.</w:t>
      </w:r>
    </w:p>
    <w:p>
      <w:pPr>
        <w:spacing w:after="0" w:line="333" w:lineRule="exact"/>
        <w:rPr>
          <w:sz w:val="20"/>
          <w:szCs w:val="20"/>
          <w:color w:val="auto"/>
        </w:rPr>
      </w:pPr>
    </w:p>
    <w:p>
      <w:pPr>
        <w:ind w:left="429"/>
        <w:spacing w:after="0"/>
        <w:rPr>
          <w:sz w:val="20"/>
          <w:szCs w:val="20"/>
          <w:color w:val="auto"/>
        </w:rPr>
      </w:pPr>
      <w:r>
        <w:rPr>
          <w:rFonts w:ascii="Times New Roman" w:cs="Times New Roman" w:eastAsia="Times New Roman" w:hAnsi="Times New Roman"/>
          <w:sz w:val="15"/>
          <w:szCs w:val="15"/>
          <w:color w:val="auto"/>
        </w:rPr>
        <w:t>The following table summarizes the activities for the Company’s restricted share grants for the nine months ended September 30, 2024 under the Amended &amp; Restated 2019</w:t>
      </w:r>
    </w:p>
    <w:p>
      <w:pPr>
        <w:spacing w:after="0" w:line="2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Equity Incentive Plan:</w:t>
      </w:r>
    </w:p>
    <w:p>
      <w:pPr>
        <w:spacing w:after="0" w:line="173" w:lineRule="exact"/>
        <w:rPr>
          <w:sz w:val="20"/>
          <w:szCs w:val="20"/>
          <w:color w:val="auto"/>
        </w:rPr>
      </w:pPr>
    </w:p>
    <w:tbl>
      <w:tblPr>
        <w:tblLayout w:type="fixed"/>
        <w:tblInd w:w="1129" w:type="dxa"/>
        <w:tblCellMar>
          <w:top w:w="0" w:type="dxa"/>
          <w:left w:w="0" w:type="dxa"/>
          <w:bottom w:w="0" w:type="dxa"/>
          <w:right w:w="0" w:type="dxa"/>
        </w:tblCellMar>
      </w:tblPr>
      <w:tr>
        <w:trPr>
          <w:trHeight w:val="182"/>
        </w:trPr>
        <w:tc>
          <w:tcPr>
            <w:tcW w:w="7580" w:type="dxa"/>
            <w:vAlign w:val="bottom"/>
          </w:tcPr>
          <w:p>
            <w:pPr>
              <w:spacing w:after="0"/>
              <w:rPr>
                <w:sz w:val="15"/>
                <w:szCs w:val="15"/>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Number of</w:t>
            </w:r>
          </w:p>
        </w:tc>
      </w:tr>
      <w:tr>
        <w:trPr>
          <w:trHeight w:val="201"/>
        </w:trPr>
        <w:tc>
          <w:tcPr>
            <w:tcW w:w="758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Restricted Shares</w:t>
            </w:r>
          </w:p>
        </w:tc>
      </w:tr>
      <w:tr>
        <w:trPr>
          <w:trHeight w:val="196"/>
        </w:trPr>
        <w:tc>
          <w:tcPr>
            <w:tcW w:w="7580" w:type="dxa"/>
            <w:vAlign w:val="bottom"/>
            <w:tcBorders>
              <w:top w:val="single" w:sz="8" w:color="CCEEFF"/>
            </w:tcBorders>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Outstanding as of December 31, 2023</w:t>
            </w:r>
            <w:r>
              <w:rPr>
                <w:rFonts w:ascii="Times New Roman" w:cs="Times New Roman" w:eastAsia="Times New Roman" w:hAnsi="Times New Roman"/>
                <w:sz w:val="22"/>
                <w:szCs w:val="22"/>
                <w:color w:val="auto"/>
                <w:vertAlign w:val="superscript"/>
              </w:rPr>
              <w:t>(1)</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624,963</w:t>
            </w:r>
          </w:p>
        </w:tc>
        <w:tc>
          <w:tcPr>
            <w:tcW w:w="80" w:type="dxa"/>
            <w:vAlign w:val="bottom"/>
            <w:tcBorders>
              <w:top w:val="single" w:sz="8" w:color="CCEEFF"/>
            </w:tcBorders>
            <w:shd w:val="clear" w:color="auto" w:fill="CCEEFF"/>
          </w:tcPr>
          <w:p>
            <w:pPr>
              <w:spacing w:after="0"/>
              <w:rPr>
                <w:sz w:val="17"/>
                <w:szCs w:val="17"/>
                <w:color w:val="auto"/>
              </w:rPr>
            </w:pPr>
          </w:p>
        </w:tc>
      </w:tr>
      <w:tr>
        <w:trPr>
          <w:trHeight w:val="194"/>
        </w:trPr>
        <w:tc>
          <w:tcPr>
            <w:tcW w:w="7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Granted</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48,192</w:t>
            </w:r>
          </w:p>
        </w:tc>
      </w:tr>
      <w:tr>
        <w:trPr>
          <w:trHeight w:val="216"/>
        </w:trPr>
        <w:tc>
          <w:tcPr>
            <w:tcW w:w="758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15"/>
                <w:szCs w:val="15"/>
                <w:color w:val="auto"/>
              </w:rPr>
              <w:t>Vested</w:t>
            </w:r>
            <w:r>
              <w:rPr>
                <w:rFonts w:ascii="Times New Roman" w:cs="Times New Roman" w:eastAsia="Times New Roman" w:hAnsi="Times New Roman"/>
                <w:sz w:val="25"/>
                <w:szCs w:val="25"/>
                <w:color w:val="auto"/>
                <w:vertAlign w:val="superscript"/>
              </w:rPr>
              <w:t>(2)</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(201,631)</w:t>
            </w:r>
          </w:p>
        </w:tc>
      </w:tr>
      <w:tr>
        <w:trPr>
          <w:trHeight w:val="194"/>
        </w:trPr>
        <w:tc>
          <w:tcPr>
            <w:tcW w:w="7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Forfeited</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(23,474)</w:t>
            </w:r>
          </w:p>
        </w:tc>
      </w:tr>
      <w:tr>
        <w:trPr>
          <w:trHeight w:val="185"/>
        </w:trPr>
        <w:tc>
          <w:tcPr>
            <w:tcW w:w="7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September 30, 2024</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448,050</w:t>
            </w:r>
          </w:p>
        </w:tc>
        <w:tc>
          <w:tcPr>
            <w:tcW w:w="80" w:type="dxa"/>
            <w:vAlign w:val="bottom"/>
            <w:tcBorders>
              <w:top w:val="single" w:sz="8" w:color="CCEEFF"/>
            </w:tcBorders>
            <w:shd w:val="clear" w:color="auto" w:fill="CCEEFF"/>
          </w:tcPr>
          <w:p>
            <w:pPr>
              <w:spacing w:after="0"/>
              <w:rPr>
                <w:sz w:val="16"/>
                <w:szCs w:val="16"/>
                <w:color w:val="auto"/>
              </w:rPr>
            </w:pPr>
          </w:p>
        </w:tc>
      </w:tr>
      <w:tr>
        <w:trPr>
          <w:trHeight w:val="197"/>
        </w:trPr>
        <w:tc>
          <w:tcPr>
            <w:tcW w:w="7580" w:type="dxa"/>
            <w:vAlign w:val="bottom"/>
          </w:tcPr>
          <w:p>
            <w:pPr>
              <w:spacing w:after="0"/>
              <w:rPr>
                <w:sz w:val="20"/>
                <w:szCs w:val="20"/>
                <w:color w:val="auto"/>
              </w:rPr>
            </w:pPr>
            <w:r>
              <w:rPr>
                <w:rFonts w:ascii="Times New Roman" w:cs="Times New Roman" w:eastAsia="Times New Roman" w:hAnsi="Times New Roman"/>
                <w:sz w:val="15"/>
                <w:szCs w:val="15"/>
                <w:color w:val="auto"/>
              </w:rPr>
              <w:t>Vested as of September 30, 2024</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715,203</w:t>
            </w: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178689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86890" cy="6985"/>
                    </a:xfrm>
                    <a:prstGeom prst="rect">
                      <a:avLst/>
                    </a:prstGeom>
                    <a:noFill/>
                  </pic:spPr>
                </pic:pic>
              </a:graphicData>
            </a:graphic>
          </wp:anchor>
        </w:drawing>
      </w:r>
    </w:p>
    <w:p>
      <w:pPr>
        <w:spacing w:after="0" w:line="155" w:lineRule="exact"/>
        <w:rPr>
          <w:sz w:val="20"/>
          <w:szCs w:val="20"/>
          <w:color w:val="auto"/>
        </w:rPr>
      </w:pPr>
    </w:p>
    <w:p>
      <w:pPr>
        <w:ind w:left="269" w:hanging="269"/>
        <w:spacing w:after="0"/>
        <w:tabs>
          <w:tab w:leader="none" w:pos="269"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including unvested dividends.</w:t>
      </w:r>
    </w:p>
    <w:p>
      <w:pPr>
        <w:spacing w:after="0" w:line="24" w:lineRule="exact"/>
        <w:rPr>
          <w:rFonts w:ascii="Times New Roman" w:cs="Times New Roman" w:eastAsia="Times New Roman" w:hAnsi="Times New Roman"/>
          <w:sz w:val="15"/>
          <w:szCs w:val="15"/>
          <w:color w:val="auto"/>
        </w:rPr>
      </w:pPr>
    </w:p>
    <w:p>
      <w:pPr>
        <w:ind w:left="269" w:hanging="269"/>
        <w:spacing w:after="0" w:line="253" w:lineRule="auto"/>
        <w:tabs>
          <w:tab w:leader="none" w:pos="269"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balance of vested shares reflects the total shares vested during the period and has not been reduced for those vested shares forfeited at time of vest related to net share settlement.</w:t>
      </w:r>
    </w:p>
    <w:p>
      <w:pPr>
        <w:spacing w:after="0" w:line="350" w:lineRule="exact"/>
        <w:rPr>
          <w:sz w:val="20"/>
          <w:szCs w:val="20"/>
          <w:color w:val="auto"/>
        </w:rPr>
      </w:pPr>
    </w:p>
    <w:p>
      <w:pPr>
        <w:ind w:left="9" w:firstLine="273"/>
        <w:spacing w:after="0" w:line="288" w:lineRule="auto"/>
        <w:rPr>
          <w:sz w:val="20"/>
          <w:szCs w:val="20"/>
          <w:color w:val="auto"/>
        </w:rPr>
      </w:pPr>
      <w:r>
        <w:rPr>
          <w:rFonts w:ascii="Times New Roman" w:cs="Times New Roman" w:eastAsia="Times New Roman" w:hAnsi="Times New Roman"/>
          <w:sz w:val="15"/>
          <w:szCs w:val="15"/>
          <w:color w:val="auto"/>
        </w:rPr>
        <w:t>The Amended &amp; Restated 2019 Equity Incentive Plan provides for the concept of “net share settlement.” Specifically, it provides that the Company is authorized to withhold the Common Stock at the time the restricted shares are vested and taxed in satisfaction of the Participant’s tax obligations.</w:t>
      </w:r>
    </w:p>
    <w:p>
      <w:pPr>
        <w:spacing w:after="0" w:line="12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NOTE 12—SUBSEQUENT EVENTS</w:t>
      </w:r>
    </w:p>
    <w:p>
      <w:pPr>
        <w:spacing w:after="0" w:line="19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Portfolio Activity</w:t>
      </w:r>
    </w:p>
    <w:p>
      <w:pPr>
        <w:spacing w:after="0" w:line="196"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From October 1, 2024 through November 7, 2024, the Company made the following investments (not including capitalized transaction costs).</w:t>
      </w:r>
    </w:p>
    <w:p>
      <w:pPr>
        <w:spacing w:after="0" w:line="199"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29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Portfolio Company</w:t>
            </w:r>
          </w:p>
        </w:tc>
        <w:tc>
          <w:tcPr>
            <w:tcW w:w="2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2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Transaction Date</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40" w:type="dxa"/>
            <w:vAlign w:val="bottom"/>
            <w:gridSpan w:val="2"/>
          </w:tcPr>
          <w:p>
            <w:pPr>
              <w:ind w:left="440"/>
              <w:spacing w:after="0"/>
              <w:rPr>
                <w:sz w:val="20"/>
                <w:szCs w:val="20"/>
                <w:color w:val="auto"/>
              </w:rPr>
            </w:pPr>
            <w:r>
              <w:rPr>
                <w:rFonts w:ascii="Times New Roman" w:cs="Times New Roman" w:eastAsia="Times New Roman" w:hAnsi="Times New Roman"/>
                <w:sz w:val="15"/>
                <w:szCs w:val="15"/>
                <w:b w:val="1"/>
                <w:bCs w:val="1"/>
                <w:color w:val="auto"/>
              </w:rPr>
              <w:t>Amount</w:t>
            </w:r>
          </w:p>
        </w:tc>
      </w:tr>
      <w:tr>
        <w:trPr>
          <w:trHeight w:val="174"/>
        </w:trPr>
        <w:tc>
          <w:tcPr>
            <w:tcW w:w="2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CoreWeave, Inc.</w:t>
            </w:r>
          </w:p>
        </w:tc>
        <w:tc>
          <w:tcPr>
            <w:tcW w:w="240" w:type="dxa"/>
            <w:vAlign w:val="bottom"/>
            <w:tcBorders>
              <w:top w:val="single" w:sz="8" w:color="CCEEFF"/>
            </w:tcBorders>
            <w:shd w:val="clear" w:color="auto" w:fill="CCEEFF"/>
          </w:tcPr>
          <w:p>
            <w:pPr>
              <w:spacing w:after="0"/>
              <w:rPr>
                <w:sz w:val="15"/>
                <w:szCs w:val="15"/>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Series A Preferred Shares</w:t>
            </w:r>
          </w:p>
        </w:tc>
        <w:tc>
          <w:tcPr>
            <w:tcW w:w="220" w:type="dxa"/>
            <w:vAlign w:val="bottom"/>
            <w:tcBorders>
              <w:top w:val="single" w:sz="8" w:color="CCEEFF"/>
            </w:tcBorders>
            <w:shd w:val="clear" w:color="auto" w:fill="CCEEFF"/>
          </w:tcPr>
          <w:p>
            <w:pPr>
              <w:spacing w:after="0"/>
              <w:rPr>
                <w:sz w:val="15"/>
                <w:szCs w:val="15"/>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10/8/2024</w:t>
            </w:r>
          </w:p>
        </w:tc>
        <w:tc>
          <w:tcPr>
            <w:tcW w:w="2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5,000,400</w:t>
            </w:r>
          </w:p>
        </w:tc>
        <w:tc>
          <w:tcPr>
            <w:tcW w:w="100" w:type="dxa"/>
            <w:vAlign w:val="bottom"/>
            <w:tcBorders>
              <w:top w:val="single" w:sz="8" w:color="CCEEFF"/>
            </w:tcBorders>
            <w:shd w:val="clear" w:color="auto" w:fill="CCEEFF"/>
          </w:tcPr>
          <w:p>
            <w:pPr>
              <w:spacing w:after="0"/>
              <w:rPr>
                <w:sz w:val="15"/>
                <w:szCs w:val="15"/>
                <w:color w:val="auto"/>
              </w:rPr>
            </w:pPr>
          </w:p>
        </w:tc>
      </w:tr>
      <w:tr>
        <w:trPr>
          <w:trHeight w:val="228"/>
        </w:trPr>
        <w:tc>
          <w:tcPr>
            <w:tcW w:w="2940" w:type="dxa"/>
            <w:vAlign w:val="bottom"/>
            <w:gridSpan w:val="2"/>
          </w:tcPr>
          <w:p>
            <w:pPr>
              <w:spacing w:after="0" w:line="228" w:lineRule="exact"/>
              <w:rPr>
                <w:sz w:val="20"/>
                <w:szCs w:val="20"/>
                <w:color w:val="auto"/>
              </w:rPr>
            </w:pPr>
            <w:r>
              <w:rPr>
                <w:rFonts w:ascii="Times New Roman" w:cs="Times New Roman" w:eastAsia="Times New Roman" w:hAnsi="Times New Roman"/>
                <w:sz w:val="15"/>
                <w:szCs w:val="15"/>
                <w:color w:val="auto"/>
              </w:rPr>
              <w:t>IH10, LLC</w:t>
            </w:r>
            <w:r>
              <w:rPr>
                <w:rFonts w:ascii="Times New Roman" w:cs="Times New Roman" w:eastAsia="Times New Roman" w:hAnsi="Times New Roman"/>
                <w:sz w:val="25"/>
                <w:szCs w:val="25"/>
                <w:color w:val="auto"/>
                <w:vertAlign w:val="superscript"/>
              </w:rPr>
              <w:t>(1)</w:t>
            </w: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Membership Interest</w:t>
            </w:r>
          </w:p>
        </w:tc>
        <w:tc>
          <w:tcPr>
            <w:tcW w:w="2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10/9/2024</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12,000,010</w:t>
            </w:r>
          </w:p>
        </w:tc>
      </w:tr>
      <w:tr>
        <w:trPr>
          <w:trHeight w:val="185"/>
        </w:trPr>
        <w:tc>
          <w:tcPr>
            <w:tcW w:w="29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7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6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17,000,410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2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8" w:lineRule="exact"/>
        <w:rPr>
          <w:sz w:val="20"/>
          <w:szCs w:val="20"/>
          <w:color w:val="auto"/>
        </w:rPr>
      </w:pPr>
    </w:p>
    <w:p>
      <w:pPr>
        <w:ind w:left="269" w:right="20" w:hanging="269"/>
        <w:spacing w:after="0" w:line="288" w:lineRule="auto"/>
        <w:tabs>
          <w:tab w:leader="none" w:pos="269"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IH10, LLC’s sole portfolio asset is interest in the Series B Preferred Shares of VAST Data, Ltd. through an SPV. We are invested in the Series B Preferred Shares of VAST Data, Ltd. through our investment in the Membership Interest of IH10, LLC.</w:t>
      </w:r>
    </w:p>
    <w:p>
      <w:pPr>
        <w:spacing w:after="0" w:line="132" w:lineRule="exact"/>
        <w:rPr>
          <w:rFonts w:ascii="Times New Roman" w:cs="Times New Roman" w:eastAsia="Times New Roman" w:hAnsi="Times New Roman"/>
          <w:sz w:val="15"/>
          <w:szCs w:val="15"/>
          <w:color w:val="auto"/>
        </w:rPr>
      </w:pPr>
    </w:p>
    <w:p>
      <w:pPr>
        <w:ind w:left="269"/>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October 1, 2024 through November 7, 2024, the Company exited or received proceeds from the following investments.</w:t>
      </w:r>
    </w:p>
    <w:p>
      <w:pPr>
        <w:spacing w:after="0" w:line="188" w:lineRule="exact"/>
        <w:rPr>
          <w:sz w:val="20"/>
          <w:szCs w:val="20"/>
          <w:color w:val="auto"/>
        </w:rPr>
      </w:pPr>
    </w:p>
    <w:tbl>
      <w:tblPr>
        <w:tblLayout w:type="fixed"/>
        <w:tblInd w:w="9" w:type="dxa"/>
        <w:tblCellMar>
          <w:top w:w="0" w:type="dxa"/>
          <w:left w:w="0" w:type="dxa"/>
          <w:bottom w:w="0" w:type="dxa"/>
          <w:right w:w="0" w:type="dxa"/>
        </w:tblCellMar>
      </w:tblPr>
      <w:tr>
        <w:trPr>
          <w:trHeight w:val="186"/>
        </w:trPr>
        <w:tc>
          <w:tcPr>
            <w:tcW w:w="2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rPr>
              <w:t>Average Net Share</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1"/>
        </w:trPr>
        <w:tc>
          <w:tcPr>
            <w:tcW w:w="27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Portfolio Company</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Transaction Date</w:t>
            </w:r>
          </w:p>
        </w:tc>
        <w:tc>
          <w:tcPr>
            <w:tcW w:w="1820" w:type="dxa"/>
            <w:vAlign w:val="bottom"/>
            <w:gridSpan w:val="2"/>
          </w:tcPr>
          <w:p>
            <w:pPr>
              <w:ind w:left="440"/>
              <w:spacing w:after="0"/>
              <w:rPr>
                <w:sz w:val="20"/>
                <w:szCs w:val="20"/>
                <w:color w:val="auto"/>
              </w:rPr>
            </w:pPr>
            <w:r>
              <w:rPr>
                <w:rFonts w:ascii="Times New Roman" w:cs="Times New Roman" w:eastAsia="Times New Roman" w:hAnsi="Times New Roman"/>
                <w:sz w:val="15"/>
                <w:szCs w:val="15"/>
                <w:b w:val="1"/>
                <w:bCs w:val="1"/>
                <w:color w:val="auto"/>
              </w:rPr>
              <w:t>Quantity</w:t>
            </w:r>
          </w:p>
        </w:tc>
        <w:tc>
          <w:tcPr>
            <w:tcW w:w="100" w:type="dxa"/>
            <w:vAlign w:val="bottom"/>
          </w:tcPr>
          <w:p>
            <w:pPr>
              <w:spacing w:after="0"/>
              <w:rPr>
                <w:sz w:val="20"/>
                <w:szCs w:val="20"/>
                <w:color w:val="auto"/>
              </w:rPr>
            </w:pPr>
          </w:p>
        </w:tc>
        <w:tc>
          <w:tcPr>
            <w:tcW w:w="1700" w:type="dxa"/>
            <w:vAlign w:val="bottom"/>
            <w:gridSpan w:val="2"/>
          </w:tcPr>
          <w:p>
            <w:pPr>
              <w:jc w:val="center"/>
              <w:ind w:right="420"/>
              <w:spacing w:after="0" w:line="232" w:lineRule="exact"/>
              <w:rPr>
                <w:sz w:val="20"/>
                <w:szCs w:val="20"/>
                <w:color w:val="auto"/>
              </w:rPr>
            </w:pPr>
            <w:r>
              <w:rPr>
                <w:rFonts w:ascii="Times New Roman" w:cs="Times New Roman" w:eastAsia="Times New Roman" w:hAnsi="Times New Roman"/>
                <w:sz w:val="15"/>
                <w:szCs w:val="15"/>
                <w:b w:val="1"/>
                <w:bCs w:val="1"/>
                <w:color w:val="auto"/>
                <w:w w:val="91"/>
              </w:rPr>
              <w:t xml:space="preserve">Price </w:t>
            </w:r>
            <w:r>
              <w:rPr>
                <w:rFonts w:ascii="Times New Roman" w:cs="Times New Roman" w:eastAsia="Times New Roman" w:hAnsi="Times New Roman"/>
                <w:sz w:val="25"/>
                <w:szCs w:val="25"/>
                <w:b w:val="1"/>
                <w:bCs w:val="1"/>
                <w:color w:val="auto"/>
                <w:w w:val="91"/>
                <w:vertAlign w:val="superscript"/>
              </w:rPr>
              <w:t>(1)</w:t>
            </w:r>
          </w:p>
        </w:tc>
        <w:tc>
          <w:tcPr>
            <w:tcW w:w="200" w:type="dxa"/>
            <w:vAlign w:val="bottom"/>
          </w:tcPr>
          <w:p>
            <w:pPr>
              <w:spacing w:after="0"/>
              <w:rPr>
                <w:sz w:val="20"/>
                <w:szCs w:val="20"/>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Net Proceeds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ind w:left="60"/>
              <w:spacing w:after="0" w:line="232" w:lineRule="exact"/>
              <w:rPr>
                <w:sz w:val="20"/>
                <w:szCs w:val="20"/>
                <w:color w:val="auto"/>
              </w:rPr>
            </w:pPr>
            <w:r>
              <w:rPr>
                <w:rFonts w:ascii="Times New Roman" w:cs="Times New Roman" w:eastAsia="Times New Roman" w:hAnsi="Times New Roman"/>
                <w:sz w:val="15"/>
                <w:szCs w:val="15"/>
                <w:b w:val="1"/>
                <w:bCs w:val="1"/>
                <w:color w:val="auto"/>
              </w:rPr>
              <w:t>Realized Gain</w:t>
            </w:r>
            <w:r>
              <w:rPr>
                <w:rFonts w:ascii="Times New Roman" w:cs="Times New Roman" w:eastAsia="Times New Roman" w:hAnsi="Times New Roman"/>
                <w:sz w:val="25"/>
                <w:szCs w:val="25"/>
                <w:b w:val="1"/>
                <w:bCs w:val="1"/>
                <w:color w:val="auto"/>
                <w:vertAlign w:val="superscript"/>
              </w:rPr>
              <w:t>(2)</w:t>
            </w:r>
          </w:p>
        </w:tc>
      </w:tr>
      <w:tr>
        <w:trPr>
          <w:trHeight w:val="161"/>
        </w:trPr>
        <w:tc>
          <w:tcPr>
            <w:tcW w:w="2480" w:type="dxa"/>
            <w:vAlign w:val="bottom"/>
            <w:tcBorders>
              <w:top w:val="single" w:sz="8" w:color="auto"/>
            </w:tcBorders>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 xml:space="preserve">PSQ Holdings, Inc. (d/b/a PublicSq.) </w:t>
            </w:r>
            <w:r>
              <w:rPr>
                <w:rFonts w:ascii="Times New Roman" w:cs="Times New Roman" w:eastAsia="Times New Roman" w:hAnsi="Times New Roman"/>
                <w:sz w:val="15"/>
                <w:szCs w:val="15"/>
                <w:i w:val="1"/>
                <w:iCs w:val="1"/>
                <w:color w:val="auto"/>
              </w:rPr>
              <w:t>-</w:t>
            </w:r>
          </w:p>
        </w:tc>
        <w:tc>
          <w:tcPr>
            <w:tcW w:w="22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r>
      <w:tr>
        <w:trPr>
          <w:trHeight w:val="241"/>
        </w:trPr>
        <w:tc>
          <w:tcPr>
            <w:tcW w:w="270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5"/>
                <w:szCs w:val="15"/>
                <w:i w:val="1"/>
                <w:iCs w:val="1"/>
                <w:color w:val="auto"/>
              </w:rPr>
              <w:t>Public Common Shares</w:t>
            </w:r>
            <w:r>
              <w:rPr>
                <w:rFonts w:ascii="Times New Roman" w:cs="Times New Roman" w:eastAsia="Times New Roman" w:hAnsi="Times New Roman"/>
                <w:sz w:val="25"/>
                <w:szCs w:val="25"/>
                <w:color w:val="auto"/>
                <w:vertAlign w:val="superscript"/>
              </w:rPr>
              <w:t>(3)</w:t>
            </w: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Various</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822,305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3.02</w:t>
            </w: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2,481,066</w:t>
            </w:r>
          </w:p>
        </w:tc>
        <w:tc>
          <w:tcPr>
            <w:tcW w:w="1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1,833,309</w:t>
            </w:r>
          </w:p>
        </w:tc>
        <w:tc>
          <w:tcPr>
            <w:tcW w:w="80" w:type="dxa"/>
            <w:vAlign w:val="bottom"/>
            <w:shd w:val="clear" w:color="auto" w:fill="CCEEFF"/>
          </w:tcPr>
          <w:p>
            <w:pPr>
              <w:spacing w:after="0"/>
              <w:rPr>
                <w:sz w:val="20"/>
                <w:szCs w:val="20"/>
                <w:color w:val="auto"/>
              </w:rPr>
            </w:pPr>
          </w:p>
        </w:tc>
      </w:tr>
      <w:tr>
        <w:trPr>
          <w:trHeight w:val="185"/>
        </w:trPr>
        <w:tc>
          <w:tcPr>
            <w:tcW w:w="27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2,481,066</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1,833,309</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2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78689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86890" cy="6985"/>
                    </a:xfrm>
                    <a:prstGeom prst="rect">
                      <a:avLst/>
                    </a:prstGeom>
                    <a:noFill/>
                  </pic:spPr>
                </pic:pic>
              </a:graphicData>
            </a:graphic>
          </wp:anchor>
        </w:drawing>
      </w:r>
    </w:p>
    <w:p>
      <w:pPr>
        <w:spacing w:after="0" w:line="182" w:lineRule="exact"/>
        <w:rPr>
          <w:sz w:val="20"/>
          <w:szCs w:val="20"/>
          <w:color w:val="auto"/>
        </w:rPr>
      </w:pPr>
    </w:p>
    <w:p>
      <w:pPr>
        <w:ind w:left="269" w:hanging="269"/>
        <w:spacing w:after="0"/>
        <w:tabs>
          <w:tab w:leader="none" w:pos="269"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average net share price is the net share price realized after deducting all commissions and fees on the sale(s), if applicable.</w:t>
      </w:r>
    </w:p>
    <w:p>
      <w:pPr>
        <w:spacing w:after="0" w:line="24"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Realized gain does not include adjustments to amounts held in escrow receivable.</w:t>
      </w:r>
    </w:p>
    <w:p>
      <w:pPr>
        <w:spacing w:after="0" w:line="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November 7, 2024, SuRo Capital held 793,882 PSQ Holdings, Inc. (d/b/a PublicSq.) public common shares.</w:t>
      </w:r>
    </w:p>
    <w:p>
      <w:pPr>
        <w:spacing w:after="0" w:line="17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216"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September 30, 2024</w:t>
      </w:r>
    </w:p>
    <w:p>
      <w:pPr>
        <w:spacing w:after="0" w:line="177" w:lineRule="exact"/>
        <w:rPr>
          <w:sz w:val="20"/>
          <w:szCs w:val="20"/>
          <w:color w:val="auto"/>
        </w:rPr>
      </w:pPr>
    </w:p>
    <w:p>
      <w:pPr>
        <w:jc w:val="both"/>
        <w:ind w:firstLine="273"/>
        <w:spacing w:after="0" w:line="265" w:lineRule="auto"/>
        <w:rPr>
          <w:sz w:val="20"/>
          <w:szCs w:val="20"/>
          <w:color w:val="auto"/>
        </w:rPr>
      </w:pPr>
      <w:r>
        <w:rPr>
          <w:rFonts w:ascii="Times New Roman" w:cs="Times New Roman" w:eastAsia="Times New Roman" w:hAnsi="Times New Roman"/>
          <w:sz w:val="15"/>
          <w:szCs w:val="15"/>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6.00% Notes due 2026 - Note Repurchase Program</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Between October 1, 2024 and October 4, 2024, the Company repurchased an additional 201,446 units of the 6.00% Notes due 2026 under the Note Repurchase Program. As of November 7, 2024, the aggregate principal dollar amount of 6.00% Notes due 2026 that may yet be repurchased by the Company under the Note Repurchase Program is approximately $4.7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6.50% Convertible Notes Due 2029</w:t>
      </w:r>
    </w:p>
    <w:p>
      <w:pPr>
        <w:spacing w:after="0" w:line="196" w:lineRule="exact"/>
        <w:rPr>
          <w:sz w:val="20"/>
          <w:szCs w:val="20"/>
          <w:color w:val="auto"/>
        </w:rPr>
      </w:pPr>
    </w:p>
    <w:p>
      <w:pPr>
        <w:jc w:val="both"/>
        <w:ind w:firstLine="273"/>
        <w:spacing w:after="0" w:line="265" w:lineRule="auto"/>
        <w:rPr>
          <w:sz w:val="20"/>
          <w:szCs w:val="20"/>
          <w:color w:val="auto"/>
        </w:rPr>
      </w:pPr>
      <w:r>
        <w:rPr>
          <w:rFonts w:ascii="Times New Roman" w:cs="Times New Roman" w:eastAsia="Times New Roman" w:hAnsi="Times New Roman"/>
          <w:sz w:val="15"/>
          <w:szCs w:val="15"/>
          <w:color w:val="auto"/>
        </w:rPr>
        <w:t>Pursuant to the Note Purchase Agreement, on October 9, 2024 the Company issued and sold, and the Purchaser purchased, $5.0 million in aggregate principal amount of additional 6.50% Convertible Notes due 2029 (the “Additional Notes”). The Additional Notes are treated as a single series with the Company’s outstanding 6.50% Convertible Notes due 2029 (the “Initial Notes”) and have the same terms as the Initial Notes. The Additional Notes are fungible and rank equally with the Initial Notes. Upon issuance of the Additional Notes, the outstanding aggregate principal amount of the Company’s 6.50% Convertible Notes due 2029 became $30.0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Share Repurchase Program</w:t>
      </w:r>
    </w:p>
    <w:p>
      <w:pPr>
        <w:spacing w:after="0" w:line="196" w:lineRule="exact"/>
        <w:rPr>
          <w:sz w:val="20"/>
          <w:szCs w:val="20"/>
          <w:color w:val="auto"/>
        </w:rPr>
      </w:pPr>
    </w:p>
    <w:p>
      <w:pPr>
        <w:jc w:val="both"/>
        <w:ind w:firstLine="273"/>
        <w:spacing w:after="0" w:line="288" w:lineRule="auto"/>
        <w:rPr>
          <w:sz w:val="20"/>
          <w:szCs w:val="20"/>
          <w:color w:val="auto"/>
        </w:rPr>
      </w:pPr>
      <w:r>
        <w:rPr>
          <w:rFonts w:ascii="Times New Roman" w:cs="Times New Roman" w:eastAsia="Times New Roman" w:hAnsi="Times New Roman"/>
          <w:sz w:val="15"/>
          <w:szCs w:val="15"/>
          <w:color w:val="auto"/>
        </w:rPr>
        <w:t>On October 29, 2024, the Company’s Board of Directors authorized an extension of the Company’s discretionary Share Repurchase Program until the earlier of (i) October 31, 2025 or (ii) the repurchase of $64.3 million in aggregate amount of the Company’s common stock.</w:t>
      </w:r>
    </w:p>
    <w:p>
      <w:pPr>
        <w:spacing w:after="0" w:line="133" w:lineRule="exact"/>
        <w:rPr>
          <w:sz w:val="20"/>
          <w:szCs w:val="20"/>
          <w:color w:val="auto"/>
        </w:rPr>
      </w:pPr>
    </w:p>
    <w:p>
      <w:pPr>
        <w:jc w:val="both"/>
        <w:ind w:firstLine="273"/>
        <w:spacing w:after="0" w:line="265" w:lineRule="auto"/>
        <w:rPr>
          <w:sz w:val="20"/>
          <w:szCs w:val="20"/>
          <w:color w:val="auto"/>
        </w:rPr>
      </w:pPr>
      <w:r>
        <w:rPr>
          <w:rFonts w:ascii="Times New Roman" w:cs="Times New Roman" w:eastAsia="Times New Roman" w:hAnsi="Times New Roman"/>
          <w:sz w:val="15"/>
          <w:szCs w:val="15"/>
          <w:color w:val="auto"/>
        </w:rPr>
        <w:t>The timing and number of shares to be repurchased pursuant to the Company’s discretionary Share Repurchase Program will depend on a number of factors, including market conditions and alternative investment opportunities. The Share Repurchase Program may be suspended, terminated or modified at any time for any reason and does not obligate the Company to acquire any specific number of shares of its common stock. Under the Share Repurchase Program, the Company may repurchase its outstanding common stock in the open market, provided that it complies with the prohibitions under its insider trading policies and procedures and the applicable provisions of the 1940 Act and the Exchange Act.</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As of November 7, 2024, the dollar value of shares that remained available to be purchased by the Company under the Share Repurchase Program was approximately $25.0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13—SUPPLEMENTAL FINANCIAL DATA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Summarized Financial Information of Unconsolidated Subsidiaries</w:t>
      </w:r>
    </w:p>
    <w:p>
      <w:pPr>
        <w:spacing w:after="0" w:line="196" w:lineRule="exact"/>
        <w:rPr>
          <w:sz w:val="20"/>
          <w:szCs w:val="20"/>
          <w:color w:val="auto"/>
        </w:rPr>
      </w:pPr>
    </w:p>
    <w:p>
      <w:pPr>
        <w:jc w:val="both"/>
        <w:ind w:right="20" w:firstLine="307"/>
        <w:spacing w:after="0" w:line="270" w:lineRule="auto"/>
        <w:rPr>
          <w:sz w:val="20"/>
          <w:szCs w:val="20"/>
          <w:color w:val="auto"/>
        </w:rPr>
      </w:pPr>
      <w:r>
        <w:rPr>
          <w:rFonts w:ascii="Times New Roman" w:cs="Times New Roman" w:eastAsia="Times New Roman" w:hAnsi="Times New Roman"/>
          <w:sz w:val="15"/>
          <w:szCs w:val="15"/>
          <w:color w:val="auto"/>
        </w:rPr>
        <w:t>In accordance with the SEC’s Regulation S-X and GAAP, the Company is not permitted to consolidate any subsidiary or other entity that is not an investment company, including those in which the Company has a controlling interest; however, the Company must disclose certain financial information related to any subsidiaries or other entities that are considered to be “significant subsidiaries” under the applicable rules of Regulation S-X.</w:t>
      </w:r>
    </w:p>
    <w:p>
      <w:pPr>
        <w:spacing w:after="0" w:line="147"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The Company’s controlled portfolio company as of September 30, 2024, Colombier Sponsor II LLC, did not meet the definition of a “significant subsidiary” as set forth in Rule 1-02(w)(2) of Regulation S-X. For comparability purposes, the Company has omitted the previously disclosed summarized financial information of the Company’s significant subsidiaries for the quarter ended September 30, 2023 as the Company’s significant subsidiaries would not have been considered significant subsidiaries under Rule 1-02(w)(2).</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216"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2. Management’s Discussion and Analysis of Financial Condition and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Forward-Looking Statements</w:t>
      </w:r>
    </w:p>
    <w:p>
      <w:pPr>
        <w:spacing w:after="0" w:line="196" w:lineRule="exact"/>
        <w:rPr>
          <w:sz w:val="20"/>
          <w:szCs w:val="20"/>
          <w:color w:val="auto"/>
        </w:rPr>
      </w:pPr>
    </w:p>
    <w:p>
      <w:pPr>
        <w:jc w:val="both"/>
        <w:ind w:firstLine="273"/>
        <w:spacing w:after="0" w:line="265" w:lineRule="auto"/>
        <w:rPr>
          <w:sz w:val="20"/>
          <w:szCs w:val="20"/>
          <w:color w:val="auto"/>
        </w:rPr>
      </w:pPr>
      <w:r>
        <w:rPr>
          <w:rFonts w:ascii="Times New Roman" w:cs="Times New Roman" w:eastAsia="Times New Roman" w:hAnsi="Times New Roman"/>
          <w:sz w:val="15"/>
          <w:szCs w:val="15"/>
          <w:color w:val="auto"/>
        </w:rPr>
        <w:t>This quarterly report on Form 10-Q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The forward-looking statements contained in this quarterly report on Form 10-Q involve risks and uncertainties, including, without limitation, statements as to:</w:t>
      </w:r>
    </w:p>
    <w:p>
      <w:pPr>
        <w:spacing w:after="0" w:line="192" w:lineRule="exact"/>
        <w:rPr>
          <w:sz w:val="20"/>
          <w:szCs w:val="20"/>
          <w:color w:val="auto"/>
        </w:rPr>
      </w:pPr>
    </w:p>
    <w:p>
      <w:pPr>
        <w:ind w:left="540" w:hanging="275"/>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future operating results;</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dependence upon our management team and key investment professionals;</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business prospects and the prospects of our portfolio companies;</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manage our business and future growth;</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investments that we expect to make;</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risks related to investments in growth-stage companies, other venture capital-backed companies, and generally U.S. companies;</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contractual arrangements and relationships with third parties;</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make distributions;</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dependence of our future success on the general economy and its impact on the industries in which we invest;</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risks related to the uncertainty of the value of our portfolio investments;</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of our portfolio companies to achieve their objectives;</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in political, economic or industry conditions;</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expected financings and investments;</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changes in laws or regulations (including the interpretation thereof), including tax laws, on our operations and/or the operation of our portfolio companies;</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adequacy of our cash resources and working capital;</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risks related to market volatility, including general price and volume fluctuations in stock markets; and</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of cash flows, if any, from the operations of our portfolio companies.</w:t>
      </w:r>
    </w:p>
    <w:p>
      <w:pPr>
        <w:spacing w:after="0" w:line="192" w:lineRule="exact"/>
        <w:rPr>
          <w:sz w:val="20"/>
          <w:szCs w:val="20"/>
          <w:color w:val="auto"/>
        </w:rPr>
      </w:pPr>
    </w:p>
    <w:p>
      <w:pPr>
        <w:ind w:right="20" w:firstLine="273"/>
        <w:spacing w:after="0" w:line="288" w:lineRule="auto"/>
        <w:rPr>
          <w:sz w:val="20"/>
          <w:szCs w:val="20"/>
          <w:color w:val="auto"/>
        </w:rPr>
      </w:pPr>
      <w:r>
        <w:rPr>
          <w:rFonts w:ascii="Times New Roman" w:cs="Times New Roman" w:eastAsia="Times New Roman" w:hAnsi="Times New Roman"/>
          <w:sz w:val="15"/>
          <w:szCs w:val="15"/>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33" w:lineRule="exact"/>
        <w:rPr>
          <w:sz w:val="20"/>
          <w:szCs w:val="20"/>
          <w:color w:val="auto"/>
        </w:rPr>
      </w:pPr>
    </w:p>
    <w:p>
      <w:pPr>
        <w:ind w:left="540" w:hanging="275"/>
        <w:spacing w:after="0" w:line="288" w:lineRule="auto"/>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economic downturn could impair our portfolio companies’ ability to continue to operate, which could lead to the loss of some or all of our investments in such portfolio companies;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216" w:right="319" w:bottom="1440" w:gutter="0" w:footer="0" w:header="0"/>
        </w:sectPr>
      </w:pPr>
    </w:p>
    <w:bookmarkStart w:id="50" w:name="page51"/>
    <w:bookmarkEnd w:id="50"/>
    <w:p>
      <w:pPr>
        <w:ind w:left="9"/>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15" w:lineRule="exact"/>
        <w:rPr>
          <w:sz w:val="20"/>
          <w:szCs w:val="20"/>
          <w:color w:val="auto"/>
        </w:rPr>
      </w:pPr>
    </w:p>
    <w:p>
      <w:pPr>
        <w:ind w:left="549" w:hanging="275"/>
        <w:spacing w:after="0" w:line="288" w:lineRule="auto"/>
        <w:tabs>
          <w:tab w:leader="none" w:pos="549"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economic downturn could disproportionately impact the market sectors in which a significant portion of our portfolio is concentrated, causing us to suffer losses in our portfolio;</w:t>
      </w:r>
    </w:p>
    <w:p>
      <w:pPr>
        <w:spacing w:after="0" w:line="132" w:lineRule="exact"/>
        <w:rPr>
          <w:rFonts w:ascii="Times New Roman" w:cs="Times New Roman" w:eastAsia="Times New Roman" w:hAnsi="Times New Roman"/>
          <w:sz w:val="15"/>
          <w:szCs w:val="15"/>
          <w:color w:val="auto"/>
        </w:rPr>
      </w:pPr>
    </w:p>
    <w:p>
      <w:pPr>
        <w:ind w:left="549" w:hanging="275"/>
        <w:spacing w:after="0"/>
        <w:tabs>
          <w:tab w:leader="none" w:pos="549"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contraction of available credit and/or an inability to access the equity markets could impair our investment activities;</w:t>
      </w:r>
    </w:p>
    <w:p>
      <w:pPr>
        <w:spacing w:after="0" w:line="192" w:lineRule="exact"/>
        <w:rPr>
          <w:rFonts w:ascii="Times New Roman" w:cs="Times New Roman" w:eastAsia="Times New Roman" w:hAnsi="Times New Roman"/>
          <w:sz w:val="15"/>
          <w:szCs w:val="15"/>
          <w:color w:val="auto"/>
        </w:rPr>
      </w:pPr>
    </w:p>
    <w:p>
      <w:pPr>
        <w:ind w:left="549" w:hanging="275"/>
        <w:spacing w:after="0"/>
        <w:tabs>
          <w:tab w:leader="none" w:pos="549"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increases in inflation or an inflationary economic environment could adversely affect our portfolio companies’ operating results, causing us to suffer losses in our portfolio;</w:t>
      </w:r>
    </w:p>
    <w:p>
      <w:pPr>
        <w:spacing w:after="0" w:line="192" w:lineRule="exact"/>
        <w:rPr>
          <w:rFonts w:ascii="Times New Roman" w:cs="Times New Roman" w:eastAsia="Times New Roman" w:hAnsi="Times New Roman"/>
          <w:sz w:val="15"/>
          <w:szCs w:val="15"/>
          <w:color w:val="auto"/>
        </w:rPr>
      </w:pPr>
    </w:p>
    <w:p>
      <w:pPr>
        <w:ind w:left="549" w:hanging="275"/>
        <w:spacing w:after="0"/>
        <w:tabs>
          <w:tab w:leader="none" w:pos="549"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interest rate volatility could adversely affect our results, particularly because we use leverage as part of our investment strategy; and</w:t>
      </w:r>
    </w:p>
    <w:p>
      <w:pPr>
        <w:spacing w:after="0" w:line="192" w:lineRule="exact"/>
        <w:rPr>
          <w:rFonts w:ascii="Times New Roman" w:cs="Times New Roman" w:eastAsia="Times New Roman" w:hAnsi="Times New Roman"/>
          <w:sz w:val="15"/>
          <w:szCs w:val="15"/>
          <w:color w:val="auto"/>
        </w:rPr>
      </w:pPr>
    </w:p>
    <w:p>
      <w:pPr>
        <w:ind w:left="549" w:right="20" w:hanging="275"/>
        <w:spacing w:after="0" w:line="288" w:lineRule="auto"/>
        <w:tabs>
          <w:tab w:leader="none" w:pos="549"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risks, uncertainties and other factors we identify in the sections entitled “Risk Factors” in our quarterly reports on Form 10-Q, our annual report on Form 10-K, and in our other filings with the SEC.</w:t>
      </w:r>
    </w:p>
    <w:p>
      <w:pPr>
        <w:spacing w:after="0" w:line="133" w:lineRule="exact"/>
        <w:rPr>
          <w:sz w:val="20"/>
          <w:szCs w:val="20"/>
          <w:color w:val="auto"/>
        </w:rPr>
      </w:pPr>
    </w:p>
    <w:p>
      <w:pPr>
        <w:jc w:val="both"/>
        <w:ind w:left="9" w:firstLine="273"/>
        <w:spacing w:after="0" w:line="259" w:lineRule="auto"/>
        <w:rPr>
          <w:sz w:val="20"/>
          <w:szCs w:val="20"/>
          <w:color w:val="auto"/>
        </w:rPr>
      </w:pPr>
      <w:r>
        <w:rPr>
          <w:rFonts w:ascii="Times New Roman" w:cs="Times New Roman" w:eastAsia="Times New Roman" w:hAnsi="Times New Roman"/>
          <w:sz w:val="15"/>
          <w:szCs w:val="15"/>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our quarterly reports on Form 10-Q and our annual report on Form 10-K in the “Risk Factors” sections. You should not place undue reliance on these forward-looking statements, which apply only as of the date of this quarterly report on Form 10-Q. The following analysis of our financial condition and results of operations should be read in conjunction with our condensed consolidated financial statements and the related notes thereto contained elsewhere in this quarterly report on Form 10-Q.</w:t>
      </w:r>
    </w:p>
    <w:p>
      <w:pPr>
        <w:spacing w:after="0" w:line="15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96" w:lineRule="exact"/>
        <w:rPr>
          <w:sz w:val="20"/>
          <w:szCs w:val="20"/>
          <w:color w:val="auto"/>
        </w:rPr>
      </w:pPr>
    </w:p>
    <w:p>
      <w:pPr>
        <w:jc w:val="both"/>
        <w:ind w:left="9" w:firstLine="273"/>
        <w:spacing w:after="0" w:line="270" w:lineRule="auto"/>
        <w:rPr>
          <w:sz w:val="20"/>
          <w:szCs w:val="20"/>
          <w:color w:val="auto"/>
        </w:rPr>
      </w:pPr>
      <w:r>
        <w:rPr>
          <w:rFonts w:ascii="Times New Roman" w:cs="Times New Roman" w:eastAsia="Times New Roman" w:hAnsi="Times New Roman"/>
          <w:sz w:val="15"/>
          <w:szCs w:val="15"/>
          <w:color w:val="auto"/>
        </w:rPr>
        <w:t>We are an internally managed, non-diversified closed-end management investment company that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47" w:lineRule="exact"/>
        <w:rPr>
          <w:sz w:val="20"/>
          <w:szCs w:val="20"/>
          <w:color w:val="auto"/>
        </w:rPr>
      </w:pPr>
    </w:p>
    <w:p>
      <w:pPr>
        <w:jc w:val="both"/>
        <w:ind w:left="9" w:firstLine="273"/>
        <w:spacing w:after="0" w:line="258" w:lineRule="auto"/>
        <w:rPr>
          <w:sz w:val="20"/>
          <w:szCs w:val="20"/>
          <w:color w:val="auto"/>
        </w:rPr>
      </w:pPr>
      <w:r>
        <w:rPr>
          <w:rFonts w:ascii="Times New Roman" w:cs="Times New Roman" w:eastAsia="Times New Roman" w:hAnsi="Times New Roman"/>
          <w:sz w:val="15"/>
          <w:szCs w:val="15"/>
          <w:color w:val="auto"/>
        </w:rPr>
        <w:t>Our investment objective is to maximize our portfolio’s total return, principally by seeking capital gains on our equity and equity-related investments, and to a lesser extent, income from debt investments. We invest principally in the equity securities of what we believe to be rapidly growing venture capital-backed emerging companies. We acquire our investments through direct investments in prospective portfolio companies, secondary marketplaces for private companies, negotiations with selling stockholders, and through investments in SPVs and investment funds that invest directly in the equity or debt of a single private issuer. In addition, we may invest in private credit and in the founders equity, founders warrants, venture capital investment funds, and private investment in public equity (“PIPE”) transactions of special purpose acquisition companies (“SPACs”). We may also invest on an opportunistic basis in select publicly traded equity securities or certain non-U.S. companies that otherwise meet our investment criteria, subject to applicable requirements of the 1940 Act. To the extent we make investments in private equity funds and hedge funds that are excluded from the definition of “investment company” under the 1940 Act by Section 3(c)(1) or 3(c)(7) of the 1940 Act, we will limit such investments to no more than 15% of our net assets.</w:t>
      </w:r>
    </w:p>
    <w:p>
      <w:pPr>
        <w:spacing w:after="0" w:line="157" w:lineRule="exact"/>
        <w:rPr>
          <w:sz w:val="20"/>
          <w:szCs w:val="20"/>
          <w:color w:val="auto"/>
        </w:rPr>
      </w:pPr>
    </w:p>
    <w:p>
      <w:pPr>
        <w:jc w:val="both"/>
        <w:ind w:left="9" w:firstLine="273"/>
        <w:spacing w:after="0" w:line="262" w:lineRule="auto"/>
        <w:rPr>
          <w:sz w:val="20"/>
          <w:szCs w:val="20"/>
          <w:color w:val="auto"/>
        </w:rPr>
      </w:pPr>
      <w:r>
        <w:rPr>
          <w:rFonts w:ascii="Times New Roman" w:cs="Times New Roman" w:eastAsia="Times New Roman" w:hAnsi="Times New Roman"/>
          <w:sz w:val="15"/>
          <w:szCs w:val="15"/>
          <w:color w:val="auto"/>
        </w:rPr>
        <w:t>In regard to the regulatory requirements for BDCs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152" w:lineRule="exact"/>
        <w:rPr>
          <w:sz w:val="20"/>
          <w:szCs w:val="20"/>
          <w:color w:val="auto"/>
        </w:rPr>
      </w:pPr>
    </w:p>
    <w:p>
      <w:pPr>
        <w:jc w:val="both"/>
        <w:ind w:left="9" w:firstLine="273"/>
        <w:spacing w:after="0" w:line="264" w:lineRule="auto"/>
        <w:rPr>
          <w:sz w:val="20"/>
          <w:szCs w:val="20"/>
          <w:color w:val="auto"/>
        </w:rPr>
      </w:pPr>
      <w:r>
        <w:rPr>
          <w:rFonts w:ascii="Times New Roman" w:cs="Times New Roman" w:eastAsia="Times New Roman" w:hAnsi="Times New Roman"/>
          <w:sz w:val="15"/>
          <w:szCs w:val="15"/>
          <w:color w:val="auto"/>
        </w:rPr>
        <w:t>Our investment philosophy is based on a disciplined approach of identifying promising investments in high-growth, venture-backed companies across several key industry themes which may include, among others, Software-as-a-Service, Artificial Intelligence, Consumer Goods &amp; Services, Education Technology, Logistics &amp; Supply Chain, Financial Technology</w:t>
      </w:r>
    </w:p>
    <w:p>
      <w:pPr>
        <w:jc w:val="both"/>
        <w:ind w:left="9" w:hanging="9"/>
        <w:spacing w:after="0" w:line="260" w:lineRule="auto"/>
        <w:tabs>
          <w:tab w:leader="none" w:pos="174"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Services, and SuRo Sports. Our investment decisions are based on a disciplined analysis of available information regarding each potential portfolio company’s business operations, focusing on the portfolio company’s growth potential, the quality of recurring revenues, and path to profitability, as well as an understanding of key market fundamentals. Venture capital funds or other institutional investors have invested in the vast majority of companies we evaluate.</w:t>
      </w:r>
    </w:p>
    <w:p>
      <w:pPr>
        <w:spacing w:after="0" w:line="15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216" w:right="319" w:bottom="1440" w:gutter="0" w:footer="0" w:header="0"/>
        </w:sectPr>
      </w:pPr>
    </w:p>
    <w:bookmarkStart w:id="51" w:name="page52"/>
    <w:bookmarkEnd w:id="51"/>
    <w:p>
      <w:pPr>
        <w:ind w:left="9"/>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92" w:lineRule="exact"/>
        <w:rPr>
          <w:sz w:val="20"/>
          <w:szCs w:val="20"/>
          <w:color w:val="auto"/>
        </w:rPr>
      </w:pPr>
    </w:p>
    <w:p>
      <w:pPr>
        <w:jc w:val="both"/>
        <w:ind w:left="9" w:firstLine="273"/>
        <w:spacing w:after="0" w:line="262" w:lineRule="auto"/>
        <w:rPr>
          <w:sz w:val="20"/>
          <w:szCs w:val="20"/>
          <w:color w:val="auto"/>
        </w:rPr>
      </w:pPr>
      <w:r>
        <w:rPr>
          <w:rFonts w:ascii="Times New Roman" w:cs="Times New Roman" w:eastAsia="Times New Roman" w:hAnsi="Times New Roman"/>
          <w:sz w:val="15"/>
          <w:szCs w:val="15"/>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 As our investment strategy is primarily focused on equity positions, our investments generally do not produce current income and therefore we may be dependent on future capital raising to meet our operating needs if no other source of liquidity is available.</w:t>
      </w:r>
    </w:p>
    <w:p>
      <w:pPr>
        <w:spacing w:after="0" w:line="152"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We seek to create a low-turnover portfolio that includes investments in companies representing a broad range of investment themes.</w:t>
      </w:r>
    </w:p>
    <w:p>
      <w:pPr>
        <w:spacing w:after="0" w:line="18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Our History</w:t>
      </w:r>
    </w:p>
    <w:p>
      <w:pPr>
        <w:spacing w:after="0" w:line="196" w:lineRule="exact"/>
        <w:rPr>
          <w:sz w:val="20"/>
          <w:szCs w:val="20"/>
          <w:color w:val="auto"/>
        </w:rPr>
      </w:pPr>
    </w:p>
    <w:p>
      <w:pPr>
        <w:jc w:val="both"/>
        <w:ind w:left="9" w:firstLine="273"/>
        <w:spacing w:after="0" w:line="288" w:lineRule="auto"/>
        <w:rPr>
          <w:sz w:val="20"/>
          <w:szCs w:val="20"/>
          <w:color w:val="auto"/>
        </w:rPr>
      </w:pPr>
      <w:r>
        <w:rPr>
          <w:rFonts w:ascii="Times New Roman" w:cs="Times New Roman" w:eastAsia="Times New Roman" w:hAnsi="Times New Roman"/>
          <w:sz w:val="15"/>
          <w:szCs w:val="15"/>
          <w:color w:val="auto"/>
        </w:rPr>
        <w:t>We formed in 2010 as a Maryland corporation and operate as an internally managed, non-diversified closed-end management investment company. Our investment activities are supervised by our Board of Directors and managed by our executive officers and investments professionals, all of which are our employees.</w:t>
      </w:r>
    </w:p>
    <w:p>
      <w:pPr>
        <w:spacing w:after="0" w:line="133" w:lineRule="exact"/>
        <w:rPr>
          <w:sz w:val="20"/>
          <w:szCs w:val="20"/>
          <w:color w:val="auto"/>
        </w:rPr>
      </w:pPr>
    </w:p>
    <w:p>
      <w:pPr>
        <w:jc w:val="both"/>
        <w:ind w:left="9" w:firstLine="273"/>
        <w:spacing w:after="0" w:line="288" w:lineRule="auto"/>
        <w:rPr>
          <w:sz w:val="20"/>
          <w:szCs w:val="20"/>
          <w:color w:val="auto"/>
        </w:rPr>
      </w:pPr>
      <w:r>
        <w:rPr>
          <w:rFonts w:ascii="Times New Roman" w:cs="Times New Roman" w:eastAsia="Times New Roman" w:hAnsi="Times New Roman"/>
          <w:sz w:val="15"/>
          <w:szCs w:val="15"/>
          <w:color w:val="auto"/>
        </w:rPr>
        <w:t>Our date of inception was January 6, 2011, which is the date we commenced development stage activities. We commenced operations as a BDC upon completion of our IPO in May 2011 and began our investment operations during the second quarter of 2011.</w:t>
      </w:r>
    </w:p>
    <w:p>
      <w:pPr>
        <w:spacing w:after="0" w:line="133" w:lineRule="exact"/>
        <w:rPr>
          <w:sz w:val="20"/>
          <w:szCs w:val="20"/>
          <w:color w:val="auto"/>
        </w:rPr>
      </w:pPr>
    </w:p>
    <w:p>
      <w:pPr>
        <w:jc w:val="both"/>
        <w:ind w:left="9" w:firstLine="273"/>
        <w:spacing w:after="0" w:line="260" w:lineRule="auto"/>
        <w:rPr>
          <w:sz w:val="20"/>
          <w:szCs w:val="20"/>
          <w:color w:val="auto"/>
        </w:rPr>
      </w:pPr>
      <w:r>
        <w:rPr>
          <w:rFonts w:ascii="Times New Roman" w:cs="Times New Roman" w:eastAsia="Times New Roman" w:hAnsi="Times New Roman"/>
          <w:sz w:val="15"/>
          <w:szCs w:val="15"/>
          <w:color w:val="auto"/>
        </w:rPr>
        <w:t>On and effective March 12, 2019, our Board of Directors approved our internalization (the “Internalization”), and we began operating as an internally managed non-diversified closed-end management investment company that has elected to be regulated as a BDC under the 1940 Act. Our Board of Directors approved the Internalization in order to better align the interests of our stockholders with its management. As an internally managed BDC, we are managed by our employees, rather than the employees of an external investment adviser, thereby allowing for greater transparency to stockholders through robust disclosure regarding our compensation structure. As a result of the Internalization, we no longer pay any fees or expenses under an investment advisory agreement or administration agreement, and instead pay the operating costs associated with employing investment management professionals including, without limitation, compensation expenses related to salaries, discretionary bonuses and restricted stock grants.</w:t>
      </w:r>
    </w:p>
    <w:p>
      <w:pPr>
        <w:spacing w:after="0" w:line="15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Portfolio and Investment Activity</w:t>
      </w:r>
    </w:p>
    <w:p>
      <w:pPr>
        <w:spacing w:after="0" w:line="19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Nine Months Ended September 30, 2024</w:t>
      </w:r>
    </w:p>
    <w:p>
      <w:pPr>
        <w:spacing w:after="0" w:line="196" w:lineRule="exact"/>
        <w:rPr>
          <w:sz w:val="20"/>
          <w:szCs w:val="20"/>
          <w:color w:val="auto"/>
        </w:rPr>
      </w:pPr>
    </w:p>
    <w:p>
      <w:pPr>
        <w:jc w:val="both"/>
        <w:ind w:left="9" w:firstLine="273"/>
        <w:spacing w:after="0" w:line="270" w:lineRule="auto"/>
        <w:rPr>
          <w:sz w:val="20"/>
          <w:szCs w:val="20"/>
          <w:color w:val="auto"/>
        </w:rPr>
      </w:pPr>
      <w:r>
        <w:rPr>
          <w:rFonts w:ascii="Times New Roman" w:cs="Times New Roman" w:eastAsia="Times New Roman" w:hAnsi="Times New Roman"/>
          <w:sz w:val="15"/>
          <w:szCs w:val="15"/>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September 30, 2024 of all of our portfolio investments was $199,302,778.</w:t>
      </w:r>
    </w:p>
    <w:p>
      <w:pPr>
        <w:spacing w:after="0" w:line="147" w:lineRule="exact"/>
        <w:rPr>
          <w:sz w:val="20"/>
          <w:szCs w:val="20"/>
          <w:color w:val="auto"/>
        </w:rPr>
      </w:pPr>
    </w:p>
    <w:p>
      <w:pPr>
        <w:jc w:val="both"/>
        <w:ind w:left="9" w:right="20" w:firstLine="273"/>
        <w:spacing w:after="0" w:line="264" w:lineRule="auto"/>
        <w:rPr>
          <w:sz w:val="20"/>
          <w:szCs w:val="20"/>
          <w:color w:val="auto"/>
        </w:rPr>
      </w:pPr>
      <w:r>
        <w:rPr>
          <w:rFonts w:ascii="Times New Roman" w:cs="Times New Roman" w:eastAsia="Times New Roman" w:hAnsi="Times New Roman"/>
          <w:sz w:val="15"/>
          <w:szCs w:val="15"/>
          <w:color w:val="auto"/>
        </w:rPr>
        <w:t>During the nine months ended September 30, 2024, we funded investments in an aggregate amount of $57,500,344 (not including capitalized transaction costs) as shown in the following table:</w:t>
      </w:r>
    </w:p>
    <w:tbl>
      <w:tblPr>
        <w:tblLayout w:type="fixed"/>
        <w:tblInd w:w="9" w:type="dxa"/>
        <w:tblCellMar>
          <w:top w:w="0" w:type="dxa"/>
          <w:left w:w="0" w:type="dxa"/>
          <w:bottom w:w="0" w:type="dxa"/>
          <w:right w:w="0" w:type="dxa"/>
        </w:tblCellMar>
      </w:tblPr>
      <w:tr>
        <w:trPr>
          <w:trHeight w:val="193"/>
        </w:trPr>
        <w:tc>
          <w:tcPr>
            <w:tcW w:w="29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Portfolio Company</w:t>
            </w:r>
          </w:p>
        </w:tc>
        <w:tc>
          <w:tcPr>
            <w:tcW w:w="2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2840" w:type="dxa"/>
            <w:vAlign w:val="bottom"/>
            <w:gridSpan w:val="2"/>
          </w:tcPr>
          <w:p>
            <w:pPr>
              <w:ind w:left="760"/>
              <w:spacing w:after="0"/>
              <w:rPr>
                <w:sz w:val="20"/>
                <w:szCs w:val="20"/>
                <w:color w:val="auto"/>
              </w:rPr>
            </w:pPr>
            <w:r>
              <w:rPr>
                <w:rFonts w:ascii="Times New Roman" w:cs="Times New Roman" w:eastAsia="Times New Roman" w:hAnsi="Times New Roman"/>
                <w:sz w:val="15"/>
                <w:szCs w:val="15"/>
                <w:b w:val="1"/>
                <w:bCs w:val="1"/>
                <w:color w:val="auto"/>
              </w:rPr>
              <w:t>Transaction Date</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80" w:type="dxa"/>
            <w:vAlign w:val="bottom"/>
            <w:gridSpan w:val="3"/>
          </w:tcPr>
          <w:p>
            <w:pPr>
              <w:ind w:left="320"/>
              <w:spacing w:after="0"/>
              <w:rPr>
                <w:sz w:val="20"/>
                <w:szCs w:val="20"/>
                <w:color w:val="auto"/>
              </w:rPr>
            </w:pPr>
            <w:r>
              <w:rPr>
                <w:rFonts w:ascii="Times New Roman" w:cs="Times New Roman" w:eastAsia="Times New Roman" w:hAnsi="Times New Roman"/>
                <w:sz w:val="15"/>
                <w:szCs w:val="15"/>
                <w:b w:val="1"/>
                <w:bCs w:val="1"/>
                <w:color w:val="auto"/>
              </w:rPr>
              <w:t>Gross Payments</w:t>
            </w:r>
          </w:p>
        </w:tc>
      </w:tr>
      <w:tr>
        <w:trPr>
          <w:trHeight w:val="159"/>
        </w:trPr>
        <w:tc>
          <w:tcPr>
            <w:tcW w:w="27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Supplying Demand, Inc. (d/b/a Liquid</w:t>
            </w:r>
          </w:p>
        </w:tc>
        <w:tc>
          <w:tcPr>
            <w:tcW w:w="240" w:type="dxa"/>
            <w:vAlign w:val="bottom"/>
            <w:tcBorders>
              <w:top w:val="single" w:sz="8" w:color="CCEEFF"/>
            </w:tcBorders>
            <w:shd w:val="clear" w:color="auto" w:fill="CCEEFF"/>
          </w:tcPr>
          <w:p>
            <w:pPr>
              <w:spacing w:after="0"/>
              <w:rPr>
                <w:sz w:val="13"/>
                <w:szCs w:val="13"/>
                <w:color w:val="auto"/>
              </w:rPr>
            </w:pPr>
          </w:p>
        </w:tc>
        <w:tc>
          <w:tcPr>
            <w:tcW w:w="27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60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20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r>
      <w:tr>
        <w:trPr>
          <w:trHeight w:val="197"/>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Death)</w:t>
            </w:r>
          </w:p>
        </w:tc>
        <w:tc>
          <w:tcPr>
            <w:tcW w:w="29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rPr>
              <w:t>Preferred shares, Series F-1</w:t>
            </w: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1/18/2024</w:t>
            </w:r>
          </w:p>
        </w:tc>
        <w:tc>
          <w:tcPr>
            <w:tcW w:w="2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93"/>
              <w:spacing w:after="0"/>
              <w:rPr>
                <w:sz w:val="20"/>
                <w:szCs w:val="20"/>
                <w:color w:val="auto"/>
              </w:rPr>
            </w:pPr>
            <w:r>
              <w:rPr>
                <w:rFonts w:ascii="Times New Roman" w:cs="Times New Roman" w:eastAsia="Times New Roman" w:hAnsi="Times New Roman"/>
                <w:sz w:val="11"/>
                <w:szCs w:val="11"/>
                <w:color w:val="auto"/>
                <w:w w:val="71"/>
              </w:rPr>
              <w:t>$</w:t>
            </w:r>
          </w:p>
        </w:tc>
        <w:tc>
          <w:tcPr>
            <w:tcW w:w="2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9,999,996</w:t>
            </w:r>
          </w:p>
        </w:tc>
        <w:tc>
          <w:tcPr>
            <w:tcW w:w="80" w:type="dxa"/>
            <w:vAlign w:val="bottom"/>
            <w:shd w:val="clear" w:color="auto" w:fill="CCEEFF"/>
          </w:tcPr>
          <w:p>
            <w:pPr>
              <w:spacing w:after="0"/>
              <w:rPr>
                <w:sz w:val="17"/>
                <w:szCs w:val="17"/>
                <w:color w:val="auto"/>
              </w:rPr>
            </w:pPr>
          </w:p>
        </w:tc>
      </w:tr>
      <w:tr>
        <w:trPr>
          <w:trHeight w:val="182"/>
        </w:trPr>
        <w:tc>
          <w:tcPr>
            <w:tcW w:w="2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Canva, Inc.</w:t>
            </w: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Common shares</w:t>
            </w:r>
          </w:p>
        </w:tc>
        <w:tc>
          <w:tcPr>
            <w:tcW w:w="2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4/17/2024</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9,999,948</w:t>
            </w:r>
          </w:p>
        </w:tc>
        <w:tc>
          <w:tcPr>
            <w:tcW w:w="80" w:type="dxa"/>
            <w:vAlign w:val="bottom"/>
          </w:tcPr>
          <w:p>
            <w:pPr>
              <w:spacing w:after="0"/>
              <w:rPr>
                <w:sz w:val="15"/>
                <w:szCs w:val="15"/>
                <w:color w:val="auto"/>
              </w:rPr>
            </w:pPr>
          </w:p>
        </w:tc>
      </w:tr>
      <w:tr>
        <w:trPr>
          <w:trHeight w:val="216"/>
        </w:trPr>
        <w:tc>
          <w:tcPr>
            <w:tcW w:w="29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CW Opportunity 2 LP</w:t>
            </w:r>
            <w:r>
              <w:rPr>
                <w:rFonts w:ascii="Times New Roman" w:cs="Times New Roman" w:eastAsia="Times New Roman" w:hAnsi="Times New Roman"/>
                <w:sz w:val="25"/>
                <w:szCs w:val="25"/>
                <w:color w:val="auto"/>
                <w:vertAlign w:val="superscript"/>
              </w:rPr>
              <w:t>(1)</w:t>
            </w:r>
          </w:p>
        </w:tc>
        <w:tc>
          <w:tcPr>
            <w:tcW w:w="2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Membership Interest, Class A</w:t>
            </w: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5/7/2024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15,000,000</w:t>
            </w:r>
          </w:p>
        </w:tc>
        <w:tc>
          <w:tcPr>
            <w:tcW w:w="80" w:type="dxa"/>
            <w:vAlign w:val="bottom"/>
            <w:shd w:val="clear" w:color="auto" w:fill="CCEEFF"/>
          </w:tcPr>
          <w:p>
            <w:pPr>
              <w:spacing w:after="0"/>
              <w:rPr>
                <w:sz w:val="18"/>
                <w:szCs w:val="18"/>
                <w:color w:val="auto"/>
              </w:rPr>
            </w:pPr>
          </w:p>
        </w:tc>
      </w:tr>
      <w:tr>
        <w:trPr>
          <w:trHeight w:val="216"/>
        </w:trPr>
        <w:tc>
          <w:tcPr>
            <w:tcW w:w="294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ARK Type One Deep Ventures Fund LLC</w:t>
            </w:r>
            <w:r>
              <w:rPr>
                <w:rFonts w:ascii="Times New Roman" w:cs="Times New Roman" w:eastAsia="Times New Roman" w:hAnsi="Times New Roman"/>
                <w:sz w:val="25"/>
                <w:szCs w:val="25"/>
                <w:color w:val="auto"/>
                <w:vertAlign w:val="superscript"/>
              </w:rPr>
              <w:t>(2)</w:t>
            </w: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Membership Interest, Class A</w:t>
            </w:r>
          </w:p>
        </w:tc>
        <w:tc>
          <w:tcPr>
            <w:tcW w:w="26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9/25/2024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17,500,000</w:t>
            </w:r>
          </w:p>
        </w:tc>
        <w:tc>
          <w:tcPr>
            <w:tcW w:w="80" w:type="dxa"/>
            <w:vAlign w:val="bottom"/>
          </w:tcPr>
          <w:p>
            <w:pPr>
              <w:spacing w:after="0"/>
              <w:rPr>
                <w:sz w:val="18"/>
                <w:szCs w:val="18"/>
                <w:color w:val="auto"/>
              </w:rPr>
            </w:pPr>
          </w:p>
        </w:tc>
      </w:tr>
      <w:tr>
        <w:trPr>
          <w:trHeight w:val="194"/>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CoreWeave, Inc.</w:t>
            </w:r>
          </w:p>
        </w:tc>
        <w:tc>
          <w:tcPr>
            <w:tcW w:w="2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Common shares</w:t>
            </w: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9/26/2024</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5,000,400</w:t>
            </w:r>
          </w:p>
        </w:tc>
        <w:tc>
          <w:tcPr>
            <w:tcW w:w="80" w:type="dxa"/>
            <w:vAlign w:val="bottom"/>
            <w:shd w:val="clear" w:color="auto" w:fill="CCEEFF"/>
          </w:tcPr>
          <w:p>
            <w:pPr>
              <w:spacing w:after="0"/>
              <w:rPr>
                <w:sz w:val="16"/>
                <w:szCs w:val="16"/>
                <w:color w:val="auto"/>
              </w:rPr>
            </w:pPr>
          </w:p>
        </w:tc>
      </w:tr>
      <w:tr>
        <w:trPr>
          <w:trHeight w:val="185"/>
        </w:trPr>
        <w:tc>
          <w:tcPr>
            <w:tcW w:w="29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57,500,344</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2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78689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86890" cy="6985"/>
                    </a:xfrm>
                    <a:prstGeom prst="rect">
                      <a:avLst/>
                    </a:prstGeom>
                    <a:noFill/>
                  </pic:spPr>
                </pic:pic>
              </a:graphicData>
            </a:graphic>
          </wp:anchor>
        </w:drawing>
      </w:r>
    </w:p>
    <w:p>
      <w:pPr>
        <w:spacing w:after="0" w:line="170" w:lineRule="exact"/>
        <w:rPr>
          <w:sz w:val="20"/>
          <w:szCs w:val="20"/>
          <w:color w:val="auto"/>
        </w:rPr>
      </w:pPr>
    </w:p>
    <w:p>
      <w:pPr>
        <w:ind w:left="269" w:hanging="269"/>
        <w:spacing w:after="0" w:line="264" w:lineRule="auto"/>
        <w:tabs>
          <w:tab w:leader="none" w:pos="269"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CW Opportunity 2 LP is a special purpose vehicle (“SPV”) that is solely invested in the Series C Preferred Shares of CoreWeave, Inc. We are invested in the Series C Preferred Shares of CoreWeave, Inc. through our investment in the Class A Interest of CW Opportunity 2 LP.</w:t>
      </w:r>
    </w:p>
    <w:p>
      <w:pPr>
        <w:ind w:left="269" w:hanging="269"/>
        <w:spacing w:after="0" w:line="267" w:lineRule="auto"/>
        <w:tabs>
          <w:tab w:leader="none" w:pos="269"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ARK Type One Deep Ventures Fund LLC is an investment fund for which the Class A Interest is solely invested in the Convertible Equity of OpenAI Global, LLC. We are invested in the Convertible Equity of OpenAI Global, LLC through our investment in the Class A Interest of ARK Type One Deep Ventures Fund LLC.</w:t>
      </w:r>
    </w:p>
    <w:p>
      <w:pPr>
        <w:spacing w:after="0" w:line="14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5391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216" w:right="319" w:bottom="1440" w:gutter="0" w:footer="0" w:header="0"/>
        </w:sectPr>
      </w:pPr>
    </w:p>
    <w:bookmarkStart w:id="52" w:name="page53"/>
    <w:bookmarkEnd w:id="52"/>
    <w:p>
      <w:pPr>
        <w:spacing w:after="0" w:line="6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92"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During the nine months ended September 30, 2024, we capitalized fees of $286,411.</w:t>
      </w:r>
    </w:p>
    <w:p>
      <w:pPr>
        <w:spacing w:after="0" w:line="192" w:lineRule="exact"/>
        <w:rPr>
          <w:sz w:val="20"/>
          <w:szCs w:val="20"/>
          <w:color w:val="auto"/>
        </w:rPr>
      </w:pPr>
    </w:p>
    <w:p>
      <w:pPr>
        <w:ind w:left="9" w:right="20" w:firstLine="273"/>
        <w:spacing w:after="0" w:line="288" w:lineRule="auto"/>
        <w:rPr>
          <w:sz w:val="20"/>
          <w:szCs w:val="20"/>
          <w:color w:val="auto"/>
        </w:rPr>
      </w:pPr>
      <w:r>
        <w:rPr>
          <w:rFonts w:ascii="Times New Roman" w:cs="Times New Roman" w:eastAsia="Times New Roman" w:hAnsi="Times New Roman"/>
          <w:sz w:val="15"/>
          <w:szCs w:val="15"/>
          <w:color w:val="auto"/>
        </w:rPr>
        <w:t>During the nine months ended September 30, 2024, we exited or received proceeds from investments (not including short-term U.S. Treasury bills) in the amount of $14,941,469, net of transaction costs, and realized a net loss on investments of $14,167,198 (including adjustments to amounts held in escrow receivable) as shown in following table:</w:t>
      </w:r>
    </w:p>
    <w:p>
      <w:pPr>
        <w:spacing w:after="0" w:line="129" w:lineRule="exact"/>
        <w:rPr>
          <w:sz w:val="20"/>
          <w:szCs w:val="20"/>
          <w:color w:val="auto"/>
        </w:rPr>
      </w:pPr>
    </w:p>
    <w:tbl>
      <w:tblPr>
        <w:tblLayout w:type="fixed"/>
        <w:tblInd w:w="9" w:type="dxa"/>
        <w:tblCellMar>
          <w:top w:w="0" w:type="dxa"/>
          <w:left w:w="0" w:type="dxa"/>
          <w:bottom w:w="0" w:type="dxa"/>
          <w:right w:w="0" w:type="dxa"/>
        </w:tblCellMar>
      </w:tblPr>
      <w:tr>
        <w:trPr>
          <w:trHeight w:val="186"/>
        </w:trPr>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Average Net Share</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Realized</w:t>
            </w:r>
          </w:p>
        </w:tc>
        <w:tc>
          <w:tcPr>
            <w:tcW w:w="0" w:type="dxa"/>
            <w:vAlign w:val="bottom"/>
          </w:tcPr>
          <w:p>
            <w:pPr>
              <w:spacing w:after="0"/>
              <w:rPr>
                <w:sz w:val="1"/>
                <w:szCs w:val="1"/>
                <w:color w:val="auto"/>
              </w:rPr>
            </w:pPr>
          </w:p>
        </w:tc>
      </w:tr>
      <w:tr>
        <w:trPr>
          <w:trHeight w:val="231"/>
        </w:trPr>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Portfolio Company</w:t>
            </w:r>
          </w:p>
        </w:tc>
        <w:tc>
          <w:tcPr>
            <w:tcW w:w="24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Transaction Date</w:t>
            </w:r>
          </w:p>
        </w:tc>
        <w:tc>
          <w:tcPr>
            <w:tcW w:w="22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5"/>
                <w:szCs w:val="15"/>
                <w:b w:val="1"/>
                <w:bCs w:val="1"/>
                <w:color w:val="auto"/>
              </w:rPr>
              <w:t>Quantity</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ind w:left="440"/>
              <w:spacing w:after="0" w:line="232" w:lineRule="exact"/>
              <w:rPr>
                <w:sz w:val="20"/>
                <w:szCs w:val="20"/>
                <w:color w:val="auto"/>
              </w:rPr>
            </w:pPr>
            <w:r>
              <w:rPr>
                <w:rFonts w:ascii="Times New Roman" w:cs="Times New Roman" w:eastAsia="Times New Roman" w:hAnsi="Times New Roman"/>
                <w:sz w:val="15"/>
                <w:szCs w:val="15"/>
                <w:b w:val="1"/>
                <w:bCs w:val="1"/>
                <w:color w:val="auto"/>
              </w:rPr>
              <w:t>Price</w:t>
            </w:r>
            <w:r>
              <w:rPr>
                <w:rFonts w:ascii="Times New Roman" w:cs="Times New Roman" w:eastAsia="Times New Roman" w:hAnsi="Times New Roman"/>
                <w:sz w:val="25"/>
                <w:szCs w:val="25"/>
                <w:b w:val="1"/>
                <w:bCs w:val="1"/>
                <w:color w:val="auto"/>
                <w:vertAlign w:val="superscript"/>
              </w:rPr>
              <w:t>(1)</w:t>
            </w:r>
          </w:p>
        </w:tc>
        <w:tc>
          <w:tcPr>
            <w:tcW w:w="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Net Proceeds</w:t>
            </w:r>
          </w:p>
        </w:tc>
        <w:tc>
          <w:tcPr>
            <w:tcW w:w="3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4"/>
              <w:spacing w:after="0" w:line="232" w:lineRule="exact"/>
              <w:rPr>
                <w:sz w:val="20"/>
                <w:szCs w:val="20"/>
                <w:color w:val="auto"/>
              </w:rPr>
            </w:pPr>
            <w:r>
              <w:rPr>
                <w:rFonts w:ascii="Times New Roman" w:cs="Times New Roman" w:eastAsia="Times New Roman" w:hAnsi="Times New Roman"/>
                <w:sz w:val="15"/>
                <w:szCs w:val="15"/>
                <w:b w:val="1"/>
                <w:bCs w:val="1"/>
                <w:color w:val="auto"/>
                <w:w w:val="95"/>
              </w:rPr>
              <w:t>Gain/(Loss)</w:t>
            </w:r>
            <w:r>
              <w:rPr>
                <w:rFonts w:ascii="Times New Roman" w:cs="Times New Roman" w:eastAsia="Times New Roman" w:hAnsi="Times New Roman"/>
                <w:sz w:val="25"/>
                <w:szCs w:val="25"/>
                <w:b w:val="1"/>
                <w:bCs w:val="1"/>
                <w:color w:val="auto"/>
                <w:w w:val="95"/>
                <w:vertAlign w:val="superscript"/>
              </w:rPr>
              <w:t>(2)</w:t>
            </w:r>
          </w:p>
        </w:tc>
        <w:tc>
          <w:tcPr>
            <w:tcW w:w="6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8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5"/>
                <w:szCs w:val="15"/>
                <w:color w:val="auto"/>
              </w:rPr>
              <w:t>Nextdoor Holdings, Inc.</w:t>
            </w:r>
            <w:r>
              <w:rPr>
                <w:rFonts w:ascii="Times New Roman" w:cs="Times New Roman" w:eastAsia="Times New Roman" w:hAnsi="Times New Roman"/>
                <w:sz w:val="24"/>
                <w:szCs w:val="24"/>
                <w:color w:val="auto"/>
                <w:vertAlign w:val="superscript"/>
              </w:rPr>
              <w:t>(3)</w:t>
            </w:r>
          </w:p>
        </w:tc>
        <w:tc>
          <w:tcPr>
            <w:tcW w:w="2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6"/>
              </w:rPr>
              <w:t>Various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112,420</w:t>
            </w: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84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5"/>
                <w:szCs w:val="15"/>
                <w:color w:val="auto"/>
              </w:rPr>
              <w:t>1.92</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215,318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(411,151)</w:t>
            </w:r>
          </w:p>
        </w:tc>
        <w:tc>
          <w:tcPr>
            <w:tcW w:w="0" w:type="dxa"/>
            <w:vAlign w:val="bottom"/>
          </w:tcPr>
          <w:p>
            <w:pPr>
              <w:spacing w:after="0"/>
              <w:rPr>
                <w:sz w:val="1"/>
                <w:szCs w:val="1"/>
                <w:color w:val="auto"/>
              </w:rPr>
            </w:pPr>
          </w:p>
        </w:tc>
      </w:tr>
      <w:tr>
        <w:trPr>
          <w:trHeight w:val="169"/>
        </w:trPr>
        <w:tc>
          <w:tcPr>
            <w:tcW w:w="204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color w:val="auto"/>
              </w:rPr>
              <w:t>PSQ Holdings, Inc. (d/b/a</w:t>
            </w: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40" w:type="dxa"/>
            <w:vAlign w:val="bottom"/>
            <w:gridSpan w:val="2"/>
          </w:tcPr>
          <w:p>
            <w:pPr>
              <w:spacing w:after="0" w:line="229" w:lineRule="exact"/>
              <w:rPr>
                <w:sz w:val="20"/>
                <w:szCs w:val="20"/>
                <w:color w:val="auto"/>
              </w:rPr>
            </w:pPr>
            <w:r>
              <w:rPr>
                <w:rFonts w:ascii="Times New Roman" w:cs="Times New Roman" w:eastAsia="Times New Roman" w:hAnsi="Times New Roman"/>
                <w:sz w:val="15"/>
                <w:szCs w:val="15"/>
                <w:color w:val="auto"/>
              </w:rPr>
              <w:t xml:space="preserve">PublicSquare) </w:t>
            </w:r>
            <w:r>
              <w:rPr>
                <w:rFonts w:ascii="Times New Roman" w:cs="Times New Roman" w:eastAsia="Times New Roman" w:hAnsi="Times New Roman"/>
                <w:sz w:val="15"/>
                <w:szCs w:val="15"/>
                <w:i w:val="1"/>
                <w:iCs w:val="1"/>
                <w:color w:val="auto"/>
              </w:rPr>
              <w:t>- Warrants</w:t>
            </w:r>
            <w:r>
              <w:rPr>
                <w:rFonts w:ascii="Times New Roman" w:cs="Times New Roman" w:eastAsia="Times New Roman" w:hAnsi="Times New Roman"/>
                <w:sz w:val="25"/>
                <w:szCs w:val="25"/>
                <w:color w:val="auto"/>
                <w:vertAlign w:val="superscript"/>
              </w:rPr>
              <w:t>(4)</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6"/>
              </w:rPr>
              <w:t>Various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100,000</w:t>
            </w:r>
          </w:p>
        </w:tc>
        <w:tc>
          <w:tcPr>
            <w:tcW w:w="160" w:type="dxa"/>
            <w:vAlign w:val="bottom"/>
          </w:tcPr>
          <w:p>
            <w:pPr>
              <w:spacing w:after="0"/>
              <w:rPr>
                <w:sz w:val="19"/>
                <w:szCs w:val="19"/>
                <w:color w:val="auto"/>
              </w:rPr>
            </w:pPr>
          </w:p>
        </w:tc>
        <w:tc>
          <w:tcPr>
            <w:tcW w:w="1840" w:type="dxa"/>
            <w:vAlign w:val="bottom"/>
            <w:gridSpan w:val="2"/>
          </w:tcPr>
          <w:p>
            <w:pPr>
              <w:ind w:left="1260"/>
              <w:spacing w:after="0"/>
              <w:rPr>
                <w:sz w:val="20"/>
                <w:szCs w:val="20"/>
                <w:color w:val="auto"/>
              </w:rPr>
            </w:pPr>
            <w:r>
              <w:rPr>
                <w:rFonts w:ascii="Times New Roman" w:cs="Times New Roman" w:eastAsia="Times New Roman" w:hAnsi="Times New Roman"/>
                <w:sz w:val="15"/>
                <w:szCs w:val="15"/>
                <w:color w:val="auto"/>
              </w:rPr>
              <w:t>1.03</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102,998</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60,067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4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Architect Capital PayJoy</w:t>
            </w:r>
          </w:p>
        </w:tc>
        <w:tc>
          <w:tcPr>
            <w:tcW w:w="1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40" w:type="dxa"/>
            <w:vAlign w:val="bottom"/>
            <w:gridSpan w:val="2"/>
            <w:shd w:val="clear" w:color="auto" w:fill="CCEEFF"/>
          </w:tcPr>
          <w:p>
            <w:pPr>
              <w:spacing w:after="0" w:line="229" w:lineRule="exact"/>
              <w:rPr>
                <w:sz w:val="20"/>
                <w:szCs w:val="20"/>
                <w:color w:val="auto"/>
              </w:rPr>
            </w:pPr>
            <w:r>
              <w:rPr>
                <w:rFonts w:ascii="Times New Roman" w:cs="Times New Roman" w:eastAsia="Times New Roman" w:hAnsi="Times New Roman"/>
                <w:sz w:val="15"/>
                <w:szCs w:val="15"/>
                <w:color w:val="auto"/>
              </w:rPr>
              <w:t>SPV, LLC</w:t>
            </w:r>
            <w:r>
              <w:rPr>
                <w:rFonts w:ascii="Times New Roman" w:cs="Times New Roman" w:eastAsia="Times New Roman" w:hAnsi="Times New Roman"/>
                <w:sz w:val="25"/>
                <w:szCs w:val="25"/>
                <w:color w:val="auto"/>
                <w:vertAlign w:val="superscript"/>
              </w:rPr>
              <w:t>(5)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6/28/2024</w:t>
            </w:r>
          </w:p>
        </w:tc>
        <w:tc>
          <w:tcPr>
            <w:tcW w:w="22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N/A</w:t>
            </w: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5"/>
                <w:szCs w:val="15"/>
                <w:color w:val="auto"/>
              </w:rPr>
              <w:t>N/A</w:t>
            </w:r>
          </w:p>
        </w:tc>
        <w:tc>
          <w:tcPr>
            <w:tcW w:w="2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10,000,000</w:t>
            </w:r>
          </w:p>
        </w:tc>
        <w:tc>
          <w:tcPr>
            <w:tcW w:w="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(6,745)</w:t>
            </w:r>
          </w:p>
        </w:tc>
        <w:tc>
          <w:tcPr>
            <w:tcW w:w="0" w:type="dxa"/>
            <w:vAlign w:val="bottom"/>
          </w:tcPr>
          <w:p>
            <w:pPr>
              <w:spacing w:after="0"/>
              <w:rPr>
                <w:sz w:val="1"/>
                <w:szCs w:val="1"/>
                <w:color w:val="auto"/>
              </w:rPr>
            </w:pPr>
          </w:p>
        </w:tc>
      </w:tr>
      <w:tr>
        <w:trPr>
          <w:trHeight w:val="169"/>
        </w:trPr>
        <w:tc>
          <w:tcPr>
            <w:tcW w:w="204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color w:val="auto"/>
              </w:rPr>
              <w:t>True Global Ventures 4 Plus</w:t>
            </w: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40" w:type="dxa"/>
            <w:vAlign w:val="bottom"/>
            <w:gridSpan w:val="2"/>
          </w:tcPr>
          <w:p>
            <w:pPr>
              <w:spacing w:after="0" w:line="229" w:lineRule="exact"/>
              <w:rPr>
                <w:sz w:val="20"/>
                <w:szCs w:val="20"/>
                <w:color w:val="auto"/>
              </w:rPr>
            </w:pPr>
            <w:r>
              <w:rPr>
                <w:rFonts w:ascii="Times New Roman" w:cs="Times New Roman" w:eastAsia="Times New Roman" w:hAnsi="Times New Roman"/>
                <w:sz w:val="15"/>
                <w:szCs w:val="15"/>
                <w:color w:val="auto"/>
              </w:rPr>
              <w:t>Pte Ltd</w:t>
            </w:r>
            <w:r>
              <w:rPr>
                <w:rFonts w:ascii="Times New Roman" w:cs="Times New Roman" w:eastAsia="Times New Roman" w:hAnsi="Times New Roman"/>
                <w:sz w:val="25"/>
                <w:szCs w:val="25"/>
                <w:color w:val="auto"/>
                <w:vertAlign w:val="superscript"/>
              </w:rPr>
              <w:t>(6)</w:t>
            </w:r>
          </w:p>
        </w:tc>
        <w:tc>
          <w:tcPr>
            <w:tcW w:w="18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6/28/2024</w:t>
            </w:r>
          </w:p>
        </w:tc>
        <w:tc>
          <w:tcPr>
            <w:tcW w:w="220" w:type="dxa"/>
            <w:vAlign w:val="bottom"/>
          </w:tcPr>
          <w:p>
            <w:pPr>
              <w:spacing w:after="0"/>
              <w:rPr>
                <w:sz w:val="19"/>
                <w:szCs w:val="19"/>
                <w:color w:val="auto"/>
              </w:rPr>
            </w:pP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N/A</w:t>
            </w:r>
          </w:p>
        </w:tc>
        <w:tc>
          <w:tcPr>
            <w:tcW w:w="160" w:type="dxa"/>
            <w:vAlign w:val="bottom"/>
          </w:tcPr>
          <w:p>
            <w:pPr>
              <w:spacing w:after="0"/>
              <w:rPr>
                <w:sz w:val="19"/>
                <w:szCs w:val="19"/>
                <w:color w:val="auto"/>
              </w:rPr>
            </w:pPr>
          </w:p>
        </w:tc>
        <w:tc>
          <w:tcPr>
            <w:tcW w:w="1840" w:type="dxa"/>
            <w:vAlign w:val="bottom"/>
            <w:gridSpan w:val="2"/>
          </w:tcPr>
          <w:p>
            <w:pPr>
              <w:ind w:left="1260"/>
              <w:spacing w:after="0"/>
              <w:rPr>
                <w:sz w:val="20"/>
                <w:szCs w:val="20"/>
                <w:color w:val="auto"/>
              </w:rPr>
            </w:pPr>
            <w:r>
              <w:rPr>
                <w:rFonts w:ascii="Times New Roman" w:cs="Times New Roman" w:eastAsia="Times New Roman" w:hAnsi="Times New Roman"/>
                <w:sz w:val="15"/>
                <w:szCs w:val="15"/>
                <w:color w:val="auto"/>
              </w:rPr>
              <w:t>N/A</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233,019</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4"/>
        </w:trPr>
        <w:tc>
          <w:tcPr>
            <w:tcW w:w="204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PSQ Holdings, Inc. (d/b/a</w:t>
            </w:r>
          </w:p>
        </w:tc>
        <w:tc>
          <w:tcPr>
            <w:tcW w:w="1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xml:space="preserve">PublicSq.) </w:t>
            </w:r>
            <w:r>
              <w:rPr>
                <w:rFonts w:ascii="Times New Roman" w:cs="Times New Roman" w:eastAsia="Times New Roman" w:hAnsi="Times New Roman"/>
                <w:sz w:val="15"/>
                <w:szCs w:val="15"/>
                <w:i w:val="1"/>
                <w:iCs w:val="1"/>
                <w:color w:val="auto"/>
              </w:rPr>
              <w:t>- Public Common</w:t>
            </w:r>
          </w:p>
        </w:tc>
        <w:tc>
          <w:tcPr>
            <w:tcW w:w="1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40" w:type="dxa"/>
            <w:vAlign w:val="bottom"/>
            <w:gridSpan w:val="2"/>
            <w:shd w:val="clear" w:color="auto" w:fill="CCEEFF"/>
          </w:tcPr>
          <w:p>
            <w:pPr>
              <w:spacing w:after="0" w:line="229" w:lineRule="exact"/>
              <w:rPr>
                <w:sz w:val="20"/>
                <w:szCs w:val="20"/>
                <w:color w:val="auto"/>
              </w:rPr>
            </w:pPr>
            <w:r>
              <w:rPr>
                <w:rFonts w:ascii="Times New Roman" w:cs="Times New Roman" w:eastAsia="Times New Roman" w:hAnsi="Times New Roman"/>
                <w:sz w:val="15"/>
                <w:szCs w:val="15"/>
                <w:i w:val="1"/>
                <w:iCs w:val="1"/>
                <w:color w:val="auto"/>
              </w:rPr>
              <w:t>Shares</w:t>
            </w:r>
            <w:r>
              <w:rPr>
                <w:rFonts w:ascii="Times New Roman" w:cs="Times New Roman" w:eastAsia="Times New Roman" w:hAnsi="Times New Roman"/>
                <w:sz w:val="25"/>
                <w:szCs w:val="25"/>
                <w:color w:val="auto"/>
                <w:vertAlign w:val="superscript"/>
              </w:rPr>
              <w:t>(7)</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6"/>
              </w:rPr>
              <w:t>Various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359,845</w:t>
            </w: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84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5"/>
                <w:szCs w:val="15"/>
                <w:color w:val="auto"/>
              </w:rPr>
              <w:t>2.82</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1,015,184</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731,722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Churchill Sponsor VII LLC</w:t>
            </w:r>
          </w:p>
        </w:tc>
        <w:tc>
          <w:tcPr>
            <w:tcW w:w="18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8/18/2024</w:t>
            </w:r>
          </w:p>
        </w:tc>
        <w:tc>
          <w:tcPr>
            <w:tcW w:w="220" w:type="dxa"/>
            <w:vAlign w:val="bottom"/>
          </w:tcPr>
          <w:p>
            <w:pPr>
              <w:spacing w:after="0"/>
              <w:rPr>
                <w:sz w:val="15"/>
                <w:szCs w:val="15"/>
                <w:color w:val="auto"/>
              </w:rPr>
            </w:pP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N/A</w:t>
            </w:r>
          </w:p>
        </w:tc>
        <w:tc>
          <w:tcPr>
            <w:tcW w:w="160" w:type="dxa"/>
            <w:vAlign w:val="bottom"/>
          </w:tcPr>
          <w:p>
            <w:pPr>
              <w:spacing w:after="0"/>
              <w:rPr>
                <w:sz w:val="15"/>
                <w:szCs w:val="15"/>
                <w:color w:val="auto"/>
              </w:rPr>
            </w:pPr>
          </w:p>
        </w:tc>
        <w:tc>
          <w:tcPr>
            <w:tcW w:w="1840" w:type="dxa"/>
            <w:vAlign w:val="bottom"/>
            <w:gridSpan w:val="2"/>
          </w:tcPr>
          <w:p>
            <w:pPr>
              <w:ind w:left="1260"/>
              <w:spacing w:after="0"/>
              <w:rPr>
                <w:sz w:val="20"/>
                <w:szCs w:val="20"/>
                <w:color w:val="auto"/>
              </w:rPr>
            </w:pPr>
            <w:r>
              <w:rPr>
                <w:rFonts w:ascii="Times New Roman" w:cs="Times New Roman" w:eastAsia="Times New Roman" w:hAnsi="Times New Roman"/>
                <w:sz w:val="15"/>
                <w:szCs w:val="15"/>
                <w:color w:val="auto"/>
              </w:rPr>
              <w:t>N/A</w:t>
            </w:r>
          </w:p>
        </w:tc>
        <w:tc>
          <w:tcPr>
            <w:tcW w:w="240" w:type="dxa"/>
            <w:vAlign w:val="bottom"/>
          </w:tcPr>
          <w:p>
            <w:pPr>
              <w:spacing w:after="0"/>
              <w:rPr>
                <w:sz w:val="15"/>
                <w:szCs w:val="15"/>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(300,000)</w:t>
            </w:r>
          </w:p>
        </w:tc>
        <w:tc>
          <w:tcPr>
            <w:tcW w:w="0" w:type="dxa"/>
            <w:vAlign w:val="bottom"/>
          </w:tcPr>
          <w:p>
            <w:pPr>
              <w:spacing w:after="0"/>
              <w:rPr>
                <w:sz w:val="1"/>
                <w:szCs w:val="1"/>
                <w:color w:val="auto"/>
              </w:rPr>
            </w:pPr>
          </w:p>
        </w:tc>
      </w:tr>
      <w:tr>
        <w:trPr>
          <w:trHeight w:val="168"/>
        </w:trPr>
        <w:tc>
          <w:tcPr>
            <w:tcW w:w="204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YouBet Technology, Inc.</w:t>
            </w:r>
          </w:p>
        </w:tc>
        <w:tc>
          <w:tcPr>
            <w:tcW w:w="1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(d/b/a FanPower)</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8/22/2024</w:t>
            </w:r>
          </w:p>
        </w:tc>
        <w:tc>
          <w:tcPr>
            <w:tcW w:w="22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N/A</w:t>
            </w:r>
          </w:p>
        </w:tc>
        <w:tc>
          <w:tcPr>
            <w:tcW w:w="16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5"/>
                <w:szCs w:val="15"/>
                <w:color w:val="auto"/>
              </w:rPr>
              <w:t>N/A</w:t>
            </w:r>
          </w:p>
        </w:tc>
        <w:tc>
          <w:tcPr>
            <w:tcW w:w="24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(752,943)</w:t>
            </w:r>
          </w:p>
        </w:tc>
        <w:tc>
          <w:tcPr>
            <w:tcW w:w="0" w:type="dxa"/>
            <w:vAlign w:val="bottom"/>
          </w:tcPr>
          <w:p>
            <w:pPr>
              <w:spacing w:after="0"/>
              <w:rPr>
                <w:sz w:val="1"/>
                <w:szCs w:val="1"/>
                <w:color w:val="auto"/>
              </w:rPr>
            </w:pPr>
          </w:p>
        </w:tc>
      </w:tr>
      <w:tr>
        <w:trPr>
          <w:trHeight w:val="169"/>
        </w:trPr>
        <w:tc>
          <w:tcPr>
            <w:tcW w:w="204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color w:val="auto"/>
              </w:rPr>
              <w:t>OneValley, Inc. (f/k/a</w:t>
            </w: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40" w:type="dxa"/>
            <w:vAlign w:val="bottom"/>
            <w:gridSpan w:val="2"/>
          </w:tcPr>
          <w:p>
            <w:pPr>
              <w:spacing w:after="0" w:line="229" w:lineRule="exact"/>
              <w:rPr>
                <w:sz w:val="20"/>
                <w:szCs w:val="20"/>
                <w:color w:val="auto"/>
              </w:rPr>
            </w:pPr>
            <w:r>
              <w:rPr>
                <w:rFonts w:ascii="Times New Roman" w:cs="Times New Roman" w:eastAsia="Times New Roman" w:hAnsi="Times New Roman"/>
                <w:sz w:val="15"/>
                <w:szCs w:val="15"/>
                <w:color w:val="auto"/>
              </w:rPr>
              <w:t>NestGSV, Inc.)</w:t>
            </w:r>
            <w:r>
              <w:rPr>
                <w:rFonts w:ascii="Times New Roman" w:cs="Times New Roman" w:eastAsia="Times New Roman" w:hAnsi="Times New Roman"/>
                <w:sz w:val="25"/>
                <w:szCs w:val="25"/>
                <w:color w:val="auto"/>
                <w:vertAlign w:val="superscript"/>
              </w:rPr>
              <w:t>(8)</w:t>
            </w:r>
          </w:p>
        </w:tc>
        <w:tc>
          <w:tcPr>
            <w:tcW w:w="18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8/29/2024</w:t>
            </w:r>
          </w:p>
        </w:tc>
        <w:tc>
          <w:tcPr>
            <w:tcW w:w="220" w:type="dxa"/>
            <w:vAlign w:val="bottom"/>
          </w:tcPr>
          <w:p>
            <w:pPr>
              <w:spacing w:after="0"/>
              <w:rPr>
                <w:sz w:val="19"/>
                <w:szCs w:val="19"/>
                <w:color w:val="auto"/>
              </w:rPr>
            </w:pP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N/A</w:t>
            </w:r>
          </w:p>
        </w:tc>
        <w:tc>
          <w:tcPr>
            <w:tcW w:w="160" w:type="dxa"/>
            <w:vAlign w:val="bottom"/>
          </w:tcPr>
          <w:p>
            <w:pPr>
              <w:spacing w:after="0"/>
              <w:rPr>
                <w:sz w:val="19"/>
                <w:szCs w:val="19"/>
                <w:color w:val="auto"/>
              </w:rPr>
            </w:pPr>
          </w:p>
        </w:tc>
        <w:tc>
          <w:tcPr>
            <w:tcW w:w="1840" w:type="dxa"/>
            <w:vAlign w:val="bottom"/>
            <w:gridSpan w:val="2"/>
          </w:tcPr>
          <w:p>
            <w:pPr>
              <w:ind w:left="1260"/>
              <w:spacing w:after="0"/>
              <w:rPr>
                <w:sz w:val="20"/>
                <w:szCs w:val="20"/>
                <w:color w:val="auto"/>
              </w:rPr>
            </w:pPr>
            <w:r>
              <w:rPr>
                <w:rFonts w:ascii="Times New Roman" w:cs="Times New Roman" w:eastAsia="Times New Roman" w:hAnsi="Times New Roman"/>
                <w:sz w:val="15"/>
                <w:szCs w:val="15"/>
                <w:color w:val="auto"/>
              </w:rPr>
              <w:t>N/A</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3,000,000</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(6,598,530)</w:t>
            </w:r>
          </w:p>
        </w:tc>
        <w:tc>
          <w:tcPr>
            <w:tcW w:w="0" w:type="dxa"/>
            <w:vAlign w:val="bottom"/>
          </w:tcPr>
          <w:p>
            <w:pPr>
              <w:spacing w:after="0"/>
              <w:rPr>
                <w:sz w:val="1"/>
                <w:szCs w:val="1"/>
                <w:color w:val="auto"/>
              </w:rPr>
            </w:pPr>
          </w:p>
        </w:tc>
      </w:tr>
      <w:tr>
        <w:trPr>
          <w:trHeight w:val="168"/>
        </w:trPr>
        <w:tc>
          <w:tcPr>
            <w:tcW w:w="204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SPBRX, INC. (f/k/a GSV</w:t>
            </w:r>
          </w:p>
        </w:tc>
        <w:tc>
          <w:tcPr>
            <w:tcW w:w="1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Sustainability Partners, Inc.)</w:t>
            </w:r>
          </w:p>
        </w:tc>
        <w:tc>
          <w:tcPr>
            <w:tcW w:w="1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9/30/2024</w:t>
            </w:r>
          </w:p>
        </w:tc>
        <w:tc>
          <w:tcPr>
            <w:tcW w:w="220" w:type="dxa"/>
            <w:vAlign w:val="bottom"/>
            <w:shd w:val="clear" w:color="auto" w:fill="CCEEFF"/>
          </w:tcPr>
          <w:p>
            <w:pPr>
              <w:spacing w:after="0"/>
              <w:rPr>
                <w:sz w:val="16"/>
                <w:szCs w:val="16"/>
                <w:color w:val="auto"/>
              </w:rPr>
            </w:pPr>
          </w:p>
        </w:tc>
        <w:tc>
          <w:tcPr>
            <w:tcW w:w="204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N/A</w:t>
            </w:r>
          </w:p>
        </w:tc>
        <w:tc>
          <w:tcPr>
            <w:tcW w:w="160" w:type="dxa"/>
            <w:vAlign w:val="bottom"/>
            <w:shd w:val="clear" w:color="auto" w:fill="CCEEFF"/>
          </w:tcPr>
          <w:p>
            <w:pPr>
              <w:spacing w:after="0"/>
              <w:rPr>
                <w:sz w:val="16"/>
                <w:szCs w:val="16"/>
                <w:color w:val="auto"/>
              </w:rPr>
            </w:pPr>
          </w:p>
        </w:tc>
        <w:tc>
          <w:tcPr>
            <w:tcW w:w="1840" w:type="dxa"/>
            <w:vAlign w:val="bottom"/>
            <w:gridSpan w:val="2"/>
            <w:vMerge w:val="restart"/>
            <w:shd w:val="clear" w:color="auto" w:fill="CCEEFF"/>
          </w:tcPr>
          <w:p>
            <w:pPr>
              <w:ind w:left="1260"/>
              <w:spacing w:after="0"/>
              <w:rPr>
                <w:sz w:val="20"/>
                <w:szCs w:val="20"/>
                <w:color w:val="auto"/>
              </w:rPr>
            </w:pPr>
            <w:r>
              <w:rPr>
                <w:rFonts w:ascii="Times New Roman" w:cs="Times New Roman" w:eastAsia="Times New Roman" w:hAnsi="Times New Roman"/>
                <w:sz w:val="15"/>
                <w:szCs w:val="15"/>
                <w:color w:val="auto"/>
              </w:rPr>
              <w:t>N/A</w:t>
            </w:r>
          </w:p>
        </w:tc>
        <w:tc>
          <w:tcPr>
            <w:tcW w:w="240" w:type="dxa"/>
            <w:vAlign w:val="bottom"/>
            <w:shd w:val="clear" w:color="auto" w:fill="CCEEFF"/>
          </w:tcPr>
          <w:p>
            <w:pPr>
              <w:spacing w:after="0"/>
              <w:rPr>
                <w:sz w:val="16"/>
                <w:szCs w:val="16"/>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374,950</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(6,786,462)</w:t>
            </w:r>
          </w:p>
        </w:tc>
        <w:tc>
          <w:tcPr>
            <w:tcW w:w="0" w:type="dxa"/>
            <w:vAlign w:val="bottom"/>
          </w:tcPr>
          <w:p>
            <w:pPr>
              <w:spacing w:after="0"/>
              <w:rPr>
                <w:sz w:val="1"/>
                <w:szCs w:val="1"/>
                <w:color w:val="auto"/>
              </w:rPr>
            </w:pPr>
          </w:p>
        </w:tc>
      </w:tr>
      <w:tr>
        <w:trPr>
          <w:trHeight w:val="195"/>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(9)</w:t>
            </w:r>
          </w:p>
        </w:tc>
        <w:tc>
          <w:tcPr>
            <w:tcW w:w="240" w:type="dxa"/>
            <w:vAlign w:val="bottom"/>
            <w:shd w:val="clear" w:color="auto" w:fill="CCEEFF"/>
          </w:tcPr>
          <w:p>
            <w:pPr>
              <w:spacing w:after="0"/>
              <w:rPr>
                <w:sz w:val="16"/>
                <w:szCs w:val="16"/>
                <w:color w:val="auto"/>
              </w:rPr>
            </w:pPr>
          </w:p>
        </w:tc>
        <w:tc>
          <w:tcPr>
            <w:tcW w:w="18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14,941,469</w:t>
            </w:r>
          </w:p>
        </w:tc>
        <w:tc>
          <w:tcPr>
            <w:tcW w:w="3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(14,064,042</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78689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86890" cy="6985"/>
                    </a:xfrm>
                    <a:prstGeom prst="rect">
                      <a:avLst/>
                    </a:prstGeom>
                    <a:noFill/>
                  </pic:spPr>
                </pic:pic>
              </a:graphicData>
            </a:graphic>
          </wp:anchor>
        </w:drawing>
      </w:r>
    </w:p>
    <w:p>
      <w:pPr>
        <w:spacing w:after="0" w:line="170" w:lineRule="exact"/>
        <w:rPr>
          <w:sz w:val="20"/>
          <w:szCs w:val="20"/>
          <w:color w:val="auto"/>
        </w:rPr>
      </w:pPr>
    </w:p>
    <w:p>
      <w:pPr>
        <w:ind w:left="269" w:hanging="269"/>
        <w:spacing w:after="0"/>
        <w:tabs>
          <w:tab w:leader="none" w:pos="269"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average net share price is the net share price realized after deducting all commissions and fees on the sale(s), if applicable.</w:t>
      </w:r>
    </w:p>
    <w:p>
      <w:pPr>
        <w:spacing w:after="0" w:line="24"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Realized gain/(loss) does not include adjustments to amounts held in escrow receivable.</w:t>
      </w:r>
    </w:p>
    <w:p>
      <w:pPr>
        <w:spacing w:after="0" w:line="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February 23, 2024, we had sold our remaining Nextdoor Holdings, Inc. public common shares.</w:t>
      </w:r>
    </w:p>
    <w:p>
      <w:pPr>
        <w:spacing w:after="0" w:line="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September 30, 2024, we held 2,296,037 remaining PSQ Holdings, Inc. (d/b/a PublicSquare) public warrants.</w:t>
      </w:r>
    </w:p>
    <w:p>
      <w:pPr>
        <w:spacing w:after="0" w:line="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June 28, 2024, we redeemed the entirety of our Membership Interest in Architect Capital PayJoy SPV, LLC.</w:t>
      </w:r>
    </w:p>
    <w:p>
      <w:pPr>
        <w:spacing w:after="0" w:line="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June 28, 2024, we received a return of capital distribution from our investment in True Global Ventures 4 Plus Pte Ltd.</w:t>
      </w:r>
    </w:p>
    <w:p>
      <w:pPr>
        <w:spacing w:after="0" w:line="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September 30, 2024, we held 1,616,187 remaining PSQ Holdings, Inc. (d/b/a PublicSquare) public common shares.</w:t>
      </w:r>
    </w:p>
    <w:p>
      <w:pPr>
        <w:spacing w:after="0" w:line="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August 29, 2024, we sold our remaining position in OneValley, Inc. (f/k/a NestGSV, Inc.).</w:t>
      </w:r>
    </w:p>
    <w:p>
      <w:pPr>
        <w:spacing w:after="0" w:line="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September 20, 2024, SPBRX, INC. (f/k/a GSV Sustainability Partners, Inc.) dissolved its business and made a final distribution.</w:t>
      </w:r>
    </w:p>
    <w:p>
      <w:pPr>
        <w:spacing w:after="0" w:line="177" w:lineRule="exact"/>
        <w:rPr>
          <w:sz w:val="20"/>
          <w:szCs w:val="20"/>
          <w:color w:val="auto"/>
        </w:rPr>
      </w:pPr>
    </w:p>
    <w:p>
      <w:pPr>
        <w:jc w:val="both"/>
        <w:ind w:left="9" w:firstLine="273"/>
        <w:spacing w:after="0" w:line="288" w:lineRule="auto"/>
        <w:rPr>
          <w:sz w:val="20"/>
          <w:szCs w:val="20"/>
          <w:color w:val="auto"/>
        </w:rPr>
      </w:pPr>
      <w:r>
        <w:rPr>
          <w:rFonts w:ascii="Times New Roman" w:cs="Times New Roman" w:eastAsia="Times New Roman" w:hAnsi="Times New Roman"/>
          <w:sz w:val="15"/>
          <w:szCs w:val="15"/>
          <w:color w:val="auto"/>
        </w:rPr>
        <w:t>During the nine months ended September 30, 2024, we wrote-off our investments in Churchill Sponsor VII LLC and YouBet Technology, Inc. (d/b/a FanPower) following their dissolution.</w:t>
      </w:r>
    </w:p>
    <w:p>
      <w:pPr>
        <w:spacing w:after="0" w:line="12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Nine Months Ended September 30, 2023</w:t>
      </w:r>
    </w:p>
    <w:p>
      <w:pPr>
        <w:spacing w:after="0" w:line="196" w:lineRule="exact"/>
        <w:rPr>
          <w:sz w:val="20"/>
          <w:szCs w:val="20"/>
          <w:color w:val="auto"/>
        </w:rPr>
      </w:pPr>
    </w:p>
    <w:p>
      <w:pPr>
        <w:jc w:val="both"/>
        <w:ind w:left="9" w:firstLine="273"/>
        <w:spacing w:after="0" w:line="270" w:lineRule="auto"/>
        <w:rPr>
          <w:sz w:val="20"/>
          <w:szCs w:val="20"/>
          <w:color w:val="auto"/>
        </w:rPr>
      </w:pPr>
      <w:r>
        <w:rPr>
          <w:rFonts w:ascii="Times New Roman" w:cs="Times New Roman" w:eastAsia="Times New Roman" w:hAnsi="Times New Roman"/>
          <w:sz w:val="15"/>
          <w:szCs w:val="15"/>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September 30, 2023, of all of our portfolio investments, excluding short-term U.S. Treasury bills, was $193,492,718.</w:t>
      </w:r>
    </w:p>
    <w:p>
      <w:pPr>
        <w:spacing w:after="0" w:line="147" w:lineRule="exact"/>
        <w:rPr>
          <w:sz w:val="20"/>
          <w:szCs w:val="20"/>
          <w:color w:val="auto"/>
        </w:rPr>
      </w:pPr>
    </w:p>
    <w:p>
      <w:pPr>
        <w:jc w:val="both"/>
        <w:ind w:left="9" w:right="20" w:firstLine="273"/>
        <w:spacing w:after="0" w:line="288" w:lineRule="auto"/>
        <w:rPr>
          <w:sz w:val="20"/>
          <w:szCs w:val="20"/>
          <w:color w:val="auto"/>
        </w:rPr>
      </w:pPr>
      <w:r>
        <w:rPr>
          <w:rFonts w:ascii="Times New Roman" w:cs="Times New Roman" w:eastAsia="Times New Roman" w:hAnsi="Times New Roman"/>
          <w:sz w:val="15"/>
          <w:szCs w:val="15"/>
          <w:color w:val="auto"/>
        </w:rPr>
        <w:t>During the nine months ended September 30, 2023, we funded investments in an aggregate amount of $21,133,257 (not including capitalized transaction costs or investments in short-term U.S. Treasury bills) as shown in the following table:</w:t>
      </w:r>
    </w:p>
    <w:p>
      <w:pPr>
        <w:spacing w:after="0" w:line="140" w:lineRule="exact"/>
        <w:rPr>
          <w:sz w:val="20"/>
          <w:szCs w:val="20"/>
          <w:color w:val="auto"/>
        </w:rPr>
      </w:pPr>
    </w:p>
    <w:tbl>
      <w:tblPr>
        <w:tblLayout w:type="fixed"/>
        <w:tblInd w:w="289" w:type="dxa"/>
        <w:tblCellMar>
          <w:top w:w="0" w:type="dxa"/>
          <w:left w:w="0" w:type="dxa"/>
          <w:bottom w:w="0" w:type="dxa"/>
          <w:right w:w="0" w:type="dxa"/>
        </w:tblCellMar>
      </w:tblPr>
      <w:tr>
        <w:trPr>
          <w:trHeight w:val="201"/>
        </w:trPr>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Portfolio Company</w:t>
            </w:r>
          </w:p>
        </w:tc>
        <w:tc>
          <w:tcPr>
            <w:tcW w:w="200" w:type="dxa"/>
            <w:vAlign w:val="bottom"/>
            <w:tcBorders>
              <w:bottom w:val="single" w:sz="8" w:color="CCEEFF"/>
            </w:tcBorders>
          </w:tcPr>
          <w:p>
            <w:pPr>
              <w:spacing w:after="0"/>
              <w:rPr>
                <w:sz w:val="17"/>
                <w:szCs w:val="17"/>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220" w:type="dxa"/>
            <w:vAlign w:val="bottom"/>
            <w:tcBorders>
              <w:bottom w:val="single" w:sz="8" w:color="CCEEFF"/>
            </w:tcBorders>
          </w:tcPr>
          <w:p>
            <w:pPr>
              <w:spacing w:after="0"/>
              <w:rPr>
                <w:sz w:val="17"/>
                <w:szCs w:val="17"/>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Transaction Date</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b w:val="1"/>
                <w:bCs w:val="1"/>
                <w:color w:val="auto"/>
              </w:rPr>
              <w:t>Gross Payments</w:t>
            </w:r>
          </w:p>
        </w:tc>
        <w:tc>
          <w:tcPr>
            <w:tcW w:w="120" w:type="dxa"/>
            <w:vAlign w:val="bottom"/>
            <w:tcBorders>
              <w:bottom w:val="single" w:sz="8" w:color="CCEEFF"/>
            </w:tcBorders>
            <w:gridSpan w:val="2"/>
          </w:tcPr>
          <w:p>
            <w:pPr>
              <w:spacing w:after="0"/>
              <w:rPr>
                <w:sz w:val="17"/>
                <w:szCs w:val="17"/>
                <w:color w:val="auto"/>
              </w:rPr>
            </w:pPr>
          </w:p>
        </w:tc>
      </w:tr>
      <w:tr>
        <w:trPr>
          <w:trHeight w:val="208"/>
        </w:trPr>
        <w:tc>
          <w:tcPr>
            <w:tcW w:w="25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5"/>
                <w:szCs w:val="15"/>
                <w:color w:val="auto"/>
              </w:rPr>
              <w:t>Orchard Technologies, Inc.</w:t>
            </w:r>
            <w:r>
              <w:rPr>
                <w:rFonts w:ascii="Times New Roman" w:cs="Times New Roman" w:eastAsia="Times New Roman" w:hAnsi="Times New Roman"/>
                <w:sz w:val="24"/>
                <w:szCs w:val="24"/>
                <w:color w:val="auto"/>
                <w:vertAlign w:val="superscript"/>
              </w:rPr>
              <w:t>(1)</w:t>
            </w:r>
          </w:p>
        </w:tc>
        <w:tc>
          <w:tcPr>
            <w:tcW w:w="20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Preferred shares, Series 1</w:t>
            </w:r>
          </w:p>
        </w:tc>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1/13/2023</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6"/>
              <w:spacing w:after="0"/>
              <w:rPr>
                <w:sz w:val="20"/>
                <w:szCs w:val="20"/>
                <w:color w:val="auto"/>
              </w:rPr>
            </w:pPr>
            <w:r>
              <w:rPr>
                <w:rFonts w:ascii="Times New Roman" w:cs="Times New Roman" w:eastAsia="Times New Roman" w:hAnsi="Times New Roman"/>
                <w:sz w:val="15"/>
                <w:szCs w:val="15"/>
                <w:color w:val="auto"/>
                <w:w w:val="79"/>
              </w:rPr>
              <w:t>$</w:t>
            </w:r>
          </w:p>
        </w:tc>
        <w:tc>
          <w:tcPr>
            <w:tcW w:w="2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2,000,000</w:t>
            </w:r>
          </w:p>
        </w:tc>
        <w:tc>
          <w:tcPr>
            <w:tcW w:w="100" w:type="dxa"/>
            <w:vAlign w:val="bottom"/>
            <w:shd w:val="clear" w:color="auto" w:fill="CCEEFF"/>
          </w:tcPr>
          <w:p>
            <w:pPr>
              <w:spacing w:after="0"/>
              <w:rPr>
                <w:sz w:val="18"/>
                <w:szCs w:val="18"/>
                <w:color w:val="auto"/>
              </w:rPr>
            </w:pPr>
          </w:p>
        </w:tc>
      </w:tr>
      <w:tr>
        <w:trPr>
          <w:trHeight w:val="216"/>
        </w:trPr>
        <w:tc>
          <w:tcPr>
            <w:tcW w:w="278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True Global Ventures 4 Plus Pte Ltd</w:t>
            </w:r>
            <w:r>
              <w:rPr>
                <w:rFonts w:ascii="Times New Roman" w:cs="Times New Roman" w:eastAsia="Times New Roman" w:hAnsi="Times New Roman"/>
                <w:sz w:val="25"/>
                <w:szCs w:val="25"/>
                <w:color w:val="auto"/>
                <w:vertAlign w:val="superscript"/>
              </w:rPr>
              <w:t>(2)</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Limited Partner Fund Investment</w:t>
            </w:r>
          </w:p>
        </w:tc>
        <w:tc>
          <w:tcPr>
            <w:tcW w:w="2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3/31/2023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1,330,000</w:t>
            </w:r>
          </w:p>
        </w:tc>
        <w:tc>
          <w:tcPr>
            <w:tcW w:w="100" w:type="dxa"/>
            <w:vAlign w:val="bottom"/>
          </w:tcPr>
          <w:p>
            <w:pPr>
              <w:spacing w:after="0"/>
              <w:rPr>
                <w:sz w:val="18"/>
                <w:szCs w:val="18"/>
                <w:color w:val="auto"/>
              </w:rPr>
            </w:pPr>
          </w:p>
        </w:tc>
      </w:tr>
      <w:tr>
        <w:trPr>
          <w:trHeight w:val="168"/>
        </w:trPr>
        <w:tc>
          <w:tcPr>
            <w:tcW w:w="2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0" w:type="dxa"/>
            <w:vAlign w:val="bottom"/>
            <w:gridSpan w:val="2"/>
            <w:shd w:val="clear" w:color="auto" w:fill="CCEEFF"/>
          </w:tcPr>
          <w:p>
            <w:pPr>
              <w:jc w:val="center"/>
              <w:ind w:right="200"/>
              <w:spacing w:after="0" w:line="168" w:lineRule="exact"/>
              <w:rPr>
                <w:sz w:val="20"/>
                <w:szCs w:val="20"/>
                <w:color w:val="auto"/>
              </w:rPr>
            </w:pPr>
            <w:r>
              <w:rPr>
                <w:rFonts w:ascii="Times New Roman" w:cs="Times New Roman" w:eastAsia="Times New Roman" w:hAnsi="Times New Roman"/>
                <w:sz w:val="15"/>
                <w:szCs w:val="15"/>
                <w:color w:val="auto"/>
              </w:rPr>
              <w:t>Simple Agreement for Future Equity</w:t>
            </w:r>
          </w:p>
        </w:tc>
        <w:tc>
          <w:tcPr>
            <w:tcW w:w="2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97"/>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PayJoy, Inc.</w:t>
            </w:r>
          </w:p>
        </w:tc>
        <w:tc>
          <w:tcPr>
            <w:tcW w:w="28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color w:val="auto"/>
              </w:rPr>
              <w:t>(SAFE)</w:t>
            </w:r>
          </w:p>
        </w:tc>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5/25/2023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500,000</w:t>
            </w:r>
          </w:p>
        </w:tc>
        <w:tc>
          <w:tcPr>
            <w:tcW w:w="100" w:type="dxa"/>
            <w:vAlign w:val="bottom"/>
            <w:shd w:val="clear" w:color="auto" w:fill="CCEEFF"/>
          </w:tcPr>
          <w:p>
            <w:pPr>
              <w:spacing w:after="0"/>
              <w:rPr>
                <w:sz w:val="17"/>
                <w:szCs w:val="17"/>
                <w:color w:val="auto"/>
              </w:rPr>
            </w:pPr>
          </w:p>
        </w:tc>
      </w:tr>
      <w:tr>
        <w:trPr>
          <w:trHeight w:val="182"/>
        </w:trPr>
        <w:tc>
          <w:tcPr>
            <w:tcW w:w="27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ServiceTitan, Inc.</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Common shares</w:t>
            </w:r>
          </w:p>
        </w:tc>
        <w:tc>
          <w:tcPr>
            <w:tcW w:w="2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6/30/2023</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9,999,990</w:t>
            </w:r>
          </w:p>
        </w:tc>
        <w:tc>
          <w:tcPr>
            <w:tcW w:w="100" w:type="dxa"/>
            <w:vAlign w:val="bottom"/>
          </w:tcPr>
          <w:p>
            <w:pPr>
              <w:spacing w:after="0"/>
              <w:rPr>
                <w:sz w:val="15"/>
                <w:szCs w:val="15"/>
                <w:color w:val="auto"/>
              </w:rPr>
            </w:pPr>
          </w:p>
        </w:tc>
      </w:tr>
      <w:tr>
        <w:trPr>
          <w:trHeight w:val="182"/>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FourKites, Inc.</w:t>
            </w:r>
          </w:p>
        </w:tc>
        <w:tc>
          <w:tcPr>
            <w:tcW w:w="28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Common shares</w:t>
            </w:r>
          </w:p>
        </w:tc>
        <w:tc>
          <w:tcPr>
            <w:tcW w:w="26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color w:val="auto"/>
                <w:w w:val="96"/>
              </w:rPr>
              <w:t>Various</w:t>
            </w: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5,803,269</w:t>
            </w:r>
          </w:p>
        </w:tc>
        <w:tc>
          <w:tcPr>
            <w:tcW w:w="100" w:type="dxa"/>
            <w:vAlign w:val="bottom"/>
            <w:shd w:val="clear" w:color="auto" w:fill="CCEEFF"/>
          </w:tcPr>
          <w:p>
            <w:pPr>
              <w:spacing w:after="0"/>
              <w:rPr>
                <w:sz w:val="15"/>
                <w:szCs w:val="15"/>
                <w:color w:val="auto"/>
              </w:rPr>
            </w:pPr>
          </w:p>
        </w:tc>
      </w:tr>
      <w:tr>
        <w:trPr>
          <w:trHeight w:val="216"/>
        </w:trPr>
        <w:tc>
          <w:tcPr>
            <w:tcW w:w="278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Shogun Enterprises, Inc. (d/b/a Hearth)</w:t>
            </w:r>
            <w:r>
              <w:rPr>
                <w:rFonts w:ascii="Times New Roman" w:cs="Times New Roman" w:eastAsia="Times New Roman" w:hAnsi="Times New Roman"/>
                <w:sz w:val="25"/>
                <w:szCs w:val="25"/>
                <w:color w:val="auto"/>
                <w:vertAlign w:val="superscript"/>
              </w:rPr>
              <w:t>(3)</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Preferred shares, Series B-4</w:t>
            </w:r>
          </w:p>
        </w:tc>
        <w:tc>
          <w:tcPr>
            <w:tcW w:w="2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7/12/2023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499,998</w:t>
            </w:r>
          </w:p>
        </w:tc>
        <w:tc>
          <w:tcPr>
            <w:tcW w:w="100" w:type="dxa"/>
            <w:vAlign w:val="bottom"/>
          </w:tcPr>
          <w:p>
            <w:pPr>
              <w:spacing w:after="0"/>
              <w:rPr>
                <w:sz w:val="18"/>
                <w:szCs w:val="18"/>
                <w:color w:val="auto"/>
              </w:rPr>
            </w:pPr>
          </w:p>
        </w:tc>
      </w:tr>
      <w:tr>
        <w:trPr>
          <w:trHeight w:val="168"/>
        </w:trPr>
        <w:tc>
          <w:tcPr>
            <w:tcW w:w="278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Stake Trade, Inc. (d/b/a Prophet</w:t>
            </w:r>
          </w:p>
        </w:tc>
        <w:tc>
          <w:tcPr>
            <w:tcW w:w="2800" w:type="dxa"/>
            <w:vAlign w:val="bottom"/>
            <w:gridSpan w:val="2"/>
            <w:shd w:val="clear" w:color="auto" w:fill="CCEEFF"/>
          </w:tcPr>
          <w:p>
            <w:pPr>
              <w:jc w:val="center"/>
              <w:ind w:right="200"/>
              <w:spacing w:after="0" w:line="168" w:lineRule="exact"/>
              <w:rPr>
                <w:sz w:val="20"/>
                <w:szCs w:val="20"/>
                <w:color w:val="auto"/>
              </w:rPr>
            </w:pPr>
            <w:r>
              <w:rPr>
                <w:rFonts w:ascii="Times New Roman" w:cs="Times New Roman" w:eastAsia="Times New Roman" w:hAnsi="Times New Roman"/>
                <w:sz w:val="15"/>
                <w:szCs w:val="15"/>
                <w:color w:val="auto"/>
              </w:rPr>
              <w:t>Simple Agreement for Future Equity</w:t>
            </w:r>
          </w:p>
        </w:tc>
        <w:tc>
          <w:tcPr>
            <w:tcW w:w="2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08"/>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Exchange)</w:t>
            </w:r>
          </w:p>
        </w:tc>
        <w:tc>
          <w:tcPr>
            <w:tcW w:w="28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color w:val="auto"/>
              </w:rPr>
              <w:t>(SAFE)</w:t>
            </w:r>
          </w:p>
        </w:tc>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7/26/2023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1,000,000</w:t>
            </w:r>
          </w:p>
        </w:tc>
        <w:tc>
          <w:tcPr>
            <w:tcW w:w="100" w:type="dxa"/>
            <w:vAlign w:val="bottom"/>
            <w:shd w:val="clear" w:color="auto" w:fill="CCEEFF"/>
          </w:tcPr>
          <w:p>
            <w:pPr>
              <w:spacing w:after="0"/>
              <w:rPr>
                <w:sz w:val="18"/>
                <w:szCs w:val="18"/>
                <w:color w:val="auto"/>
              </w:rPr>
            </w:pPr>
          </w:p>
        </w:tc>
      </w:tr>
      <w:tr>
        <w:trPr>
          <w:trHeight w:val="185"/>
        </w:trPr>
        <w:tc>
          <w:tcPr>
            <w:tcW w:w="27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21,133,257</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2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left="269" w:hanging="269"/>
        <w:spacing w:after="0" w:line="260" w:lineRule="auto"/>
        <w:tabs>
          <w:tab w:leader="none" w:pos="269"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January 13, 2023, we invested $2.0 million in Orchard Technologies, Inc.’s Series 1 Senior Preferred financing round. As part of the transaction, we exchanged a portion of our existing Series D Preferred shares investment for Series 1 Senior Preferred shares, Series 2 Senior Preferred shares, and Common shares. Additionally, our previous investment in the Simple Agreement for Future Equity was converted into additional Series 1 Senior Preferred shares.</w:t>
      </w:r>
    </w:p>
    <w:p>
      <w:pPr>
        <w:spacing w:after="0" w:line="1" w:lineRule="exact"/>
        <w:rPr>
          <w:rFonts w:ascii="Times New Roman" w:cs="Times New Roman" w:eastAsia="Times New Roman" w:hAnsi="Times New Roman"/>
          <w:sz w:val="15"/>
          <w:szCs w:val="15"/>
          <w:color w:val="auto"/>
        </w:rPr>
      </w:pPr>
    </w:p>
    <w:p>
      <w:pPr>
        <w:ind w:left="269" w:right="20" w:hanging="269"/>
        <w:spacing w:after="0" w:line="253" w:lineRule="auto"/>
        <w:tabs>
          <w:tab w:leader="none" w:pos="269"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March 31, 2023, the previously unfunded capital commitment of $1.3 million was deemed fully contributed in lieu of cash distributions. On March 31, 2023, the full $2.0 million capital commitment to True Global Ventures 4 Plus Fund LP had been called and funded.</w:t>
      </w:r>
    </w:p>
    <w:p>
      <w:pPr>
        <w:ind w:left="269" w:hanging="269"/>
        <w:spacing w:after="0" w:line="267" w:lineRule="auto"/>
        <w:tabs>
          <w:tab w:leader="none" w:pos="269"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July 12, 2023, we invested $0.5 million in Shogun Enterprises, Inc. (d/b/a Hearth)’s Series B-4 Preferred financing round. As part of the transaction, the previous investment in the Convertible Note was converted into Series B-3 Preferred shares. Additionally, we received Common Warrants as part of the transaction.</w:t>
      </w:r>
    </w:p>
    <w:p>
      <w:pPr>
        <w:spacing w:after="0" w:line="170" w:lineRule="exact"/>
        <w:rPr>
          <w:rFonts w:ascii="Times New Roman" w:cs="Times New Roman" w:eastAsia="Times New Roman" w:hAnsi="Times New Roman"/>
          <w:sz w:val="15"/>
          <w:szCs w:val="15"/>
          <w:color w:val="auto"/>
        </w:rPr>
      </w:pPr>
    </w:p>
    <w:p>
      <w:pPr>
        <w:ind w:left="269"/>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nine months ended September 30, 2023, we capitalized fees of $33,676.</w:t>
      </w:r>
    </w:p>
    <w:p>
      <w:pPr>
        <w:spacing w:after="0" w:line="192" w:lineRule="exact"/>
        <w:rPr>
          <w:sz w:val="20"/>
          <w:szCs w:val="20"/>
          <w:color w:val="auto"/>
        </w:rPr>
      </w:pPr>
    </w:p>
    <w:p>
      <w:pPr>
        <w:ind w:left="9" w:right="20" w:firstLine="273"/>
        <w:spacing w:after="0" w:line="288" w:lineRule="auto"/>
        <w:rPr>
          <w:sz w:val="20"/>
          <w:szCs w:val="20"/>
          <w:color w:val="auto"/>
        </w:rPr>
      </w:pPr>
      <w:r>
        <w:rPr>
          <w:rFonts w:ascii="Times New Roman" w:cs="Times New Roman" w:eastAsia="Times New Roman" w:hAnsi="Times New Roman"/>
          <w:sz w:val="15"/>
          <w:szCs w:val="15"/>
          <w:color w:val="auto"/>
        </w:rPr>
        <w:t>During the nine months ended September 30, 2023, we exited or received proceeds from investments in the amount of $9,658,163, net of transaction costs, and realized a net loss on investments of $14,542,137 (including adjustments to amounts held in escrow receivable) as shown in following table:</w:t>
      </w:r>
    </w:p>
    <w:p>
      <w:pPr>
        <w:spacing w:after="0" w:line="129" w:lineRule="exact"/>
        <w:rPr>
          <w:sz w:val="20"/>
          <w:szCs w:val="20"/>
          <w:color w:val="auto"/>
        </w:rPr>
      </w:pPr>
    </w:p>
    <w:tbl>
      <w:tblPr>
        <w:tblLayout w:type="fixed"/>
        <w:tblInd w:w="9" w:type="dxa"/>
        <w:tblCellMar>
          <w:top w:w="0" w:type="dxa"/>
          <w:left w:w="0" w:type="dxa"/>
          <w:bottom w:w="0" w:type="dxa"/>
          <w:right w:w="0" w:type="dxa"/>
        </w:tblCellMar>
      </w:tblPr>
      <w:tr>
        <w:trPr>
          <w:trHeight w:val="186"/>
        </w:trPr>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b w:val="1"/>
                <w:bCs w:val="1"/>
                <w:color w:val="auto"/>
              </w:rPr>
              <w:t>Average Net Share</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Realized</w:t>
            </w:r>
          </w:p>
        </w:tc>
      </w:tr>
      <w:tr>
        <w:trPr>
          <w:trHeight w:val="231"/>
        </w:trPr>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Portfolio Company</w:t>
            </w:r>
          </w:p>
        </w:tc>
        <w:tc>
          <w:tcPr>
            <w:tcW w:w="24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Transaction Date</w:t>
            </w:r>
          </w:p>
        </w:tc>
        <w:tc>
          <w:tcPr>
            <w:tcW w:w="22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5"/>
                <w:szCs w:val="15"/>
                <w:b w:val="1"/>
                <w:bCs w:val="1"/>
                <w:color w:val="auto"/>
              </w:rPr>
              <w:t>Quantity</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24"/>
              <w:spacing w:after="0" w:line="232" w:lineRule="exact"/>
              <w:rPr>
                <w:sz w:val="20"/>
                <w:szCs w:val="20"/>
                <w:color w:val="auto"/>
              </w:rPr>
            </w:pPr>
            <w:r>
              <w:rPr>
                <w:rFonts w:ascii="Times New Roman" w:cs="Times New Roman" w:eastAsia="Times New Roman" w:hAnsi="Times New Roman"/>
                <w:sz w:val="15"/>
                <w:szCs w:val="15"/>
                <w:b w:val="1"/>
                <w:bCs w:val="1"/>
                <w:color w:val="auto"/>
              </w:rPr>
              <w:t>Price</w:t>
            </w:r>
            <w:r>
              <w:rPr>
                <w:rFonts w:ascii="Times New Roman" w:cs="Times New Roman" w:eastAsia="Times New Roman" w:hAnsi="Times New Roman"/>
                <w:sz w:val="25"/>
                <w:szCs w:val="25"/>
                <w:b w:val="1"/>
                <w:bCs w:val="1"/>
                <w:color w:val="auto"/>
                <w:vertAlign w:val="superscript"/>
              </w:rPr>
              <w:t>(1)</w:t>
            </w:r>
          </w:p>
        </w:tc>
        <w:tc>
          <w:tcPr>
            <w:tcW w:w="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Net Proceeds</w:t>
            </w:r>
          </w:p>
        </w:tc>
        <w:tc>
          <w:tcPr>
            <w:tcW w:w="3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4"/>
              <w:spacing w:after="0" w:line="232" w:lineRule="exact"/>
              <w:rPr>
                <w:sz w:val="20"/>
                <w:szCs w:val="20"/>
                <w:color w:val="auto"/>
              </w:rPr>
            </w:pPr>
            <w:r>
              <w:rPr>
                <w:rFonts w:ascii="Times New Roman" w:cs="Times New Roman" w:eastAsia="Times New Roman" w:hAnsi="Times New Roman"/>
                <w:sz w:val="15"/>
                <w:szCs w:val="15"/>
                <w:b w:val="1"/>
                <w:bCs w:val="1"/>
                <w:color w:val="auto"/>
                <w:w w:val="95"/>
              </w:rPr>
              <w:t>Gain/(Loss)</w:t>
            </w:r>
            <w:r>
              <w:rPr>
                <w:rFonts w:ascii="Times New Roman" w:cs="Times New Roman" w:eastAsia="Times New Roman" w:hAnsi="Times New Roman"/>
                <w:sz w:val="25"/>
                <w:szCs w:val="25"/>
                <w:b w:val="1"/>
                <w:bCs w:val="1"/>
                <w:color w:val="auto"/>
                <w:w w:val="95"/>
                <w:vertAlign w:val="superscript"/>
              </w:rPr>
              <w:t>(2)</w:t>
            </w:r>
          </w:p>
        </w:tc>
        <w:tc>
          <w:tcPr>
            <w:tcW w:w="60" w:type="dxa"/>
            <w:vAlign w:val="bottom"/>
            <w:tcBorders>
              <w:bottom w:val="single" w:sz="8" w:color="CCEEFF"/>
            </w:tcBorders>
          </w:tcPr>
          <w:p>
            <w:pPr>
              <w:spacing w:after="0"/>
              <w:rPr>
                <w:sz w:val="20"/>
                <w:szCs w:val="20"/>
                <w:color w:val="auto"/>
              </w:rPr>
            </w:pPr>
          </w:p>
        </w:tc>
      </w:tr>
      <w:tr>
        <w:trPr>
          <w:trHeight w:val="208"/>
        </w:trPr>
        <w:tc>
          <w:tcPr>
            <w:tcW w:w="18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5"/>
                <w:szCs w:val="15"/>
                <w:color w:val="auto"/>
              </w:rPr>
              <w:t>Kahoot! ASA</w:t>
            </w:r>
            <w:r>
              <w:rPr>
                <w:rFonts w:ascii="Times New Roman" w:cs="Times New Roman" w:eastAsia="Times New Roman" w:hAnsi="Times New Roman"/>
                <w:sz w:val="24"/>
                <w:szCs w:val="24"/>
                <w:color w:val="auto"/>
                <w:vertAlign w:val="superscript"/>
              </w:rPr>
              <w:t>(3)</w:t>
            </w:r>
          </w:p>
        </w:tc>
        <w:tc>
          <w:tcPr>
            <w:tcW w:w="2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6"/>
              </w:rPr>
              <w:t>Various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38,305</w:t>
            </w: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1.97</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75,601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(100,466)</w:t>
            </w:r>
          </w:p>
        </w:tc>
      </w:tr>
      <w:tr>
        <w:trPr>
          <w:trHeight w:val="168"/>
        </w:trPr>
        <w:tc>
          <w:tcPr>
            <w:tcW w:w="2040" w:type="dxa"/>
            <w:vAlign w:val="bottom"/>
            <w:gridSpan w:val="2"/>
          </w:tcPr>
          <w:p>
            <w:pPr>
              <w:spacing w:after="0" w:line="168" w:lineRule="exact"/>
              <w:rPr>
                <w:sz w:val="20"/>
                <w:szCs w:val="20"/>
                <w:color w:val="auto"/>
              </w:rPr>
            </w:pPr>
            <w:r>
              <w:rPr>
                <w:rFonts w:ascii="Times New Roman" w:cs="Times New Roman" w:eastAsia="Times New Roman" w:hAnsi="Times New Roman"/>
                <w:sz w:val="15"/>
                <w:szCs w:val="15"/>
                <w:color w:val="auto"/>
              </w:rPr>
              <w:t>NewLake Capital Partners,</w:t>
            </w: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4"/>
        </w:trPr>
        <w:tc>
          <w:tcPr>
            <w:tcW w:w="20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Inc. (f/k/a GreenAcreage</w:t>
            </w:r>
          </w:p>
        </w:tc>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9"/>
        </w:trPr>
        <w:tc>
          <w:tcPr>
            <w:tcW w:w="2040" w:type="dxa"/>
            <w:vAlign w:val="bottom"/>
            <w:gridSpan w:val="2"/>
          </w:tcPr>
          <w:p>
            <w:pPr>
              <w:spacing w:after="0" w:line="229" w:lineRule="exact"/>
              <w:rPr>
                <w:sz w:val="20"/>
                <w:szCs w:val="20"/>
                <w:color w:val="auto"/>
              </w:rPr>
            </w:pPr>
            <w:r>
              <w:rPr>
                <w:rFonts w:ascii="Times New Roman" w:cs="Times New Roman" w:eastAsia="Times New Roman" w:hAnsi="Times New Roman"/>
                <w:sz w:val="15"/>
                <w:szCs w:val="15"/>
                <w:color w:val="auto"/>
              </w:rPr>
              <w:t>Real Estate Corp.)</w:t>
            </w:r>
            <w:r>
              <w:rPr>
                <w:rFonts w:ascii="Times New Roman" w:cs="Times New Roman" w:eastAsia="Times New Roman" w:hAnsi="Times New Roman"/>
                <w:sz w:val="25"/>
                <w:szCs w:val="25"/>
                <w:color w:val="auto"/>
                <w:vertAlign w:val="superscript"/>
              </w:rPr>
              <w:t>(4)</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6"/>
              </w:rPr>
              <w:t>Various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123,938</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2,293,102</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(186,748)</w:t>
            </w:r>
          </w:p>
        </w:tc>
      </w:tr>
      <w:tr>
        <w:trPr>
          <w:trHeight w:val="216"/>
        </w:trPr>
        <w:tc>
          <w:tcPr>
            <w:tcW w:w="20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Nextdoor Holdings, Inc.</w:t>
            </w:r>
            <w:r>
              <w:rPr>
                <w:rFonts w:ascii="Times New Roman" w:cs="Times New Roman" w:eastAsia="Times New Roman" w:hAnsi="Times New Roman"/>
                <w:sz w:val="25"/>
                <w:szCs w:val="25"/>
                <w:color w:val="auto"/>
                <w:vertAlign w:val="superscript"/>
              </w:rPr>
              <w:t>(5)</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w w:val="96"/>
              </w:rPr>
              <w:t>Various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1,539,996</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3.06</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4,715,375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(3,824,934)</w:t>
            </w:r>
          </w:p>
        </w:tc>
      </w:tr>
      <w:tr>
        <w:trPr>
          <w:trHeight w:val="216"/>
        </w:trPr>
        <w:tc>
          <w:tcPr>
            <w:tcW w:w="204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Rent the Runway, Inc.</w:t>
            </w:r>
            <w:r>
              <w:rPr>
                <w:rFonts w:ascii="Times New Roman" w:cs="Times New Roman" w:eastAsia="Times New Roman" w:hAnsi="Times New Roman"/>
                <w:sz w:val="25"/>
                <w:szCs w:val="25"/>
                <w:color w:val="auto"/>
                <w:vertAlign w:val="superscript"/>
              </w:rPr>
              <w:t>(6)</w:t>
            </w:r>
          </w:p>
        </w:tc>
        <w:tc>
          <w:tcPr>
            <w:tcW w:w="18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1/4/2023</w:t>
            </w:r>
          </w:p>
        </w:tc>
        <w:tc>
          <w:tcPr>
            <w:tcW w:w="22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79,191</w:t>
            </w:r>
          </w:p>
        </w:tc>
        <w:tc>
          <w:tcPr>
            <w:tcW w:w="16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3.05</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241,456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(961,837)</w:t>
            </w:r>
          </w:p>
        </w:tc>
      </w:tr>
      <w:tr>
        <w:trPr>
          <w:trHeight w:val="168"/>
        </w:trPr>
        <w:tc>
          <w:tcPr>
            <w:tcW w:w="204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Residential Homes for Rent,</w:t>
            </w:r>
          </w:p>
        </w:tc>
        <w:tc>
          <w:tcPr>
            <w:tcW w:w="2020" w:type="dxa"/>
            <w:vAlign w:val="bottom"/>
            <w:gridSpan w:val="2"/>
            <w:shd w:val="clear" w:color="auto" w:fill="CCEEFF"/>
          </w:tcPr>
          <w:p>
            <w:pPr>
              <w:jc w:val="center"/>
              <w:ind w:right="240"/>
              <w:spacing w:after="0" w:line="168" w:lineRule="exact"/>
              <w:rPr>
                <w:sz w:val="20"/>
                <w:szCs w:val="20"/>
                <w:color w:val="auto"/>
              </w:rPr>
            </w:pPr>
            <w:r>
              <w:rPr>
                <w:rFonts w:ascii="Times New Roman" w:cs="Times New Roman" w:eastAsia="Times New Roman" w:hAnsi="Times New Roman"/>
                <w:sz w:val="15"/>
                <w:szCs w:val="15"/>
                <w:color w:val="auto"/>
                <w:w w:val="96"/>
              </w:rPr>
              <w:t>Various</w:t>
            </w:r>
          </w:p>
        </w:tc>
        <w:tc>
          <w:tcPr>
            <w:tcW w:w="2040" w:type="dxa"/>
            <w:vAlign w:val="bottom"/>
            <w:gridSpan w:val="2"/>
            <w:shd w:val="clear" w:color="auto" w:fill="CCEEFF"/>
          </w:tcPr>
          <w:p>
            <w:pPr>
              <w:jc w:val="right"/>
              <w:ind w:right="340"/>
              <w:spacing w:after="0" w:line="168" w:lineRule="exact"/>
              <w:rPr>
                <w:sz w:val="20"/>
                <w:szCs w:val="20"/>
                <w:color w:val="auto"/>
              </w:rPr>
            </w:pPr>
            <w:r>
              <w:rPr>
                <w:rFonts w:ascii="Times New Roman" w:cs="Times New Roman" w:eastAsia="Times New Roman" w:hAnsi="Times New Roman"/>
                <w:sz w:val="15"/>
                <w:szCs w:val="15"/>
                <w:color w:val="auto"/>
              </w:rPr>
              <w:t>N/A</w:t>
            </w:r>
          </w:p>
        </w:tc>
        <w:tc>
          <w:tcPr>
            <w:tcW w:w="16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320"/>
              <w:spacing w:after="0" w:line="168" w:lineRule="exact"/>
              <w:rPr>
                <w:sz w:val="20"/>
                <w:szCs w:val="20"/>
                <w:color w:val="auto"/>
              </w:rPr>
            </w:pPr>
            <w:r>
              <w:rPr>
                <w:rFonts w:ascii="Times New Roman" w:cs="Times New Roman" w:eastAsia="Times New Roman" w:hAnsi="Times New Roman"/>
                <w:sz w:val="15"/>
                <w:szCs w:val="15"/>
                <w:color w:val="auto"/>
              </w:rPr>
              <w:t>N/A</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750,000</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line="168" w:lineRule="exact"/>
              <w:rPr>
                <w:sz w:val="20"/>
                <w:szCs w:val="20"/>
                <w:color w:val="auto"/>
              </w:rPr>
            </w:pPr>
            <w:r>
              <w:rPr>
                <w:rFonts w:ascii="Times New Roman" w:cs="Times New Roman" w:eastAsia="Times New Roman" w:hAnsi="Times New Roman"/>
                <w:sz w:val="15"/>
                <w:szCs w:val="15"/>
                <w:color w:val="auto"/>
              </w:rPr>
              <w:t>—</w:t>
            </w:r>
          </w:p>
        </w:tc>
      </w:tr>
      <w:tr>
        <w:trPr>
          <w:trHeight w:val="197"/>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LLC (d/b/a Second Avenue)</w:t>
            </w: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65"/>
        </w:trPr>
        <w:tc>
          <w:tcPr>
            <w:tcW w:w="18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7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r>
    </w:tbl>
    <w:p>
      <w:pPr>
        <w:sectPr>
          <w:pgSz w:w="11900" w:h="16900" w:orient="portrait"/>
          <w:cols w:equalWidth="0" w:num="1">
            <w:col w:w="11269"/>
          </w:cols>
          <w:pgMar w:left="311" w:top="216" w:right="319" w:bottom="0" w:gutter="0" w:footer="0" w:header="0"/>
        </w:sectPr>
      </w:pPr>
    </w:p>
    <w:bookmarkStart w:id="53" w:name="page54"/>
    <w:bookmarkEnd w:id="53"/>
    <w:p>
      <w:pPr>
        <w:ind w:left="9"/>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7153910" cy="1085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3910" cy="108585"/>
                    </a:xfrm>
                    <a:prstGeom prst="rect">
                      <a:avLst/>
                    </a:prstGeom>
                    <a:noFill/>
                  </pic:spPr>
                </pic:pic>
              </a:graphicData>
            </a:graphic>
          </wp:anchor>
        </w:drawing>
      </w:r>
    </w:p>
    <w:p>
      <w:pPr>
        <w:ind w:left="9"/>
        <w:spacing w:after="0"/>
        <w:rPr>
          <w:sz w:val="20"/>
          <w:szCs w:val="20"/>
          <w:color w:val="auto"/>
        </w:rPr>
      </w:pPr>
      <w:r>
        <w:rPr>
          <w:rFonts w:ascii="Times New Roman" w:cs="Times New Roman" w:eastAsia="Times New Roman" w:hAnsi="Times New Roman"/>
          <w:sz w:val="15"/>
          <w:szCs w:val="15"/>
          <w:color w:val="auto"/>
        </w:rPr>
        <w:t>True Global Ventures 4 Plus</w:t>
      </w:r>
    </w:p>
    <w:tbl>
      <w:tblPr>
        <w:tblLayout w:type="fixed"/>
        <w:tblInd w:w="9" w:type="dxa"/>
        <w:tblCellMar>
          <w:top w:w="0" w:type="dxa"/>
          <w:left w:w="0" w:type="dxa"/>
          <w:bottom w:w="0" w:type="dxa"/>
          <w:right w:w="0" w:type="dxa"/>
        </w:tblCellMar>
      </w:tblPr>
      <w:tr>
        <w:trPr>
          <w:trHeight w:val="241"/>
        </w:trPr>
        <w:tc>
          <w:tcPr>
            <w:tcW w:w="1900" w:type="dxa"/>
            <w:vAlign w:val="bottom"/>
          </w:tcPr>
          <w:p>
            <w:pPr>
              <w:spacing w:after="0" w:line="241" w:lineRule="exact"/>
              <w:rPr>
                <w:sz w:val="20"/>
                <w:szCs w:val="20"/>
                <w:color w:val="auto"/>
              </w:rPr>
            </w:pPr>
            <w:r>
              <w:rPr>
                <w:rFonts w:ascii="Times New Roman" w:cs="Times New Roman" w:eastAsia="Times New Roman" w:hAnsi="Times New Roman"/>
                <w:sz w:val="15"/>
                <w:szCs w:val="15"/>
                <w:color w:val="auto"/>
              </w:rPr>
              <w:t>Pte Ltd</w:t>
            </w:r>
            <w:r>
              <w:rPr>
                <w:rFonts w:ascii="Times New Roman" w:cs="Times New Roman" w:eastAsia="Times New Roman" w:hAnsi="Times New Roman"/>
                <w:sz w:val="25"/>
                <w:szCs w:val="25"/>
                <w:color w:val="auto"/>
                <w:vertAlign w:val="superscript"/>
              </w:rPr>
              <w:t>(8)</w:t>
            </w:r>
          </w:p>
        </w:tc>
        <w:tc>
          <w:tcPr>
            <w:tcW w:w="2160" w:type="dxa"/>
            <w:vAlign w:val="bottom"/>
          </w:tcPr>
          <w:p>
            <w:pPr>
              <w:jc w:val="center"/>
              <w:ind w:right="24"/>
              <w:spacing w:after="0"/>
              <w:rPr>
                <w:sz w:val="20"/>
                <w:szCs w:val="20"/>
                <w:color w:val="auto"/>
              </w:rPr>
            </w:pPr>
            <w:r>
              <w:rPr>
                <w:rFonts w:ascii="Times New Roman" w:cs="Times New Roman" w:eastAsia="Times New Roman" w:hAnsi="Times New Roman"/>
                <w:sz w:val="15"/>
                <w:szCs w:val="15"/>
                <w:color w:val="auto"/>
                <w:w w:val="96"/>
              </w:rPr>
              <w:t>Various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N/A</w:t>
            </w:r>
          </w:p>
        </w:tc>
        <w:tc>
          <w:tcPr>
            <w:tcW w:w="2580" w:type="dxa"/>
            <w:vAlign w:val="bottom"/>
            <w:gridSpan w:val="3"/>
          </w:tcPr>
          <w:p>
            <w:pPr>
              <w:ind w:left="1420"/>
              <w:spacing w:after="0"/>
              <w:rPr>
                <w:sz w:val="20"/>
                <w:szCs w:val="20"/>
                <w:color w:val="auto"/>
              </w:rPr>
            </w:pPr>
            <w:r>
              <w:rPr>
                <w:rFonts w:ascii="Times New Roman" w:cs="Times New Roman" w:eastAsia="Times New Roman" w:hAnsi="Times New Roman"/>
                <w:sz w:val="15"/>
                <w:szCs w:val="15"/>
                <w:color w:val="auto"/>
              </w:rPr>
              <w:t>N/A</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1,582,629</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1,330,000</w:t>
            </w:r>
          </w:p>
        </w:tc>
        <w:tc>
          <w:tcPr>
            <w:tcW w:w="40" w:type="dxa"/>
            <w:vAlign w:val="bottom"/>
          </w:tcPr>
          <w:p>
            <w:pPr>
              <w:spacing w:after="0"/>
              <w:rPr>
                <w:sz w:val="20"/>
                <w:szCs w:val="20"/>
                <w:color w:val="auto"/>
              </w:rPr>
            </w:pPr>
          </w:p>
        </w:tc>
      </w:tr>
      <w:tr>
        <w:trPr>
          <w:trHeight w:val="228"/>
        </w:trPr>
        <w:tc>
          <w:tcPr>
            <w:tcW w:w="190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15"/>
                <w:szCs w:val="15"/>
                <w:color w:val="auto"/>
              </w:rPr>
              <w:t>Ozy Media, Inc.</w:t>
            </w:r>
            <w:r>
              <w:rPr>
                <w:rFonts w:ascii="Times New Roman" w:cs="Times New Roman" w:eastAsia="Times New Roman" w:hAnsi="Times New Roman"/>
                <w:sz w:val="25"/>
                <w:szCs w:val="25"/>
                <w:color w:val="auto"/>
                <w:vertAlign w:val="superscript"/>
              </w:rPr>
              <w:t>(9)</w:t>
            </w:r>
          </w:p>
        </w:tc>
        <w:tc>
          <w:tcPr>
            <w:tcW w:w="2160" w:type="dxa"/>
            <w:vAlign w:val="bottom"/>
            <w:shd w:val="clear" w:color="auto" w:fill="CCEEFF"/>
          </w:tcPr>
          <w:p>
            <w:pPr>
              <w:jc w:val="right"/>
              <w:ind w:right="784"/>
              <w:spacing w:after="0"/>
              <w:rPr>
                <w:sz w:val="20"/>
                <w:szCs w:val="20"/>
                <w:color w:val="auto"/>
              </w:rPr>
            </w:pPr>
            <w:r>
              <w:rPr>
                <w:rFonts w:ascii="Times New Roman" w:cs="Times New Roman" w:eastAsia="Times New Roman" w:hAnsi="Times New Roman"/>
                <w:sz w:val="15"/>
                <w:szCs w:val="15"/>
                <w:color w:val="auto"/>
              </w:rPr>
              <w:t>5/4/2023</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3,492,465</w:t>
            </w:r>
          </w:p>
        </w:tc>
        <w:tc>
          <w:tcPr>
            <w:tcW w:w="2580" w:type="dxa"/>
            <w:vAlign w:val="bottom"/>
            <w:gridSpan w:val="3"/>
            <w:shd w:val="clear" w:color="auto" w:fill="CCEEFF"/>
          </w:tcPr>
          <w:p>
            <w:pPr>
              <w:ind w:left="1420"/>
              <w:spacing w:after="0"/>
              <w:rPr>
                <w:sz w:val="20"/>
                <w:szCs w:val="20"/>
                <w:color w:val="auto"/>
              </w:rPr>
            </w:pPr>
            <w:r>
              <w:rPr>
                <w:rFonts w:ascii="Times New Roman" w:cs="Times New Roman" w:eastAsia="Times New Roman" w:hAnsi="Times New Roman"/>
                <w:sz w:val="15"/>
                <w:szCs w:val="15"/>
                <w:color w:val="auto"/>
              </w:rPr>
              <w:t>N/A</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(10,945,024)</w:t>
            </w:r>
          </w:p>
        </w:tc>
      </w:tr>
      <w:tr>
        <w:trPr>
          <w:trHeight w:val="185"/>
        </w:trPr>
        <w:tc>
          <w:tcPr>
            <w:tcW w:w="190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16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Borders>
              <w:top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9,658,163</w:t>
            </w:r>
          </w:p>
        </w:tc>
        <w:tc>
          <w:tcPr>
            <w:tcW w:w="320" w:type="dxa"/>
            <w:vAlign w:val="bottom"/>
          </w:tcPr>
          <w:p>
            <w:pPr>
              <w:spacing w:after="0"/>
              <w:rPr>
                <w:sz w:val="16"/>
                <w:szCs w:val="16"/>
                <w:color w:val="auto"/>
              </w:rPr>
            </w:pPr>
          </w:p>
        </w:tc>
        <w:tc>
          <w:tcPr>
            <w:tcW w:w="22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(14,689,009</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r>
      <w:tr>
        <w:trPr>
          <w:trHeight w:val="20"/>
        </w:trPr>
        <w:tc>
          <w:tcPr>
            <w:tcW w:w="1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78689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86890" cy="6985"/>
                    </a:xfrm>
                    <a:prstGeom prst="rect">
                      <a:avLst/>
                    </a:prstGeom>
                    <a:noFill/>
                  </pic:spPr>
                </pic:pic>
              </a:graphicData>
            </a:graphic>
          </wp:anchor>
        </w:drawing>
      </w:r>
    </w:p>
    <w:p>
      <w:pPr>
        <w:spacing w:after="0" w:line="182" w:lineRule="exact"/>
        <w:rPr>
          <w:sz w:val="20"/>
          <w:szCs w:val="20"/>
          <w:color w:val="auto"/>
        </w:rPr>
      </w:pPr>
    </w:p>
    <w:p>
      <w:pPr>
        <w:ind w:left="269" w:hanging="269"/>
        <w:spacing w:after="0"/>
        <w:tabs>
          <w:tab w:leader="none" w:pos="269"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average net share price is the net share price realized after deducting all commissions and fees on the sale(s), if applicable.</w:t>
      </w:r>
    </w:p>
    <w:p>
      <w:pPr>
        <w:spacing w:after="0" w:line="24"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Realized gain/(loss) does not include adjustments to amounts held in escrow receivable.</w:t>
      </w:r>
    </w:p>
    <w:p>
      <w:pPr>
        <w:spacing w:after="0" w:line="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March 8, 2023, we had sold our remaining Kahoot! ASA public common shares.</w:t>
      </w:r>
    </w:p>
    <w:p>
      <w:pPr>
        <w:spacing w:after="0" w:line="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September 30, 2023, we held 105,820 remaining NewLake Capital Partners, Inc. public common shares.</w:t>
      </w:r>
    </w:p>
    <w:p>
      <w:pPr>
        <w:spacing w:after="0" w:line="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September 30, 2023, we held 262,420 remaining Nextdoor Holdings, Inc. public common shares.</w:t>
      </w:r>
    </w:p>
    <w:p>
      <w:pPr>
        <w:spacing w:after="0" w:line="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January 4, 2023, we had sold our remaining Rent the Runway, Inc. public common shares.</w:t>
      </w:r>
    </w:p>
    <w:p>
      <w:pPr>
        <w:spacing w:after="0" w:line="9" w:lineRule="exact"/>
        <w:rPr>
          <w:rFonts w:ascii="Times New Roman" w:cs="Times New Roman" w:eastAsia="Times New Roman" w:hAnsi="Times New Roman"/>
          <w:sz w:val="15"/>
          <w:szCs w:val="15"/>
          <w:color w:val="auto"/>
        </w:rPr>
      </w:pPr>
    </w:p>
    <w:p>
      <w:pPr>
        <w:ind w:left="269" w:hanging="269"/>
        <w:spacing w:after="0" w:line="253" w:lineRule="auto"/>
        <w:tabs>
          <w:tab w:leader="none" w:pos="269"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nine months ended September 30, 2023, approximately $0.9 million was received from Residential Homes for Rent, LLC (d/b/a Second Avenue) related to the 15% term loan due December 23, 2023. Of the proceeds received, approximately $0.8 million repaid a portion of the outstanding principal and the remaining was attributed to interest.</w:t>
      </w:r>
    </w:p>
    <w:p>
      <w:pPr>
        <w:ind w:left="269" w:hanging="269"/>
        <w:spacing w:after="0"/>
        <w:tabs>
          <w:tab w:leader="none" w:pos="269"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previously unfunded capital commitment of $1.3 million was deemed fully contributed in lieu of cash distributions.</w:t>
      </w:r>
    </w:p>
    <w:p>
      <w:pPr>
        <w:spacing w:after="0" w:line="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May 4, 2023, we abandoned our investment in Ozy Media, Inc.</w:t>
      </w:r>
    </w:p>
    <w:p>
      <w:pPr>
        <w:spacing w:after="0" w:line="176" w:lineRule="exact"/>
        <w:rPr>
          <w:rFonts w:ascii="Times New Roman" w:cs="Times New Roman" w:eastAsia="Times New Roman" w:hAnsi="Times New Roman"/>
          <w:sz w:val="15"/>
          <w:szCs w:val="15"/>
          <w:color w:val="auto"/>
        </w:rPr>
      </w:pPr>
    </w:p>
    <w:p>
      <w:pPr>
        <w:ind w:left="269"/>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nine months ended September 30, 2023, we wrote-off our investment in Ozy Media, Inc. following our abandonment.</w:t>
      </w:r>
    </w:p>
    <w:p>
      <w:pPr>
        <w:spacing w:after="0" w:line="18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19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Comparison of the Nine Months Ended September 30, 2024 and 2023</w:t>
      </w:r>
    </w:p>
    <w:p>
      <w:pPr>
        <w:spacing w:after="0" w:line="196"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Operating results for the three and nine months ended September 30, 2024 and 2023 are as follows:</w:t>
      </w:r>
    </w:p>
    <w:p>
      <w:pPr>
        <w:spacing w:after="0" w:line="199"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3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540" w:type="dxa"/>
            <w:vAlign w:val="bottom"/>
            <w:gridSpan w:val="6"/>
          </w:tcPr>
          <w:p>
            <w:pPr>
              <w:jc w:val="right"/>
              <w:ind w:right="88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20" w:type="dxa"/>
            <w:vAlign w:val="bottom"/>
            <w:gridSpan w:val="6"/>
          </w:tcPr>
          <w:p>
            <w:pPr>
              <w:jc w:val="right"/>
              <w:ind w:right="820"/>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185"/>
        </w:trPr>
        <w:tc>
          <w:tcPr>
            <w:tcW w:w="32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6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8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tcPr>
          <w:p>
            <w:pPr>
              <w:jc w:val="right"/>
              <w:ind w:right="62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604"/>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62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6"/>
                <w:szCs w:val="16"/>
                <w:color w:val="auto"/>
              </w:rPr>
            </w:pPr>
          </w:p>
        </w:tc>
      </w:tr>
      <w:tr>
        <w:trPr>
          <w:trHeight w:val="17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Investment Income</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888,717</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1,465,746</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3,444,161</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4,137,046</w:t>
            </w:r>
          </w:p>
        </w:tc>
        <w:tc>
          <w:tcPr>
            <w:tcW w:w="100" w:type="dxa"/>
            <w:vAlign w:val="bottom"/>
            <w:shd w:val="clear" w:color="auto" w:fill="CCEEFF"/>
          </w:tcPr>
          <w:p>
            <w:pPr>
              <w:spacing w:after="0"/>
              <w:rPr>
                <w:sz w:val="15"/>
                <w:szCs w:val="15"/>
                <w:color w:val="auto"/>
              </w:rPr>
            </w:pPr>
          </w:p>
        </w:tc>
      </w:tr>
      <w:tr>
        <w:trPr>
          <w:trHeight w:val="182"/>
        </w:trPr>
        <w:tc>
          <w:tcPr>
            <w:tcW w:w="3240" w:type="dxa"/>
            <w:vAlign w:val="bottom"/>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722,564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1,402,601</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3,256,133</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3,947,611</w:t>
            </w:r>
          </w:p>
        </w:tc>
      </w:tr>
      <w:tr>
        <w:trPr>
          <w:trHeight w:val="182"/>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Dividend income</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166,153</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63,145</w:t>
            </w: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188,028</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189,435</w:t>
            </w:r>
          </w:p>
        </w:tc>
      </w:tr>
      <w:tr>
        <w:trPr>
          <w:trHeight w:val="182"/>
        </w:trPr>
        <w:tc>
          <w:tcPr>
            <w:tcW w:w="32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Operating Expenses</w:t>
            </w:r>
          </w:p>
        </w:tc>
        <w:tc>
          <w:tcPr>
            <w:tcW w:w="520" w:type="dxa"/>
            <w:vAlign w:val="bottom"/>
            <w:gridSpan w:val="2"/>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4,096,590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4,134,172</w:t>
            </w:r>
          </w:p>
        </w:tc>
        <w:tc>
          <w:tcPr>
            <w:tcW w:w="540" w:type="dxa"/>
            <w:vAlign w:val="bottom"/>
            <w:gridSpan w:val="2"/>
          </w:tcPr>
          <w:p>
            <w:pPr>
              <w:jc w:val="right"/>
              <w:ind w:right="266"/>
              <w:spacing w:after="0"/>
              <w:rPr>
                <w:sz w:val="20"/>
                <w:szCs w:val="20"/>
                <w:color w:val="auto"/>
              </w:rPr>
            </w:pPr>
            <w:r>
              <w:rPr>
                <w:rFonts w:ascii="Times New Roman" w:cs="Times New Roman" w:eastAsia="Times New Roman" w:hAnsi="Times New Roman"/>
                <w:sz w:val="15"/>
                <w:szCs w:val="15"/>
                <w:b w:val="1"/>
                <w:bCs w:val="1"/>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13,530,561</w:t>
            </w:r>
          </w:p>
        </w:tc>
        <w:tc>
          <w:tcPr>
            <w:tcW w:w="520" w:type="dxa"/>
            <w:vAlign w:val="bottom"/>
            <w:gridSpan w:val="2"/>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14,832,577</w:t>
            </w:r>
          </w:p>
        </w:tc>
      </w:tr>
      <w:tr>
        <w:trPr>
          <w:trHeight w:val="182"/>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Compensation expense</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1,916,361</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2,123,704</w:t>
            </w: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6,300,188</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6,378,330</w:t>
            </w:r>
          </w:p>
        </w:tc>
      </w:tr>
      <w:tr>
        <w:trPr>
          <w:trHeight w:val="182"/>
        </w:trPr>
        <w:tc>
          <w:tcPr>
            <w:tcW w:w="3240" w:type="dxa"/>
            <w:vAlign w:val="bottom"/>
          </w:tcPr>
          <w:p>
            <w:pPr>
              <w:spacing w:after="0"/>
              <w:rPr>
                <w:sz w:val="20"/>
                <w:szCs w:val="20"/>
                <w:color w:val="auto"/>
              </w:rPr>
            </w:pPr>
            <w:r>
              <w:rPr>
                <w:rFonts w:ascii="Times New Roman" w:cs="Times New Roman" w:eastAsia="Times New Roman" w:hAnsi="Times New Roman"/>
                <w:sz w:val="15"/>
                <w:szCs w:val="15"/>
                <w:color w:val="auto"/>
              </w:rPr>
              <w:t>Directors’ fees</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171,661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161,661</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510,599</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483,887</w:t>
            </w:r>
          </w:p>
        </w:tc>
      </w:tr>
      <w:tr>
        <w:trPr>
          <w:trHeight w:val="182"/>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Professional fees</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515,244</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277,075</w:t>
            </w: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1,830,628</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2,184,488</w:t>
            </w:r>
          </w:p>
        </w:tc>
      </w:tr>
      <w:tr>
        <w:trPr>
          <w:trHeight w:val="182"/>
        </w:trPr>
        <w:tc>
          <w:tcPr>
            <w:tcW w:w="3240" w:type="dxa"/>
            <w:vAlign w:val="bottom"/>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1,153,466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1,215,248</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3,582,000</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3,642,801</w:t>
            </w:r>
          </w:p>
        </w:tc>
      </w:tr>
      <w:tr>
        <w:trPr>
          <w:trHeight w:val="182"/>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54,894</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620,606</w:t>
            </w:r>
          </w:p>
        </w:tc>
      </w:tr>
      <w:tr>
        <w:trPr>
          <w:trHeight w:val="182"/>
        </w:trPr>
        <w:tc>
          <w:tcPr>
            <w:tcW w:w="3240" w:type="dxa"/>
            <w:vAlign w:val="bottom"/>
          </w:tcPr>
          <w:p>
            <w:pPr>
              <w:spacing w:after="0"/>
              <w:rPr>
                <w:sz w:val="20"/>
                <w:szCs w:val="20"/>
                <w:color w:val="auto"/>
              </w:rPr>
            </w:pPr>
            <w:r>
              <w:rPr>
                <w:rFonts w:ascii="Times New Roman" w:cs="Times New Roman" w:eastAsia="Times New Roman" w:hAnsi="Times New Roman"/>
                <w:sz w:val="15"/>
                <w:szCs w:val="15"/>
                <w:color w:val="auto"/>
              </w:rPr>
              <w:t>Other expenses</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339,858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356,484</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1,252,252</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1,522,465</w:t>
            </w:r>
          </w:p>
        </w:tc>
      </w:tr>
      <w:tr>
        <w:trPr>
          <w:trHeight w:val="182"/>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Investment Loss</w:t>
            </w:r>
          </w:p>
        </w:tc>
        <w:tc>
          <w:tcPr>
            <w:tcW w:w="520" w:type="dxa"/>
            <w:vAlign w:val="bottom"/>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(3,207,873)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(2,668,426)</w:t>
            </w:r>
          </w:p>
        </w:tc>
        <w:tc>
          <w:tcPr>
            <w:tcW w:w="540" w:type="dxa"/>
            <w:vAlign w:val="bottom"/>
            <w:gridSpan w:val="2"/>
            <w:shd w:val="clear" w:color="auto" w:fill="CCEEFF"/>
          </w:tcPr>
          <w:p>
            <w:pPr>
              <w:jc w:val="right"/>
              <w:ind w:right="266"/>
              <w:spacing w:after="0"/>
              <w:rPr>
                <w:sz w:val="20"/>
                <w:szCs w:val="20"/>
                <w:color w:val="auto"/>
              </w:rPr>
            </w:pPr>
            <w:r>
              <w:rPr>
                <w:rFonts w:ascii="Times New Roman" w:cs="Times New Roman" w:eastAsia="Times New Roman" w:hAnsi="Times New Roman"/>
                <w:sz w:val="15"/>
                <w:szCs w:val="15"/>
                <w:b w:val="1"/>
                <w:bCs w:val="1"/>
                <w:color w:val="auto"/>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(10,086,400)</w:t>
            </w:r>
          </w:p>
        </w:tc>
        <w:tc>
          <w:tcPr>
            <w:tcW w:w="520" w:type="dxa"/>
            <w:vAlign w:val="bottom"/>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(10,695,531)</w:t>
            </w:r>
          </w:p>
        </w:tc>
      </w:tr>
      <w:tr>
        <w:trPr>
          <w:trHeight w:val="182"/>
        </w:trPr>
        <w:tc>
          <w:tcPr>
            <w:tcW w:w="3240" w:type="dxa"/>
            <w:vAlign w:val="bottom"/>
          </w:tcPr>
          <w:p>
            <w:pPr>
              <w:spacing w:after="0"/>
              <w:rPr>
                <w:sz w:val="20"/>
                <w:szCs w:val="20"/>
                <w:color w:val="auto"/>
              </w:rPr>
            </w:pPr>
            <w:r>
              <w:rPr>
                <w:rFonts w:ascii="Times New Roman" w:cs="Times New Roman" w:eastAsia="Times New Roman" w:hAnsi="Times New Roman"/>
                <w:sz w:val="15"/>
                <w:szCs w:val="15"/>
                <w:color w:val="auto"/>
              </w:rPr>
              <w:t>Net realized loss on investments</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(13,713,512)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(1,461,281)</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(14,167,198)</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(14,542,137)</w:t>
            </w:r>
          </w:p>
        </w:tc>
      </w:tr>
      <w:tr>
        <w:trPr>
          <w:trHeight w:val="168"/>
        </w:trPr>
        <w:tc>
          <w:tcPr>
            <w:tcW w:w="324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Realized loss on partial repurchase of 6.00% Notes</w:t>
            </w: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97"/>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due December 30, 2026</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(145,244)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(145,244)</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Net change in unrealized</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7"/>
        </w:trPr>
        <w:tc>
          <w:tcPr>
            <w:tcW w:w="3240" w:type="dxa"/>
            <w:vAlign w:val="bottom"/>
          </w:tcPr>
          <w:p>
            <w:pPr>
              <w:spacing w:after="0"/>
              <w:rPr>
                <w:sz w:val="20"/>
                <w:szCs w:val="20"/>
                <w:color w:val="auto"/>
              </w:rPr>
            </w:pPr>
            <w:r>
              <w:rPr>
                <w:rFonts w:ascii="Times New Roman" w:cs="Times New Roman" w:eastAsia="Times New Roman" w:hAnsi="Times New Roman"/>
                <w:sz w:val="15"/>
                <w:szCs w:val="15"/>
                <w:color w:val="auto"/>
              </w:rPr>
              <w:t>appreciation/(depreciation) of investments</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11,614,384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29,323,067</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(13,769,932)</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39,427,513</w:t>
            </w:r>
          </w:p>
        </w:tc>
      </w:tr>
      <w:tr>
        <w:trPr>
          <w:trHeight w:val="164"/>
        </w:trPr>
        <w:tc>
          <w:tcPr>
            <w:tcW w:w="324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5"/>
                <w:szCs w:val="15"/>
                <w:b w:val="1"/>
                <w:bCs w:val="1"/>
                <w:color w:val="auto"/>
              </w:rPr>
              <w:t>Net Change in Net Assets Resulting from</w:t>
            </w: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01"/>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Operations</w:t>
            </w:r>
          </w:p>
        </w:tc>
        <w:tc>
          <w:tcPr>
            <w:tcW w:w="520" w:type="dxa"/>
            <w:vAlign w:val="bottom"/>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(5,452,245)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25,193,360</w:t>
            </w:r>
          </w:p>
        </w:tc>
        <w:tc>
          <w:tcPr>
            <w:tcW w:w="540" w:type="dxa"/>
            <w:vAlign w:val="bottom"/>
            <w:gridSpan w:val="2"/>
            <w:shd w:val="clear" w:color="auto" w:fill="CCEEFF"/>
          </w:tcPr>
          <w:p>
            <w:pPr>
              <w:jc w:val="right"/>
              <w:ind w:right="266"/>
              <w:spacing w:after="0"/>
              <w:rPr>
                <w:sz w:val="20"/>
                <w:szCs w:val="20"/>
                <w:color w:val="auto"/>
              </w:rPr>
            </w:pPr>
            <w:r>
              <w:rPr>
                <w:rFonts w:ascii="Times New Roman" w:cs="Times New Roman" w:eastAsia="Times New Roman" w:hAnsi="Times New Roman"/>
                <w:sz w:val="15"/>
                <w:szCs w:val="15"/>
                <w:b w:val="1"/>
                <w:bCs w:val="1"/>
                <w:color w:val="auto"/>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(38,168,774)</w:t>
            </w:r>
          </w:p>
        </w:tc>
        <w:tc>
          <w:tcPr>
            <w:tcW w:w="520" w:type="dxa"/>
            <w:vAlign w:val="bottom"/>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14,189,845</w:t>
            </w:r>
          </w:p>
        </w:tc>
      </w:tr>
      <w:tr>
        <w:trPr>
          <w:trHeight w:val="365"/>
        </w:trPr>
        <w:tc>
          <w:tcPr>
            <w:tcW w:w="3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344"/>
              <w:spacing w:after="0"/>
              <w:rPr>
                <w:sz w:val="20"/>
                <w:szCs w:val="20"/>
                <w:color w:val="auto"/>
              </w:rPr>
            </w:pPr>
            <w:r>
              <w:rPr>
                <w:rFonts w:ascii="Times New Roman" w:cs="Times New Roman" w:eastAsia="Times New Roman" w:hAnsi="Times New Roman"/>
                <w:sz w:val="15"/>
                <w:szCs w:val="15"/>
                <w:color w:val="auto"/>
              </w:rPr>
              <w:t>50</w:t>
            </w: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9"/>
          </w:cols>
          <w:pgMar w:left="311" w:top="127"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Investment Income</w:t>
      </w:r>
    </w:p>
    <w:p>
      <w:pPr>
        <w:spacing w:after="0" w:line="196"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Investment income decreased to $888,717 for the three months ended September 30, 2024 from $1,465,746 for the three months ended September 30, 2023. The net decrease between periods was primarily due to the cessation of interest income from short-term U.S. Treasury bills, and from Architect Capital PayJoy SPV, LLC following the redemption of our investment in June 2024. Additional decreases in interest income were from Xgroup Holdings Limited (d/b/a Xpoint), Shogun Enterprises, Inc. (d/b/a Hearth), and the repayment in full of the Residential Homes for Rent, LLC (d/b/a Second Avenue) term loan as of December 26, 2023, as well as a decrease in dividend income from NewLake Capital Partners, Inc. (f/k/a GreenAcreage Real Estate Corp.) following our complete exit in December 2023. The decreases were offset by an increase in interest income received on cash, and an increase in PIK dividend income from CW Opportunity 2 LP during the three months ended September 30, 2024, relative to the three months ended ended September 30, 2023.</w:t>
      </w:r>
    </w:p>
    <w:p>
      <w:pPr>
        <w:spacing w:after="0" w:line="155"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Investment income decreased to $3,444,161 for the nine months ended September 30, 2024 from $4,137,046 for the nine months ended September 30, 2023. The net decrease between periods was primarily due to a decrease in interest income from short-term U.S. Treasury bills, Xgroup Holdings Limited (d/b/a Xpoint), and Shogun Enterprises, Inc. (d/b/a Hearth), a repayment in full of the Residential Homes for Rent, LLC (d/b/a Second Avenue) term loan as of December 26, 2023, and a decrease in dividend income from Aventine Property Group and NewLake Capital Partners, Inc. (f/k/a GreenAcreage Real Estate Corp.) following our complete exit in December 2023. The decrease was offset by an increase in interest income received on cash and an increase in PIK dividend income from CW Opportunity 2 LP during the nine months ended September 30, 2024, relative to the nine months ended September 30, 2023.</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Operating Expenses</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Total operating expenses decreased to $4,096,590 for the three months ended September 30, 2024 from $4,134,172 for the three months ended September 30, 2023. The decrease in operating expense was primarily due to decreases in compensation expense and interest expense, offset by an increase in professional fees and directors’ fees during the three months ended September 30, 2024, relative to the three months ended September 30, 2023.</w:t>
      </w:r>
    </w:p>
    <w:p>
      <w:pPr>
        <w:spacing w:after="0" w:line="147" w:lineRule="exact"/>
        <w:rPr>
          <w:sz w:val="20"/>
          <w:szCs w:val="20"/>
          <w:color w:val="auto"/>
        </w:rPr>
      </w:pPr>
    </w:p>
    <w:p>
      <w:pPr>
        <w:jc w:val="both"/>
        <w:ind w:right="20" w:firstLine="273"/>
        <w:spacing w:after="0" w:line="270" w:lineRule="auto"/>
        <w:rPr>
          <w:sz w:val="20"/>
          <w:szCs w:val="20"/>
          <w:color w:val="auto"/>
        </w:rPr>
      </w:pPr>
      <w:r>
        <w:rPr>
          <w:rFonts w:ascii="Times New Roman" w:cs="Times New Roman" w:eastAsia="Times New Roman" w:hAnsi="Times New Roman"/>
          <w:sz w:val="15"/>
          <w:szCs w:val="15"/>
          <w:color w:val="auto"/>
        </w:rPr>
        <w:t>Total operating expenses decreased to $13,530,561 for the nine months ended September 30, 2024 from $14,832,577 for the nine months ended September 30, 2023. The decrease in operating expense was primarily due to decreases in income tax expense related to blocker corporations, professional fees, other expenses, and interest expense, offset by a slight increase in directors’ fees during the nine months ended September 30, 2024, relative to the nine months ended September 30,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Net Investment Loss</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For the three months ended September 30, 2024, we recognized a net investment loss of $3,207,873, compared to a net investment loss of $2,668,426 for the three months ended September 30, 2023. The change between periods resulted from a decrease in total investment income and operating expenses during the three months ended September 30, 2024, relative to the three months ended September 30, 2023.</w:t>
      </w:r>
    </w:p>
    <w:p>
      <w:pPr>
        <w:spacing w:after="0" w:line="147" w:lineRule="exact"/>
        <w:rPr>
          <w:sz w:val="20"/>
          <w:szCs w:val="20"/>
          <w:color w:val="auto"/>
        </w:rPr>
      </w:pPr>
    </w:p>
    <w:p>
      <w:pPr>
        <w:jc w:val="both"/>
        <w:ind w:right="20" w:firstLine="273"/>
        <w:spacing w:after="0" w:line="270" w:lineRule="auto"/>
        <w:rPr>
          <w:sz w:val="20"/>
          <w:szCs w:val="20"/>
          <w:color w:val="auto"/>
        </w:rPr>
      </w:pPr>
      <w:r>
        <w:rPr>
          <w:rFonts w:ascii="Times New Roman" w:cs="Times New Roman" w:eastAsia="Times New Roman" w:hAnsi="Times New Roman"/>
          <w:sz w:val="15"/>
          <w:szCs w:val="15"/>
          <w:color w:val="auto"/>
        </w:rPr>
        <w:t>For the nine months ended September 30, 2024, we recognized a net investment loss of $10,086,400, compared to a net investment loss of $10,695,531 for the nine months ended September 30, 2023. The change between periods resulted from a decrease in investment income and operating expenses during the nine months ended September 30, 2024, relative to the nine months ended September 30, 2023.</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216"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Net Realized Loss on Investments</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For the three months ended September 30, 2024, we recognized a net realized loss on our investments of $13,713,512, compared to a net realized loss of $1,461,281 for the three months ended September 30, 2023. The components of our net realized losses on portfolio investments for the three months ended September 30, 2024 and 2023, excluding short-term U.S. Treasury bills and fluctuations in escrow receivables estimates, are reflected in the tables above, under “—Portfolio and Investment Activity.”</w:t>
      </w:r>
    </w:p>
    <w:p>
      <w:pPr>
        <w:spacing w:after="0" w:line="147"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For the nine months ended September 30, 2024, we recognized a net realized loss on our investments of $14,167,198, compared to a net realized loss of $14,542,137 for the nine months ended September 30, 2023. The components of our net realized losses on portfolio investments for the nine months ended September 30, 2024 and 2023, excluding short-term U.S. Treasury bills and fluctuations in escrow receivables estimates, are reflected in the tables above, under “—Portfolio and Investment Activity.”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Net Change in Unrealized Appreciation/(Depreciation) of Investments</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For the three months ended September 30, 2024 and 2023, we had a net change in unrealized appreciation/(depreciation) of $11,614,384 and $29,323,067, respectively. The following tables summarize, by portfolio company, the significant changes in unrealized appreciation/(depreciation) of our investment portfolio for the three months ended September 30, 2024 and 2023.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rPr>
              <w:t>Net Change in Unrealized</w:t>
            </w:r>
          </w:p>
        </w:tc>
        <w:tc>
          <w:tcPr>
            <w:tcW w:w="2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Net Change in Unrealized</w:t>
            </w:r>
          </w:p>
        </w:tc>
      </w:tr>
      <w:tr>
        <w:trPr>
          <w:trHeight w:val="182"/>
        </w:trPr>
        <w:tc>
          <w:tcPr>
            <w:tcW w:w="2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rPr>
              <w:t>Appreciation/(Depreciation) For the</w:t>
            </w:r>
          </w:p>
        </w:tc>
        <w:tc>
          <w:tcPr>
            <w:tcW w:w="2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6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Appreciation/(Depreciation) For the</w:t>
            </w:r>
          </w:p>
        </w:tc>
      </w:tr>
      <w:tr>
        <w:trPr>
          <w:trHeight w:val="182"/>
        </w:trPr>
        <w:tc>
          <w:tcPr>
            <w:tcW w:w="2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2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6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r>
      <w:tr>
        <w:trPr>
          <w:trHeight w:val="201"/>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Portfolio Company</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340" w:type="dxa"/>
            <w:vAlign w:val="bottom"/>
            <w:tcBorders>
              <w:bottom w:val="single" w:sz="8" w:color="CCEEFF"/>
            </w:tcBorders>
          </w:tcPr>
          <w:p>
            <w:pPr>
              <w:spacing w:after="0"/>
              <w:rPr>
                <w:sz w:val="17"/>
                <w:szCs w:val="17"/>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Portfolio Company</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00" w:type="dxa"/>
            <w:vAlign w:val="bottom"/>
            <w:tcBorders>
              <w:bottom w:val="single" w:sz="8" w:color="CCEEFF"/>
            </w:tcBorders>
          </w:tcPr>
          <w:p>
            <w:pPr>
              <w:spacing w:after="0"/>
              <w:rPr>
                <w:sz w:val="17"/>
                <w:szCs w:val="17"/>
                <w:color w:val="auto"/>
              </w:rPr>
            </w:pPr>
          </w:p>
        </w:tc>
      </w:tr>
      <w:tr>
        <w:trPr>
          <w:trHeight w:val="208"/>
        </w:trPr>
        <w:tc>
          <w:tcPr>
            <w:tcW w:w="27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5"/>
                <w:szCs w:val="15"/>
                <w:color w:val="auto"/>
              </w:rPr>
              <w:t>OneValley, Inc. (f/k/a NestGSV, Inc.)</w:t>
            </w:r>
            <w:r>
              <w:rPr>
                <w:rFonts w:ascii="Times New Roman" w:cs="Times New Roman" w:eastAsia="Times New Roman" w:hAnsi="Times New Roman"/>
                <w:sz w:val="24"/>
                <w:szCs w:val="24"/>
                <w:color w:val="auto"/>
                <w:vertAlign w:val="superscript"/>
              </w:rPr>
              <w:t>(1)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6,940,288</w:t>
            </w: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Learneo, Inc. (f/k/a Course Hero, Inc.)</w:t>
            </w:r>
          </w:p>
        </w:tc>
        <w:tc>
          <w:tcPr>
            <w:tcW w:w="46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5"/>
                <w:szCs w:val="15"/>
                <w:color w:val="auto"/>
              </w:rPr>
              <w:t>$</w:t>
            </w:r>
          </w:p>
        </w:tc>
        <w:tc>
          <w:tcPr>
            <w:tcW w:w="2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32,856,880</w:t>
            </w:r>
          </w:p>
        </w:tc>
      </w:tr>
      <w:tr>
        <w:trPr>
          <w:trHeight w:val="169"/>
        </w:trPr>
        <w:tc>
          <w:tcPr>
            <w:tcW w:w="270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SPBRX, INC. (f/k/a GSV Sustainability</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9"/>
        </w:trPr>
        <w:tc>
          <w:tcPr>
            <w:tcW w:w="2700" w:type="dxa"/>
            <w:vAlign w:val="bottom"/>
          </w:tcPr>
          <w:p>
            <w:pPr>
              <w:spacing w:after="0" w:line="229" w:lineRule="exact"/>
              <w:rPr>
                <w:sz w:val="20"/>
                <w:szCs w:val="20"/>
                <w:color w:val="auto"/>
              </w:rPr>
            </w:pPr>
            <w:r>
              <w:rPr>
                <w:rFonts w:ascii="Times New Roman" w:cs="Times New Roman" w:eastAsia="Times New Roman" w:hAnsi="Times New Roman"/>
                <w:sz w:val="15"/>
                <w:szCs w:val="15"/>
                <w:color w:val="auto"/>
              </w:rPr>
              <w:t>Partners, Inc.)</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6,791,412</w:t>
            </w:r>
          </w:p>
        </w:tc>
        <w:tc>
          <w:tcPr>
            <w:tcW w:w="2600" w:type="dxa"/>
            <w:vAlign w:val="bottom"/>
          </w:tcPr>
          <w:p>
            <w:pPr>
              <w:spacing w:after="0"/>
              <w:rPr>
                <w:sz w:val="20"/>
                <w:szCs w:val="20"/>
                <w:color w:val="auto"/>
              </w:rPr>
            </w:pPr>
            <w:r>
              <w:rPr>
                <w:rFonts w:ascii="Times New Roman" w:cs="Times New Roman" w:eastAsia="Times New Roman" w:hAnsi="Times New Roman"/>
                <w:sz w:val="15"/>
                <w:szCs w:val="15"/>
                <w:color w:val="auto"/>
              </w:rPr>
              <w:t>ServiceTitan, Inc.</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1,948,436</w:t>
            </w:r>
          </w:p>
        </w:tc>
      </w:tr>
      <w:tr>
        <w:trPr>
          <w:trHeight w:val="182"/>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Whoop, Inc.</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4,400,611</w:t>
            </w: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Forge Global, Inc.</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(1,003,231)</w:t>
            </w:r>
          </w:p>
        </w:tc>
      </w:tr>
      <w:tr>
        <w:trPr>
          <w:trHeight w:val="182"/>
        </w:trPr>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CW Opportunity 2 LP</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2,908,096</w:t>
            </w:r>
          </w:p>
        </w:tc>
        <w:tc>
          <w:tcPr>
            <w:tcW w:w="2600" w:type="dxa"/>
            <w:vAlign w:val="bottom"/>
          </w:tcPr>
          <w:p>
            <w:pPr>
              <w:spacing w:after="0"/>
              <w:rPr>
                <w:sz w:val="20"/>
                <w:szCs w:val="20"/>
                <w:color w:val="auto"/>
              </w:rPr>
            </w:pPr>
            <w:r>
              <w:rPr>
                <w:rFonts w:ascii="Times New Roman" w:cs="Times New Roman" w:eastAsia="Times New Roman" w:hAnsi="Times New Roman"/>
                <w:sz w:val="15"/>
                <w:szCs w:val="15"/>
                <w:color w:val="auto"/>
              </w:rPr>
              <w:t>Orchard Technologies, Inc.</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(1,286,496)</w:t>
            </w:r>
          </w:p>
        </w:tc>
      </w:tr>
      <w:tr>
        <w:trPr>
          <w:trHeight w:val="182"/>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Trax, Ltd.</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2,798,224</w:t>
            </w: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Aspiration Partners, Inc.</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(3,689,833)</w:t>
            </w:r>
          </w:p>
        </w:tc>
      </w:tr>
      <w:tr>
        <w:trPr>
          <w:trHeight w:val="182"/>
        </w:trPr>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FourKites, Inc.</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1,419,554</w:t>
            </w:r>
          </w:p>
        </w:tc>
        <w:tc>
          <w:tcPr>
            <w:tcW w:w="2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Blink Health, Inc.</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(2,518,714)</w:t>
            </w:r>
          </w:p>
        </w:tc>
        <w:tc>
          <w:tcPr>
            <w:tcW w:w="2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6"/>
        </w:trPr>
        <w:tc>
          <w:tcPr>
            <w:tcW w:w="270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PSQ Holdings, Inc. (d/b/a PublicSquare)</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(3,225,423)</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2"/>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Learneo, Inc. (f/k/a Course Hero, Inc.)</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(8,205,015)</w:t>
            </w:r>
          </w:p>
        </w:tc>
        <w:tc>
          <w:tcPr>
            <w:tcW w:w="2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2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2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8"/>
        </w:trPr>
        <w:tc>
          <w:tcPr>
            <w:tcW w:w="2700" w:type="dxa"/>
            <w:vAlign w:val="bottom"/>
          </w:tcPr>
          <w:p>
            <w:pPr>
              <w:spacing w:after="0" w:line="228" w:lineRule="exact"/>
              <w:rPr>
                <w:sz w:val="20"/>
                <w:szCs w:val="20"/>
                <w:color w:val="auto"/>
              </w:rPr>
            </w:pPr>
            <w:r>
              <w:rPr>
                <w:rFonts w:ascii="Times New Roman" w:cs="Times New Roman" w:eastAsia="Times New Roman" w:hAnsi="Times New Roman"/>
                <w:sz w:val="15"/>
                <w:szCs w:val="15"/>
                <w:color w:val="auto"/>
              </w:rPr>
              <w:t>Other</w:t>
            </w:r>
            <w:r>
              <w:rPr>
                <w:rFonts w:ascii="Times New Roman" w:cs="Times New Roman" w:eastAsia="Times New Roman" w:hAnsi="Times New Roman"/>
                <w:sz w:val="25"/>
                <w:szCs w:val="25"/>
                <w:color w:val="auto"/>
                <w:vertAlign w:val="superscript"/>
              </w:rPr>
              <w:t>(2)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305,351</w:t>
            </w:r>
          </w:p>
        </w:tc>
        <w:tc>
          <w:tcPr>
            <w:tcW w:w="2600" w:type="dxa"/>
            <w:vAlign w:val="bottom"/>
          </w:tcPr>
          <w:p>
            <w:pPr>
              <w:spacing w:after="0" w:line="228" w:lineRule="exact"/>
              <w:rPr>
                <w:sz w:val="20"/>
                <w:szCs w:val="20"/>
                <w:color w:val="auto"/>
              </w:rPr>
            </w:pPr>
            <w:r>
              <w:rPr>
                <w:rFonts w:ascii="Times New Roman" w:cs="Times New Roman" w:eastAsia="Times New Roman" w:hAnsi="Times New Roman"/>
                <w:sz w:val="15"/>
                <w:szCs w:val="15"/>
                <w:color w:val="auto"/>
              </w:rPr>
              <w:t>Other</w:t>
            </w:r>
            <w:r>
              <w:rPr>
                <w:rFonts w:ascii="Times New Roman" w:cs="Times New Roman" w:eastAsia="Times New Roman" w:hAnsi="Times New Roman"/>
                <w:sz w:val="25"/>
                <w:szCs w:val="25"/>
                <w:color w:val="auto"/>
                <w:vertAlign w:val="superscript"/>
              </w:rPr>
              <w:t>(2)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497,311</w:t>
            </w:r>
          </w:p>
        </w:tc>
      </w:tr>
      <w:tr>
        <w:trPr>
          <w:trHeight w:val="185"/>
        </w:trPr>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11,614,384</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2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29,323,067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2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9"/>
        </w:trPr>
        <w:tc>
          <w:tcPr>
            <w:tcW w:w="2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52</w:t>
            </w:r>
          </w:p>
        </w:tc>
        <w:tc>
          <w:tcPr>
            <w:tcW w:w="2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216" w:right="319" w:bottom="1440" w:gutter="0" w:footer="0" w:header="0"/>
        </w:sectPr>
      </w:pPr>
    </w:p>
    <w:bookmarkStart w:id="56" w:name="page57"/>
    <w:bookmarkEnd w:id="56"/>
    <w:p>
      <w:pPr>
        <w:ind w:left="9"/>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178689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86890" cy="6985"/>
                    </a:xfrm>
                    <a:prstGeom prst="rect">
                      <a:avLst/>
                    </a:prstGeom>
                    <a:noFill/>
                  </pic:spPr>
                </pic:pic>
              </a:graphicData>
            </a:graphic>
          </wp:anchor>
        </w:drawing>
      </w:r>
    </w:p>
    <w:p>
      <w:pPr>
        <w:spacing w:after="0" w:line="195" w:lineRule="exact"/>
        <w:rPr>
          <w:sz w:val="20"/>
          <w:szCs w:val="20"/>
          <w:color w:val="auto"/>
        </w:rPr>
      </w:pPr>
    </w:p>
    <w:p>
      <w:pPr>
        <w:ind w:left="269" w:hanging="269"/>
        <w:spacing w:after="0" w:line="264" w:lineRule="auto"/>
        <w:tabs>
          <w:tab w:leader="none" w:pos="269"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change in unrealized appreciation/(depreciation) reflected for these investments resulted from the full or partial exit of the investment, which resulted in the reversal of previously accrued unrealized appreciation/(depreciation), as applicable.</w:t>
      </w:r>
    </w:p>
    <w:p>
      <w:pPr>
        <w:ind w:left="269" w:hanging="269"/>
        <w:spacing w:after="0" w:line="267" w:lineRule="auto"/>
        <w:tabs>
          <w:tab w:leader="none" w:pos="269"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represents investments for which individual changes in unrealized appreciation/(depreciation) was less than $1.0 million for the three months ended September 30, 2024 and 2023.</w:t>
      </w:r>
    </w:p>
    <w:p>
      <w:pPr>
        <w:spacing w:after="0" w:line="148" w:lineRule="exact"/>
        <w:rPr>
          <w:sz w:val="20"/>
          <w:szCs w:val="20"/>
          <w:color w:val="auto"/>
        </w:rPr>
      </w:pPr>
    </w:p>
    <w:p>
      <w:pPr>
        <w:jc w:val="both"/>
        <w:ind w:left="9" w:firstLine="273"/>
        <w:spacing w:after="0" w:line="270" w:lineRule="auto"/>
        <w:rPr>
          <w:sz w:val="20"/>
          <w:szCs w:val="20"/>
          <w:color w:val="auto"/>
        </w:rPr>
      </w:pPr>
      <w:r>
        <w:rPr>
          <w:rFonts w:ascii="Times New Roman" w:cs="Times New Roman" w:eastAsia="Times New Roman" w:hAnsi="Times New Roman"/>
          <w:sz w:val="15"/>
          <w:szCs w:val="15"/>
          <w:color w:val="auto"/>
        </w:rPr>
        <w:t>For the nine months ended September 30, 2024 and 2023, we had a net change in unrealized appreciation/(depreciation) of $(13,769,932) and $39,427,513, respectively. The following tables summarize, by portfolio company, the significant changes in unrealized appreciation/(depreciation) of our investment portfolio for the nine months ended September 30, 2024 and 2023.</w:t>
      </w:r>
    </w:p>
    <w:p>
      <w:pPr>
        <w:spacing w:after="0" w:line="143" w:lineRule="exact"/>
        <w:rPr>
          <w:sz w:val="20"/>
          <w:szCs w:val="20"/>
          <w:color w:val="auto"/>
        </w:rPr>
      </w:pPr>
    </w:p>
    <w:tbl>
      <w:tblPr>
        <w:tblLayout w:type="fixed"/>
        <w:tblInd w:w="9" w:type="dxa"/>
        <w:tblCellMar>
          <w:top w:w="0" w:type="dxa"/>
          <w:left w:w="0" w:type="dxa"/>
          <w:bottom w:w="0" w:type="dxa"/>
          <w:right w:w="0" w:type="dxa"/>
        </w:tblCellMar>
      </w:tblPr>
      <w:tr>
        <w:trPr>
          <w:trHeight w:val="182"/>
        </w:trPr>
        <w:tc>
          <w:tcPr>
            <w:tcW w:w="2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2"/>
          </w:tcPr>
          <w:p>
            <w:pPr>
              <w:jc w:val="center"/>
              <w:ind w:right="364"/>
              <w:spacing w:after="0"/>
              <w:rPr>
                <w:sz w:val="20"/>
                <w:szCs w:val="20"/>
                <w:color w:val="auto"/>
              </w:rPr>
            </w:pPr>
            <w:r>
              <w:rPr>
                <w:rFonts w:ascii="Times New Roman" w:cs="Times New Roman" w:eastAsia="Times New Roman" w:hAnsi="Times New Roman"/>
                <w:sz w:val="15"/>
                <w:szCs w:val="15"/>
                <w:b w:val="1"/>
                <w:bCs w:val="1"/>
                <w:color w:val="auto"/>
              </w:rPr>
              <w:t>Net Change in Unrealized</w:t>
            </w:r>
          </w:p>
        </w:tc>
        <w:tc>
          <w:tcPr>
            <w:tcW w:w="2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gridSpan w:val="3"/>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Net Change in Unrealized</w:t>
            </w:r>
          </w:p>
        </w:tc>
      </w:tr>
      <w:tr>
        <w:trPr>
          <w:trHeight w:val="182"/>
        </w:trPr>
        <w:tc>
          <w:tcPr>
            <w:tcW w:w="2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2"/>
          </w:tcPr>
          <w:p>
            <w:pPr>
              <w:jc w:val="center"/>
              <w:ind w:right="364"/>
              <w:spacing w:after="0"/>
              <w:rPr>
                <w:sz w:val="20"/>
                <w:szCs w:val="20"/>
                <w:color w:val="auto"/>
              </w:rPr>
            </w:pPr>
            <w:r>
              <w:rPr>
                <w:rFonts w:ascii="Times New Roman" w:cs="Times New Roman" w:eastAsia="Times New Roman" w:hAnsi="Times New Roman"/>
                <w:sz w:val="15"/>
                <w:szCs w:val="15"/>
                <w:b w:val="1"/>
                <w:bCs w:val="1"/>
                <w:color w:val="auto"/>
              </w:rPr>
              <w:t>Appreciation/(Depreciation) For the</w:t>
            </w:r>
          </w:p>
        </w:tc>
        <w:tc>
          <w:tcPr>
            <w:tcW w:w="2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40" w:type="dxa"/>
            <w:vAlign w:val="bottom"/>
            <w:gridSpan w:val="4"/>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Appreciation/(Depreciation) For the</w:t>
            </w:r>
          </w:p>
        </w:tc>
      </w:tr>
      <w:tr>
        <w:trPr>
          <w:trHeight w:val="182"/>
        </w:trPr>
        <w:tc>
          <w:tcPr>
            <w:tcW w:w="2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2"/>
          </w:tcPr>
          <w:p>
            <w:pPr>
              <w:jc w:val="center"/>
              <w:ind w:right="364"/>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2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gridSpan w:val="3"/>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1"/>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Portfolio Company</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340" w:type="dxa"/>
            <w:vAlign w:val="bottom"/>
            <w:tcBorders>
              <w:bottom w:val="single" w:sz="8" w:color="CCEEFF"/>
            </w:tcBorders>
          </w:tcPr>
          <w:p>
            <w:pPr>
              <w:spacing w:after="0"/>
              <w:rPr>
                <w:sz w:val="17"/>
                <w:szCs w:val="17"/>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Portfolio Company</w:t>
            </w:r>
          </w:p>
        </w:tc>
        <w:tc>
          <w:tcPr>
            <w:tcW w:w="2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5"/>
                <w:szCs w:val="15"/>
                <w:b w:val="1"/>
                <w:bCs w:val="1"/>
                <w:color w:val="auto"/>
              </w:rPr>
              <w:t>September 30, 2023</w:t>
            </w:r>
          </w:p>
        </w:tc>
        <w:tc>
          <w:tcPr>
            <w:tcW w:w="100" w:type="dxa"/>
            <w:vAlign w:val="bottom"/>
            <w:tcBorders>
              <w:bottom w:val="single" w:sz="8" w:color="CCEEFF"/>
            </w:tcBorders>
            <w:gridSpan w:val="2"/>
          </w:tcPr>
          <w:p>
            <w:pPr>
              <w:spacing w:after="0"/>
              <w:rPr>
                <w:sz w:val="17"/>
                <w:szCs w:val="17"/>
                <w:color w:val="auto"/>
              </w:rPr>
            </w:pPr>
          </w:p>
        </w:tc>
      </w:tr>
      <w:tr>
        <w:trPr>
          <w:trHeight w:val="208"/>
        </w:trPr>
        <w:tc>
          <w:tcPr>
            <w:tcW w:w="27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5"/>
                <w:szCs w:val="15"/>
                <w:color w:val="auto"/>
              </w:rPr>
              <w:t>OneValley, Inc. (f/k/a NestGSV, Inc.)</w:t>
            </w:r>
            <w:r>
              <w:rPr>
                <w:rFonts w:ascii="Times New Roman" w:cs="Times New Roman" w:eastAsia="Times New Roman" w:hAnsi="Times New Roman"/>
                <w:sz w:val="24"/>
                <w:szCs w:val="24"/>
                <w:color w:val="auto"/>
                <w:vertAlign w:val="superscript"/>
              </w:rPr>
              <w:t>(1)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2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7,696,978</w:t>
            </w:r>
          </w:p>
        </w:tc>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PSQ Holdings, Inc. (d/b/a PublicSq.)</w:t>
            </w:r>
          </w:p>
        </w:tc>
        <w:tc>
          <w:tcPr>
            <w:tcW w:w="2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1"/>
                <w:szCs w:val="11"/>
                <w:color w:val="auto"/>
                <w:w w:val="71"/>
              </w:rPr>
              <w:t>$</w:t>
            </w:r>
          </w:p>
        </w:tc>
        <w:tc>
          <w:tcPr>
            <w:tcW w:w="2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15,395,054</w:t>
            </w:r>
          </w:p>
        </w:tc>
        <w:tc>
          <w:tcPr>
            <w:tcW w:w="80" w:type="dxa"/>
            <w:vAlign w:val="bottom"/>
            <w:shd w:val="clear" w:color="auto" w:fill="CCEEFF"/>
          </w:tcPr>
          <w:p>
            <w:pPr>
              <w:spacing w:after="0"/>
              <w:rPr>
                <w:sz w:val="18"/>
                <w:szCs w:val="18"/>
                <w:color w:val="auto"/>
              </w:rPr>
            </w:pPr>
          </w:p>
        </w:tc>
      </w:tr>
      <w:tr>
        <w:trPr>
          <w:trHeight w:val="169"/>
        </w:trPr>
        <w:tc>
          <w:tcPr>
            <w:tcW w:w="270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SPBRX, INC. (f/k/a GSV Sustainability</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9"/>
        </w:trPr>
        <w:tc>
          <w:tcPr>
            <w:tcW w:w="2700" w:type="dxa"/>
            <w:vAlign w:val="bottom"/>
          </w:tcPr>
          <w:p>
            <w:pPr>
              <w:spacing w:after="0" w:line="229" w:lineRule="exact"/>
              <w:rPr>
                <w:sz w:val="20"/>
                <w:szCs w:val="20"/>
                <w:color w:val="auto"/>
              </w:rPr>
            </w:pPr>
            <w:r>
              <w:rPr>
                <w:rFonts w:ascii="Times New Roman" w:cs="Times New Roman" w:eastAsia="Times New Roman" w:hAnsi="Times New Roman"/>
                <w:sz w:val="15"/>
                <w:szCs w:val="15"/>
                <w:color w:val="auto"/>
              </w:rPr>
              <w:t>Partners, Inc.)</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gridSpan w:val="2"/>
          </w:tcPr>
          <w:p>
            <w:pPr>
              <w:jc w:val="right"/>
              <w:ind w:right="264"/>
              <w:spacing w:after="0"/>
              <w:rPr>
                <w:sz w:val="20"/>
                <w:szCs w:val="20"/>
                <w:color w:val="auto"/>
              </w:rPr>
            </w:pPr>
            <w:r>
              <w:rPr>
                <w:rFonts w:ascii="Times New Roman" w:cs="Times New Roman" w:eastAsia="Times New Roman" w:hAnsi="Times New Roman"/>
                <w:sz w:val="15"/>
                <w:szCs w:val="15"/>
                <w:color w:val="auto"/>
              </w:rPr>
              <w:t>6,779,031</w:t>
            </w:r>
          </w:p>
        </w:tc>
        <w:tc>
          <w:tcPr>
            <w:tcW w:w="28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Learneo, Inc. (f/k/a Course Hero, Inc.)</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14,861,095</w:t>
            </w:r>
          </w:p>
        </w:tc>
        <w:tc>
          <w:tcPr>
            <w:tcW w:w="80" w:type="dxa"/>
            <w:vAlign w:val="bottom"/>
          </w:tcPr>
          <w:p>
            <w:pPr>
              <w:spacing w:after="0"/>
              <w:rPr>
                <w:sz w:val="19"/>
                <w:szCs w:val="19"/>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Blink Health, Inc.</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5,660,007</w:t>
            </w:r>
          </w:p>
        </w:tc>
        <w:tc>
          <w:tcPr>
            <w:tcW w:w="28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Ozy Media, Inc</w:t>
            </w:r>
            <w:r>
              <w:rPr>
                <w:rFonts w:ascii="Times New Roman" w:cs="Times New Roman" w:eastAsia="Times New Roman" w:hAnsi="Times New Roman"/>
                <w:sz w:val="25"/>
                <w:szCs w:val="25"/>
                <w:color w:val="auto"/>
                <w:vertAlign w:val="superscript"/>
              </w:rPr>
              <w:t>.(1)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10,945,024</w:t>
            </w:r>
          </w:p>
        </w:tc>
        <w:tc>
          <w:tcPr>
            <w:tcW w:w="80" w:type="dxa"/>
            <w:vAlign w:val="bottom"/>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Whoop, Inc.</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gridSpan w:val="2"/>
          </w:tcPr>
          <w:p>
            <w:pPr>
              <w:jc w:val="right"/>
              <w:ind w:right="264"/>
              <w:spacing w:after="0"/>
              <w:rPr>
                <w:sz w:val="20"/>
                <w:szCs w:val="20"/>
                <w:color w:val="auto"/>
              </w:rPr>
            </w:pPr>
            <w:r>
              <w:rPr>
                <w:rFonts w:ascii="Times New Roman" w:cs="Times New Roman" w:eastAsia="Times New Roman" w:hAnsi="Times New Roman"/>
                <w:sz w:val="15"/>
                <w:szCs w:val="15"/>
                <w:color w:val="auto"/>
              </w:rPr>
              <w:t>4,219,966</w:t>
            </w:r>
          </w:p>
        </w:tc>
        <w:tc>
          <w:tcPr>
            <w:tcW w:w="284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Nextdoor Holdings, Inc.</w:t>
            </w:r>
            <w:r>
              <w:rPr>
                <w:rFonts w:ascii="Times New Roman" w:cs="Times New Roman" w:eastAsia="Times New Roman" w:hAnsi="Times New Roman"/>
                <w:sz w:val="25"/>
                <w:szCs w:val="25"/>
                <w:color w:val="auto"/>
                <w:vertAlign w:val="superscript"/>
              </w:rPr>
              <w:t>(1)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5,304,938</w:t>
            </w:r>
          </w:p>
        </w:tc>
        <w:tc>
          <w:tcPr>
            <w:tcW w:w="80" w:type="dxa"/>
            <w:vAlign w:val="bottom"/>
          </w:tcPr>
          <w:p>
            <w:pPr>
              <w:spacing w:after="0"/>
              <w:rPr>
                <w:sz w:val="18"/>
                <w:szCs w:val="18"/>
                <w:color w:val="auto"/>
              </w:rPr>
            </w:pPr>
          </w:p>
        </w:tc>
      </w:tr>
      <w:tr>
        <w:trPr>
          <w:trHeight w:val="182"/>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FourKites, Inc.</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2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3,323,577</w:t>
            </w:r>
          </w:p>
        </w:tc>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Shogun Enterprises, Inc. (d/b/a Hearth)</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4,187,278</w:t>
            </w:r>
          </w:p>
        </w:tc>
        <w:tc>
          <w:tcPr>
            <w:tcW w:w="80" w:type="dxa"/>
            <w:vAlign w:val="bottom"/>
            <w:shd w:val="clear" w:color="auto" w:fill="CCEEFF"/>
          </w:tcPr>
          <w:p>
            <w:pPr>
              <w:spacing w:after="0"/>
              <w:rPr>
                <w:sz w:val="15"/>
                <w:szCs w:val="15"/>
                <w:color w:val="auto"/>
              </w:rPr>
            </w:pPr>
          </w:p>
        </w:tc>
      </w:tr>
      <w:tr>
        <w:trPr>
          <w:trHeight w:val="182"/>
        </w:trPr>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ServiceTitan, Inc.</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2"/>
          </w:tcPr>
          <w:p>
            <w:pPr>
              <w:jc w:val="right"/>
              <w:ind w:right="264"/>
              <w:spacing w:after="0"/>
              <w:rPr>
                <w:sz w:val="20"/>
                <w:szCs w:val="20"/>
                <w:color w:val="auto"/>
              </w:rPr>
            </w:pPr>
            <w:r>
              <w:rPr>
                <w:rFonts w:ascii="Times New Roman" w:cs="Times New Roman" w:eastAsia="Times New Roman" w:hAnsi="Times New Roman"/>
                <w:sz w:val="15"/>
                <w:szCs w:val="15"/>
                <w:color w:val="auto"/>
              </w:rPr>
              <w:t>3,322,322</w:t>
            </w:r>
          </w:p>
        </w:tc>
        <w:tc>
          <w:tcPr>
            <w:tcW w:w="28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ServiceTitan, Inc.</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1,940,351</w:t>
            </w:r>
          </w:p>
        </w:tc>
        <w:tc>
          <w:tcPr>
            <w:tcW w:w="80" w:type="dxa"/>
            <w:vAlign w:val="bottom"/>
          </w:tcPr>
          <w:p>
            <w:pPr>
              <w:spacing w:after="0"/>
              <w:rPr>
                <w:sz w:val="15"/>
                <w:szCs w:val="15"/>
                <w:color w:val="auto"/>
              </w:rPr>
            </w:pPr>
          </w:p>
        </w:tc>
      </w:tr>
      <w:tr>
        <w:trPr>
          <w:trHeight w:val="182"/>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CW Opportunity 2 LP</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2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2,897,806</w:t>
            </w:r>
          </w:p>
        </w:tc>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Varo Money, Inc.</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1,689,042</w:t>
            </w:r>
          </w:p>
        </w:tc>
        <w:tc>
          <w:tcPr>
            <w:tcW w:w="80" w:type="dxa"/>
            <w:vAlign w:val="bottom"/>
            <w:shd w:val="clear" w:color="auto" w:fill="CCEEFF"/>
          </w:tcPr>
          <w:p>
            <w:pPr>
              <w:spacing w:after="0"/>
              <w:rPr>
                <w:sz w:val="15"/>
                <w:szCs w:val="15"/>
                <w:color w:val="auto"/>
              </w:rPr>
            </w:pPr>
          </w:p>
        </w:tc>
      </w:tr>
      <w:tr>
        <w:trPr>
          <w:trHeight w:val="182"/>
        </w:trPr>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Trax, Ltd.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2"/>
          </w:tcPr>
          <w:p>
            <w:pPr>
              <w:jc w:val="right"/>
              <w:ind w:right="264"/>
              <w:spacing w:after="0"/>
              <w:rPr>
                <w:sz w:val="20"/>
                <w:szCs w:val="20"/>
                <w:color w:val="auto"/>
              </w:rPr>
            </w:pPr>
            <w:r>
              <w:rPr>
                <w:rFonts w:ascii="Times New Roman" w:cs="Times New Roman" w:eastAsia="Times New Roman" w:hAnsi="Times New Roman"/>
                <w:sz w:val="15"/>
                <w:szCs w:val="15"/>
                <w:color w:val="auto"/>
              </w:rPr>
              <w:t>2,798,224</w:t>
            </w:r>
          </w:p>
        </w:tc>
        <w:tc>
          <w:tcPr>
            <w:tcW w:w="28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Whoop, Inc.</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(2,389,579)</w:t>
            </w:r>
          </w:p>
        </w:tc>
      </w:tr>
      <w:tr>
        <w:trPr>
          <w:trHeight w:val="182"/>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Varo Money, Inc.</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2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(1,057,947)</w:t>
            </w:r>
          </w:p>
        </w:tc>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Trax, Ltd.</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(2,927,814)</w:t>
            </w:r>
          </w:p>
        </w:tc>
      </w:tr>
      <w:tr>
        <w:trPr>
          <w:trHeight w:val="182"/>
        </w:trPr>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Orchard Technologies, Inc.</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(1,186,533)</w:t>
            </w:r>
          </w:p>
        </w:tc>
        <w:tc>
          <w:tcPr>
            <w:tcW w:w="28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Orchard Technologies, Inc.</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(4,775,546)</w:t>
            </w:r>
          </w:p>
        </w:tc>
      </w:tr>
      <w:tr>
        <w:trPr>
          <w:trHeight w:val="182"/>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Forge Global, Inc.</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2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(2,429,255)</w:t>
            </w:r>
          </w:p>
        </w:tc>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Aspiration Partners, Inc.</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(6,541,511)</w:t>
            </w:r>
          </w:p>
        </w:tc>
      </w:tr>
      <w:tr>
        <w:trPr>
          <w:trHeight w:val="182"/>
        </w:trPr>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StormWind, LLC</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(3,890,411)</w:t>
            </w:r>
          </w:p>
        </w:tc>
        <w:tc>
          <w:tcPr>
            <w:tcW w:w="2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27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PSQ Holdings, Inc. (d/b/a PublicSquare)</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(5,722,756)</w:t>
            </w:r>
          </w:p>
        </w:tc>
        <w:tc>
          <w:tcPr>
            <w:tcW w:w="2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82"/>
        </w:trPr>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Learneo, Inc. (f/k/a Course Hero, Inc.)</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(35,149,678)</w:t>
            </w:r>
          </w:p>
        </w:tc>
        <w:tc>
          <w:tcPr>
            <w:tcW w:w="2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8"/>
        </w:trPr>
        <w:tc>
          <w:tcPr>
            <w:tcW w:w="270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15"/>
                <w:szCs w:val="15"/>
                <w:color w:val="auto"/>
              </w:rPr>
              <w:t>Other</w:t>
            </w:r>
            <w:r>
              <w:rPr>
                <w:rFonts w:ascii="Times New Roman" w:cs="Times New Roman" w:eastAsia="Times New Roman" w:hAnsi="Times New Roman"/>
                <w:sz w:val="25"/>
                <w:szCs w:val="25"/>
                <w:color w:val="auto"/>
                <w:vertAlign w:val="superscript"/>
              </w:rPr>
              <w:t>(2)</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(1,031,263)</w:t>
            </w:r>
          </w:p>
        </w:tc>
        <w:tc>
          <w:tcPr>
            <w:tcW w:w="2840" w:type="dxa"/>
            <w:vAlign w:val="bottom"/>
            <w:gridSpan w:val="2"/>
            <w:shd w:val="clear" w:color="auto" w:fill="CCEEFF"/>
          </w:tcPr>
          <w:p>
            <w:pPr>
              <w:spacing w:after="0" w:line="228" w:lineRule="exact"/>
              <w:rPr>
                <w:sz w:val="20"/>
                <w:szCs w:val="20"/>
                <w:color w:val="auto"/>
              </w:rPr>
            </w:pPr>
            <w:r>
              <w:rPr>
                <w:rFonts w:ascii="Times New Roman" w:cs="Times New Roman" w:eastAsia="Times New Roman" w:hAnsi="Times New Roman"/>
                <w:sz w:val="15"/>
                <w:szCs w:val="15"/>
                <w:color w:val="auto"/>
              </w:rPr>
              <w:t>Other</w:t>
            </w:r>
            <w:r>
              <w:rPr>
                <w:rFonts w:ascii="Times New Roman" w:cs="Times New Roman" w:eastAsia="Times New Roman" w:hAnsi="Times New Roman"/>
                <w:sz w:val="25"/>
                <w:szCs w:val="25"/>
                <w:color w:val="auto"/>
                <w:vertAlign w:val="superscript"/>
              </w:rPr>
              <w:t>(2)</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1,739,181</w:t>
            </w:r>
          </w:p>
        </w:tc>
        <w:tc>
          <w:tcPr>
            <w:tcW w:w="80" w:type="dxa"/>
            <w:vAlign w:val="bottom"/>
            <w:shd w:val="clear" w:color="auto" w:fill="CCEEFF"/>
          </w:tcPr>
          <w:p>
            <w:pPr>
              <w:spacing w:after="0"/>
              <w:rPr>
                <w:sz w:val="19"/>
                <w:szCs w:val="19"/>
                <w:color w:val="auto"/>
              </w:rPr>
            </w:pPr>
          </w:p>
        </w:tc>
      </w:tr>
      <w:tr>
        <w:trPr>
          <w:trHeight w:val="185"/>
        </w:trPr>
        <w:tc>
          <w:tcPr>
            <w:tcW w:w="27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(13,769,932</w:t>
            </w:r>
          </w:p>
        </w:tc>
        <w:tc>
          <w:tcPr>
            <w:tcW w:w="340" w:type="dxa"/>
            <w:vAlign w:val="bottom"/>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28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39,427,513</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2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78689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86890" cy="6985"/>
                    </a:xfrm>
                    <a:prstGeom prst="rect">
                      <a:avLst/>
                    </a:prstGeom>
                    <a:noFill/>
                  </pic:spPr>
                </pic:pic>
              </a:graphicData>
            </a:graphic>
          </wp:anchor>
        </w:drawing>
      </w:r>
    </w:p>
    <w:p>
      <w:pPr>
        <w:spacing w:after="0" w:line="182" w:lineRule="exact"/>
        <w:rPr>
          <w:sz w:val="20"/>
          <w:szCs w:val="20"/>
          <w:color w:val="auto"/>
        </w:rPr>
      </w:pPr>
    </w:p>
    <w:p>
      <w:pPr>
        <w:ind w:left="269" w:hanging="269"/>
        <w:spacing w:after="0" w:line="264" w:lineRule="auto"/>
        <w:tabs>
          <w:tab w:leader="none" w:pos="269"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change in unrealized appreciation/(depreciation) reflected for these investments resulted from the full or partial exit of the investment, which resulted in the reversal of previously accrued unrealized appreciation/(depreciation), as applicable.</w:t>
      </w:r>
    </w:p>
    <w:p>
      <w:pPr>
        <w:ind w:left="269" w:hanging="269"/>
        <w:spacing w:after="0"/>
        <w:tabs>
          <w:tab w:leader="none" w:pos="269"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represents investments for which individual changes in unrealized appreciation/(depreciation) was less than $1.0 million for the nine months ended September 30, 2024.</w:t>
      </w:r>
    </w:p>
    <w:p>
      <w:pPr>
        <w:spacing w:after="0" w:line="17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Recent Developments</w:t>
      </w:r>
    </w:p>
    <w:p>
      <w:pPr>
        <w:spacing w:after="0" w:line="19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6.00% Notes Due 2026 - Note Repurchase Program</w:t>
      </w:r>
    </w:p>
    <w:p>
      <w:pPr>
        <w:spacing w:after="0" w:line="196" w:lineRule="exact"/>
        <w:rPr>
          <w:sz w:val="20"/>
          <w:szCs w:val="20"/>
          <w:color w:val="auto"/>
        </w:rPr>
      </w:pPr>
    </w:p>
    <w:p>
      <w:pPr>
        <w:jc w:val="both"/>
        <w:ind w:left="9" w:firstLine="273"/>
        <w:spacing w:after="0" w:line="262" w:lineRule="auto"/>
        <w:rPr>
          <w:sz w:val="20"/>
          <w:szCs w:val="20"/>
          <w:color w:val="auto"/>
        </w:rPr>
      </w:pPr>
      <w:r>
        <w:rPr>
          <w:rFonts w:ascii="Times New Roman" w:cs="Times New Roman" w:eastAsia="Times New Roman" w:hAnsi="Times New Roman"/>
          <w:sz w:val="15"/>
          <w:szCs w:val="15"/>
          <w:color w:val="auto"/>
        </w:rPr>
        <w:t>On August 6, 2024, our Board of Directors approved a discretionary note repurchase program (the “Note Repurchase Program”), which allows us to repurchase up to 46.67%, or $35.0 million in aggregate principal amount, of our 6.00% Notes due 2026 through open market purchases, including block purchases, in such manner as will comply with the provisions of the 1940 Act and the Exchange Act. During the three months ended September 30, 2024, we repurchased and retired $25.3 million of aggregate principal amount of the 6.00% Notes due 2026. As of September 30, 2024, the dollar value of 6.00% Notes due 2026 that remained available to be purchased under the Note Repurchase Program was approximately $9.7 million.</w:t>
      </w:r>
    </w:p>
    <w:p>
      <w:pPr>
        <w:spacing w:after="0" w:line="152" w:lineRule="exact"/>
        <w:rPr>
          <w:sz w:val="20"/>
          <w:szCs w:val="20"/>
          <w:color w:val="auto"/>
        </w:rPr>
      </w:pPr>
    </w:p>
    <w:p>
      <w:pPr>
        <w:jc w:val="both"/>
        <w:ind w:left="9" w:firstLine="273"/>
        <w:spacing w:after="0" w:line="288" w:lineRule="auto"/>
        <w:rPr>
          <w:sz w:val="20"/>
          <w:szCs w:val="20"/>
          <w:color w:val="auto"/>
        </w:rPr>
      </w:pPr>
      <w:r>
        <w:rPr>
          <w:rFonts w:ascii="Times New Roman" w:cs="Times New Roman" w:eastAsia="Times New Roman" w:hAnsi="Times New Roman"/>
          <w:sz w:val="15"/>
          <w:szCs w:val="15"/>
          <w:color w:val="auto"/>
        </w:rPr>
        <w:t>Refer to “Note 10—Debt Capital Activities” to our Condensed Consolidated Financial Statements as of September 30, 2024 for more information regarding the 6.00% Notes due 2026.</w:t>
      </w:r>
    </w:p>
    <w:p>
      <w:pPr>
        <w:spacing w:after="0" w:line="133" w:lineRule="exact"/>
        <w:rPr>
          <w:sz w:val="20"/>
          <w:szCs w:val="20"/>
          <w:color w:val="auto"/>
        </w:rPr>
      </w:pPr>
    </w:p>
    <w:p>
      <w:pPr>
        <w:jc w:val="both"/>
        <w:ind w:left="9" w:firstLine="273"/>
        <w:spacing w:after="0" w:line="288" w:lineRule="auto"/>
        <w:rPr>
          <w:sz w:val="20"/>
          <w:szCs w:val="20"/>
          <w:color w:val="auto"/>
        </w:rPr>
      </w:pPr>
      <w:r>
        <w:rPr>
          <w:rFonts w:ascii="Times New Roman" w:cs="Times New Roman" w:eastAsia="Times New Roman" w:hAnsi="Times New Roman"/>
          <w:sz w:val="15"/>
          <w:szCs w:val="15"/>
          <w:color w:val="auto"/>
        </w:rPr>
        <w:t>Between October 1, 2024 and October 4, 2024, we repurchased an additional 201,446 units of the 6.00% Notes due 2026 under the Note Repurchase Program. As of November 7, 2024, the aggregate principal dollar amount of 6.00% Notes due 2026 that may yet be repurchased by us under the Note Repurchase Program is approximately $4.7 million.</w:t>
      </w:r>
    </w:p>
    <w:p>
      <w:pPr>
        <w:spacing w:after="0" w:line="12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6.50% Convertible Notes due 2029</w:t>
      </w:r>
    </w:p>
    <w:p>
      <w:pPr>
        <w:spacing w:after="0" w:line="196" w:lineRule="exact"/>
        <w:rPr>
          <w:sz w:val="20"/>
          <w:szCs w:val="20"/>
          <w:color w:val="auto"/>
        </w:rPr>
      </w:pPr>
    </w:p>
    <w:p>
      <w:pPr>
        <w:jc w:val="both"/>
        <w:ind w:left="9" w:firstLine="273"/>
        <w:spacing w:after="0" w:line="265" w:lineRule="auto"/>
        <w:rPr>
          <w:sz w:val="20"/>
          <w:szCs w:val="20"/>
          <w:color w:val="auto"/>
        </w:rPr>
      </w:pPr>
      <w:r>
        <w:rPr>
          <w:rFonts w:ascii="Times New Roman" w:cs="Times New Roman" w:eastAsia="Times New Roman" w:hAnsi="Times New Roman"/>
          <w:sz w:val="15"/>
          <w:szCs w:val="15"/>
          <w:color w:val="auto"/>
        </w:rPr>
        <w:t>On August 14, 2024, we issued $25.0 million aggregate principal amount of the 6.50% Convertible Notes due 2029 to a private purchaser (the “Purchaser”), which bear interest at a rate of 6.50% per year, payable quarterly in arrears on March 30, June 30, September 30, and December 30 of each year, commencing on September 30, 2024. We received $24.3 million in proceeds from the issuance, net of underwriting discounts and commissions. The 6.50% Convertible Notes due 2029 mature on August 14, 2029, unless previously repurchased, redeemed or converted in accordance with their terms. We do not have the right to redeem the 6.50% Convertible Notes due 2029 prior to August 6, 2027.</w:t>
      </w:r>
    </w:p>
    <w:p>
      <w:pPr>
        <w:spacing w:after="0" w:line="149" w:lineRule="exact"/>
        <w:rPr>
          <w:sz w:val="20"/>
          <w:szCs w:val="20"/>
          <w:color w:val="auto"/>
        </w:rPr>
      </w:pPr>
    </w:p>
    <w:p>
      <w:pPr>
        <w:jc w:val="both"/>
        <w:ind w:left="9" w:firstLine="273"/>
        <w:spacing w:after="0" w:line="288" w:lineRule="auto"/>
        <w:rPr>
          <w:sz w:val="20"/>
          <w:szCs w:val="20"/>
          <w:color w:val="auto"/>
        </w:rPr>
      </w:pPr>
      <w:r>
        <w:rPr>
          <w:rFonts w:ascii="Times New Roman" w:cs="Times New Roman" w:eastAsia="Times New Roman" w:hAnsi="Times New Roman"/>
          <w:sz w:val="15"/>
          <w:szCs w:val="15"/>
          <w:color w:val="auto"/>
        </w:rPr>
        <w:t>The 6.50% Convertible Notes due 2029 will be convertible into shares of our common stock at the Purchaser’s sole discretion at an initial conversion rate of 129.0323 shares of common stock per $1,000 principal amount of the 6.50% Convertible Notes due 2029, subject to adjustment as provided in the Notes Purchase Agreement.</w:t>
      </w:r>
    </w:p>
    <w:p>
      <w:pPr>
        <w:spacing w:after="0" w:line="13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216"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92" w:lineRule="exact"/>
        <w:rPr>
          <w:sz w:val="20"/>
          <w:szCs w:val="20"/>
          <w:color w:val="auto"/>
        </w:rPr>
      </w:pPr>
    </w:p>
    <w:p>
      <w:pPr>
        <w:jc w:val="both"/>
        <w:ind w:right="20" w:firstLine="273"/>
        <w:spacing w:after="0" w:line="288" w:lineRule="auto"/>
        <w:rPr>
          <w:sz w:val="20"/>
          <w:szCs w:val="20"/>
          <w:color w:val="auto"/>
        </w:rPr>
      </w:pPr>
      <w:r>
        <w:rPr>
          <w:rFonts w:ascii="Times New Roman" w:cs="Times New Roman" w:eastAsia="Times New Roman" w:hAnsi="Times New Roman"/>
          <w:sz w:val="15"/>
          <w:szCs w:val="15"/>
          <w:color w:val="auto"/>
        </w:rPr>
        <w:t>Refer to “Note 10—Debt Capital Activities” to our Condensed Consolidated Financial Statements as of September 30, 2024 for more information regarding the 6.50% Convertible Notes due 2029.</w:t>
      </w:r>
    </w:p>
    <w:p>
      <w:pPr>
        <w:spacing w:after="0" w:line="133" w:lineRule="exact"/>
        <w:rPr>
          <w:sz w:val="20"/>
          <w:szCs w:val="20"/>
          <w:color w:val="auto"/>
        </w:rPr>
      </w:pPr>
    </w:p>
    <w:p>
      <w:pPr>
        <w:jc w:val="both"/>
        <w:ind w:firstLine="273"/>
        <w:spacing w:after="0" w:line="265" w:lineRule="auto"/>
        <w:rPr>
          <w:sz w:val="20"/>
          <w:szCs w:val="20"/>
          <w:color w:val="auto"/>
        </w:rPr>
      </w:pPr>
      <w:r>
        <w:rPr>
          <w:rFonts w:ascii="Times New Roman" w:cs="Times New Roman" w:eastAsia="Times New Roman" w:hAnsi="Times New Roman"/>
          <w:sz w:val="15"/>
          <w:szCs w:val="15"/>
          <w:color w:val="auto"/>
        </w:rPr>
        <w:t>On October 9, 2024, we issued and sold $5.0 million in aggregate principal amount of additional 6.50% Convertible Notes due 2029 (the “Additional Notes”). The Additional Notes are treated as a single series with our initial issuance of $25.0 million in aggregate principal amount of the outstanding 6.50% Convertible Notes due 2029 (the “Initial Notes”) and have the same terms as the Initial Notes. The Additional Notes are fungible and rank equally with the Initial Notes. Upon issuance of the Additional Notes, the outstanding aggregate principal amount of our 6.50% Convertible Notes due 2029 became $30.0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Share Repurchase Program</w:t>
      </w:r>
    </w:p>
    <w:p>
      <w:pPr>
        <w:spacing w:after="0" w:line="196" w:lineRule="exact"/>
        <w:rPr>
          <w:sz w:val="20"/>
          <w:szCs w:val="20"/>
          <w:color w:val="auto"/>
        </w:rPr>
      </w:pPr>
    </w:p>
    <w:p>
      <w:pPr>
        <w:jc w:val="both"/>
        <w:ind w:right="20" w:firstLine="273"/>
        <w:spacing w:after="0" w:line="288" w:lineRule="auto"/>
        <w:rPr>
          <w:sz w:val="20"/>
          <w:szCs w:val="20"/>
          <w:color w:val="auto"/>
        </w:rPr>
      </w:pPr>
      <w:r>
        <w:rPr>
          <w:rFonts w:ascii="Times New Roman" w:cs="Times New Roman" w:eastAsia="Times New Roman" w:hAnsi="Times New Roman"/>
          <w:sz w:val="15"/>
          <w:szCs w:val="15"/>
          <w:color w:val="auto"/>
        </w:rPr>
        <w:t>On October 29, 2024, our Board of Directors authorized an extension of the Share Repurchase Program until the earlier of (i) October 31, 2025 or (ii) the repurchase of $64.3 million in aggregate amount of our common stock.</w:t>
      </w:r>
    </w:p>
    <w:p>
      <w:pPr>
        <w:spacing w:after="0" w:line="133" w:lineRule="exact"/>
        <w:rPr>
          <w:sz w:val="20"/>
          <w:szCs w:val="20"/>
          <w:color w:val="auto"/>
        </w:rPr>
      </w:pPr>
    </w:p>
    <w:p>
      <w:pPr>
        <w:jc w:val="both"/>
        <w:ind w:firstLine="273"/>
        <w:spacing w:after="0" w:line="265" w:lineRule="auto"/>
        <w:rPr>
          <w:sz w:val="20"/>
          <w:szCs w:val="20"/>
          <w:color w:val="auto"/>
        </w:rPr>
      </w:pPr>
      <w:r>
        <w:rPr>
          <w:rFonts w:ascii="Times New Roman" w:cs="Times New Roman" w:eastAsia="Times New Roman" w:hAnsi="Times New Roman"/>
          <w:sz w:val="15"/>
          <w:szCs w:val="15"/>
          <w:color w:val="auto"/>
        </w:rPr>
        <w:t>The timing and number of shares to be repurchased pursuant to the Share Repurchase Program will depend on a number of factors, including market conditions and alternative investment opportunities. The Share Repurchase Program may be suspended, terminated or modified at any time for any reason and does not obligate us to acquire any specific number of shares of its common stock. Under the Share Repurchase Program, we may repurchase our outstanding common stock in the open market, provided that we comply with the prohibitions under our insider trading policies and procedures and the applicable provisions of the 1940 Act and the Exchange Act.</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As of November 7, 2024, the dollar value of shares that remained available to be purchased under the Share Repurchase Program was approximately $25.0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Portfolio Activity</w:t>
      </w:r>
    </w:p>
    <w:p>
      <w:pPr>
        <w:spacing w:after="0" w:line="196" w:lineRule="exact"/>
        <w:rPr>
          <w:sz w:val="20"/>
          <w:szCs w:val="20"/>
          <w:color w:val="auto"/>
        </w:rPr>
      </w:pPr>
    </w:p>
    <w:p>
      <w:pPr>
        <w:jc w:val="both"/>
        <w:ind w:firstLine="273"/>
        <w:spacing w:after="0" w:line="288" w:lineRule="auto"/>
        <w:rPr>
          <w:sz w:val="20"/>
          <w:szCs w:val="20"/>
          <w:color w:val="auto"/>
        </w:rPr>
      </w:pPr>
      <w:r>
        <w:rPr>
          <w:rFonts w:ascii="Times New Roman" w:cs="Times New Roman" w:eastAsia="Times New Roman" w:hAnsi="Times New Roman"/>
          <w:sz w:val="15"/>
          <w:szCs w:val="15"/>
          <w:color w:val="auto"/>
        </w:rPr>
        <w:t>Please refer to “Note 12—Subsequent Events” to our Condensed Consolidated Financial Statements as of September 30, 2024 for details regarding activity in our investment portfolio from October 1, 2024 through November 7, 2024.</w:t>
      </w:r>
    </w:p>
    <w:p>
      <w:pPr>
        <w:spacing w:after="0" w:line="133" w:lineRule="exact"/>
        <w:rPr>
          <w:sz w:val="20"/>
          <w:szCs w:val="20"/>
          <w:color w:val="auto"/>
        </w:rPr>
      </w:pPr>
    </w:p>
    <w:p>
      <w:pPr>
        <w:jc w:val="both"/>
        <w:ind w:firstLine="273"/>
        <w:spacing w:after="0" w:line="265" w:lineRule="auto"/>
        <w:rPr>
          <w:sz w:val="20"/>
          <w:szCs w:val="20"/>
          <w:color w:val="auto"/>
        </w:rPr>
      </w:pPr>
      <w:r>
        <w:rPr>
          <w:rFonts w:ascii="Times New Roman" w:cs="Times New Roman" w:eastAsia="Times New Roman" w:hAnsi="Times New Roman"/>
          <w:sz w:val="15"/>
          <w:szCs w:val="15"/>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196"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5"/>
          <w:szCs w:val="15"/>
          <w:color w:val="auto"/>
        </w:rPr>
        <w:t>Our liquidity and capital resources are generated primarily from the sales of our investments and the net proceeds from public offerings of our equity and debt securities, including pursuant to our continuous at-the-market offering of shares of our common stock as discussed below under “Equity Issuances and Debt Capital Activities — At-the-Market Offering”. In addition, on December 17, 2021, we issued $75.0 million aggregate principal amount of 6.00% Notes due December 30, 2026 (the “6.00% Notes due 2026”), of which $49.7 million remain outstanding, and on August 14, 2024, we issued $25.0 million aggregate principal amount of 6.50% Convertible Notes due August 14, 2029 (the “Convertible Notes”), all of which remain outstanding. For additional information, see below and “Note 10—Debt Capital Activities” to our Condensed Consolidated Financial Statements as of September 30, 2024.</w:t>
      </w:r>
    </w:p>
    <w:p>
      <w:pPr>
        <w:spacing w:after="0" w:line="338" w:lineRule="exact"/>
        <w:rPr>
          <w:sz w:val="20"/>
          <w:szCs w:val="20"/>
          <w:color w:val="auto"/>
        </w:rPr>
      </w:pPr>
    </w:p>
    <w:p>
      <w:pPr>
        <w:jc w:val="both"/>
        <w:ind w:firstLine="273"/>
        <w:spacing w:after="0" w:line="288" w:lineRule="auto"/>
        <w:rPr>
          <w:sz w:val="20"/>
          <w:szCs w:val="20"/>
          <w:color w:val="auto"/>
        </w:rPr>
      </w:pPr>
      <w:r>
        <w:rPr>
          <w:rFonts w:ascii="Times New Roman" w:cs="Times New Roman" w:eastAsia="Times New Roman" w:hAnsi="Times New Roman"/>
          <w:sz w:val="15"/>
          <w:szCs w:val="15"/>
          <w:color w:val="auto"/>
        </w:rPr>
        <w:t>Our primary uses of cash are to make investments, pay our operating expenses, and make distributions to our stockholders. For the nine months ended September 30, 2024 and 2023, our operating expenses including interest payments on our debt obligations were $13,530,561 and $14,832,577, respectively.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Reserves and Liquid Securities</w:t>
            </w:r>
          </w:p>
        </w:tc>
        <w:tc>
          <w:tcPr>
            <w:tcW w:w="2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0" w:type="dxa"/>
            <w:vAlign w:val="bottom"/>
          </w:tcPr>
          <w:p>
            <w:pPr>
              <w:spacing w:after="0"/>
              <w:rPr>
                <w:sz w:val="1"/>
                <w:szCs w:val="1"/>
                <w:color w:val="auto"/>
              </w:rPr>
            </w:pPr>
          </w:p>
        </w:tc>
      </w:tr>
      <w:tr>
        <w:trPr>
          <w:trHeight w:val="174"/>
        </w:trPr>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w:t>
            </w:r>
          </w:p>
        </w:tc>
        <w:tc>
          <w:tcPr>
            <w:tcW w:w="29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32,737,114</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28,178,352</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Cash Equivalents:</w:t>
            </w:r>
          </w:p>
        </w:tc>
        <w:tc>
          <w:tcPr>
            <w:tcW w:w="2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5"/>
                <w:szCs w:val="15"/>
                <w:color w:val="auto"/>
              </w:rPr>
              <w:t>U.S. Treasury bills</w:t>
            </w:r>
            <w:r>
              <w:rPr>
                <w:rFonts w:ascii="Times New Roman" w:cs="Times New Roman" w:eastAsia="Times New Roman" w:hAnsi="Times New Roman"/>
                <w:sz w:val="25"/>
                <w:szCs w:val="25"/>
                <w:color w:val="auto"/>
                <w:vertAlign w:val="superscript"/>
              </w:rPr>
              <w:t>(1)</w:t>
            </w:r>
          </w:p>
        </w:tc>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63,810,855</w:t>
            </w:r>
          </w:p>
        </w:tc>
        <w:tc>
          <w:tcPr>
            <w:tcW w:w="0" w:type="dxa"/>
            <w:vAlign w:val="bottom"/>
          </w:tcPr>
          <w:p>
            <w:pPr>
              <w:spacing w:after="0"/>
              <w:rPr>
                <w:sz w:val="1"/>
                <w:szCs w:val="1"/>
                <w:color w:val="auto"/>
              </w:rPr>
            </w:pPr>
          </w:p>
        </w:tc>
      </w:tr>
      <w:tr>
        <w:trPr>
          <w:trHeight w:val="182"/>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Securities of publicly traded portfolio companies:</w:t>
            </w:r>
          </w:p>
        </w:tc>
        <w:tc>
          <w:tcPr>
            <w:tcW w:w="2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color w:val="auto"/>
              </w:rPr>
              <w:t>Unrestricted securities</w:t>
            </w:r>
            <w:r>
              <w:rPr>
                <w:rFonts w:ascii="Times New Roman" w:cs="Times New Roman" w:eastAsia="Times New Roman" w:hAnsi="Times New Roman"/>
                <w:sz w:val="25"/>
                <w:szCs w:val="25"/>
                <w:color w:val="auto"/>
                <w:vertAlign w:val="superscript"/>
              </w:rPr>
              <w:t>(2)</w:t>
            </w:r>
          </w:p>
        </w:tc>
        <w:tc>
          <w:tcPr>
            <w:tcW w:w="2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6,720,010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6,970,612</w:t>
            </w:r>
          </w:p>
        </w:tc>
        <w:tc>
          <w:tcPr>
            <w:tcW w:w="0" w:type="dxa"/>
            <w:vAlign w:val="bottom"/>
          </w:tcPr>
          <w:p>
            <w:pPr>
              <w:spacing w:after="0"/>
              <w:rPr>
                <w:sz w:val="1"/>
                <w:szCs w:val="1"/>
                <w:color w:val="auto"/>
              </w:rPr>
            </w:pPr>
          </w:p>
        </w:tc>
      </w:tr>
      <w:tr>
        <w:trPr>
          <w:trHeight w:val="194"/>
        </w:trPr>
        <w:tc>
          <w:tcPr>
            <w:tcW w:w="4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Subject to other sales restrictions(3)</w:t>
            </w:r>
          </w:p>
        </w:tc>
        <w:tc>
          <w:tcPr>
            <w:tcW w:w="2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1,405,641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8,542,386</w:t>
            </w:r>
          </w:p>
        </w:tc>
        <w:tc>
          <w:tcPr>
            <w:tcW w:w="0" w:type="dxa"/>
            <w:vAlign w:val="bottom"/>
          </w:tcPr>
          <w:p>
            <w:pPr>
              <w:spacing w:after="0"/>
              <w:rPr>
                <w:sz w:val="1"/>
                <w:szCs w:val="1"/>
                <w:color w:val="auto"/>
              </w:rPr>
            </w:pPr>
          </w:p>
        </w:tc>
      </w:tr>
      <w:tr>
        <w:trPr>
          <w:trHeight w:val="174"/>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Securities of publicly traded portfolio companies</w:t>
            </w:r>
          </w:p>
        </w:tc>
        <w:tc>
          <w:tcPr>
            <w:tcW w:w="29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8,125,651</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15,512,998</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Cash Reserves and Liquid Securities</w:t>
            </w:r>
          </w:p>
        </w:tc>
        <w:tc>
          <w:tcPr>
            <w:tcW w:w="2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40,862,765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107,502,205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920" w:type="dxa"/>
            <w:vAlign w:val="bottom"/>
            <w:vMerge w:val="restart"/>
          </w:tcPr>
          <w:p>
            <w:pPr>
              <w:jc w:val="right"/>
              <w:ind w:right="1424"/>
              <w:spacing w:after="0"/>
              <w:rPr>
                <w:sz w:val="20"/>
                <w:szCs w:val="20"/>
                <w:color w:val="auto"/>
              </w:rPr>
            </w:pPr>
            <w:r>
              <w:rPr>
                <w:rFonts w:ascii="Times New Roman" w:cs="Times New Roman" w:eastAsia="Times New Roman" w:hAnsi="Times New Roman"/>
                <w:sz w:val="15"/>
                <w:szCs w:val="15"/>
                <w:color w:val="auto"/>
              </w:rPr>
              <w:t>54</w:t>
            </w: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42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16" w:right="319" w:bottom="1440" w:gutter="0" w:footer="0" w:header="0"/>
        </w:sectPr>
      </w:pPr>
    </w:p>
    <w:bookmarkStart w:id="58" w:name="page59"/>
    <w:bookmarkEnd w:id="58"/>
    <w:p>
      <w:pPr>
        <w:ind w:left="9"/>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178689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86890" cy="6985"/>
                    </a:xfrm>
                    <a:prstGeom prst="rect">
                      <a:avLst/>
                    </a:prstGeom>
                    <a:noFill/>
                  </pic:spPr>
                </pic:pic>
              </a:graphicData>
            </a:graphic>
          </wp:anchor>
        </w:drawing>
      </w:r>
    </w:p>
    <w:p>
      <w:pPr>
        <w:spacing w:after="0" w:line="195" w:lineRule="exact"/>
        <w:rPr>
          <w:sz w:val="20"/>
          <w:szCs w:val="20"/>
          <w:color w:val="auto"/>
        </w:rPr>
      </w:pPr>
    </w:p>
    <w:p>
      <w:pPr>
        <w:ind w:left="269" w:hanging="269"/>
        <w:spacing w:after="0"/>
        <w:tabs>
          <w:tab w:leader="none" w:pos="269"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short-term U.S. Treasury bills.</w:t>
      </w:r>
    </w:p>
    <w:p>
      <w:pPr>
        <w:spacing w:after="0" w:line="24" w:lineRule="exact"/>
        <w:rPr>
          <w:rFonts w:ascii="Times New Roman" w:cs="Times New Roman" w:eastAsia="Times New Roman" w:hAnsi="Times New Roman"/>
          <w:sz w:val="15"/>
          <w:szCs w:val="15"/>
          <w:color w:val="auto"/>
        </w:rPr>
      </w:pPr>
    </w:p>
    <w:p>
      <w:pPr>
        <w:ind w:left="269" w:right="20" w:hanging="269"/>
        <w:spacing w:after="0" w:line="253" w:lineRule="auto"/>
        <w:tabs>
          <w:tab w:leader="none" w:pos="269"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“Unrestricted securities” represents common stock and warrants of our publicly traded portfolio companies that are not currently subject to any restrictions upon sale. We may incur losses.</w:t>
      </w:r>
    </w:p>
    <w:p>
      <w:pPr>
        <w:ind w:left="269" w:hanging="269"/>
        <w:spacing w:after="0" w:line="267" w:lineRule="auto"/>
        <w:tabs>
          <w:tab w:leader="none" w:pos="269"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Securities of publicly traded portfolio companies “subject to other sales restrictions” represents common stock of our publicly traded portfolio companies that are currently subject to certain lock-up restrictions.</w:t>
      </w:r>
    </w:p>
    <w:p>
      <w:pPr>
        <w:spacing w:after="0" w:line="148" w:lineRule="exact"/>
        <w:rPr>
          <w:sz w:val="20"/>
          <w:szCs w:val="20"/>
          <w:color w:val="auto"/>
        </w:rPr>
      </w:pPr>
    </w:p>
    <w:p>
      <w:pPr>
        <w:jc w:val="both"/>
        <w:ind w:left="9" w:firstLine="273"/>
        <w:spacing w:after="0" w:line="262" w:lineRule="auto"/>
        <w:rPr>
          <w:sz w:val="20"/>
          <w:szCs w:val="20"/>
          <w:color w:val="auto"/>
        </w:rPr>
      </w:pPr>
      <w:r>
        <w:rPr>
          <w:rFonts w:ascii="Times New Roman" w:cs="Times New Roman" w:eastAsia="Times New Roman" w:hAnsi="Times New Roman"/>
          <w:sz w:val="15"/>
          <w:szCs w:val="15"/>
          <w:color w:val="auto"/>
        </w:rPr>
        <w:t>During the nine months ended September 30, 2024, cash increased to $32,737,114 from $28,178,352 at the beginning of the year. The increase in cash was primarily due to maturity of our investments in short-term U.S. Treasury bills, the sale or exit of investments, and other investment income received, offset by the purchase of new investments, repurchase of our common stock pursuant to a modified “Dutch Auction” tender offer (the “Modified Dutch Auction Tender Offer”), payment of our operating expenses, and payment of interest on the 6.00% Notes due 2026 and 6.50% Convertible Notes due 2029. For additional information relating to the Modified Dutch Auction Tender Offer, see “Modified Dutch Auction Tender Offer” below and “Note 5 - Common Stock” to our Condensed Consolidated Financial Statements as of September 30, 2024.</w:t>
      </w:r>
    </w:p>
    <w:p>
      <w:pPr>
        <w:spacing w:after="0" w:line="152" w:lineRule="exact"/>
        <w:rPr>
          <w:sz w:val="20"/>
          <w:szCs w:val="20"/>
          <w:color w:val="auto"/>
        </w:rPr>
      </w:pPr>
    </w:p>
    <w:p>
      <w:pPr>
        <w:jc w:val="both"/>
        <w:ind w:left="9" w:right="20" w:firstLine="273"/>
        <w:spacing w:after="0" w:line="288" w:lineRule="auto"/>
        <w:rPr>
          <w:sz w:val="20"/>
          <w:szCs w:val="20"/>
          <w:color w:val="auto"/>
        </w:rPr>
      </w:pPr>
      <w:r>
        <w:rPr>
          <w:rFonts w:ascii="Times New Roman" w:cs="Times New Roman" w:eastAsia="Times New Roman" w:hAnsi="Times New Roman"/>
          <w:sz w:val="15"/>
          <w:szCs w:val="15"/>
          <w:color w:val="auto"/>
        </w:rPr>
        <w:t>Currently, we believe we have ample liquidity to support our near-term capital requirements. Consistent with past and current practices, we will continue to evaluate our overall liquidity position and take proactive steps to maintain the appropriate liquidity position based upon the current circumstances.</w:t>
      </w:r>
    </w:p>
    <w:p>
      <w:pPr>
        <w:spacing w:after="0" w:line="12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Contractual Obligations</w:t>
      </w:r>
    </w:p>
    <w:p>
      <w:pPr>
        <w:spacing w:after="0" w:line="196"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A summary of our significant contractual payment obligations as of September 30, 2024 is as follows:</w:t>
      </w:r>
    </w:p>
    <w:p>
      <w:pPr>
        <w:spacing w:after="0" w:line="199"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3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060" w:type="dxa"/>
            <w:vAlign w:val="bottom"/>
            <w:tcBorders>
              <w:bottom w:val="single" w:sz="8" w:color="auto"/>
            </w:tcBorders>
            <w:gridSpan w:val="10"/>
          </w:tcPr>
          <w:p>
            <w:pPr>
              <w:ind w:left="620"/>
              <w:spacing w:after="0"/>
              <w:rPr>
                <w:sz w:val="20"/>
                <w:szCs w:val="20"/>
                <w:color w:val="auto"/>
              </w:rPr>
            </w:pPr>
            <w:r>
              <w:rPr>
                <w:rFonts w:ascii="Times New Roman" w:cs="Times New Roman" w:eastAsia="Times New Roman" w:hAnsi="Times New Roman"/>
                <w:sz w:val="15"/>
                <w:szCs w:val="15"/>
                <w:b w:val="1"/>
                <w:bCs w:val="1"/>
                <w:color w:val="auto"/>
              </w:rPr>
              <w:t xml:space="preserve">Payments Due By Period </w:t>
            </w:r>
            <w:r>
              <w:rPr>
                <w:rFonts w:ascii="Times New Roman" w:cs="Times New Roman" w:eastAsia="Times New Roman" w:hAnsi="Times New Roman"/>
                <w:sz w:val="15"/>
                <w:szCs w:val="15"/>
                <w:b w:val="1"/>
                <w:bCs w:val="1"/>
                <w:i w:val="1"/>
                <w:iCs w:val="1"/>
                <w:color w:val="auto"/>
              </w:rPr>
              <w:t>(in millions)</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5"/>
        </w:trPr>
        <w:tc>
          <w:tcPr>
            <w:tcW w:w="35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5"/>
                <w:szCs w:val="15"/>
                <w:b w:val="1"/>
                <w:bCs w:val="1"/>
                <w:color w:val="auto"/>
              </w:rPr>
              <w:t>Less than</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ind w:left="60"/>
              <w:spacing w:after="0" w:line="155" w:lineRule="exact"/>
              <w:rPr>
                <w:sz w:val="20"/>
                <w:szCs w:val="20"/>
                <w:color w:val="auto"/>
              </w:rPr>
            </w:pPr>
            <w:r>
              <w:rPr>
                <w:rFonts w:ascii="Times New Roman" w:cs="Times New Roman" w:eastAsia="Times New Roman" w:hAnsi="Times New Roman"/>
                <w:sz w:val="15"/>
                <w:szCs w:val="15"/>
                <w:b w:val="1"/>
                <w:bCs w:val="1"/>
                <w:color w:val="auto"/>
              </w:rPr>
              <w:t>More than</w:t>
            </w:r>
          </w:p>
        </w:tc>
        <w:tc>
          <w:tcPr>
            <w:tcW w:w="100" w:type="dxa"/>
            <w:vAlign w:val="bottom"/>
            <w:gridSpan w:val="2"/>
          </w:tcPr>
          <w:p>
            <w:pPr>
              <w:spacing w:after="0"/>
              <w:rPr>
                <w:sz w:val="13"/>
                <w:szCs w:val="13"/>
                <w:color w:val="auto"/>
              </w:rPr>
            </w:pPr>
          </w:p>
        </w:tc>
      </w:tr>
      <w:tr>
        <w:trPr>
          <w:trHeight w:val="201"/>
        </w:trPr>
        <w:tc>
          <w:tcPr>
            <w:tcW w:w="350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Total</w:t>
            </w:r>
          </w:p>
        </w:tc>
        <w:tc>
          <w:tcPr>
            <w:tcW w:w="320" w:type="dxa"/>
            <w:vAlign w:val="bottom"/>
            <w:tcBorders>
              <w:bottom w:val="single" w:sz="8" w:color="auto"/>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1 year</w:t>
            </w: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1–3 years</w:t>
            </w:r>
          </w:p>
        </w:tc>
        <w:tc>
          <w:tcPr>
            <w:tcW w:w="3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3–5 years</w:t>
            </w:r>
          </w:p>
        </w:tc>
        <w:tc>
          <w:tcPr>
            <w:tcW w:w="3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5"/>
                <w:szCs w:val="15"/>
                <w:b w:val="1"/>
                <w:bCs w:val="1"/>
                <w:color w:val="auto"/>
              </w:rPr>
              <w:t>5 years</w:t>
            </w:r>
          </w:p>
        </w:tc>
        <w:tc>
          <w:tcPr>
            <w:tcW w:w="100" w:type="dxa"/>
            <w:vAlign w:val="bottom"/>
            <w:tcBorders>
              <w:bottom w:val="single" w:sz="8" w:color="CCEEFF"/>
            </w:tcBorders>
            <w:gridSpan w:val="2"/>
          </w:tcPr>
          <w:p>
            <w:pPr>
              <w:spacing w:after="0"/>
              <w:rPr>
                <w:sz w:val="17"/>
                <w:szCs w:val="17"/>
                <w:color w:val="auto"/>
              </w:rPr>
            </w:pPr>
          </w:p>
        </w:tc>
      </w:tr>
      <w:tr>
        <w:trPr>
          <w:trHeight w:val="196"/>
        </w:trPr>
        <w:tc>
          <w:tcPr>
            <w:tcW w:w="35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6.00% Notes due 2026</w:t>
            </w:r>
            <w:r>
              <w:rPr>
                <w:rFonts w:ascii="Times New Roman" w:cs="Times New Roman" w:eastAsia="Times New Roman" w:hAnsi="Times New Roman"/>
                <w:sz w:val="22"/>
                <w:szCs w:val="22"/>
                <w:color w:val="auto"/>
                <w:vertAlign w:val="superscript"/>
              </w:rPr>
              <w:t>(1)</w:t>
            </w:r>
          </w:p>
        </w:tc>
        <w:tc>
          <w:tcPr>
            <w:tcW w:w="1940" w:type="dxa"/>
            <w:vAlign w:val="bottom"/>
            <w:gridSpan w:val="2"/>
            <w:shd w:val="clear" w:color="auto" w:fill="CCEEFF"/>
          </w:tcPr>
          <w:p>
            <w:pPr>
              <w:jc w:val="right"/>
              <w:ind w:right="56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49.7</w:t>
            </w:r>
          </w:p>
        </w:tc>
        <w:tc>
          <w:tcPr>
            <w:tcW w:w="82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5"/>
                <w:szCs w:val="15"/>
                <w:color w:val="auto"/>
                <w:w w:val="79"/>
              </w:rPr>
              <w:t>$</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49.7</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350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6.50% Convertible Notes due 2029</w:t>
            </w:r>
            <w:r>
              <w:rPr>
                <w:rFonts w:ascii="Times New Roman" w:cs="Times New Roman" w:eastAsia="Times New Roman" w:hAnsi="Times New Roman"/>
                <w:sz w:val="25"/>
                <w:szCs w:val="25"/>
                <w:color w:val="auto"/>
                <w:vertAlign w:val="superscript"/>
              </w:rPr>
              <w:t>(2)</w:t>
            </w:r>
          </w:p>
        </w:tc>
        <w:tc>
          <w:tcPr>
            <w:tcW w:w="1940" w:type="dxa"/>
            <w:vAlign w:val="bottom"/>
            <w:gridSpan w:val="2"/>
          </w:tcPr>
          <w:p>
            <w:pPr>
              <w:jc w:val="right"/>
              <w:ind w:right="56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25.0</w:t>
            </w:r>
          </w:p>
        </w:tc>
        <w:tc>
          <w:tcPr>
            <w:tcW w:w="820" w:type="dxa"/>
            <w:vAlign w:val="bottom"/>
          </w:tcPr>
          <w:p>
            <w:pPr>
              <w:jc w:val="right"/>
              <w:ind w:right="664"/>
              <w:spacing w:after="0"/>
              <w:rPr>
                <w:sz w:val="20"/>
                <w:szCs w:val="20"/>
                <w:color w:val="auto"/>
              </w:rPr>
            </w:pPr>
            <w:r>
              <w:rPr>
                <w:rFonts w:ascii="Times New Roman" w:cs="Times New Roman" w:eastAsia="Times New Roman" w:hAnsi="Times New Roman"/>
                <w:sz w:val="15"/>
                <w:szCs w:val="15"/>
                <w:color w:val="auto"/>
                <w:w w:val="79"/>
              </w:rPr>
              <w:t>$</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25.0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3"/>
          </w:tcPr>
          <w:p>
            <w:pPr>
              <w:ind w:left="740"/>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liability</w:t>
            </w:r>
          </w:p>
        </w:tc>
        <w:tc>
          <w:tcPr>
            <w:tcW w:w="1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0.5</w:t>
            </w:r>
          </w:p>
        </w:tc>
        <w:tc>
          <w:tcPr>
            <w:tcW w:w="82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w w:val="95"/>
              </w:rPr>
              <w:t>0.1</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0.3</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r>
      <w:tr>
        <w:trPr>
          <w:trHeight w:val="185"/>
        </w:trPr>
        <w:tc>
          <w:tcPr>
            <w:tcW w:w="35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220" w:type="dxa"/>
            <w:vAlign w:val="bottom"/>
          </w:tcPr>
          <w:p>
            <w:pPr>
              <w:spacing w:after="0"/>
              <w:rPr>
                <w:sz w:val="16"/>
                <w:szCs w:val="16"/>
                <w:color w:val="auto"/>
              </w:rPr>
            </w:pPr>
          </w:p>
        </w:tc>
        <w:tc>
          <w:tcPr>
            <w:tcW w:w="720" w:type="dxa"/>
            <w:vAlign w:val="bottom"/>
            <w:tcBorders>
              <w:top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75.2</w:t>
            </w:r>
          </w:p>
        </w:tc>
        <w:tc>
          <w:tcPr>
            <w:tcW w:w="340" w:type="dxa"/>
            <w:vAlign w:val="bottom"/>
          </w:tcPr>
          <w:p>
            <w:pPr>
              <w:spacing w:after="0"/>
              <w:rPr>
                <w:sz w:val="16"/>
                <w:szCs w:val="16"/>
                <w:color w:val="auto"/>
              </w:rPr>
            </w:pPr>
          </w:p>
        </w:tc>
        <w:tc>
          <w:tcPr>
            <w:tcW w:w="820" w:type="dxa"/>
            <w:vAlign w:val="bottom"/>
            <w:tcBorders>
              <w:top w:val="single" w:sz="8" w:color="auto"/>
            </w:tcBorders>
          </w:tcPr>
          <w:p>
            <w:pPr>
              <w:jc w:val="right"/>
              <w:ind w:right="664"/>
              <w:spacing w:after="0"/>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5"/>
              </w:rPr>
              <w:t>0.1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360" w:type="dxa"/>
            <w:vAlign w:val="bottom"/>
          </w:tcPr>
          <w:p>
            <w:pPr>
              <w:spacing w:after="0"/>
              <w:rPr>
                <w:sz w:val="16"/>
                <w:szCs w:val="16"/>
                <w:color w:val="auto"/>
              </w:rPr>
            </w:pPr>
          </w:p>
        </w:tc>
        <w:tc>
          <w:tcPr>
            <w:tcW w:w="1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25.1</w:t>
            </w:r>
          </w:p>
        </w:tc>
        <w:tc>
          <w:tcPr>
            <w:tcW w:w="3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gridSpan w:val="2"/>
          </w:tcPr>
          <w:p>
            <w:pPr>
              <w:spacing w:after="0"/>
              <w:rPr>
                <w:sz w:val="16"/>
                <w:szCs w:val="16"/>
                <w:color w:val="auto"/>
              </w:rPr>
            </w:pPr>
          </w:p>
        </w:tc>
      </w:tr>
      <w:tr>
        <w:trPr>
          <w:trHeight w:val="20"/>
        </w:trPr>
        <w:tc>
          <w:tcPr>
            <w:tcW w:w="3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78689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86890" cy="6985"/>
                    </a:xfrm>
                    <a:prstGeom prst="rect">
                      <a:avLst/>
                    </a:prstGeom>
                    <a:noFill/>
                  </pic:spPr>
                </pic:pic>
              </a:graphicData>
            </a:graphic>
          </wp:anchor>
        </w:drawing>
      </w:r>
    </w:p>
    <w:p>
      <w:pPr>
        <w:spacing w:after="0" w:line="182" w:lineRule="exact"/>
        <w:rPr>
          <w:sz w:val="20"/>
          <w:szCs w:val="20"/>
          <w:color w:val="auto"/>
        </w:rPr>
      </w:pPr>
    </w:p>
    <w:p>
      <w:pPr>
        <w:ind w:left="269" w:hanging="269"/>
        <w:spacing w:after="0" w:line="264" w:lineRule="auto"/>
        <w:tabs>
          <w:tab w:leader="none" w:pos="269"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principal balance payable to investors for the 6.00% Notes due 2026 as of September 30, 2024. Refer to “Note 10—Debt Capital Activities” in our Condensed Consolidated Financial Statements as of September 30, 2024 for more information.</w:t>
      </w:r>
    </w:p>
    <w:p>
      <w:pPr>
        <w:ind w:left="269" w:right="20" w:hanging="269"/>
        <w:spacing w:after="0" w:line="267" w:lineRule="auto"/>
        <w:tabs>
          <w:tab w:leader="none" w:pos="269"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principal balance payable to investors for the 6.50% Convertible Notes due 2029 as of September 30, 2024. Refer to “Note 10—Debt Capital Activities” in our Condensed Consolidated Financial Statements as of September 30, 2024 for more information.</w:t>
      </w:r>
    </w:p>
    <w:p>
      <w:pPr>
        <w:spacing w:after="0" w:line="14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Share Repurchase Program</w:t>
      </w:r>
    </w:p>
    <w:p>
      <w:pPr>
        <w:spacing w:after="0" w:line="196" w:lineRule="exact"/>
        <w:rPr>
          <w:sz w:val="20"/>
          <w:szCs w:val="20"/>
          <w:color w:val="auto"/>
        </w:rPr>
      </w:pPr>
    </w:p>
    <w:p>
      <w:pPr>
        <w:jc w:val="both"/>
        <w:ind w:left="9" w:firstLine="273"/>
        <w:spacing w:after="0" w:line="262" w:lineRule="auto"/>
        <w:rPr>
          <w:sz w:val="20"/>
          <w:szCs w:val="20"/>
          <w:color w:val="auto"/>
        </w:rPr>
      </w:pPr>
      <w:r>
        <w:rPr>
          <w:rFonts w:ascii="Times New Roman" w:cs="Times New Roman" w:eastAsia="Times New Roman" w:hAnsi="Times New Roman"/>
          <w:sz w:val="15"/>
          <w:szCs w:val="15"/>
          <w:color w:val="auto"/>
        </w:rPr>
        <w:t>During the three and nine months ended September 30, 2024, we did not repurchase any shares of our common stock under the discretionary open-market share repurchase program (the “Share Repurchase Program”). During the three and nine months ended September 30, 2023, we repurchased 186,493 shares of our common stock under the Share Repurchase Program. As of September 30, 2024, the dollar value of shares that remained available to be purchased under the Share Repurchase Program was approximately $20.7 million. On August 7, 2023, our Board of Directors authorized an extension of, and an increase in the amount of shares of our common stock that may be repurchased under the discretionary Share Repurchase Program until the earlier of (i) October 31, 2024 or (ii) the repurchase of $60.0 million in aggregate amount of our common stock.</w:t>
      </w:r>
    </w:p>
    <w:p>
      <w:pPr>
        <w:spacing w:after="0" w:line="152" w:lineRule="exact"/>
        <w:rPr>
          <w:sz w:val="20"/>
          <w:szCs w:val="20"/>
          <w:color w:val="auto"/>
        </w:rPr>
      </w:pPr>
    </w:p>
    <w:p>
      <w:pPr>
        <w:jc w:val="both"/>
        <w:ind w:left="9" w:firstLine="273"/>
        <w:spacing w:after="0" w:line="270" w:lineRule="auto"/>
        <w:rPr>
          <w:sz w:val="20"/>
          <w:szCs w:val="20"/>
          <w:color w:val="auto"/>
        </w:rPr>
      </w:pPr>
      <w:r>
        <w:rPr>
          <w:rFonts w:ascii="Times New Roman" w:cs="Times New Roman" w:eastAsia="Times New Roman" w:hAnsi="Times New Roman"/>
          <w:sz w:val="15"/>
          <w:szCs w:val="15"/>
          <w:color w:val="auto"/>
        </w:rPr>
        <w:t>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 (the “Exchange Act”) and the rules promulgated thereunder. For more information on the Share Repurchase Program, see “Note 5—Common Stock” to our Condensed Consolidated Financial Statements as of September 30, 2024.</w:t>
      </w:r>
    </w:p>
    <w:p>
      <w:pPr>
        <w:spacing w:after="0" w:line="14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216"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Modified Dutch Auction Tender Offer</w:t>
      </w:r>
    </w:p>
    <w:p>
      <w:pPr>
        <w:spacing w:after="0" w:line="196"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On February 20, 2024, we commenced the Modified Dutch Auction Tender Offer to purchase up to 2,000,000 shares of our common stock from our stockholders, which expired on April 1, 2024. In accordance with the terms of the Modified Dutch Auction Tender Offer, we selected the lowest price per share of not less than $4.00 per share and not greater than $5.00 per share.</w:t>
      </w:r>
    </w:p>
    <w:p>
      <w:pPr>
        <w:spacing w:after="0" w:line="147" w:lineRule="exact"/>
        <w:rPr>
          <w:sz w:val="20"/>
          <w:szCs w:val="20"/>
          <w:color w:val="auto"/>
        </w:rPr>
      </w:pPr>
    </w:p>
    <w:p>
      <w:pPr>
        <w:jc w:val="both"/>
        <w:ind w:right="20" w:firstLine="273"/>
        <w:spacing w:after="0" w:line="288" w:lineRule="auto"/>
        <w:rPr>
          <w:sz w:val="20"/>
          <w:szCs w:val="20"/>
          <w:color w:val="auto"/>
        </w:rPr>
      </w:pPr>
      <w:r>
        <w:rPr>
          <w:rFonts w:ascii="Times New Roman" w:cs="Times New Roman" w:eastAsia="Times New Roman" w:hAnsi="Times New Roman"/>
          <w:sz w:val="15"/>
          <w:szCs w:val="15"/>
          <w:color w:val="auto"/>
        </w:rPr>
        <w:t>Pursuant to the Modified Dutch Auction Tender Offer, we repurchased 2,000,000 shares, representing 7.9% of our then-outstanding shares, on or about April 5, 2024 at a price of $4.70 per share. We used available cash to fund the purchase of our shares of common stock in the Modified Dutch Auction Tender Offer and to pay for all related fees and expenses.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Off-Balance Sheet Arrangements</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As of September 30, 2024 and December 31, 2023, we had no off-balance sheet arrangements, including any risk management of commodity pricing or other hedging practices.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However, we may employ hedging and other risk management techniques in the future.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Equity Issuances and Debt Capital Activities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At-the-Market Offering</w:t>
      </w:r>
    </w:p>
    <w:p>
      <w:pPr>
        <w:spacing w:after="0" w:line="196" w:lineRule="exact"/>
        <w:rPr>
          <w:sz w:val="20"/>
          <w:szCs w:val="20"/>
          <w:color w:val="auto"/>
        </w:rPr>
      </w:pPr>
    </w:p>
    <w:p>
      <w:pPr>
        <w:jc w:val="both"/>
        <w:ind w:firstLine="273"/>
        <w:spacing w:after="0" w:line="265" w:lineRule="auto"/>
        <w:rPr>
          <w:sz w:val="20"/>
          <w:szCs w:val="20"/>
          <w:color w:val="auto"/>
        </w:rPr>
      </w:pPr>
      <w:r>
        <w:rPr>
          <w:rFonts w:ascii="Times New Roman" w:cs="Times New Roman" w:eastAsia="Times New Roman" w:hAnsi="Times New Roman"/>
          <w:sz w:val="15"/>
          <w:szCs w:val="15"/>
          <w:color w:val="auto"/>
        </w:rPr>
        <w:t>On July 29, 2020, we entered into an At-the-Market Sales Agreement, dated July 29, 2020 (as amended, the “Sales Agreement”), with BTIG, LLC, JMP Securities LLC, and Ladenburg Thalmann &amp; Co., Inc. (collectively, the “Agents”). Under the Initial Sales Agreement, we may, but have no obligation to, issue and sell up to $150.0 million in aggregate amount of shares of our common stock (the “Shares”) from time to time through the Agents or to them as principal for their own account (the “ATM Program”). We intend to use the net proceeds from the ATM Program to make investments in portfolio companies in accordance with our investment objective and strategy and for general corporate purposes.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216"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92" w:lineRule="exact"/>
        <w:rPr>
          <w:sz w:val="20"/>
          <w:szCs w:val="20"/>
          <w:color w:val="auto"/>
        </w:rPr>
      </w:pPr>
    </w:p>
    <w:p>
      <w:pPr>
        <w:jc w:val="both"/>
        <w:ind w:firstLine="273"/>
        <w:spacing w:after="0" w:line="270" w:lineRule="auto"/>
        <w:rPr>
          <w:sz w:val="20"/>
          <w:szCs w:val="20"/>
          <w:color w:val="auto"/>
        </w:rPr>
      </w:pPr>
      <w:r>
        <w:rPr>
          <w:rFonts w:ascii="Times New Roman" w:cs="Times New Roman" w:eastAsia="Times New Roman" w:hAnsi="Times New Roman"/>
          <w:sz w:val="15"/>
          <w:szCs w:val="15"/>
          <w:color w:val="auto"/>
        </w:rPr>
        <w:t>During the three and nine months ended September 30, 2024, we did not issue or sell Shares under the ATM program. As of September 30, 2024, up to approximately $98.8 million in aggregate amount of the Shares remain available for sale under the ATM Program. During the three and nine months ended September 30, 2023, we did not issue or sell Shares under the ATM program.</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Refer to “Note 5—Common Stock” to our Condensed Consolidated Financial Statements as of September 30, 2024 for more information regarding the ATM Program.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6.00% Notes due 2026 - Note Repurchase Program</w:t>
      </w:r>
    </w:p>
    <w:p>
      <w:pPr>
        <w:spacing w:after="0" w:line="196"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On December 17, 2021, we issued $70.0 million aggregate principal amount of 6.00% Notes due 2026, which bear interest at a fixed rate of 6.00% per year, payable quarterly in arrears on March 30, June 30, September 30, and December 30 of each year, commencing on March 30, 2022. On December 21, 2021, we issued an additional $5.0 million aggregate principal amount of 6.00% Notes due 2026. We received approximately $73.0 million in proceeds from the offering, net of underwriting discounts and commissions and other offering expenses. The 6.00% Notes due 2026 have a maturity date of December 30, 2026, unless previously repurchased or redeemed in accordance with their terms. We have the right to redeem the 6.00% Notes due 2026, in whole or in part, at any time or from time to time, on or after December 30, 2024 at a redemption price of 100% of the aggregate principal amount thereof plus accrued and unpaid interest.</w:t>
      </w:r>
    </w:p>
    <w:p>
      <w:pPr>
        <w:spacing w:after="0" w:line="155" w:lineRule="exact"/>
        <w:rPr>
          <w:sz w:val="20"/>
          <w:szCs w:val="20"/>
          <w:color w:val="auto"/>
        </w:rPr>
      </w:pPr>
    </w:p>
    <w:p>
      <w:pPr>
        <w:jc w:val="both"/>
        <w:ind w:firstLine="273"/>
        <w:spacing w:after="0" w:line="265" w:lineRule="auto"/>
        <w:rPr>
          <w:sz w:val="20"/>
          <w:szCs w:val="20"/>
          <w:color w:val="auto"/>
        </w:rPr>
      </w:pPr>
      <w:r>
        <w:rPr>
          <w:rFonts w:ascii="Times New Roman" w:cs="Times New Roman" w:eastAsia="Times New Roman" w:hAnsi="Times New Roman"/>
          <w:sz w:val="15"/>
          <w:szCs w:val="15"/>
          <w:color w:val="auto"/>
        </w:rPr>
        <w:t>On August 6, 2024, our Board of Directors approved the Note Repurchase Program, which allows us to repurchase up to 46.67%, or $35.0 million in aggregate principal amount, of our 6.00% Notes due 2026 through open market purchases, including block purchases, in such manner as will comply with the provisions of the 1940 Act and the Exchange Act. During the three months ended September 30, 2024, we repurchased and retired $25.3 million of aggregate principal amount of the 6.00% Notes due 2026. As of September 30, 2024, the dollar value of 6.00% Notes due 2026 that remained available to be purchased under the Note Repurchase Program was approximately $9.7 million.</w:t>
      </w:r>
    </w:p>
    <w:p>
      <w:pPr>
        <w:spacing w:after="0" w:line="149" w:lineRule="exact"/>
        <w:rPr>
          <w:sz w:val="20"/>
          <w:szCs w:val="20"/>
          <w:color w:val="auto"/>
        </w:rPr>
      </w:pPr>
    </w:p>
    <w:p>
      <w:pPr>
        <w:jc w:val="both"/>
        <w:ind w:firstLine="273"/>
        <w:spacing w:after="0" w:line="288" w:lineRule="auto"/>
        <w:rPr>
          <w:sz w:val="20"/>
          <w:szCs w:val="20"/>
          <w:color w:val="auto"/>
        </w:rPr>
      </w:pPr>
      <w:r>
        <w:rPr>
          <w:rFonts w:ascii="Times New Roman" w:cs="Times New Roman" w:eastAsia="Times New Roman" w:hAnsi="Times New Roman"/>
          <w:sz w:val="15"/>
          <w:szCs w:val="15"/>
          <w:color w:val="auto"/>
        </w:rPr>
        <w:t>Refer to “Note 10—Debt Capital Activities” to our Condensed Consolidated Financial Statements as of September 30, 2024 for more information regarding the 6.00% Notes due 2026.</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6.50% Convertible Notes due 2029</w:t>
      </w:r>
    </w:p>
    <w:p>
      <w:pPr>
        <w:spacing w:after="0" w:line="196" w:lineRule="exact"/>
        <w:rPr>
          <w:sz w:val="20"/>
          <w:szCs w:val="20"/>
          <w:color w:val="auto"/>
        </w:rPr>
      </w:pPr>
    </w:p>
    <w:p>
      <w:pPr>
        <w:jc w:val="both"/>
        <w:ind w:firstLine="273"/>
        <w:spacing w:after="0" w:line="265" w:lineRule="auto"/>
        <w:rPr>
          <w:sz w:val="20"/>
          <w:szCs w:val="20"/>
          <w:color w:val="auto"/>
        </w:rPr>
      </w:pPr>
      <w:r>
        <w:rPr>
          <w:rFonts w:ascii="Times New Roman" w:cs="Times New Roman" w:eastAsia="Times New Roman" w:hAnsi="Times New Roman"/>
          <w:sz w:val="15"/>
          <w:szCs w:val="15"/>
          <w:color w:val="auto"/>
        </w:rPr>
        <w:t>On August 14, 2024, we issued $25.0 million aggregate principal amount of the 6.50% Convertible Notes due 2029 to the Purchaser, which bear interest at a rate of 6.50% per year, payable quarterly in arrears on March 30, June 30, September 30, and December 30 of each year, commencing on September 30, 2024. We received $24.3 million in proceeds from the issuance, net of underwriting discounts and commissions. The 6.50% Convertible Notes due 2029 mature on August 14, 2029, unless previously repurchased, redeemed or converted in accordance with their terms. We do not have the right to redeem the 6.50% Convertible Notes due 2029 prior to August 6, 2027.</w:t>
      </w:r>
    </w:p>
    <w:p>
      <w:pPr>
        <w:spacing w:after="0" w:line="149" w:lineRule="exact"/>
        <w:rPr>
          <w:sz w:val="20"/>
          <w:szCs w:val="20"/>
          <w:color w:val="auto"/>
        </w:rPr>
      </w:pPr>
    </w:p>
    <w:p>
      <w:pPr>
        <w:jc w:val="both"/>
        <w:ind w:firstLine="273"/>
        <w:spacing w:after="0" w:line="288" w:lineRule="auto"/>
        <w:rPr>
          <w:sz w:val="20"/>
          <w:szCs w:val="20"/>
          <w:color w:val="auto"/>
        </w:rPr>
      </w:pPr>
      <w:r>
        <w:rPr>
          <w:rFonts w:ascii="Times New Roman" w:cs="Times New Roman" w:eastAsia="Times New Roman" w:hAnsi="Times New Roman"/>
          <w:sz w:val="15"/>
          <w:szCs w:val="15"/>
          <w:color w:val="auto"/>
        </w:rPr>
        <w:t>The 6.50% Convertible Notes due 2029 will be convertible into shares of our common stock at the Purchaser’s sole discretion at an initial conversion rate of 129.0323 shares of common stock per $1,000 principal amount of the 6.50% Convertible Notes due 2029, subject to adjustment as provided in the Notes Purchase Agreement.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216" w:right="319" w:bottom="1440" w:gutter="0" w:footer="0" w:header="0"/>
        </w:sectPr>
      </w:pPr>
    </w:p>
    <w:bookmarkStart w:id="61" w:name="page62"/>
    <w:bookmarkEnd w:id="61"/>
    <w:p>
      <w:pPr>
        <w:ind w:left="9"/>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92" w:lineRule="exact"/>
        <w:rPr>
          <w:sz w:val="20"/>
          <w:szCs w:val="20"/>
          <w:color w:val="auto"/>
        </w:rPr>
      </w:pPr>
    </w:p>
    <w:p>
      <w:pPr>
        <w:jc w:val="both"/>
        <w:ind w:left="9" w:right="20" w:firstLine="273"/>
        <w:spacing w:after="0" w:line="288" w:lineRule="auto"/>
        <w:rPr>
          <w:sz w:val="20"/>
          <w:szCs w:val="20"/>
          <w:color w:val="auto"/>
        </w:rPr>
      </w:pPr>
      <w:r>
        <w:rPr>
          <w:rFonts w:ascii="Times New Roman" w:cs="Times New Roman" w:eastAsia="Times New Roman" w:hAnsi="Times New Roman"/>
          <w:sz w:val="15"/>
          <w:szCs w:val="15"/>
          <w:color w:val="auto"/>
        </w:rPr>
        <w:t>Refer to “Note 10—Debt Capital Activities” to our Condensed Consolidated Financial Statements as of September 30, 2024 for more information regarding the 6.50% Convertible Notes due 2029.</w:t>
      </w:r>
    </w:p>
    <w:p>
      <w:pPr>
        <w:spacing w:after="0" w:line="12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i w:val="1"/>
          <w:iCs w:val="1"/>
          <w:color w:val="auto"/>
        </w:rPr>
        <w:t>Distributions</w:t>
      </w:r>
    </w:p>
    <w:p>
      <w:pPr>
        <w:spacing w:after="0" w:line="196" w:lineRule="exact"/>
        <w:rPr>
          <w:sz w:val="20"/>
          <w:szCs w:val="20"/>
          <w:color w:val="auto"/>
        </w:rPr>
      </w:pPr>
    </w:p>
    <w:p>
      <w:pPr>
        <w:jc w:val="both"/>
        <w:ind w:left="9" w:firstLine="273"/>
        <w:spacing w:after="0" w:line="270" w:lineRule="auto"/>
        <w:rPr>
          <w:sz w:val="20"/>
          <w:szCs w:val="20"/>
          <w:color w:val="auto"/>
        </w:rPr>
      </w:pPr>
      <w:r>
        <w:rPr>
          <w:rFonts w:ascii="Times New Roman" w:cs="Times New Roman" w:eastAsia="Times New Roman" w:hAnsi="Times New Roman"/>
          <w:sz w:val="15"/>
          <w:szCs w:val="15"/>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September 30, 2024. The table is divided by fiscal year according to record date:</w:t>
      </w:r>
    </w:p>
    <w:p>
      <w:pPr>
        <w:spacing w:after="0" w:line="154"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29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Date Declared</w:t>
            </w: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Record Date</w:t>
            </w:r>
          </w:p>
        </w:tc>
        <w:tc>
          <w:tcPr>
            <w:tcW w:w="28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Payment Date</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20" w:type="dxa"/>
            <w:vAlign w:val="bottom"/>
            <w:gridSpan w:val="3"/>
          </w:tcPr>
          <w:p>
            <w:pPr>
              <w:ind w:left="280"/>
              <w:spacing w:after="0"/>
              <w:rPr>
                <w:sz w:val="20"/>
                <w:szCs w:val="20"/>
                <w:color w:val="auto"/>
              </w:rPr>
            </w:pPr>
            <w:r>
              <w:rPr>
                <w:rFonts w:ascii="Times New Roman" w:cs="Times New Roman" w:eastAsia="Times New Roman" w:hAnsi="Times New Roman"/>
                <w:sz w:val="15"/>
                <w:szCs w:val="15"/>
                <w:b w:val="1"/>
                <w:bCs w:val="1"/>
                <w:color w:val="auto"/>
              </w:rPr>
              <w:t>Amount per Share</w:t>
            </w:r>
          </w:p>
        </w:tc>
      </w:tr>
      <w:tr>
        <w:trPr>
          <w:trHeight w:val="174"/>
        </w:trPr>
        <w:tc>
          <w:tcPr>
            <w:tcW w:w="2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Fiscal 2015: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7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1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16"/>
        </w:trPr>
        <w:tc>
          <w:tcPr>
            <w:tcW w:w="294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15"/>
                <w:szCs w:val="15"/>
                <w:color w:val="auto"/>
              </w:rPr>
              <w:t>November 4, 2015</w:t>
            </w:r>
            <w:r>
              <w:rPr>
                <w:rFonts w:ascii="Times New Roman" w:cs="Times New Roman" w:eastAsia="Times New Roman" w:hAnsi="Times New Roman"/>
                <w:sz w:val="25"/>
                <w:szCs w:val="25"/>
                <w:color w:val="auto"/>
                <w:vertAlign w:val="superscript"/>
              </w:rPr>
              <w:t>(1)</w:t>
            </w: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November 16, 2015</w:t>
            </w:r>
          </w:p>
        </w:tc>
        <w:tc>
          <w:tcPr>
            <w:tcW w:w="28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December 31, 2015</w:t>
            </w:r>
          </w:p>
        </w:tc>
        <w:tc>
          <w:tcPr>
            <w:tcW w:w="340" w:type="dxa"/>
            <w:vAlign w:val="bottom"/>
            <w:gridSpan w:val="2"/>
          </w:tcPr>
          <w:p>
            <w:pPr>
              <w:jc w:val="right"/>
              <w:ind w:right="253"/>
              <w:spacing w:after="0"/>
              <w:rPr>
                <w:sz w:val="20"/>
                <w:szCs w:val="20"/>
                <w:color w:val="auto"/>
              </w:rPr>
            </w:pPr>
            <w:r>
              <w:rPr>
                <w:rFonts w:ascii="Times New Roman" w:cs="Times New Roman" w:eastAsia="Times New Roman" w:hAnsi="Times New Roman"/>
                <w:sz w:val="11"/>
                <w:szCs w:val="11"/>
                <w:color w:val="auto"/>
                <w:w w:val="71"/>
              </w:rPr>
              <w:t>$</w:t>
            </w:r>
          </w:p>
        </w:tc>
        <w:tc>
          <w:tcPr>
            <w:tcW w:w="2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2.76</w:t>
            </w:r>
          </w:p>
        </w:tc>
        <w:tc>
          <w:tcPr>
            <w:tcW w:w="80" w:type="dxa"/>
            <w:vAlign w:val="bottom"/>
          </w:tcPr>
          <w:p>
            <w:pPr>
              <w:spacing w:after="0"/>
              <w:rPr>
                <w:sz w:val="18"/>
                <w:szCs w:val="18"/>
                <w:color w:val="auto"/>
              </w:rPr>
            </w:pPr>
          </w:p>
        </w:tc>
      </w:tr>
      <w:tr>
        <w:trPr>
          <w:trHeight w:val="182"/>
        </w:trPr>
        <w:tc>
          <w:tcPr>
            <w:tcW w:w="2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Fiscal 2016:</w:t>
            </w:r>
          </w:p>
        </w:tc>
        <w:tc>
          <w:tcPr>
            <w:tcW w:w="2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16"/>
        </w:trPr>
        <w:tc>
          <w:tcPr>
            <w:tcW w:w="294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15"/>
                <w:szCs w:val="15"/>
                <w:color w:val="auto"/>
              </w:rPr>
              <w:t>August 3, 2016</w:t>
            </w:r>
            <w:r>
              <w:rPr>
                <w:rFonts w:ascii="Times New Roman" w:cs="Times New Roman" w:eastAsia="Times New Roman" w:hAnsi="Times New Roman"/>
                <w:sz w:val="25"/>
                <w:szCs w:val="25"/>
                <w:color w:val="auto"/>
                <w:vertAlign w:val="superscript"/>
              </w:rPr>
              <w:t>(2)</w:t>
            </w:r>
          </w:p>
        </w:tc>
        <w:tc>
          <w:tcPr>
            <w:tcW w:w="2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August 16, 2016</w:t>
            </w:r>
          </w:p>
        </w:tc>
        <w:tc>
          <w:tcPr>
            <w:tcW w:w="28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August 24, 2016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0.04</w:t>
            </w:r>
          </w:p>
        </w:tc>
        <w:tc>
          <w:tcPr>
            <w:tcW w:w="80" w:type="dxa"/>
            <w:vAlign w:val="bottom"/>
          </w:tcPr>
          <w:p>
            <w:pPr>
              <w:spacing w:after="0"/>
              <w:rPr>
                <w:sz w:val="18"/>
                <w:szCs w:val="18"/>
                <w:color w:val="auto"/>
              </w:rPr>
            </w:pPr>
          </w:p>
        </w:tc>
      </w:tr>
      <w:tr>
        <w:trPr>
          <w:trHeight w:val="182"/>
        </w:trPr>
        <w:tc>
          <w:tcPr>
            <w:tcW w:w="2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Fiscal 2019:</w:t>
            </w:r>
          </w:p>
        </w:tc>
        <w:tc>
          <w:tcPr>
            <w:tcW w:w="2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16"/>
        </w:trPr>
        <w:tc>
          <w:tcPr>
            <w:tcW w:w="294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15"/>
                <w:szCs w:val="15"/>
                <w:color w:val="auto"/>
              </w:rPr>
              <w:t>November 5, 2019</w:t>
            </w:r>
            <w:r>
              <w:rPr>
                <w:rFonts w:ascii="Times New Roman" w:cs="Times New Roman" w:eastAsia="Times New Roman" w:hAnsi="Times New Roman"/>
                <w:sz w:val="25"/>
                <w:szCs w:val="25"/>
                <w:color w:val="auto"/>
                <w:vertAlign w:val="superscript"/>
              </w:rPr>
              <w:t>(3)</w:t>
            </w:r>
          </w:p>
        </w:tc>
        <w:tc>
          <w:tcPr>
            <w:tcW w:w="2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December 2, 2019</w:t>
            </w:r>
          </w:p>
        </w:tc>
        <w:tc>
          <w:tcPr>
            <w:tcW w:w="28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December 12, 2019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0.20</w:t>
            </w:r>
          </w:p>
        </w:tc>
        <w:tc>
          <w:tcPr>
            <w:tcW w:w="80" w:type="dxa"/>
            <w:vAlign w:val="bottom"/>
          </w:tcPr>
          <w:p>
            <w:pPr>
              <w:spacing w:after="0"/>
              <w:rPr>
                <w:sz w:val="18"/>
                <w:szCs w:val="18"/>
                <w:color w:val="auto"/>
              </w:rPr>
            </w:pPr>
          </w:p>
        </w:tc>
      </w:tr>
      <w:tr>
        <w:trPr>
          <w:trHeight w:val="216"/>
        </w:trPr>
        <w:tc>
          <w:tcPr>
            <w:tcW w:w="2940" w:type="dxa"/>
            <w:vAlign w:val="bottom"/>
            <w:gridSpan w:val="3"/>
            <w:shd w:val="clear" w:color="auto" w:fill="CCEEFF"/>
          </w:tcPr>
          <w:p>
            <w:pPr>
              <w:ind w:left="120"/>
              <w:spacing w:after="0" w:line="216" w:lineRule="exact"/>
              <w:rPr>
                <w:sz w:val="20"/>
                <w:szCs w:val="20"/>
                <w:color w:val="auto"/>
              </w:rPr>
            </w:pPr>
            <w:r>
              <w:rPr>
                <w:rFonts w:ascii="Times New Roman" w:cs="Times New Roman" w:eastAsia="Times New Roman" w:hAnsi="Times New Roman"/>
                <w:sz w:val="15"/>
                <w:szCs w:val="15"/>
                <w:color w:val="auto"/>
              </w:rPr>
              <w:t>December 20, 2019</w:t>
            </w:r>
            <w:r>
              <w:rPr>
                <w:rFonts w:ascii="Times New Roman" w:cs="Times New Roman" w:eastAsia="Times New Roman" w:hAnsi="Times New Roman"/>
                <w:sz w:val="25"/>
                <w:szCs w:val="25"/>
                <w:color w:val="auto"/>
                <w:vertAlign w:val="superscript"/>
              </w:rPr>
              <w:t>(4)</w:t>
            </w:r>
          </w:p>
        </w:tc>
        <w:tc>
          <w:tcPr>
            <w:tcW w:w="29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rPr>
              <w:t>December 31, 2019</w:t>
            </w:r>
          </w:p>
        </w:tc>
        <w:tc>
          <w:tcPr>
            <w:tcW w:w="28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rPr>
              <w:t>January 15, 2020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0.12</w:t>
            </w:r>
          </w:p>
        </w:tc>
        <w:tc>
          <w:tcPr>
            <w:tcW w:w="80" w:type="dxa"/>
            <w:vAlign w:val="bottom"/>
            <w:shd w:val="clear" w:color="auto" w:fill="CCEEFF"/>
          </w:tcPr>
          <w:p>
            <w:pPr>
              <w:spacing w:after="0"/>
              <w:rPr>
                <w:sz w:val="18"/>
                <w:szCs w:val="18"/>
                <w:color w:val="auto"/>
              </w:rPr>
            </w:pPr>
          </w:p>
        </w:tc>
      </w:tr>
      <w:tr>
        <w:trPr>
          <w:trHeight w:val="182"/>
        </w:trPr>
        <w:tc>
          <w:tcPr>
            <w:tcW w:w="29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Fiscal 2020:</w:t>
            </w:r>
          </w:p>
        </w:tc>
        <w:tc>
          <w:tcPr>
            <w:tcW w:w="2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2940" w:type="dxa"/>
            <w:vAlign w:val="bottom"/>
            <w:gridSpan w:val="3"/>
            <w:shd w:val="clear" w:color="auto" w:fill="CCEEFF"/>
          </w:tcPr>
          <w:p>
            <w:pPr>
              <w:ind w:left="120"/>
              <w:spacing w:after="0" w:line="216" w:lineRule="exact"/>
              <w:rPr>
                <w:sz w:val="20"/>
                <w:szCs w:val="20"/>
                <w:color w:val="auto"/>
              </w:rPr>
            </w:pPr>
            <w:r>
              <w:rPr>
                <w:rFonts w:ascii="Times New Roman" w:cs="Times New Roman" w:eastAsia="Times New Roman" w:hAnsi="Times New Roman"/>
                <w:sz w:val="15"/>
                <w:szCs w:val="15"/>
                <w:color w:val="auto"/>
              </w:rPr>
              <w:t>July 29, 2020</w:t>
            </w:r>
            <w:r>
              <w:rPr>
                <w:rFonts w:ascii="Times New Roman" w:cs="Times New Roman" w:eastAsia="Times New Roman" w:hAnsi="Times New Roman"/>
                <w:sz w:val="25"/>
                <w:szCs w:val="25"/>
                <w:color w:val="auto"/>
                <w:vertAlign w:val="superscript"/>
              </w:rPr>
              <w:t>(5)</w:t>
            </w:r>
          </w:p>
        </w:tc>
        <w:tc>
          <w:tcPr>
            <w:tcW w:w="29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rPr>
              <w:t>August 11, 2020</w:t>
            </w:r>
          </w:p>
        </w:tc>
        <w:tc>
          <w:tcPr>
            <w:tcW w:w="2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August 25, 2020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0.15</w:t>
            </w:r>
          </w:p>
        </w:tc>
        <w:tc>
          <w:tcPr>
            <w:tcW w:w="80" w:type="dxa"/>
            <w:vAlign w:val="bottom"/>
            <w:shd w:val="clear" w:color="auto" w:fill="CCEEFF"/>
          </w:tcPr>
          <w:p>
            <w:pPr>
              <w:spacing w:after="0"/>
              <w:rPr>
                <w:sz w:val="18"/>
                <w:szCs w:val="18"/>
                <w:color w:val="auto"/>
              </w:rPr>
            </w:pPr>
          </w:p>
        </w:tc>
      </w:tr>
      <w:tr>
        <w:trPr>
          <w:trHeight w:val="216"/>
        </w:trPr>
        <w:tc>
          <w:tcPr>
            <w:tcW w:w="294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15"/>
                <w:szCs w:val="15"/>
                <w:color w:val="auto"/>
              </w:rPr>
              <w:t>September 28, 2020</w:t>
            </w:r>
            <w:r>
              <w:rPr>
                <w:rFonts w:ascii="Times New Roman" w:cs="Times New Roman" w:eastAsia="Times New Roman" w:hAnsi="Times New Roman"/>
                <w:sz w:val="25"/>
                <w:szCs w:val="25"/>
                <w:color w:val="auto"/>
                <w:vertAlign w:val="superscript"/>
              </w:rPr>
              <w:t>(6)</w:t>
            </w: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October 5, 2020</w:t>
            </w:r>
          </w:p>
        </w:tc>
        <w:tc>
          <w:tcPr>
            <w:tcW w:w="28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October 20, 2020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0.25</w:t>
            </w:r>
          </w:p>
        </w:tc>
        <w:tc>
          <w:tcPr>
            <w:tcW w:w="80" w:type="dxa"/>
            <w:vAlign w:val="bottom"/>
          </w:tcPr>
          <w:p>
            <w:pPr>
              <w:spacing w:after="0"/>
              <w:rPr>
                <w:sz w:val="18"/>
                <w:szCs w:val="18"/>
                <w:color w:val="auto"/>
              </w:rPr>
            </w:pPr>
          </w:p>
        </w:tc>
      </w:tr>
      <w:tr>
        <w:trPr>
          <w:trHeight w:val="216"/>
        </w:trPr>
        <w:tc>
          <w:tcPr>
            <w:tcW w:w="2940" w:type="dxa"/>
            <w:vAlign w:val="bottom"/>
            <w:gridSpan w:val="3"/>
            <w:shd w:val="clear" w:color="auto" w:fill="CCEEFF"/>
          </w:tcPr>
          <w:p>
            <w:pPr>
              <w:ind w:left="120"/>
              <w:spacing w:after="0" w:line="216" w:lineRule="exact"/>
              <w:rPr>
                <w:sz w:val="20"/>
                <w:szCs w:val="20"/>
                <w:color w:val="auto"/>
              </w:rPr>
            </w:pPr>
            <w:r>
              <w:rPr>
                <w:rFonts w:ascii="Times New Roman" w:cs="Times New Roman" w:eastAsia="Times New Roman" w:hAnsi="Times New Roman"/>
                <w:sz w:val="15"/>
                <w:szCs w:val="15"/>
                <w:color w:val="auto"/>
              </w:rPr>
              <w:t>October 28, 2020</w:t>
            </w:r>
            <w:r>
              <w:rPr>
                <w:rFonts w:ascii="Times New Roman" w:cs="Times New Roman" w:eastAsia="Times New Roman" w:hAnsi="Times New Roman"/>
                <w:sz w:val="25"/>
                <w:szCs w:val="25"/>
                <w:color w:val="auto"/>
                <w:vertAlign w:val="superscript"/>
              </w:rPr>
              <w:t>(7)</w:t>
            </w:r>
          </w:p>
        </w:tc>
        <w:tc>
          <w:tcPr>
            <w:tcW w:w="2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November 10, 2020</w:t>
            </w:r>
          </w:p>
        </w:tc>
        <w:tc>
          <w:tcPr>
            <w:tcW w:w="2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November 30, 2020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0.25</w:t>
            </w:r>
          </w:p>
        </w:tc>
        <w:tc>
          <w:tcPr>
            <w:tcW w:w="80" w:type="dxa"/>
            <w:vAlign w:val="bottom"/>
            <w:shd w:val="clear" w:color="auto" w:fill="CCEEFF"/>
          </w:tcPr>
          <w:p>
            <w:pPr>
              <w:spacing w:after="0"/>
              <w:rPr>
                <w:sz w:val="18"/>
                <w:szCs w:val="18"/>
                <w:color w:val="auto"/>
              </w:rPr>
            </w:pPr>
          </w:p>
        </w:tc>
      </w:tr>
      <w:tr>
        <w:trPr>
          <w:trHeight w:val="216"/>
        </w:trPr>
        <w:tc>
          <w:tcPr>
            <w:tcW w:w="294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15"/>
                <w:szCs w:val="15"/>
                <w:color w:val="auto"/>
              </w:rPr>
              <w:t>December 16, 2020</w:t>
            </w:r>
            <w:r>
              <w:rPr>
                <w:rFonts w:ascii="Times New Roman" w:cs="Times New Roman" w:eastAsia="Times New Roman" w:hAnsi="Times New Roman"/>
                <w:sz w:val="25"/>
                <w:szCs w:val="25"/>
                <w:color w:val="auto"/>
                <w:vertAlign w:val="superscript"/>
              </w:rPr>
              <w:t>(8)</w:t>
            </w:r>
          </w:p>
        </w:tc>
        <w:tc>
          <w:tcPr>
            <w:tcW w:w="2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December 30, 2020</w:t>
            </w:r>
          </w:p>
        </w:tc>
        <w:tc>
          <w:tcPr>
            <w:tcW w:w="28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January 15, 2021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0.22</w:t>
            </w:r>
          </w:p>
        </w:tc>
        <w:tc>
          <w:tcPr>
            <w:tcW w:w="80" w:type="dxa"/>
            <w:vAlign w:val="bottom"/>
          </w:tcPr>
          <w:p>
            <w:pPr>
              <w:spacing w:after="0"/>
              <w:rPr>
                <w:sz w:val="18"/>
                <w:szCs w:val="18"/>
                <w:color w:val="auto"/>
              </w:rPr>
            </w:pPr>
          </w:p>
        </w:tc>
      </w:tr>
      <w:tr>
        <w:trPr>
          <w:trHeight w:val="182"/>
        </w:trPr>
        <w:tc>
          <w:tcPr>
            <w:tcW w:w="2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Fiscal 2021:</w:t>
            </w:r>
          </w:p>
        </w:tc>
        <w:tc>
          <w:tcPr>
            <w:tcW w:w="2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16"/>
        </w:trPr>
        <w:tc>
          <w:tcPr>
            <w:tcW w:w="294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15"/>
                <w:szCs w:val="15"/>
                <w:color w:val="auto"/>
              </w:rPr>
              <w:t>January 26, 2021</w:t>
            </w:r>
            <w:r>
              <w:rPr>
                <w:rFonts w:ascii="Times New Roman" w:cs="Times New Roman" w:eastAsia="Times New Roman" w:hAnsi="Times New Roman"/>
                <w:sz w:val="25"/>
                <w:szCs w:val="25"/>
                <w:color w:val="auto"/>
                <w:vertAlign w:val="superscript"/>
              </w:rPr>
              <w:t>(9)</w:t>
            </w:r>
          </w:p>
        </w:tc>
        <w:tc>
          <w:tcPr>
            <w:tcW w:w="2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February 5, 2021</w:t>
            </w:r>
          </w:p>
        </w:tc>
        <w:tc>
          <w:tcPr>
            <w:tcW w:w="28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February 19, 2021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0.25</w:t>
            </w:r>
          </w:p>
        </w:tc>
        <w:tc>
          <w:tcPr>
            <w:tcW w:w="80" w:type="dxa"/>
            <w:vAlign w:val="bottom"/>
          </w:tcPr>
          <w:p>
            <w:pPr>
              <w:spacing w:after="0"/>
              <w:rPr>
                <w:sz w:val="18"/>
                <w:szCs w:val="18"/>
                <w:color w:val="auto"/>
              </w:rPr>
            </w:pPr>
          </w:p>
        </w:tc>
      </w:tr>
      <w:tr>
        <w:trPr>
          <w:trHeight w:val="216"/>
        </w:trPr>
        <w:tc>
          <w:tcPr>
            <w:tcW w:w="2940" w:type="dxa"/>
            <w:vAlign w:val="bottom"/>
            <w:gridSpan w:val="3"/>
            <w:shd w:val="clear" w:color="auto" w:fill="CCEEFF"/>
          </w:tcPr>
          <w:p>
            <w:pPr>
              <w:ind w:left="120"/>
              <w:spacing w:after="0" w:line="216" w:lineRule="exact"/>
              <w:rPr>
                <w:sz w:val="20"/>
                <w:szCs w:val="20"/>
                <w:color w:val="auto"/>
              </w:rPr>
            </w:pPr>
            <w:r>
              <w:rPr>
                <w:rFonts w:ascii="Times New Roman" w:cs="Times New Roman" w:eastAsia="Times New Roman" w:hAnsi="Times New Roman"/>
                <w:sz w:val="15"/>
                <w:szCs w:val="15"/>
                <w:color w:val="auto"/>
              </w:rPr>
              <w:t>March 8, 2021</w:t>
            </w:r>
            <w:r>
              <w:rPr>
                <w:rFonts w:ascii="Times New Roman" w:cs="Times New Roman" w:eastAsia="Times New Roman" w:hAnsi="Times New Roman"/>
                <w:sz w:val="25"/>
                <w:szCs w:val="25"/>
                <w:color w:val="auto"/>
                <w:vertAlign w:val="superscript"/>
              </w:rPr>
              <w:t>(10)</w:t>
            </w:r>
          </w:p>
        </w:tc>
        <w:tc>
          <w:tcPr>
            <w:tcW w:w="29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rPr>
              <w:t>March 30, 2021</w:t>
            </w:r>
          </w:p>
        </w:tc>
        <w:tc>
          <w:tcPr>
            <w:tcW w:w="2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April 15, 2021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0.25</w:t>
            </w:r>
          </w:p>
        </w:tc>
        <w:tc>
          <w:tcPr>
            <w:tcW w:w="80" w:type="dxa"/>
            <w:vAlign w:val="bottom"/>
            <w:shd w:val="clear" w:color="auto" w:fill="CCEEFF"/>
          </w:tcPr>
          <w:p>
            <w:pPr>
              <w:spacing w:after="0"/>
              <w:rPr>
                <w:sz w:val="18"/>
                <w:szCs w:val="18"/>
                <w:color w:val="auto"/>
              </w:rPr>
            </w:pPr>
          </w:p>
        </w:tc>
      </w:tr>
      <w:tr>
        <w:trPr>
          <w:trHeight w:val="216"/>
        </w:trPr>
        <w:tc>
          <w:tcPr>
            <w:tcW w:w="294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15"/>
                <w:szCs w:val="15"/>
                <w:color w:val="auto"/>
              </w:rPr>
              <w:t>May 4, 2021</w:t>
            </w:r>
            <w:r>
              <w:rPr>
                <w:rFonts w:ascii="Times New Roman" w:cs="Times New Roman" w:eastAsia="Times New Roman" w:hAnsi="Times New Roman"/>
                <w:sz w:val="25"/>
                <w:szCs w:val="25"/>
                <w:color w:val="auto"/>
                <w:vertAlign w:val="superscript"/>
              </w:rPr>
              <w:t>(11)</w:t>
            </w:r>
          </w:p>
        </w:tc>
        <w:tc>
          <w:tcPr>
            <w:tcW w:w="2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May 18, 2021</w:t>
            </w:r>
          </w:p>
        </w:tc>
        <w:tc>
          <w:tcPr>
            <w:tcW w:w="28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June 30, 2021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2.50</w:t>
            </w:r>
          </w:p>
        </w:tc>
        <w:tc>
          <w:tcPr>
            <w:tcW w:w="80" w:type="dxa"/>
            <w:vAlign w:val="bottom"/>
          </w:tcPr>
          <w:p>
            <w:pPr>
              <w:spacing w:after="0"/>
              <w:rPr>
                <w:sz w:val="18"/>
                <w:szCs w:val="18"/>
                <w:color w:val="auto"/>
              </w:rPr>
            </w:pPr>
          </w:p>
        </w:tc>
      </w:tr>
      <w:tr>
        <w:trPr>
          <w:trHeight w:val="216"/>
        </w:trPr>
        <w:tc>
          <w:tcPr>
            <w:tcW w:w="2940" w:type="dxa"/>
            <w:vAlign w:val="bottom"/>
            <w:gridSpan w:val="3"/>
            <w:shd w:val="clear" w:color="auto" w:fill="CCEEFF"/>
          </w:tcPr>
          <w:p>
            <w:pPr>
              <w:ind w:left="120"/>
              <w:spacing w:after="0" w:line="216" w:lineRule="exact"/>
              <w:rPr>
                <w:sz w:val="20"/>
                <w:szCs w:val="20"/>
                <w:color w:val="auto"/>
              </w:rPr>
            </w:pPr>
            <w:r>
              <w:rPr>
                <w:rFonts w:ascii="Times New Roman" w:cs="Times New Roman" w:eastAsia="Times New Roman" w:hAnsi="Times New Roman"/>
                <w:sz w:val="15"/>
                <w:szCs w:val="15"/>
                <w:color w:val="auto"/>
              </w:rPr>
              <w:t>August 3, 2021</w:t>
            </w:r>
            <w:r>
              <w:rPr>
                <w:rFonts w:ascii="Times New Roman" w:cs="Times New Roman" w:eastAsia="Times New Roman" w:hAnsi="Times New Roman"/>
                <w:sz w:val="25"/>
                <w:szCs w:val="25"/>
                <w:color w:val="auto"/>
                <w:vertAlign w:val="superscript"/>
              </w:rPr>
              <w:t>(12)</w:t>
            </w:r>
          </w:p>
        </w:tc>
        <w:tc>
          <w:tcPr>
            <w:tcW w:w="29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rPr>
              <w:t>August 18, 2021</w:t>
            </w:r>
          </w:p>
        </w:tc>
        <w:tc>
          <w:tcPr>
            <w:tcW w:w="2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September 30, 2021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2.25</w:t>
            </w:r>
          </w:p>
        </w:tc>
        <w:tc>
          <w:tcPr>
            <w:tcW w:w="80" w:type="dxa"/>
            <w:vAlign w:val="bottom"/>
            <w:shd w:val="clear" w:color="auto" w:fill="CCEEFF"/>
          </w:tcPr>
          <w:p>
            <w:pPr>
              <w:spacing w:after="0"/>
              <w:rPr>
                <w:sz w:val="18"/>
                <w:szCs w:val="18"/>
                <w:color w:val="auto"/>
              </w:rPr>
            </w:pPr>
          </w:p>
        </w:tc>
      </w:tr>
      <w:tr>
        <w:trPr>
          <w:trHeight w:val="216"/>
        </w:trPr>
        <w:tc>
          <w:tcPr>
            <w:tcW w:w="294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15"/>
                <w:szCs w:val="15"/>
                <w:color w:val="auto"/>
              </w:rPr>
              <w:t>November 2, 2021</w:t>
            </w:r>
            <w:r>
              <w:rPr>
                <w:rFonts w:ascii="Times New Roman" w:cs="Times New Roman" w:eastAsia="Times New Roman" w:hAnsi="Times New Roman"/>
                <w:sz w:val="25"/>
                <w:szCs w:val="25"/>
                <w:color w:val="auto"/>
                <w:vertAlign w:val="superscript"/>
              </w:rPr>
              <w:t>(13)</w:t>
            </w: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November 17, 2021</w:t>
            </w:r>
          </w:p>
        </w:tc>
        <w:tc>
          <w:tcPr>
            <w:tcW w:w="28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December 30, 2021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2.00</w:t>
            </w:r>
          </w:p>
        </w:tc>
        <w:tc>
          <w:tcPr>
            <w:tcW w:w="80" w:type="dxa"/>
            <w:vAlign w:val="bottom"/>
          </w:tcPr>
          <w:p>
            <w:pPr>
              <w:spacing w:after="0"/>
              <w:rPr>
                <w:sz w:val="18"/>
                <w:szCs w:val="18"/>
                <w:color w:val="auto"/>
              </w:rPr>
            </w:pPr>
          </w:p>
        </w:tc>
      </w:tr>
      <w:tr>
        <w:trPr>
          <w:trHeight w:val="216"/>
        </w:trPr>
        <w:tc>
          <w:tcPr>
            <w:tcW w:w="2940" w:type="dxa"/>
            <w:vAlign w:val="bottom"/>
            <w:gridSpan w:val="3"/>
            <w:shd w:val="clear" w:color="auto" w:fill="CCEEFF"/>
          </w:tcPr>
          <w:p>
            <w:pPr>
              <w:ind w:left="120"/>
              <w:spacing w:after="0" w:line="216" w:lineRule="exact"/>
              <w:rPr>
                <w:sz w:val="20"/>
                <w:szCs w:val="20"/>
                <w:color w:val="auto"/>
              </w:rPr>
            </w:pPr>
            <w:r>
              <w:rPr>
                <w:rFonts w:ascii="Times New Roman" w:cs="Times New Roman" w:eastAsia="Times New Roman" w:hAnsi="Times New Roman"/>
                <w:sz w:val="15"/>
                <w:szCs w:val="15"/>
                <w:color w:val="auto"/>
              </w:rPr>
              <w:t>December 20, 2021</w:t>
            </w:r>
            <w:r>
              <w:rPr>
                <w:rFonts w:ascii="Times New Roman" w:cs="Times New Roman" w:eastAsia="Times New Roman" w:hAnsi="Times New Roman"/>
                <w:sz w:val="25"/>
                <w:szCs w:val="25"/>
                <w:color w:val="auto"/>
                <w:vertAlign w:val="superscript"/>
              </w:rPr>
              <w:t>(14)</w:t>
            </w:r>
          </w:p>
        </w:tc>
        <w:tc>
          <w:tcPr>
            <w:tcW w:w="29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rPr>
              <w:t>December 31, 2021</w:t>
            </w:r>
          </w:p>
        </w:tc>
        <w:tc>
          <w:tcPr>
            <w:tcW w:w="28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rPr>
              <w:t>January 14, 2022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0.75</w:t>
            </w:r>
          </w:p>
        </w:tc>
        <w:tc>
          <w:tcPr>
            <w:tcW w:w="80" w:type="dxa"/>
            <w:vAlign w:val="bottom"/>
            <w:shd w:val="clear" w:color="auto" w:fill="CCEEFF"/>
          </w:tcPr>
          <w:p>
            <w:pPr>
              <w:spacing w:after="0"/>
              <w:rPr>
                <w:sz w:val="18"/>
                <w:szCs w:val="18"/>
                <w:color w:val="auto"/>
              </w:rPr>
            </w:pPr>
          </w:p>
        </w:tc>
      </w:tr>
      <w:tr>
        <w:trPr>
          <w:trHeight w:val="182"/>
        </w:trPr>
        <w:tc>
          <w:tcPr>
            <w:tcW w:w="29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Fiscal 2022:</w:t>
            </w:r>
          </w:p>
        </w:tc>
        <w:tc>
          <w:tcPr>
            <w:tcW w:w="2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8"/>
        </w:trPr>
        <w:tc>
          <w:tcPr>
            <w:tcW w:w="2940" w:type="dxa"/>
            <w:vAlign w:val="bottom"/>
            <w:gridSpan w:val="3"/>
            <w:shd w:val="clear" w:color="auto" w:fill="CCEEFF"/>
          </w:tcPr>
          <w:p>
            <w:pPr>
              <w:ind w:left="120"/>
              <w:spacing w:after="0" w:line="228" w:lineRule="exact"/>
              <w:rPr>
                <w:sz w:val="20"/>
                <w:szCs w:val="20"/>
                <w:color w:val="auto"/>
              </w:rPr>
            </w:pPr>
            <w:r>
              <w:rPr>
                <w:rFonts w:ascii="Times New Roman" w:cs="Times New Roman" w:eastAsia="Times New Roman" w:hAnsi="Times New Roman"/>
                <w:sz w:val="15"/>
                <w:szCs w:val="15"/>
                <w:color w:val="auto"/>
              </w:rPr>
              <w:t>March 8, 2022</w:t>
            </w:r>
            <w:r>
              <w:rPr>
                <w:rFonts w:ascii="Times New Roman" w:cs="Times New Roman" w:eastAsia="Times New Roman" w:hAnsi="Times New Roman"/>
                <w:sz w:val="25"/>
                <w:szCs w:val="25"/>
                <w:color w:val="auto"/>
                <w:vertAlign w:val="superscript"/>
              </w:rPr>
              <w:t>(15)</w:t>
            </w:r>
          </w:p>
        </w:tc>
        <w:tc>
          <w:tcPr>
            <w:tcW w:w="29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rPr>
              <w:t>March 25, 2022</w:t>
            </w:r>
          </w:p>
        </w:tc>
        <w:tc>
          <w:tcPr>
            <w:tcW w:w="2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5"/>
                <w:szCs w:val="15"/>
                <w:color w:val="auto"/>
              </w:rPr>
              <w:t>April 15, 2022</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0.11</w:t>
            </w:r>
          </w:p>
        </w:tc>
        <w:tc>
          <w:tcPr>
            <w:tcW w:w="80" w:type="dxa"/>
            <w:vAlign w:val="bottom"/>
            <w:shd w:val="clear" w:color="auto" w:fill="CCEEFF"/>
          </w:tcPr>
          <w:p>
            <w:pPr>
              <w:spacing w:after="0"/>
              <w:rPr>
                <w:sz w:val="19"/>
                <w:szCs w:val="19"/>
                <w:color w:val="auto"/>
              </w:rPr>
            </w:pPr>
          </w:p>
        </w:tc>
      </w:tr>
      <w:tr>
        <w:trPr>
          <w:trHeight w:val="185"/>
        </w:trPr>
        <w:tc>
          <w:tcPr>
            <w:tcW w:w="29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2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12.10</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2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bl>
    <w:p>
      <w:pPr>
        <w:spacing w:after="0" w:line="259" w:lineRule="exact"/>
        <w:rPr>
          <w:sz w:val="20"/>
          <w:szCs w:val="20"/>
          <w:color w:val="auto"/>
        </w:rPr>
      </w:pPr>
    </w:p>
    <w:p>
      <w:pPr>
        <w:jc w:val="both"/>
        <w:ind w:left="269" w:hanging="269"/>
        <w:spacing w:after="0" w:line="257" w:lineRule="auto"/>
        <w:tabs>
          <w:tab w:leader="none" w:pos="269"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spacing w:after="0" w:line="2"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 the total distribution of $887,240 on August 24, 2016, $820,753 represented a distribution from realized gains, and $66,487 represented a return of capital.</w:t>
      </w:r>
    </w:p>
    <w:p>
      <w:pPr>
        <w:spacing w:after="0" w:line="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$3,512,849 distribution paid on December 12, 2019 represented a distribution from realized gains. None of the distribution represented a return of capital.</w:t>
      </w:r>
    </w:p>
    <w:p>
      <w:pPr>
        <w:spacing w:after="0" w:line="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$2,107,709 distribution paid on January 15, 2020 represented a distribution from realized gains. None of the distribution represented a return of capital.</w:t>
      </w:r>
    </w:p>
    <w:p>
      <w:pPr>
        <w:spacing w:after="0" w:line="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$2,516,452 distribution paid on August 25, 2020 represented a distribution from realized gains. None of the distribution represented a return of capital.</w:t>
      </w:r>
    </w:p>
    <w:p>
      <w:pPr>
        <w:spacing w:after="0" w:line="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$5,071,326 distribution paid on October 20, 2020 represented a distribution from realized gains. None of the distribution represented a return of capital.</w:t>
      </w:r>
    </w:p>
    <w:p>
      <w:pPr>
        <w:spacing w:after="0" w:line="20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5391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216" w:right="319" w:bottom="1440" w:gutter="0" w:footer="0" w:header="0"/>
        </w:sectPr>
      </w:pPr>
    </w:p>
    <w:bookmarkStart w:id="62" w:name="page63"/>
    <w:bookmarkEnd w:id="62"/>
    <w:p>
      <w:pPr>
        <w:ind w:left="9"/>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306" w:lineRule="exact"/>
        <w:rPr>
          <w:sz w:val="20"/>
          <w:szCs w:val="20"/>
          <w:color w:val="auto"/>
        </w:rPr>
      </w:pPr>
    </w:p>
    <w:p>
      <w:pPr>
        <w:ind w:left="269" w:hanging="269"/>
        <w:spacing w:after="0"/>
        <w:tabs>
          <w:tab w:leader="none" w:pos="269"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$4,978,504 distribution paid on November 30, 2020 represented a distribution from realized gains. None of the distribution represented a return of capital.</w:t>
      </w:r>
    </w:p>
    <w:p>
      <w:pPr>
        <w:spacing w:after="0" w:line="24"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$4,381,084 distribution paid on January 15, 2021 represented a distribution from realized gains. None of the distribution represented a return of capital.</w:t>
      </w:r>
    </w:p>
    <w:p>
      <w:pPr>
        <w:spacing w:after="0" w:line="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$4,981,131 distribution paid on February 19, 2021 represented a distribution from realized gains. None of the distribution represented a return of capital.</w:t>
      </w:r>
    </w:p>
    <w:p>
      <w:pPr>
        <w:spacing w:after="0" w:line="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$6,051,304 distribution paid on April 15, 2021 represented a distribution from realized gains. None of the distribution represented a return of capital.</w:t>
      </w:r>
    </w:p>
    <w:p>
      <w:pPr>
        <w:spacing w:after="0" w:line="9" w:lineRule="exact"/>
        <w:rPr>
          <w:rFonts w:ascii="Times New Roman" w:cs="Times New Roman" w:eastAsia="Times New Roman" w:hAnsi="Times New Roman"/>
          <w:sz w:val="15"/>
          <w:szCs w:val="15"/>
          <w:color w:val="auto"/>
        </w:rPr>
      </w:pPr>
    </w:p>
    <w:p>
      <w:pPr>
        <w:jc w:val="both"/>
        <w:ind w:left="269" w:hanging="269"/>
        <w:spacing w:after="0" w:line="253" w:lineRule="auto"/>
        <w:tabs>
          <w:tab w:leader="none" w:pos="269"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2,335,527 shares of common stock issued in lieu of cash, or approximately 9.6% of our outstanding shares prior to the distribution, as well as cash of $29,987,589. The number of shares of common stock comprising the stock portion was calculated based on a price of $13.07 per share, which equaled the average of the volume weighted-average trading price per share of our common stock on May 12, 13, and 14, 2021. None of the $2.50 per share distribution represented a return of capital.</w:t>
      </w:r>
    </w:p>
    <w:p>
      <w:pPr>
        <w:spacing w:after="0" w:line="2" w:lineRule="exact"/>
        <w:rPr>
          <w:rFonts w:ascii="Times New Roman" w:cs="Times New Roman" w:eastAsia="Times New Roman" w:hAnsi="Times New Roman"/>
          <w:sz w:val="15"/>
          <w:szCs w:val="15"/>
          <w:color w:val="auto"/>
        </w:rPr>
      </w:pPr>
    </w:p>
    <w:p>
      <w:pPr>
        <w:jc w:val="both"/>
        <w:ind w:left="269" w:hanging="269"/>
        <w:spacing w:after="0" w:line="253" w:lineRule="auto"/>
        <w:tabs>
          <w:tab w:leader="none" w:pos="269"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2,225,193 shares of common stock issued in lieu of cash, or approximately 8.4% of our outstanding shares prior to the distribution, as well as cash of $29,599,164. The number of shares of common stock comprising the stock portion was calculated based on a price of $13.55 per share, which equaled the average of the volume weighted-average trading price per share of our common stock on August 11, 12, and 13, 2021. None of the $2.25 per share distribution represented a return of capital.</w:t>
      </w:r>
    </w:p>
    <w:p>
      <w:pPr>
        <w:spacing w:after="0" w:line="2" w:lineRule="exact"/>
        <w:rPr>
          <w:rFonts w:ascii="Times New Roman" w:cs="Times New Roman" w:eastAsia="Times New Roman" w:hAnsi="Times New Roman"/>
          <w:sz w:val="15"/>
          <w:szCs w:val="15"/>
          <w:color w:val="auto"/>
        </w:rPr>
      </w:pPr>
    </w:p>
    <w:p>
      <w:pPr>
        <w:jc w:val="both"/>
        <w:ind w:left="269" w:hanging="269"/>
        <w:spacing w:after="0" w:line="253" w:lineRule="auto"/>
        <w:tabs>
          <w:tab w:leader="none" w:pos="269"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2,170,807 shares of common stock issued in lieu of cash, or approximately 7.5% of our outstanding shares prior to the distribution, as well as cash of $28,494,812. The number of shares of common stock comprising the stock portion was calculated based on a price of $13.39 per share, which equaled the average of the volume weighted-average trading price per share of our common stock on November 11, 12, and 13, 2021. None of the $2.00 per share distribution represented a return of capital.</w:t>
      </w:r>
    </w:p>
    <w:p>
      <w:pPr>
        <w:spacing w:after="0" w:line="2"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$23,338,915 distribution paid on January 14, 2022 represented a distribution from realized gains. None of the distribution represented a return of capital.</w:t>
      </w:r>
    </w:p>
    <w:p>
      <w:pPr>
        <w:spacing w:after="0" w:line="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$3,441,824 distribution paid on April 15, 2022 represented a distribution from realized gains. None of the distribution represented a return of capital.</w:t>
      </w:r>
    </w:p>
    <w:p>
      <w:pPr>
        <w:spacing w:after="0" w:line="177" w:lineRule="exact"/>
        <w:rPr>
          <w:sz w:val="20"/>
          <w:szCs w:val="20"/>
          <w:color w:val="auto"/>
        </w:rPr>
      </w:pPr>
    </w:p>
    <w:p>
      <w:pPr>
        <w:jc w:val="both"/>
        <w:ind w:left="9" w:firstLine="273"/>
        <w:spacing w:after="0" w:line="265" w:lineRule="auto"/>
        <w:rPr>
          <w:sz w:val="20"/>
          <w:szCs w:val="20"/>
          <w:color w:val="auto"/>
        </w:rPr>
      </w:pPr>
      <w:r>
        <w:rPr>
          <w:rFonts w:ascii="Times New Roman" w:cs="Times New Roman" w:eastAsia="Times New Roman" w:hAnsi="Times New Roman"/>
          <w:sz w:val="15"/>
          <w:szCs w:val="15"/>
          <w:color w:val="auto"/>
        </w:rPr>
        <w:t>We intend to focus on making equity-based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BDCs that primarily make debt investments. If there are earnings or realized capital gains to be distributed, we intend to declare and pay a distribution at least annually. The amount of realized capital gains available for distribution to stockholders will be impacted by our tax status.</w:t>
      </w:r>
    </w:p>
    <w:p>
      <w:pPr>
        <w:spacing w:after="0" w:line="149" w:lineRule="exact"/>
        <w:rPr>
          <w:sz w:val="20"/>
          <w:szCs w:val="20"/>
          <w:color w:val="auto"/>
        </w:rPr>
      </w:pPr>
    </w:p>
    <w:p>
      <w:pPr>
        <w:jc w:val="both"/>
        <w:ind w:left="9" w:firstLine="273"/>
        <w:spacing w:after="0" w:line="258" w:lineRule="auto"/>
        <w:rPr>
          <w:sz w:val="20"/>
          <w:szCs w:val="20"/>
          <w:color w:val="auto"/>
        </w:rPr>
      </w:pPr>
      <w:r>
        <w:rPr>
          <w:rFonts w:ascii="Times New Roman" w:cs="Times New Roman" w:eastAsia="Times New Roman" w:hAnsi="Times New Roman"/>
          <w:sz w:val="15"/>
          <w:szCs w:val="15"/>
          <w:color w:val="auto"/>
        </w:rPr>
        <w:t>Our current intention is to make any future distributions out of assets legally available therefrom in the form of additional shares of our common stock under our dividend reinvestment plan, except in the case of stockholders who elect to receive dividends and/or long-term capital gains distributions in cash. Under the dividend reinvestment plan, if a stockholder owns shares of common stock registered in its own name, the stockholder will have all cash distributions (net of any applicable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be treated as received by the U.S. stockholder for U.S. federal income tax purposes, although no cash distribution has been made. As a result, if a stockholder does not elect to opt out of the dividend reinvestment plan, it will be required to pay applicable federal, state and local taxes on any reinvested dividends even though such stockholder will not receive a corresponding cash distribution. Stockholders that hold shares in the name of a broker or financial intermediary should contact the broker or financial intermediary regarding any election to receive distributions in cash.</w:t>
      </w:r>
    </w:p>
    <w:p>
      <w:pPr>
        <w:spacing w:after="0" w:line="157" w:lineRule="exact"/>
        <w:rPr>
          <w:sz w:val="20"/>
          <w:szCs w:val="20"/>
          <w:color w:val="auto"/>
        </w:rPr>
      </w:pPr>
    </w:p>
    <w:p>
      <w:pPr>
        <w:jc w:val="both"/>
        <w:ind w:left="9" w:firstLine="273"/>
        <w:spacing w:after="0" w:line="260" w:lineRule="auto"/>
        <w:rPr>
          <w:sz w:val="20"/>
          <w:szCs w:val="20"/>
          <w:color w:val="auto"/>
        </w:rPr>
      </w:pPr>
      <w:r>
        <w:rPr>
          <w:rFonts w:ascii="Times New Roman" w:cs="Times New Roman" w:eastAsia="Times New Roman" w:hAnsi="Times New Roman"/>
          <w:sz w:val="15"/>
          <w:szCs w:val="15"/>
          <w:color w:val="auto"/>
        </w:rPr>
        <w:t>So long as we qualify and maintain our tax treatment as a RIC, we generally will not be subject to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condensed consolidated financial statements. See “Note 2—Significant Accounting Policies—</w:t>
      </w:r>
      <w:r>
        <w:rPr>
          <w:rFonts w:ascii="Times New Roman" w:cs="Times New Roman" w:eastAsia="Times New Roman" w:hAnsi="Times New Roman"/>
          <w:sz w:val="15"/>
          <w:szCs w:val="15"/>
          <w:i w:val="1"/>
          <w:iCs w:val="1"/>
          <w:color w:val="auto"/>
        </w:rPr>
        <w:t>U.S. Federal and State Income Taxes</w:t>
      </w:r>
      <w:r>
        <w:rPr>
          <w:rFonts w:ascii="Times New Roman" w:cs="Times New Roman" w:eastAsia="Times New Roman" w:hAnsi="Times New Roman"/>
          <w:sz w:val="15"/>
          <w:szCs w:val="15"/>
          <w:color w:val="auto"/>
        </w:rPr>
        <w:t>” and “Note 9—Income Taxes” to our Condensed Consolidated Financial Statements as of September 30, 2024 for more information. The Taxable Subsidiaries included in our Condensed Consolidated Financial Statements are taxable subsidiaries, regardless of whether we are taxed as a RIC. These taxable subsidiaries are not consolidated for income tax purposes and may generate income tax expenses as a result of their ownership of the portfolio companies. Such income tax expenses and deferred taxes, if any, will be reflected in our condensed consolidated financial statements.</w:t>
      </w:r>
    </w:p>
    <w:p>
      <w:pPr>
        <w:spacing w:after="0" w:line="15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216"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Accounting Estimates and Policies</w:t>
      </w:r>
    </w:p>
    <w:p>
      <w:pPr>
        <w:spacing w:after="0" w:line="196" w:lineRule="exact"/>
        <w:rPr>
          <w:sz w:val="20"/>
          <w:szCs w:val="20"/>
          <w:color w:val="auto"/>
        </w:rPr>
      </w:pPr>
    </w:p>
    <w:p>
      <w:pPr>
        <w:jc w:val="both"/>
        <w:ind w:firstLine="273"/>
        <w:spacing w:after="0" w:line="260" w:lineRule="auto"/>
        <w:rPr>
          <w:sz w:val="20"/>
          <w:szCs w:val="20"/>
          <w:color w:val="auto"/>
        </w:rPr>
      </w:pPr>
      <w:r>
        <w:rPr>
          <w:rFonts w:ascii="Times New Roman" w:cs="Times New Roman" w:eastAsia="Times New Roman" w:hAnsi="Times New Roman"/>
          <w:sz w:val="15"/>
          <w:szCs w:val="15"/>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 condensed 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See “Note 2—Significant Accounting Policies” to our Condensed Consolidated Financial Statements as of September 30, 2024 for further detail regarding our critical accounting policies and recently issued or adopted accounting pronouncements.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Related-Party Transactions</w:t>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See “Note 3—Related-Party Arrangements” to our Condensed Consolidated Financial Statements as of September 30, 2024 for more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3. Quantitative and Qualitative Disclosures about Market Risk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Market Risk</w:t>
      </w:r>
    </w:p>
    <w:p>
      <w:pPr>
        <w:spacing w:after="0" w:line="196" w:lineRule="exact"/>
        <w:rPr>
          <w:sz w:val="20"/>
          <w:szCs w:val="20"/>
          <w:color w:val="auto"/>
        </w:rPr>
      </w:pPr>
    </w:p>
    <w:p>
      <w:pPr>
        <w:jc w:val="both"/>
        <w:ind w:firstLine="273"/>
        <w:spacing w:after="0" w:line="265" w:lineRule="auto"/>
        <w:rPr>
          <w:sz w:val="20"/>
          <w:szCs w:val="20"/>
          <w:color w:val="auto"/>
        </w:rPr>
      </w:pPr>
      <w:r>
        <w:rPr>
          <w:rFonts w:ascii="Times New Roman" w:cs="Times New Roman" w:eastAsia="Times New Roman" w:hAnsi="Times New Roman"/>
          <w:sz w:val="15"/>
          <w:szCs w:val="15"/>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Valuation Risk</w:t>
      </w:r>
    </w:p>
    <w:p>
      <w:pPr>
        <w:spacing w:after="0" w:line="196"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Our investments may not have a readily available market quotation, as such term is defined in Rule 2a-5 under the 1940 Act,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 In addition, if we were required to liquidate a portfolio investment in a forced or liquidation sale, we may realize amounts that are different from the amounts presented and such differences could be material.</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Interest Rate Risk</w:t>
      </w:r>
    </w:p>
    <w:p>
      <w:pPr>
        <w:spacing w:after="0" w:line="196" w:lineRule="exact"/>
        <w:rPr>
          <w:sz w:val="20"/>
          <w:szCs w:val="20"/>
          <w:color w:val="auto"/>
        </w:rPr>
      </w:pPr>
    </w:p>
    <w:p>
      <w:pPr>
        <w:jc w:val="both"/>
        <w:ind w:right="20" w:firstLine="273"/>
        <w:spacing w:after="0" w:line="265" w:lineRule="auto"/>
        <w:rPr>
          <w:sz w:val="20"/>
          <w:szCs w:val="20"/>
          <w:color w:val="auto"/>
        </w:rPr>
      </w:pPr>
      <w:r>
        <w:rPr>
          <w:rFonts w:ascii="Times New Roman" w:cs="Times New Roman" w:eastAsia="Times New Roman" w:hAnsi="Times New Roman"/>
          <w:sz w:val="15"/>
          <w:szCs w:val="15"/>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adverse effect on the business, financial condition and results of operations of the portfolio companies in which we invest. As of September 30, 2024, all of our debt investments and outstanding borrowings bore fixed rates of interest.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4. Controls and Procedures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Evaluation of Disclosure Controls and Procedures</w:t>
      </w:r>
    </w:p>
    <w:p>
      <w:pPr>
        <w:spacing w:after="0" w:line="196" w:lineRule="exact"/>
        <w:rPr>
          <w:sz w:val="20"/>
          <w:szCs w:val="20"/>
          <w:color w:val="auto"/>
        </w:rPr>
      </w:pPr>
    </w:p>
    <w:p>
      <w:pPr>
        <w:jc w:val="both"/>
        <w:ind w:firstLine="273"/>
        <w:spacing w:after="0" w:line="259" w:lineRule="auto"/>
        <w:rPr>
          <w:sz w:val="20"/>
          <w:szCs w:val="20"/>
          <w:color w:val="auto"/>
        </w:rPr>
      </w:pPr>
      <w:r>
        <w:rPr>
          <w:rFonts w:ascii="Times New Roman" w:cs="Times New Roman" w:eastAsia="Times New Roman" w:hAnsi="Times New Roman"/>
          <w:sz w:val="15"/>
          <w:szCs w:val="15"/>
          <w:color w:val="auto"/>
        </w:rPr>
        <w:t>As of September 30, 2024, our management, including our Chief Executive Officer and Chief Financial Officer, evaluated the effectiveness of the design and operation of our disclosure controls and procedures (as defined in Rules 13a-15(e) and 15d-15(e) under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by the SEC and that such information is accumulated and communicated to our management, including our Chief Executive Officer and Chief Financial Officer, as appropriate, to allow for timely decisions regarding required disclosure.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Changes in Internal Control Over Financial Reporting</w:t>
      </w:r>
    </w:p>
    <w:p>
      <w:pPr>
        <w:spacing w:after="0" w:line="196" w:lineRule="exact"/>
        <w:rPr>
          <w:sz w:val="20"/>
          <w:szCs w:val="20"/>
          <w:color w:val="auto"/>
        </w:rPr>
      </w:pPr>
    </w:p>
    <w:p>
      <w:pPr>
        <w:jc w:val="both"/>
        <w:ind w:firstLine="273"/>
        <w:spacing w:after="0" w:line="288" w:lineRule="auto"/>
        <w:rPr>
          <w:sz w:val="20"/>
          <w:szCs w:val="20"/>
          <w:color w:val="auto"/>
        </w:rPr>
      </w:pPr>
      <w:r>
        <w:rPr>
          <w:rFonts w:ascii="Times New Roman" w:cs="Times New Roman" w:eastAsia="Times New Roman" w:hAnsi="Times New Roman"/>
          <w:sz w:val="15"/>
          <w:szCs w:val="15"/>
          <w:color w:val="auto"/>
        </w:rPr>
        <w:t>There have been no changes in our internal control over financial reporting (as defined in Rules 13a-15(f) and 15d-15(f) under the Exchange Act) that occurred during the quarter ended September 30, 2024 that have materially affected, or are reasonably likely to materially affect, our internal control over financial reporting.</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216" w:right="319" w:bottom="1440" w:gutter="0" w:footer="0" w:header="0"/>
        </w:sectPr>
      </w:pPr>
    </w:p>
    <w:bookmarkStart w:id="64" w:name="page65"/>
    <w:bookmarkEnd w:id="64"/>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PART II</w:t>
      </w:r>
    </w:p>
    <w:p>
      <w:pPr>
        <w:spacing w:after="0" w:line="2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Item 1. Legal Proceedings</w:t>
      </w:r>
    </w:p>
    <w:p>
      <w:pPr>
        <w:spacing w:after="0" w:line="177" w:lineRule="exact"/>
        <w:rPr>
          <w:sz w:val="20"/>
          <w:szCs w:val="20"/>
          <w:color w:val="auto"/>
        </w:rPr>
      </w:pPr>
    </w:p>
    <w:p>
      <w:pPr>
        <w:jc w:val="both"/>
        <w:ind w:left="9" w:firstLine="273"/>
        <w:spacing w:after="0" w:line="262" w:lineRule="auto"/>
        <w:rPr>
          <w:sz w:val="20"/>
          <w:szCs w:val="20"/>
          <w:color w:val="auto"/>
        </w:rPr>
      </w:pPr>
      <w:r>
        <w:rPr>
          <w:rFonts w:ascii="Times New Roman" w:cs="Times New Roman" w:eastAsia="Times New Roman" w:hAnsi="Times New Roman"/>
          <w:sz w:val="15"/>
          <w:szCs w:val="15"/>
          <w:color w:val="auto"/>
        </w:rPr>
        <w:t>We are not currently subject to any material legal proceedings, nor, to our knowledge, are any material legal proceedings threatened against us. From time to time, we may be a party to certain legal proceedings in the ordinary course of business, including proceedings relating to the enforcement of our rights under contracts with our portfolio companies. Furthermore, third parties may seek to impose liability on us in connection with the activities of our portfolio companies. Our business is also subject to extensive regulation, which may result in regulatory proceedings against us. While the outcome of any future legal or regulatory proceedings cannot be predicted with certainty, we do not expect that any such future proceedings will have a material effect upon our financial condition or results of operations.</w:t>
      </w:r>
    </w:p>
    <w:p>
      <w:pPr>
        <w:spacing w:after="0" w:line="14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Item 1A. Risk Factors</w:t>
      </w:r>
    </w:p>
    <w:p>
      <w:pPr>
        <w:spacing w:after="0" w:line="196" w:lineRule="exact"/>
        <w:rPr>
          <w:sz w:val="20"/>
          <w:szCs w:val="20"/>
          <w:color w:val="auto"/>
        </w:rPr>
      </w:pPr>
    </w:p>
    <w:p>
      <w:pPr>
        <w:jc w:val="both"/>
        <w:ind w:left="9" w:firstLine="273"/>
        <w:spacing w:after="0" w:line="260" w:lineRule="auto"/>
        <w:rPr>
          <w:sz w:val="20"/>
          <w:szCs w:val="20"/>
          <w:color w:val="auto"/>
        </w:rPr>
      </w:pPr>
      <w:r>
        <w:rPr>
          <w:rFonts w:ascii="Times New Roman" w:cs="Times New Roman" w:eastAsia="Times New Roman" w:hAnsi="Times New Roman"/>
          <w:sz w:val="15"/>
          <w:szCs w:val="15"/>
          <w:color w:val="auto"/>
        </w:rPr>
        <w:t>Investing in our securities involves a number of significant risks. In addition to the other information contained in this report, you should carefully consider the factors discussed in our annual report on Form 10-K for the fiscal year ended December 31, 2023, filed with the SEC on March 14, 2024, which could materially affect our business, financial condition and/or operating results. Although the risks described in our annual report on Form 10-K for the fiscal year ended December 31, 2023 represent the principal risks associated with an investment in us, they are not the only risks we face. Additional risks and uncertainties not currently known to us, or that we currently deem to be immaterial, might materially and adversely affect our business, financial condition and/or operating results. Other than as stated below, there have been no material changes to the risk factors discussed in “Item 1A. Risk Factors” of Part I of our annual report on Form 10-K for the fiscal year ended December 31, 2023.</w:t>
      </w:r>
    </w:p>
    <w:p>
      <w:pPr>
        <w:spacing w:after="0" w:line="15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Item 2. Unregistered Sales of Equity Securities and Use of Proceeds</w:t>
      </w:r>
    </w:p>
    <w:p>
      <w:pPr>
        <w:spacing w:after="0" w:line="19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Sales of Unregistered Equity Securities</w:t>
      </w:r>
    </w:p>
    <w:p>
      <w:pPr>
        <w:spacing w:after="0" w:line="196"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We did not sell any equity securities during the period covered in this report that were not registered under the Securities Act of 1933, as amended.</w:t>
      </w:r>
    </w:p>
    <w:p>
      <w:pPr>
        <w:spacing w:after="0" w:line="19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Issuer Purchases of Equity Securities</w:t>
      </w:r>
      <w:r>
        <w:rPr>
          <w:rFonts w:ascii="Times New Roman" w:cs="Times New Roman" w:eastAsia="Times New Roman" w:hAnsi="Times New Roman"/>
          <w:sz w:val="25"/>
          <w:szCs w:val="25"/>
          <w:b w:val="1"/>
          <w:bCs w:val="1"/>
          <w:color w:val="auto"/>
          <w:vertAlign w:val="superscript"/>
        </w:rPr>
        <w:t>(1)</w:t>
      </w:r>
    </w:p>
    <w:p>
      <w:pPr>
        <w:spacing w:after="0" w:line="100"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5"/>
          <w:szCs w:val="15"/>
          <w:color w:val="auto"/>
        </w:rPr>
        <w:t>Information relating to our purchases of our common stock during the nine months ended September 30, 2024 is as follows:</w:t>
      </w:r>
    </w:p>
    <w:p>
      <w:pPr>
        <w:spacing w:after="0" w:line="188" w:lineRule="exact"/>
        <w:rPr>
          <w:sz w:val="20"/>
          <w:szCs w:val="20"/>
          <w:color w:val="auto"/>
        </w:rPr>
      </w:pPr>
    </w:p>
    <w:tbl>
      <w:tblPr>
        <w:tblLayout w:type="fixed"/>
        <w:tblInd w:w="9" w:type="dxa"/>
        <w:tblCellMar>
          <w:top w:w="0" w:type="dxa"/>
          <w:left w:w="0" w:type="dxa"/>
          <w:bottom w:w="0" w:type="dxa"/>
          <w:right w:w="0" w:type="dxa"/>
        </w:tblCellMar>
      </w:tblPr>
      <w:tr>
        <w:trPr>
          <w:trHeight w:val="182"/>
        </w:trPr>
        <w:tc>
          <w:tcPr>
            <w:tcW w:w="3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Approximate</w:t>
            </w:r>
          </w:p>
        </w:tc>
        <w:tc>
          <w:tcPr>
            <w:tcW w:w="0" w:type="dxa"/>
            <w:vAlign w:val="bottom"/>
          </w:tcPr>
          <w:p>
            <w:pPr>
              <w:spacing w:after="0"/>
              <w:rPr>
                <w:sz w:val="1"/>
                <w:szCs w:val="1"/>
                <w:color w:val="auto"/>
              </w:rPr>
            </w:pPr>
          </w:p>
        </w:tc>
      </w:tr>
      <w:tr>
        <w:trPr>
          <w:trHeight w:val="182"/>
        </w:trPr>
        <w:tc>
          <w:tcPr>
            <w:tcW w:w="3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Total Number</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Dollar Value of</w:t>
            </w:r>
          </w:p>
        </w:tc>
        <w:tc>
          <w:tcPr>
            <w:tcW w:w="0" w:type="dxa"/>
            <w:vAlign w:val="bottom"/>
          </w:tcPr>
          <w:p>
            <w:pPr>
              <w:spacing w:after="0"/>
              <w:rPr>
                <w:sz w:val="1"/>
                <w:szCs w:val="1"/>
                <w:color w:val="auto"/>
              </w:rPr>
            </w:pPr>
          </w:p>
        </w:tc>
      </w:tr>
      <w:tr>
        <w:trPr>
          <w:trHeight w:val="182"/>
        </w:trPr>
        <w:tc>
          <w:tcPr>
            <w:tcW w:w="3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of Shares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Shares that May</w:t>
            </w:r>
          </w:p>
        </w:tc>
        <w:tc>
          <w:tcPr>
            <w:tcW w:w="0" w:type="dxa"/>
            <w:vAlign w:val="bottom"/>
          </w:tcPr>
          <w:p>
            <w:pPr>
              <w:spacing w:after="0"/>
              <w:rPr>
                <w:sz w:val="1"/>
                <w:szCs w:val="1"/>
                <w:color w:val="auto"/>
              </w:rPr>
            </w:pPr>
          </w:p>
        </w:tc>
      </w:tr>
      <w:tr>
        <w:trPr>
          <w:trHeight w:val="155"/>
        </w:trPr>
        <w:tc>
          <w:tcPr>
            <w:tcW w:w="3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gridSpan w:val="2"/>
          </w:tcPr>
          <w:p>
            <w:pPr>
              <w:jc w:val="center"/>
              <w:ind w:right="180"/>
              <w:spacing w:after="0" w:line="156" w:lineRule="exact"/>
              <w:rPr>
                <w:sz w:val="20"/>
                <w:szCs w:val="20"/>
                <w:color w:val="auto"/>
              </w:rPr>
            </w:pPr>
            <w:r>
              <w:rPr>
                <w:rFonts w:ascii="Times New Roman" w:cs="Times New Roman" w:eastAsia="Times New Roman" w:hAnsi="Times New Roman"/>
                <w:sz w:val="15"/>
                <w:szCs w:val="15"/>
                <w:b w:val="1"/>
                <w:bCs w:val="1"/>
                <w:color w:val="auto"/>
                <w:w w:val="99"/>
              </w:rPr>
              <w:t>Purchased as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2"/>
          </w:tcPr>
          <w:p>
            <w:pPr>
              <w:jc w:val="center"/>
              <w:ind w:right="300"/>
              <w:spacing w:after="0" w:line="156" w:lineRule="exact"/>
              <w:rPr>
                <w:sz w:val="20"/>
                <w:szCs w:val="20"/>
                <w:color w:val="auto"/>
              </w:rPr>
            </w:pPr>
            <w:r>
              <w:rPr>
                <w:rFonts w:ascii="Times New Roman" w:cs="Times New Roman" w:eastAsia="Times New Roman" w:hAnsi="Times New Roman"/>
                <w:sz w:val="15"/>
                <w:szCs w:val="15"/>
                <w:b w:val="1"/>
                <w:bCs w:val="1"/>
                <w:color w:val="auto"/>
                <w:w w:val="99"/>
              </w:rPr>
              <w:t>Yet Be Purchased</w:t>
            </w:r>
          </w:p>
        </w:tc>
        <w:tc>
          <w:tcPr>
            <w:tcW w:w="0" w:type="dxa"/>
            <w:vAlign w:val="bottom"/>
          </w:tcPr>
          <w:p>
            <w:pPr>
              <w:spacing w:after="0"/>
              <w:rPr>
                <w:sz w:val="1"/>
                <w:szCs w:val="1"/>
                <w:color w:val="auto"/>
              </w:rPr>
            </w:pPr>
          </w:p>
        </w:tc>
      </w:tr>
      <w:tr>
        <w:trPr>
          <w:trHeight w:val="182"/>
        </w:trPr>
        <w:tc>
          <w:tcPr>
            <w:tcW w:w="3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gridSpan w:val="2"/>
          </w:tcPr>
          <w:p>
            <w:pPr>
              <w:jc w:val="center"/>
              <w:ind w:right="640"/>
              <w:spacing w:after="0"/>
              <w:rPr>
                <w:sz w:val="20"/>
                <w:szCs w:val="20"/>
                <w:color w:val="auto"/>
              </w:rPr>
            </w:pPr>
            <w:r>
              <w:rPr>
                <w:rFonts w:ascii="Times New Roman" w:cs="Times New Roman" w:eastAsia="Times New Roman" w:hAnsi="Times New Roman"/>
                <w:sz w:val="15"/>
                <w:szCs w:val="15"/>
                <w:b w:val="1"/>
                <w:bCs w:val="1"/>
                <w:color w:val="auto"/>
                <w:w w:val="97"/>
              </w:rPr>
              <w:t>Average</w:t>
            </w:r>
          </w:p>
        </w:tc>
        <w:tc>
          <w:tcPr>
            <w:tcW w:w="18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Part of Publicly</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Under the Share</w:t>
            </w:r>
          </w:p>
        </w:tc>
        <w:tc>
          <w:tcPr>
            <w:tcW w:w="0" w:type="dxa"/>
            <w:vAlign w:val="bottom"/>
          </w:tcPr>
          <w:p>
            <w:pPr>
              <w:spacing w:after="0"/>
              <w:rPr>
                <w:sz w:val="1"/>
                <w:szCs w:val="1"/>
                <w:color w:val="auto"/>
              </w:rPr>
            </w:pPr>
          </w:p>
        </w:tc>
      </w:tr>
      <w:tr>
        <w:trPr>
          <w:trHeight w:val="182"/>
        </w:trPr>
        <w:tc>
          <w:tcPr>
            <w:tcW w:w="3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gridSpan w:val="2"/>
          </w:tcPr>
          <w:p>
            <w:pPr>
              <w:jc w:val="center"/>
              <w:ind w:right="640"/>
              <w:spacing w:after="0"/>
              <w:rPr>
                <w:sz w:val="20"/>
                <w:szCs w:val="20"/>
                <w:color w:val="auto"/>
              </w:rPr>
            </w:pPr>
            <w:r>
              <w:rPr>
                <w:rFonts w:ascii="Times New Roman" w:cs="Times New Roman" w:eastAsia="Times New Roman" w:hAnsi="Times New Roman"/>
                <w:sz w:val="15"/>
                <w:szCs w:val="15"/>
                <w:b w:val="1"/>
                <w:bCs w:val="1"/>
                <w:color w:val="auto"/>
              </w:rPr>
              <w:t>Price Paid</w:t>
            </w:r>
          </w:p>
        </w:tc>
        <w:tc>
          <w:tcPr>
            <w:tcW w:w="18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Announced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Repurchase</w:t>
            </w:r>
          </w:p>
        </w:tc>
        <w:tc>
          <w:tcPr>
            <w:tcW w:w="0" w:type="dxa"/>
            <w:vAlign w:val="bottom"/>
          </w:tcPr>
          <w:p>
            <w:pPr>
              <w:spacing w:after="0"/>
              <w:rPr>
                <w:sz w:val="1"/>
                <w:szCs w:val="1"/>
                <w:color w:val="auto"/>
              </w:rPr>
            </w:pPr>
          </w:p>
        </w:tc>
      </w:tr>
      <w:tr>
        <w:trPr>
          <w:trHeight w:val="228"/>
        </w:trPr>
        <w:tc>
          <w:tcPr>
            <w:tcW w:w="33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1860" w:type="dxa"/>
            <w:vAlign w:val="bottom"/>
            <w:gridSpan w:val="2"/>
          </w:tcPr>
          <w:p>
            <w:pPr>
              <w:jc w:val="center"/>
              <w:ind w:right="180"/>
              <w:spacing w:after="0" w:line="228" w:lineRule="exact"/>
              <w:rPr>
                <w:sz w:val="20"/>
                <w:szCs w:val="20"/>
                <w:color w:val="auto"/>
              </w:rPr>
            </w:pPr>
            <w:r>
              <w:rPr>
                <w:rFonts w:ascii="Times New Roman" w:cs="Times New Roman" w:eastAsia="Times New Roman" w:hAnsi="Times New Roman"/>
                <w:sz w:val="15"/>
                <w:szCs w:val="15"/>
                <w:b w:val="1"/>
                <w:bCs w:val="1"/>
                <w:color w:val="auto"/>
                <w:w w:val="96"/>
              </w:rPr>
              <w:t>Purchased</w:t>
            </w:r>
            <w:r>
              <w:rPr>
                <w:rFonts w:ascii="Times New Roman" w:cs="Times New Roman" w:eastAsia="Times New Roman" w:hAnsi="Times New Roman"/>
                <w:sz w:val="25"/>
                <w:szCs w:val="25"/>
                <w:b w:val="1"/>
                <w:bCs w:val="1"/>
                <w:color w:val="auto"/>
                <w:w w:val="96"/>
                <w:vertAlign w:val="superscript"/>
              </w:rPr>
              <w:t>(2)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gridSpan w:val="2"/>
          </w:tcPr>
          <w:p>
            <w:pPr>
              <w:jc w:val="center"/>
              <w:ind w:right="640"/>
              <w:spacing w:after="0"/>
              <w:rPr>
                <w:sz w:val="20"/>
                <w:szCs w:val="20"/>
                <w:color w:val="auto"/>
              </w:rPr>
            </w:pPr>
            <w:r>
              <w:rPr>
                <w:rFonts w:ascii="Times New Roman" w:cs="Times New Roman" w:eastAsia="Times New Roman" w:hAnsi="Times New Roman"/>
                <w:sz w:val="15"/>
                <w:szCs w:val="15"/>
                <w:b w:val="1"/>
                <w:bCs w:val="1"/>
                <w:color w:val="auto"/>
              </w:rPr>
              <w:t>Per Share</w:t>
            </w:r>
          </w:p>
        </w:tc>
        <w:tc>
          <w:tcPr>
            <w:tcW w:w="18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Plans or Programs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Program</w:t>
            </w:r>
          </w:p>
        </w:tc>
        <w:tc>
          <w:tcPr>
            <w:tcW w:w="0" w:type="dxa"/>
            <w:vAlign w:val="bottom"/>
          </w:tcPr>
          <w:p>
            <w:pPr>
              <w:spacing w:after="0"/>
              <w:rPr>
                <w:sz w:val="1"/>
                <w:szCs w:val="1"/>
                <w:color w:val="auto"/>
              </w:rPr>
            </w:pPr>
          </w:p>
        </w:tc>
      </w:tr>
      <w:tr>
        <w:trPr>
          <w:trHeight w:val="174"/>
        </w:trPr>
        <w:tc>
          <w:tcPr>
            <w:tcW w:w="3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January 1 through January 31, 2024</w:t>
            </w:r>
          </w:p>
        </w:tc>
        <w:tc>
          <w:tcPr>
            <w:tcW w:w="24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20,686,087</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February 1 through February 28, 2024</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20,686,087</w:t>
            </w:r>
          </w:p>
        </w:tc>
        <w:tc>
          <w:tcPr>
            <w:tcW w:w="0" w:type="dxa"/>
            <w:vAlign w:val="bottom"/>
          </w:tcPr>
          <w:p>
            <w:pPr>
              <w:spacing w:after="0"/>
              <w:rPr>
                <w:sz w:val="1"/>
                <w:szCs w:val="1"/>
                <w:color w:val="auto"/>
              </w:rPr>
            </w:pPr>
          </w:p>
        </w:tc>
      </w:tr>
      <w:tr>
        <w:trPr>
          <w:trHeight w:val="182"/>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March 1 through March 31, 2024</w:t>
            </w: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20,686,087</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line="216" w:lineRule="exact"/>
              <w:rPr>
                <w:sz w:val="20"/>
                <w:szCs w:val="20"/>
                <w:color w:val="auto"/>
              </w:rPr>
            </w:pPr>
            <w:r>
              <w:rPr>
                <w:rFonts w:ascii="Times New Roman" w:cs="Times New Roman" w:eastAsia="Times New Roman" w:hAnsi="Times New Roman"/>
                <w:sz w:val="15"/>
                <w:szCs w:val="15"/>
                <w:color w:val="auto"/>
              </w:rPr>
              <w:t>April 1 through April 30, 2024</w:t>
            </w:r>
            <w:r>
              <w:rPr>
                <w:rFonts w:ascii="Times New Roman" w:cs="Times New Roman" w:eastAsia="Times New Roman" w:hAnsi="Times New Roman"/>
                <w:sz w:val="25"/>
                <w:szCs w:val="25"/>
                <w:color w:val="auto"/>
                <w:vertAlign w:val="superscript"/>
              </w:rPr>
              <w:t>(3)</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2,000,000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4.70</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2,000,000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20,686,087</w:t>
            </w:r>
          </w:p>
        </w:tc>
        <w:tc>
          <w:tcPr>
            <w:tcW w:w="0" w:type="dxa"/>
            <w:vAlign w:val="bottom"/>
          </w:tcPr>
          <w:p>
            <w:pPr>
              <w:spacing w:after="0"/>
              <w:rPr>
                <w:sz w:val="1"/>
                <w:szCs w:val="1"/>
                <w:color w:val="auto"/>
              </w:rPr>
            </w:pPr>
          </w:p>
        </w:tc>
      </w:tr>
      <w:tr>
        <w:trPr>
          <w:trHeight w:val="182"/>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May 1 through May 31, 2024</w:t>
            </w: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20,686,087</w:t>
            </w:r>
          </w:p>
        </w:tc>
        <w:tc>
          <w:tcPr>
            <w:tcW w:w="0" w:type="dxa"/>
            <w:vAlign w:val="bottom"/>
          </w:tcPr>
          <w:p>
            <w:pPr>
              <w:spacing w:after="0"/>
              <w:rPr>
                <w:sz w:val="1"/>
                <w:szCs w:val="1"/>
                <w:color w:val="auto"/>
              </w:rPr>
            </w:pPr>
          </w:p>
        </w:tc>
      </w:tr>
      <w:tr>
        <w:trPr>
          <w:trHeight w:val="182"/>
        </w:trPr>
        <w:tc>
          <w:tcPr>
            <w:tcW w:w="3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June 1 through June 30, 2024</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20,686,087</w:t>
            </w:r>
          </w:p>
        </w:tc>
        <w:tc>
          <w:tcPr>
            <w:tcW w:w="0" w:type="dxa"/>
            <w:vAlign w:val="bottom"/>
          </w:tcPr>
          <w:p>
            <w:pPr>
              <w:spacing w:after="0"/>
              <w:rPr>
                <w:sz w:val="1"/>
                <w:szCs w:val="1"/>
                <w:color w:val="auto"/>
              </w:rPr>
            </w:pPr>
          </w:p>
        </w:tc>
      </w:tr>
      <w:tr>
        <w:trPr>
          <w:trHeight w:val="182"/>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July 1 through July 31, 2024</w:t>
            </w: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20,686,087</w:t>
            </w:r>
          </w:p>
        </w:tc>
        <w:tc>
          <w:tcPr>
            <w:tcW w:w="0" w:type="dxa"/>
            <w:vAlign w:val="bottom"/>
          </w:tcPr>
          <w:p>
            <w:pPr>
              <w:spacing w:after="0"/>
              <w:rPr>
                <w:sz w:val="1"/>
                <w:szCs w:val="1"/>
                <w:color w:val="auto"/>
              </w:rPr>
            </w:pPr>
          </w:p>
        </w:tc>
      </w:tr>
      <w:tr>
        <w:trPr>
          <w:trHeight w:val="182"/>
        </w:trPr>
        <w:tc>
          <w:tcPr>
            <w:tcW w:w="33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August 1 through August 31, 2024</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12,000</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3.84</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20,686,087</w:t>
            </w:r>
          </w:p>
        </w:tc>
        <w:tc>
          <w:tcPr>
            <w:tcW w:w="0" w:type="dxa"/>
            <w:vAlign w:val="bottom"/>
          </w:tcPr>
          <w:p>
            <w:pPr>
              <w:spacing w:after="0"/>
              <w:rPr>
                <w:sz w:val="1"/>
                <w:szCs w:val="1"/>
                <w:color w:val="auto"/>
              </w:rPr>
            </w:pPr>
          </w:p>
        </w:tc>
      </w:tr>
      <w:tr>
        <w:trPr>
          <w:trHeight w:val="194"/>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September 1 through September 30, 2024</w:t>
            </w: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20,686,087</w:t>
            </w:r>
          </w:p>
        </w:tc>
        <w:tc>
          <w:tcPr>
            <w:tcW w:w="0" w:type="dxa"/>
            <w:vAlign w:val="bottom"/>
          </w:tcPr>
          <w:p>
            <w:pPr>
              <w:spacing w:after="0"/>
              <w:rPr>
                <w:sz w:val="1"/>
                <w:szCs w:val="1"/>
                <w:color w:val="auto"/>
              </w:rPr>
            </w:pPr>
          </w:p>
        </w:tc>
      </w:tr>
      <w:tr>
        <w:trPr>
          <w:trHeight w:val="185"/>
        </w:trPr>
        <w:tc>
          <w:tcPr>
            <w:tcW w:w="33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2,012,000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2,000,000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78689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86890" cy="6985"/>
                    </a:xfrm>
                    <a:prstGeom prst="rect">
                      <a:avLst/>
                    </a:prstGeom>
                    <a:noFill/>
                  </pic:spPr>
                </pic:pic>
              </a:graphicData>
            </a:graphic>
          </wp:anchor>
        </w:drawing>
      </w:r>
    </w:p>
    <w:p>
      <w:pPr>
        <w:spacing w:after="0" w:line="170" w:lineRule="exact"/>
        <w:rPr>
          <w:sz w:val="20"/>
          <w:szCs w:val="20"/>
          <w:color w:val="auto"/>
        </w:rPr>
      </w:pPr>
    </w:p>
    <w:p>
      <w:pPr>
        <w:jc w:val="both"/>
        <w:ind w:left="269" w:hanging="269"/>
        <w:spacing w:after="0" w:line="257" w:lineRule="auto"/>
        <w:tabs>
          <w:tab w:leader="none" w:pos="269"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August 7, 2023, our Board of Directors approved an extension of the Share Repurchase Program until the earlier of (i) October 31, 2024 or (ii) the repurchase of $60.0 million in aggregate amount of our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us to acquire any specific number of shares of our common stock. During the three and nine months ended September 30, 2024, we did not repurchase shares of common stock under the Share Repurchase Program. As of September 30, 2024, the dollar value of shares that remained available to be purchased under the Share Repurchase Program was approximately $20.7 million. For more information on the Share Repurchase Program, see “Note 5 — Common Stock” to our Condensed Consolidated Financial Statements as of September 30, 2024.</w:t>
      </w:r>
    </w:p>
    <w:p>
      <w:pPr>
        <w:ind w:left="269" w:hanging="269"/>
        <w:spacing w:after="0"/>
        <w:tabs>
          <w:tab w:leader="none" w:pos="269"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purchases of our common stock made on the open market by or on behalf of any “affiliated purchaser,” as defined in Exchange Act Rule 10b-18(a)(3), of the Company.</w:t>
      </w:r>
    </w:p>
    <w:p>
      <w:pPr>
        <w:spacing w:after="0" w:line="9" w:lineRule="exact"/>
        <w:rPr>
          <w:rFonts w:ascii="Times New Roman" w:cs="Times New Roman" w:eastAsia="Times New Roman" w:hAnsi="Times New Roman"/>
          <w:sz w:val="15"/>
          <w:szCs w:val="15"/>
          <w:color w:val="auto"/>
        </w:rPr>
      </w:pPr>
    </w:p>
    <w:p>
      <w:pPr>
        <w:jc w:val="both"/>
        <w:ind w:left="269" w:hanging="269"/>
        <w:spacing w:after="0" w:line="260" w:lineRule="auto"/>
        <w:tabs>
          <w:tab w:leader="none" w:pos="269"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April 5, 2024, we repurchased 2,000,000 shares of our common stock pursuant to the Modified Dutch Auction Tender Offer. See “Item 2. Management’s Discussion and Analysis of Financial Condition and Results of Operations—Liquidity and Capital Resources—Modified Dutch Auction Tender Offer” in Part I of this quarterly report on Form 10-Q for more information.</w:t>
      </w:r>
    </w:p>
    <w:p>
      <w:pPr>
        <w:spacing w:after="0" w:line="15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5391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577"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5"/>
          <w:szCs w:val="15"/>
          <w:b w:val="1"/>
          <w:bCs w:val="1"/>
          <w:color w:val="auto"/>
        </w:rPr>
        <w:t>Item 3. Defaults Upon Senior Securities</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None.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4. Mine Safety Disclosures</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Not applicable.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5. Other Information</w:t>
      </w:r>
    </w:p>
    <w:p>
      <w:pPr>
        <w:spacing w:after="0" w:line="196" w:lineRule="exact"/>
        <w:rPr>
          <w:sz w:val="20"/>
          <w:szCs w:val="20"/>
          <w:color w:val="auto"/>
        </w:rPr>
      </w:pPr>
    </w:p>
    <w:p>
      <w:pPr>
        <w:ind w:left="500" w:hanging="201"/>
        <w:spacing w:after="0"/>
        <w:tabs>
          <w:tab w:leader="none" w:pos="50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w:t>
      </w:r>
    </w:p>
    <w:p>
      <w:pPr>
        <w:spacing w:after="0" w:line="192" w:lineRule="exact"/>
        <w:rPr>
          <w:rFonts w:ascii="Times New Roman" w:cs="Times New Roman" w:eastAsia="Times New Roman" w:hAnsi="Times New Roman"/>
          <w:sz w:val="15"/>
          <w:szCs w:val="15"/>
          <w:color w:val="auto"/>
        </w:rPr>
      </w:pPr>
    </w:p>
    <w:p>
      <w:pPr>
        <w:ind w:left="520" w:hanging="221"/>
        <w:spacing w:after="0"/>
        <w:tabs>
          <w:tab w:leader="none" w:pos="52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w:t>
      </w:r>
    </w:p>
    <w:p>
      <w:pPr>
        <w:spacing w:after="0" w:line="192" w:lineRule="exact"/>
        <w:rPr>
          <w:rFonts w:ascii="Times New Roman" w:cs="Times New Roman" w:eastAsia="Times New Roman" w:hAnsi="Times New Roman"/>
          <w:sz w:val="15"/>
          <w:szCs w:val="15"/>
          <w:color w:val="auto"/>
        </w:rPr>
      </w:pPr>
    </w:p>
    <w:p>
      <w:pPr>
        <w:jc w:val="both"/>
        <w:ind w:firstLine="299"/>
        <w:spacing w:after="0" w:line="281" w:lineRule="auto"/>
        <w:tabs>
          <w:tab w:leader="none" w:pos="531"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period covered by this Quarterly Report on Form 10-Q, no director or officer of the Company has entered into any (i) contract, instruction or written plan for the purchase or sale of securities of the registrant intended to satisfy the affirmative defense conditions of Rule 10b5-1(c) under the Exchange Act or (ii) any non-Rule 10b5-1 trading arrangement.</w:t>
      </w:r>
    </w:p>
    <w:p>
      <w:pPr>
        <w:spacing w:after="0" w:line="325" w:lineRule="exact"/>
        <w:rPr>
          <w:sz w:val="20"/>
          <w:szCs w:val="20"/>
          <w:color w:val="auto"/>
        </w:rPr>
      </w:pPr>
    </w:p>
    <w:p>
      <w:pPr>
        <w:ind w:firstLine="273"/>
        <w:spacing w:after="0" w:line="288" w:lineRule="auto"/>
        <w:rPr>
          <w:sz w:val="20"/>
          <w:szCs w:val="20"/>
          <w:color w:val="auto"/>
        </w:rPr>
      </w:pPr>
      <w:r>
        <w:rPr>
          <w:rFonts w:ascii="Times New Roman" w:cs="Times New Roman" w:eastAsia="Times New Roman" w:hAnsi="Times New Roman"/>
          <w:sz w:val="15"/>
          <w:szCs w:val="15"/>
          <w:color w:val="auto"/>
        </w:rPr>
        <w:t>The Company has adopted insider trading policies and procedures governing the purchase, sale, and disposition of the Company’s securities by officers and directors of the Company that are reasonably designed to promote compliance with insider trading laws, rules and regulations.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77" w:right="319" w:bottom="1440" w:gutter="0" w:footer="0" w:header="0"/>
        </w:sectPr>
      </w:pPr>
    </w:p>
    <w:bookmarkStart w:id="66" w:name="page67"/>
    <w:bookmarkEnd w:id="66"/>
    <w:p>
      <w:pPr>
        <w:ind w:left="9"/>
        <w:spacing w:after="0"/>
        <w:rPr>
          <w:sz w:val="20"/>
          <w:szCs w:val="20"/>
          <w:color w:val="auto"/>
        </w:rPr>
      </w:pPr>
      <w:r>
        <w:rPr>
          <w:rFonts w:ascii="Times New Roman" w:cs="Times New Roman" w:eastAsia="Times New Roman" w:hAnsi="Times New Roman"/>
          <w:sz w:val="15"/>
          <w:szCs w:val="15"/>
          <w:b w:val="1"/>
          <w:bCs w:val="1"/>
          <w:color w:val="auto"/>
        </w:rPr>
        <w:t>Item 6. Exhibits</w:t>
      </w:r>
    </w:p>
    <w:p>
      <w:pPr>
        <w:spacing w:after="0" w:line="196" w:lineRule="exact"/>
        <w:rPr>
          <w:sz w:val="20"/>
          <w:szCs w:val="20"/>
          <w:color w:val="auto"/>
        </w:rPr>
      </w:pPr>
    </w:p>
    <w:tbl>
      <w:tblPr>
        <w:tblLayout w:type="fixed"/>
        <w:tblInd w:w="9" w:type="dxa"/>
        <w:tblCellMar>
          <w:top w:w="0" w:type="dxa"/>
          <w:left w:w="0" w:type="dxa"/>
          <w:bottom w:w="0" w:type="dxa"/>
          <w:right w:w="0" w:type="dxa"/>
        </w:tblCellMar>
      </w:tblPr>
      <w:tr>
        <w:trPr>
          <w:trHeight w:val="197"/>
        </w:trPr>
        <w:tc>
          <w:tcPr>
            <w:tcW w:w="260" w:type="dxa"/>
            <w:vAlign w:val="bottom"/>
          </w:tcPr>
          <w:p>
            <w:pPr>
              <w:spacing w:after="0"/>
              <w:rPr>
                <w:sz w:val="17"/>
                <w:szCs w:val="17"/>
                <w:color w:val="auto"/>
              </w:rPr>
            </w:pPr>
          </w:p>
        </w:tc>
        <w:tc>
          <w:tcPr>
            <w:tcW w:w="11000" w:type="dxa"/>
            <w:vAlign w:val="bottom"/>
            <w:gridSpan w:val="24"/>
          </w:tcPr>
          <w:p>
            <w:pPr>
              <w:spacing w:after="0"/>
              <w:rPr>
                <w:sz w:val="20"/>
                <w:szCs w:val="20"/>
                <w:color w:val="auto"/>
              </w:rPr>
            </w:pPr>
            <w:r>
              <w:rPr>
                <w:rFonts w:ascii="Times New Roman" w:cs="Times New Roman" w:eastAsia="Times New Roman" w:hAnsi="Times New Roman"/>
                <w:sz w:val="15"/>
                <w:szCs w:val="15"/>
                <w:color w:val="auto"/>
              </w:rPr>
              <w:t>The following exhibits are filed as part of this report or hereby incorporated by reference to exhibits previously filed with the SEC:</w:t>
            </w:r>
          </w:p>
        </w:tc>
        <w:tc>
          <w:tcPr>
            <w:tcW w:w="0" w:type="dxa"/>
            <w:vAlign w:val="bottom"/>
          </w:tcPr>
          <w:p>
            <w:pPr>
              <w:spacing w:after="0"/>
              <w:rPr>
                <w:sz w:val="1"/>
                <w:szCs w:val="1"/>
                <w:color w:val="auto"/>
              </w:rPr>
            </w:pPr>
          </w:p>
        </w:tc>
      </w:tr>
      <w:tr>
        <w:trPr>
          <w:trHeight w:val="307"/>
        </w:trPr>
        <w:tc>
          <w:tcPr>
            <w:tcW w:w="2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3.1</w:t>
            </w:r>
          </w:p>
        </w:tc>
        <w:tc>
          <w:tcPr>
            <w:tcW w:w="300" w:type="dxa"/>
            <w:vAlign w:val="bottom"/>
          </w:tcPr>
          <w:p>
            <w:pPr>
              <w:spacing w:after="0"/>
              <w:rPr>
                <w:sz w:val="24"/>
                <w:szCs w:val="24"/>
                <w:color w:val="auto"/>
              </w:rPr>
            </w:pPr>
          </w:p>
        </w:tc>
        <w:tc>
          <w:tcPr>
            <w:tcW w:w="2480" w:type="dxa"/>
            <w:vAlign w:val="bottom"/>
            <w:gridSpan w:val="8"/>
            <w:vMerge w:val="restart"/>
          </w:tcPr>
          <w:p>
            <w:pPr>
              <w:spacing w:after="0"/>
              <w:rPr>
                <w:rFonts w:ascii="Times New Roman" w:cs="Times New Roman" w:eastAsia="Times New Roman" w:hAnsi="Times New Roman"/>
                <w:sz w:val="15"/>
                <w:szCs w:val="15"/>
                <w:color w:val="0000EE"/>
              </w:rPr>
            </w:pPr>
            <w:hyperlink r:id="rId116">
              <w:r>
                <w:rPr>
                  <w:rFonts w:ascii="Times New Roman" w:cs="Times New Roman" w:eastAsia="Times New Roman" w:hAnsi="Times New Roman"/>
                  <w:sz w:val="15"/>
                  <w:szCs w:val="15"/>
                  <w:color w:val="0000EE"/>
                </w:rPr>
                <w:t>Articles of Amendment and Restatement</w:t>
              </w:r>
            </w:hyperlink>
          </w:p>
        </w:tc>
        <w:tc>
          <w:tcPr>
            <w:tcW w:w="1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3"/>
                <w:szCs w:val="13"/>
                <w:color w:val="0000EE"/>
                <w:w w:val="78"/>
              </w:rPr>
              <w:t>(1)</w:t>
            </w:r>
          </w:p>
        </w:tc>
        <w:tc>
          <w:tcPr>
            <w:tcW w:w="1860" w:type="dxa"/>
            <w:vAlign w:val="bottom"/>
            <w:vMerge w:val="restart"/>
          </w:tcPr>
          <w:p>
            <w:pPr>
              <w:spacing w:after="0"/>
              <w:rPr>
                <w:sz w:val="24"/>
                <w:szCs w:val="24"/>
                <w:color w:val="auto"/>
              </w:rPr>
            </w:pPr>
          </w:p>
        </w:tc>
        <w:tc>
          <w:tcPr>
            <w:tcW w:w="140" w:type="dxa"/>
            <w:vAlign w:val="bottom"/>
            <w:vMerge w:val="restart"/>
          </w:tcPr>
          <w:p>
            <w:pPr>
              <w:spacing w:after="0"/>
              <w:rPr>
                <w:sz w:val="24"/>
                <w:szCs w:val="24"/>
                <w:color w:val="auto"/>
              </w:rPr>
            </w:pPr>
          </w:p>
        </w:tc>
        <w:tc>
          <w:tcPr>
            <w:tcW w:w="148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66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34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2480" w:type="dxa"/>
            <w:vAlign w:val="bottom"/>
            <w:tcBorders>
              <w:bottom w:val="single" w:sz="8" w:color="0000EE"/>
            </w:tcBorders>
            <w:gridSpan w:val="8"/>
            <w:vMerge w:val="continue"/>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3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2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3.2</w:t>
            </w:r>
          </w:p>
        </w:tc>
        <w:tc>
          <w:tcPr>
            <w:tcW w:w="300" w:type="dxa"/>
            <w:vAlign w:val="bottom"/>
          </w:tcPr>
          <w:p>
            <w:pPr>
              <w:spacing w:after="0"/>
              <w:rPr>
                <w:sz w:val="12"/>
                <w:szCs w:val="12"/>
                <w:color w:val="auto"/>
              </w:rPr>
            </w:pPr>
          </w:p>
        </w:tc>
        <w:tc>
          <w:tcPr>
            <w:tcW w:w="1440" w:type="dxa"/>
            <w:vAlign w:val="bottom"/>
            <w:gridSpan w:val="2"/>
            <w:vMerge w:val="restart"/>
          </w:tcPr>
          <w:p>
            <w:pPr>
              <w:spacing w:after="0"/>
              <w:rPr>
                <w:rFonts w:ascii="Times New Roman" w:cs="Times New Roman" w:eastAsia="Times New Roman" w:hAnsi="Times New Roman"/>
                <w:sz w:val="15"/>
                <w:szCs w:val="15"/>
                <w:color w:val="0000EE"/>
              </w:rPr>
            </w:pPr>
            <w:hyperlink r:id="rId117">
              <w:r>
                <w:rPr>
                  <w:rFonts w:ascii="Times New Roman" w:cs="Times New Roman" w:eastAsia="Times New Roman" w:hAnsi="Times New Roman"/>
                  <w:sz w:val="15"/>
                  <w:szCs w:val="15"/>
                  <w:color w:val="0000EE"/>
                </w:rPr>
                <w:t>Articles of Amendment</w:t>
              </w:r>
            </w:hyperlink>
          </w:p>
        </w:tc>
        <w:tc>
          <w:tcPr>
            <w:tcW w:w="140" w:type="dxa"/>
            <w:vAlign w:val="bottom"/>
            <w:tcBorders>
              <w:bottom w:val="single" w:sz="8" w:color="0000EE"/>
            </w:tcBorders>
            <w:gridSpan w:val="3"/>
          </w:tcPr>
          <w:p>
            <w:pPr>
              <w:jc w:val="right"/>
              <w:spacing w:after="0" w:line="128" w:lineRule="exact"/>
              <w:rPr>
                <w:rFonts w:ascii="Times New Roman" w:cs="Times New Roman" w:eastAsia="Times New Roman" w:hAnsi="Times New Roman"/>
                <w:sz w:val="13"/>
                <w:szCs w:val="13"/>
                <w:color w:val="0000EE"/>
                <w:w w:val="78"/>
              </w:rPr>
            </w:pPr>
            <w:hyperlink r:id="rId117">
              <w:r>
                <w:rPr>
                  <w:rFonts w:ascii="Times New Roman" w:cs="Times New Roman" w:eastAsia="Times New Roman" w:hAnsi="Times New Roman"/>
                  <w:sz w:val="13"/>
                  <w:szCs w:val="13"/>
                  <w:color w:val="0000EE"/>
                  <w:w w:val="78"/>
                </w:rPr>
                <w:t>(2)</w:t>
              </w:r>
            </w:hyperlink>
          </w:p>
        </w:tc>
        <w:tc>
          <w:tcPr>
            <w:tcW w:w="80" w:type="dxa"/>
            <w:vAlign w:val="bottom"/>
            <w:vMerge w:val="restart"/>
          </w:tcPr>
          <w:p>
            <w:pPr>
              <w:spacing w:after="0"/>
              <w:rPr>
                <w:sz w:val="12"/>
                <w:szCs w:val="12"/>
                <w:color w:val="auto"/>
              </w:rPr>
            </w:pPr>
          </w:p>
        </w:tc>
        <w:tc>
          <w:tcPr>
            <w:tcW w:w="720" w:type="dxa"/>
            <w:vAlign w:val="bottom"/>
            <w:vMerge w:val="restart"/>
          </w:tcPr>
          <w:p>
            <w:pPr>
              <w:spacing w:after="0"/>
              <w:rPr>
                <w:sz w:val="12"/>
                <w:szCs w:val="12"/>
                <w:color w:val="auto"/>
              </w:rPr>
            </w:pPr>
          </w:p>
        </w:tc>
        <w:tc>
          <w:tcPr>
            <w:tcW w:w="160" w:type="dxa"/>
            <w:vAlign w:val="bottom"/>
            <w:gridSpan w:val="2"/>
            <w:vMerge w:val="restart"/>
          </w:tcPr>
          <w:p>
            <w:pPr>
              <w:spacing w:after="0"/>
              <w:rPr>
                <w:sz w:val="12"/>
                <w:szCs w:val="12"/>
                <w:color w:val="auto"/>
              </w:rPr>
            </w:pPr>
          </w:p>
        </w:tc>
        <w:tc>
          <w:tcPr>
            <w:tcW w:w="1940" w:type="dxa"/>
            <w:vAlign w:val="bottom"/>
            <w:gridSpan w:val="2"/>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148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6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34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2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1440" w:type="dxa"/>
            <w:vAlign w:val="bottom"/>
            <w:tcBorders>
              <w:bottom w:val="single" w:sz="8" w:color="0000EE"/>
            </w:tcBorders>
            <w:gridSpan w:val="2"/>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194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3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2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3.3</w:t>
            </w:r>
          </w:p>
        </w:tc>
        <w:tc>
          <w:tcPr>
            <w:tcW w:w="300" w:type="dxa"/>
            <w:vAlign w:val="bottom"/>
          </w:tcPr>
          <w:p>
            <w:pPr>
              <w:spacing w:after="0"/>
              <w:rPr>
                <w:sz w:val="12"/>
                <w:szCs w:val="12"/>
                <w:color w:val="auto"/>
              </w:rPr>
            </w:pPr>
          </w:p>
        </w:tc>
        <w:tc>
          <w:tcPr>
            <w:tcW w:w="1440" w:type="dxa"/>
            <w:vAlign w:val="bottom"/>
            <w:gridSpan w:val="2"/>
            <w:vMerge w:val="restart"/>
          </w:tcPr>
          <w:p>
            <w:pPr>
              <w:spacing w:after="0"/>
              <w:rPr>
                <w:rFonts w:ascii="Times New Roman" w:cs="Times New Roman" w:eastAsia="Times New Roman" w:hAnsi="Times New Roman"/>
                <w:sz w:val="15"/>
                <w:szCs w:val="15"/>
                <w:color w:val="0000EE"/>
              </w:rPr>
            </w:pPr>
            <w:hyperlink r:id="rId118">
              <w:r>
                <w:rPr>
                  <w:rFonts w:ascii="Times New Roman" w:cs="Times New Roman" w:eastAsia="Times New Roman" w:hAnsi="Times New Roman"/>
                  <w:sz w:val="15"/>
                  <w:szCs w:val="15"/>
                  <w:color w:val="0000EE"/>
                </w:rPr>
                <w:t>Articles of Amendment</w:t>
              </w:r>
            </w:hyperlink>
          </w:p>
        </w:tc>
        <w:tc>
          <w:tcPr>
            <w:tcW w:w="140" w:type="dxa"/>
            <w:vAlign w:val="bottom"/>
            <w:tcBorders>
              <w:bottom w:val="single" w:sz="8" w:color="0000EE"/>
            </w:tcBorders>
            <w:gridSpan w:val="3"/>
          </w:tcPr>
          <w:p>
            <w:pPr>
              <w:jc w:val="right"/>
              <w:spacing w:after="0" w:line="128" w:lineRule="exact"/>
              <w:rPr>
                <w:rFonts w:ascii="Times New Roman" w:cs="Times New Roman" w:eastAsia="Times New Roman" w:hAnsi="Times New Roman"/>
                <w:sz w:val="13"/>
                <w:szCs w:val="13"/>
                <w:color w:val="0000EE"/>
                <w:w w:val="78"/>
              </w:rPr>
            </w:pPr>
            <w:hyperlink r:id="rId118">
              <w:r>
                <w:rPr>
                  <w:rFonts w:ascii="Times New Roman" w:cs="Times New Roman" w:eastAsia="Times New Roman" w:hAnsi="Times New Roman"/>
                  <w:sz w:val="13"/>
                  <w:szCs w:val="13"/>
                  <w:color w:val="0000EE"/>
                  <w:w w:val="78"/>
                </w:rPr>
                <w:t>(3)</w:t>
              </w:r>
            </w:hyperlink>
          </w:p>
        </w:tc>
        <w:tc>
          <w:tcPr>
            <w:tcW w:w="80" w:type="dxa"/>
            <w:vAlign w:val="bottom"/>
            <w:vMerge w:val="restart"/>
          </w:tcPr>
          <w:p>
            <w:pPr>
              <w:spacing w:after="0"/>
              <w:rPr>
                <w:sz w:val="12"/>
                <w:szCs w:val="12"/>
                <w:color w:val="auto"/>
              </w:rPr>
            </w:pPr>
          </w:p>
        </w:tc>
        <w:tc>
          <w:tcPr>
            <w:tcW w:w="720" w:type="dxa"/>
            <w:vAlign w:val="bottom"/>
            <w:vMerge w:val="restart"/>
          </w:tcPr>
          <w:p>
            <w:pPr>
              <w:spacing w:after="0"/>
              <w:rPr>
                <w:sz w:val="12"/>
                <w:szCs w:val="12"/>
                <w:color w:val="auto"/>
              </w:rPr>
            </w:pPr>
          </w:p>
        </w:tc>
        <w:tc>
          <w:tcPr>
            <w:tcW w:w="160" w:type="dxa"/>
            <w:vAlign w:val="bottom"/>
            <w:gridSpan w:val="2"/>
            <w:vMerge w:val="restart"/>
          </w:tcPr>
          <w:p>
            <w:pPr>
              <w:spacing w:after="0"/>
              <w:rPr>
                <w:sz w:val="12"/>
                <w:szCs w:val="12"/>
                <w:color w:val="auto"/>
              </w:rPr>
            </w:pPr>
          </w:p>
        </w:tc>
        <w:tc>
          <w:tcPr>
            <w:tcW w:w="1940" w:type="dxa"/>
            <w:vAlign w:val="bottom"/>
            <w:gridSpan w:val="2"/>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148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6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34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2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1440" w:type="dxa"/>
            <w:vAlign w:val="bottom"/>
            <w:tcBorders>
              <w:bottom w:val="single" w:sz="8" w:color="0000EE"/>
            </w:tcBorders>
            <w:gridSpan w:val="2"/>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194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3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2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3.4</w:t>
            </w:r>
          </w:p>
        </w:tc>
        <w:tc>
          <w:tcPr>
            <w:tcW w:w="300" w:type="dxa"/>
            <w:vAlign w:val="bottom"/>
          </w:tcPr>
          <w:p>
            <w:pPr>
              <w:spacing w:after="0"/>
              <w:rPr>
                <w:sz w:val="12"/>
                <w:szCs w:val="12"/>
                <w:color w:val="auto"/>
              </w:rPr>
            </w:pPr>
          </w:p>
        </w:tc>
        <w:tc>
          <w:tcPr>
            <w:tcW w:w="1440" w:type="dxa"/>
            <w:vAlign w:val="bottom"/>
            <w:gridSpan w:val="2"/>
            <w:vMerge w:val="restart"/>
          </w:tcPr>
          <w:p>
            <w:pPr>
              <w:spacing w:after="0"/>
              <w:rPr>
                <w:rFonts w:ascii="Times New Roman" w:cs="Times New Roman" w:eastAsia="Times New Roman" w:hAnsi="Times New Roman"/>
                <w:sz w:val="15"/>
                <w:szCs w:val="15"/>
                <w:color w:val="0000EE"/>
              </w:rPr>
            </w:pPr>
            <w:hyperlink r:id="rId119">
              <w:r>
                <w:rPr>
                  <w:rFonts w:ascii="Times New Roman" w:cs="Times New Roman" w:eastAsia="Times New Roman" w:hAnsi="Times New Roman"/>
                  <w:sz w:val="15"/>
                  <w:szCs w:val="15"/>
                  <w:color w:val="0000EE"/>
                </w:rPr>
                <w:t>Articles of Amendment</w:t>
              </w:r>
            </w:hyperlink>
          </w:p>
        </w:tc>
        <w:tc>
          <w:tcPr>
            <w:tcW w:w="140" w:type="dxa"/>
            <w:vAlign w:val="bottom"/>
            <w:tcBorders>
              <w:bottom w:val="single" w:sz="8" w:color="0000EE"/>
            </w:tcBorders>
            <w:gridSpan w:val="3"/>
          </w:tcPr>
          <w:p>
            <w:pPr>
              <w:jc w:val="right"/>
              <w:spacing w:after="0" w:line="128" w:lineRule="exact"/>
              <w:rPr>
                <w:rFonts w:ascii="Times New Roman" w:cs="Times New Roman" w:eastAsia="Times New Roman" w:hAnsi="Times New Roman"/>
                <w:sz w:val="13"/>
                <w:szCs w:val="13"/>
                <w:color w:val="0000EE"/>
                <w:w w:val="78"/>
              </w:rPr>
            </w:pPr>
            <w:hyperlink r:id="rId119">
              <w:r>
                <w:rPr>
                  <w:rFonts w:ascii="Times New Roman" w:cs="Times New Roman" w:eastAsia="Times New Roman" w:hAnsi="Times New Roman"/>
                  <w:sz w:val="13"/>
                  <w:szCs w:val="13"/>
                  <w:color w:val="0000EE"/>
                  <w:w w:val="78"/>
                </w:rPr>
                <w:t>(4)</w:t>
              </w:r>
            </w:hyperlink>
          </w:p>
        </w:tc>
        <w:tc>
          <w:tcPr>
            <w:tcW w:w="80" w:type="dxa"/>
            <w:vAlign w:val="bottom"/>
            <w:vMerge w:val="restart"/>
          </w:tcPr>
          <w:p>
            <w:pPr>
              <w:spacing w:after="0"/>
              <w:rPr>
                <w:sz w:val="12"/>
                <w:szCs w:val="12"/>
                <w:color w:val="auto"/>
              </w:rPr>
            </w:pPr>
          </w:p>
        </w:tc>
        <w:tc>
          <w:tcPr>
            <w:tcW w:w="720" w:type="dxa"/>
            <w:vAlign w:val="bottom"/>
            <w:vMerge w:val="restart"/>
          </w:tcPr>
          <w:p>
            <w:pPr>
              <w:spacing w:after="0"/>
              <w:rPr>
                <w:sz w:val="12"/>
                <w:szCs w:val="12"/>
                <w:color w:val="auto"/>
              </w:rPr>
            </w:pPr>
          </w:p>
        </w:tc>
        <w:tc>
          <w:tcPr>
            <w:tcW w:w="160" w:type="dxa"/>
            <w:vAlign w:val="bottom"/>
            <w:gridSpan w:val="2"/>
            <w:vMerge w:val="restart"/>
          </w:tcPr>
          <w:p>
            <w:pPr>
              <w:spacing w:after="0"/>
              <w:rPr>
                <w:sz w:val="12"/>
                <w:szCs w:val="12"/>
                <w:color w:val="auto"/>
              </w:rPr>
            </w:pPr>
          </w:p>
        </w:tc>
        <w:tc>
          <w:tcPr>
            <w:tcW w:w="1940" w:type="dxa"/>
            <w:vAlign w:val="bottom"/>
            <w:gridSpan w:val="2"/>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148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6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34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2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1440" w:type="dxa"/>
            <w:vAlign w:val="bottom"/>
            <w:tcBorders>
              <w:bottom w:val="single" w:sz="8" w:color="0000EE"/>
            </w:tcBorders>
            <w:gridSpan w:val="2"/>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194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3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2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3.5</w:t>
            </w:r>
          </w:p>
        </w:tc>
        <w:tc>
          <w:tcPr>
            <w:tcW w:w="300" w:type="dxa"/>
            <w:vAlign w:val="bottom"/>
          </w:tcPr>
          <w:p>
            <w:pPr>
              <w:spacing w:after="0"/>
              <w:rPr>
                <w:sz w:val="12"/>
                <w:szCs w:val="12"/>
                <w:color w:val="auto"/>
              </w:rPr>
            </w:pPr>
          </w:p>
        </w:tc>
        <w:tc>
          <w:tcPr>
            <w:tcW w:w="2380" w:type="dxa"/>
            <w:vAlign w:val="bottom"/>
            <w:gridSpan w:val="7"/>
            <w:vMerge w:val="restart"/>
          </w:tcPr>
          <w:p>
            <w:pPr>
              <w:spacing w:after="0"/>
              <w:rPr>
                <w:rFonts w:ascii="Times New Roman" w:cs="Times New Roman" w:eastAsia="Times New Roman" w:hAnsi="Times New Roman"/>
                <w:sz w:val="15"/>
                <w:szCs w:val="15"/>
                <w:color w:val="0000EE"/>
              </w:rPr>
            </w:pPr>
            <w:hyperlink r:id="rId120">
              <w:r>
                <w:rPr>
                  <w:rFonts w:ascii="Times New Roman" w:cs="Times New Roman" w:eastAsia="Times New Roman" w:hAnsi="Times New Roman"/>
                  <w:sz w:val="15"/>
                  <w:szCs w:val="15"/>
                  <w:color w:val="0000EE"/>
                </w:rPr>
                <w:t>Second Amended and Restated Bylaws</w:t>
              </w:r>
            </w:hyperlink>
          </w:p>
        </w:tc>
        <w:tc>
          <w:tcPr>
            <w:tcW w:w="160" w:type="dxa"/>
            <w:vAlign w:val="bottom"/>
            <w:tcBorders>
              <w:bottom w:val="single" w:sz="8" w:color="0000EE"/>
            </w:tcBorders>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0000EE"/>
                <w:w w:val="92"/>
              </w:rPr>
              <w:t>(4)</w:t>
            </w:r>
          </w:p>
        </w:tc>
        <w:tc>
          <w:tcPr>
            <w:tcW w:w="1940" w:type="dxa"/>
            <w:vAlign w:val="bottom"/>
            <w:gridSpan w:val="2"/>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148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6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34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2380" w:type="dxa"/>
            <w:vAlign w:val="bottom"/>
            <w:tcBorders>
              <w:bottom w:val="single" w:sz="8" w:color="0000EE"/>
            </w:tcBorders>
            <w:gridSpan w:val="7"/>
            <w:vMerge w:val="continue"/>
          </w:tcPr>
          <w:p>
            <w:pPr>
              <w:spacing w:after="0"/>
              <w:rPr>
                <w:sz w:val="3"/>
                <w:szCs w:val="3"/>
                <w:color w:val="auto"/>
              </w:rPr>
            </w:pPr>
          </w:p>
        </w:tc>
        <w:tc>
          <w:tcPr>
            <w:tcW w:w="160" w:type="dxa"/>
            <w:vAlign w:val="bottom"/>
            <w:gridSpan w:val="2"/>
          </w:tcPr>
          <w:p>
            <w:pPr>
              <w:spacing w:after="0"/>
              <w:rPr>
                <w:sz w:val="3"/>
                <w:szCs w:val="3"/>
                <w:color w:val="auto"/>
              </w:rPr>
            </w:pPr>
          </w:p>
        </w:tc>
        <w:tc>
          <w:tcPr>
            <w:tcW w:w="194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3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2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4.1</w:t>
            </w:r>
          </w:p>
        </w:tc>
        <w:tc>
          <w:tcPr>
            <w:tcW w:w="300" w:type="dxa"/>
            <w:vAlign w:val="bottom"/>
          </w:tcPr>
          <w:p>
            <w:pPr>
              <w:spacing w:after="0"/>
              <w:rPr>
                <w:sz w:val="12"/>
                <w:szCs w:val="12"/>
                <w:color w:val="auto"/>
              </w:rPr>
            </w:pPr>
          </w:p>
        </w:tc>
        <w:tc>
          <w:tcPr>
            <w:tcW w:w="7120" w:type="dxa"/>
            <w:vAlign w:val="bottom"/>
            <w:gridSpan w:val="18"/>
            <w:vMerge w:val="restart"/>
          </w:tcPr>
          <w:p>
            <w:pPr>
              <w:spacing w:after="0"/>
              <w:rPr>
                <w:rFonts w:ascii="Times New Roman" w:cs="Times New Roman" w:eastAsia="Times New Roman" w:hAnsi="Times New Roman"/>
                <w:sz w:val="15"/>
                <w:szCs w:val="15"/>
                <w:color w:val="0000EE"/>
              </w:rPr>
            </w:pPr>
            <w:hyperlink r:id="rId121">
              <w:r>
                <w:rPr>
                  <w:rFonts w:ascii="Times New Roman" w:cs="Times New Roman" w:eastAsia="Times New Roman" w:hAnsi="Times New Roman"/>
                  <w:sz w:val="15"/>
                  <w:szCs w:val="15"/>
                  <w:color w:val="0000EE"/>
                </w:rPr>
                <w:t>Base Indenture, dated March 28, 2018, by and between the Registrant and U.S. Bank National Association, as trustee</w:t>
              </w:r>
            </w:hyperlink>
          </w:p>
        </w:tc>
        <w:tc>
          <w:tcPr>
            <w:tcW w:w="140" w:type="dxa"/>
            <w:vAlign w:val="bottom"/>
            <w:tcBorders>
              <w:bottom w:val="single" w:sz="8" w:color="0000EE"/>
            </w:tcBorders>
            <w:gridSpan w:val="4"/>
          </w:tcPr>
          <w:p>
            <w:pPr>
              <w:jc w:val="right"/>
              <w:spacing w:after="0" w:line="119" w:lineRule="exact"/>
              <w:rPr>
                <w:sz w:val="20"/>
                <w:szCs w:val="20"/>
                <w:color w:val="auto"/>
              </w:rPr>
            </w:pPr>
            <w:r>
              <w:rPr>
                <w:rFonts w:ascii="Times New Roman" w:cs="Times New Roman" w:eastAsia="Times New Roman" w:hAnsi="Times New Roman"/>
                <w:sz w:val="13"/>
                <w:szCs w:val="13"/>
                <w:color w:val="0000EE"/>
                <w:w w:val="78"/>
              </w:rPr>
              <w:t>(5)</w:t>
            </w:r>
          </w:p>
        </w:tc>
        <w:tc>
          <w:tcPr>
            <w:tcW w:w="34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2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7120" w:type="dxa"/>
            <w:vAlign w:val="bottom"/>
            <w:tcBorders>
              <w:bottom w:val="single" w:sz="8" w:color="0000EE"/>
            </w:tcBorders>
            <w:gridSpan w:val="18"/>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4.2</w:t>
            </w:r>
          </w:p>
        </w:tc>
        <w:tc>
          <w:tcPr>
            <w:tcW w:w="300" w:type="dxa"/>
            <w:vAlign w:val="bottom"/>
          </w:tcPr>
          <w:p>
            <w:pPr>
              <w:spacing w:after="0"/>
              <w:rPr>
                <w:sz w:val="14"/>
                <w:szCs w:val="14"/>
                <w:color w:val="auto"/>
              </w:rPr>
            </w:pPr>
          </w:p>
        </w:tc>
        <w:tc>
          <w:tcPr>
            <w:tcW w:w="10700" w:type="dxa"/>
            <w:vAlign w:val="bottom"/>
            <w:tcBorders>
              <w:bottom w:val="single" w:sz="8" w:color="0000EE"/>
            </w:tcBorders>
            <w:gridSpan w:val="23"/>
          </w:tcPr>
          <w:p>
            <w:pPr>
              <w:spacing w:after="0" w:line="162" w:lineRule="exact"/>
              <w:rPr>
                <w:rFonts w:ascii="Times New Roman" w:cs="Times New Roman" w:eastAsia="Times New Roman" w:hAnsi="Times New Roman"/>
                <w:sz w:val="15"/>
                <w:szCs w:val="15"/>
                <w:color w:val="0000EE"/>
              </w:rPr>
            </w:pPr>
            <w:hyperlink r:id="rId122">
              <w:r>
                <w:rPr>
                  <w:rFonts w:ascii="Times New Roman" w:cs="Times New Roman" w:eastAsia="Times New Roman" w:hAnsi="Times New Roman"/>
                  <w:sz w:val="15"/>
                  <w:szCs w:val="15"/>
                  <w:color w:val="0000EE"/>
                </w:rPr>
                <w:t>Second Supplemental Indenture, dated December 17, 2021, relating to the 6.00% Notes due 2026, by and between the Company and U.S. Bank National Association, as</w:t>
              </w:r>
            </w:hyperlink>
          </w:p>
        </w:tc>
        <w:tc>
          <w:tcPr>
            <w:tcW w:w="0" w:type="dxa"/>
            <w:vAlign w:val="bottom"/>
          </w:tcPr>
          <w:p>
            <w:pPr>
              <w:spacing w:after="0"/>
              <w:rPr>
                <w:sz w:val="1"/>
                <w:szCs w:val="1"/>
                <w:color w:val="auto"/>
              </w:rPr>
            </w:pPr>
          </w:p>
        </w:tc>
      </w:tr>
      <w:tr>
        <w:trPr>
          <w:trHeight w:val="162"/>
        </w:trPr>
        <w:tc>
          <w:tcPr>
            <w:tcW w:w="2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4.3</w:t>
            </w:r>
          </w:p>
        </w:tc>
        <w:tc>
          <w:tcPr>
            <w:tcW w:w="300" w:type="dxa"/>
            <w:vAlign w:val="bottom"/>
          </w:tcPr>
          <w:p>
            <w:pPr>
              <w:spacing w:after="0"/>
              <w:rPr>
                <w:sz w:val="14"/>
                <w:szCs w:val="14"/>
                <w:color w:val="auto"/>
              </w:rPr>
            </w:pPr>
          </w:p>
        </w:tc>
        <w:tc>
          <w:tcPr>
            <w:tcW w:w="10700" w:type="dxa"/>
            <w:vAlign w:val="bottom"/>
            <w:gridSpan w:val="23"/>
          </w:tcPr>
          <w:p>
            <w:pPr>
              <w:spacing w:after="0" w:line="162" w:lineRule="exact"/>
              <w:rPr>
                <w:rFonts w:ascii="Times New Roman" w:cs="Times New Roman" w:eastAsia="Times New Roman" w:hAnsi="Times New Roman"/>
                <w:sz w:val="15"/>
                <w:szCs w:val="15"/>
                <w:color w:val="0000EE"/>
              </w:rPr>
            </w:pPr>
            <w:hyperlink r:id="rId122">
              <w:r>
                <w:rPr>
                  <w:rFonts w:ascii="Times New Roman" w:cs="Times New Roman" w:eastAsia="Times New Roman" w:hAnsi="Times New Roman"/>
                  <w:sz w:val="15"/>
                  <w:szCs w:val="15"/>
                  <w:color w:val="0000EE"/>
                </w:rPr>
                <w:t>trustee(6)</w:t>
              </w:r>
            </w:hyperlink>
          </w:p>
        </w:tc>
        <w:tc>
          <w:tcPr>
            <w:tcW w:w="0" w:type="dxa"/>
            <w:vAlign w:val="bottom"/>
          </w:tcPr>
          <w:p>
            <w:pPr>
              <w:spacing w:after="0"/>
              <w:rPr>
                <w:sz w:val="1"/>
                <w:szCs w:val="1"/>
                <w:color w:val="auto"/>
              </w:rPr>
            </w:pPr>
          </w:p>
        </w:tc>
      </w:tr>
      <w:tr>
        <w:trPr>
          <w:trHeight w:val="20"/>
        </w:trPr>
        <w:tc>
          <w:tcPr>
            <w:tcW w:w="26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140" w:type="dxa"/>
            <w:vAlign w:val="bottom"/>
            <w:vMerge w:val="restart"/>
          </w:tcPr>
          <w:p>
            <w:pPr>
              <w:jc w:val="right"/>
              <w:spacing w:after="0" w:line="139" w:lineRule="exact"/>
              <w:rPr>
                <w:sz w:val="20"/>
                <w:szCs w:val="20"/>
                <w:color w:val="auto"/>
              </w:rPr>
            </w:pPr>
            <w:r>
              <w:rPr>
                <w:rFonts w:ascii="Times New Roman" w:cs="Times New Roman" w:eastAsia="Times New Roman" w:hAnsi="Times New Roman"/>
                <w:sz w:val="13"/>
                <w:szCs w:val="13"/>
                <w:color w:val="0000EE"/>
                <w:w w:val="78"/>
              </w:rPr>
              <w:t>(6)</w:t>
            </w: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4480" w:type="dxa"/>
            <w:vAlign w:val="bottom"/>
            <w:gridSpan w:val="11"/>
            <w:vMerge w:val="restart"/>
          </w:tcPr>
          <w:p>
            <w:pPr>
              <w:spacing w:after="0"/>
              <w:rPr>
                <w:rFonts w:ascii="Times New Roman" w:cs="Times New Roman" w:eastAsia="Times New Roman" w:hAnsi="Times New Roman"/>
                <w:sz w:val="15"/>
                <w:szCs w:val="15"/>
                <w:color w:val="0000EE"/>
              </w:rPr>
            </w:pPr>
            <w:hyperlink r:id="rId123">
              <w:r>
                <w:rPr>
                  <w:rFonts w:ascii="Times New Roman" w:cs="Times New Roman" w:eastAsia="Times New Roman" w:hAnsi="Times New Roman"/>
                  <w:sz w:val="15"/>
                  <w:szCs w:val="15"/>
                  <w:color w:val="0000EE"/>
                </w:rPr>
                <w:t>Form of 6.00% Notes due 2026 (incorporated by reference to Exhibit 4.2)</w:t>
              </w:r>
            </w:hyperlink>
          </w:p>
        </w:tc>
        <w:tc>
          <w:tcPr>
            <w:tcW w:w="140" w:type="dxa"/>
            <w:vAlign w:val="bottom"/>
            <w:tcBorders>
              <w:bottom w:val="single" w:sz="8" w:color="0000EE"/>
            </w:tcBorders>
            <w:vMerge w:val="continue"/>
          </w:tcPr>
          <w:p>
            <w:pPr>
              <w:spacing w:after="0"/>
              <w:rPr>
                <w:sz w:val="12"/>
                <w:szCs w:val="12"/>
                <w:color w:val="auto"/>
              </w:rPr>
            </w:pPr>
          </w:p>
        </w:tc>
        <w:tc>
          <w:tcPr>
            <w:tcW w:w="148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6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240" w:type="dxa"/>
            <w:vAlign w:val="bottom"/>
            <w:gridSpan w:val="3"/>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348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4480" w:type="dxa"/>
            <w:vAlign w:val="bottom"/>
            <w:tcBorders>
              <w:bottom w:val="single" w:sz="8" w:color="0000EE"/>
            </w:tcBorders>
            <w:gridSpan w:val="11"/>
            <w:vMerge w:val="continue"/>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40" w:type="dxa"/>
            <w:vAlign w:val="bottom"/>
            <w:gridSpan w:val="3"/>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34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2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4.4</w:t>
            </w:r>
          </w:p>
        </w:tc>
        <w:tc>
          <w:tcPr>
            <w:tcW w:w="300" w:type="dxa"/>
            <w:vAlign w:val="bottom"/>
          </w:tcPr>
          <w:p>
            <w:pPr>
              <w:spacing w:after="0"/>
              <w:rPr>
                <w:sz w:val="12"/>
                <w:szCs w:val="12"/>
                <w:color w:val="auto"/>
              </w:rPr>
            </w:pPr>
          </w:p>
        </w:tc>
        <w:tc>
          <w:tcPr>
            <w:tcW w:w="1500" w:type="dxa"/>
            <w:vAlign w:val="bottom"/>
            <w:gridSpan w:val="4"/>
            <w:vMerge w:val="restart"/>
          </w:tcPr>
          <w:p>
            <w:pPr>
              <w:spacing w:after="0"/>
              <w:rPr>
                <w:rFonts w:ascii="Times New Roman" w:cs="Times New Roman" w:eastAsia="Times New Roman" w:hAnsi="Times New Roman"/>
                <w:sz w:val="15"/>
                <w:szCs w:val="15"/>
                <w:color w:val="0000EE"/>
                <w:w w:val="99"/>
              </w:rPr>
            </w:pPr>
            <w:hyperlink r:id="rId124">
              <w:r>
                <w:rPr>
                  <w:rFonts w:ascii="Times New Roman" w:cs="Times New Roman" w:eastAsia="Times New Roman" w:hAnsi="Times New Roman"/>
                  <w:sz w:val="15"/>
                  <w:szCs w:val="15"/>
                  <w:color w:val="0000EE"/>
                  <w:w w:val="99"/>
                </w:rPr>
                <w:t>Description of Securities</w:t>
              </w:r>
            </w:hyperlink>
          </w:p>
        </w:tc>
        <w:tc>
          <w:tcPr>
            <w:tcW w:w="160" w:type="dxa"/>
            <w:vAlign w:val="bottom"/>
            <w:tcBorders>
              <w:bottom w:val="single" w:sz="8" w:color="0000EE"/>
            </w:tcBorders>
            <w:gridSpan w:val="2"/>
          </w:tcPr>
          <w:p>
            <w:pPr>
              <w:jc w:val="right"/>
              <w:spacing w:after="0" w:line="128" w:lineRule="exact"/>
              <w:rPr>
                <w:rFonts w:ascii="Times New Roman" w:cs="Times New Roman" w:eastAsia="Times New Roman" w:hAnsi="Times New Roman"/>
                <w:sz w:val="13"/>
                <w:szCs w:val="13"/>
                <w:color w:val="0000EE"/>
                <w:w w:val="92"/>
              </w:rPr>
            </w:pPr>
            <w:hyperlink r:id="rId124">
              <w:r>
                <w:rPr>
                  <w:rFonts w:ascii="Times New Roman" w:cs="Times New Roman" w:eastAsia="Times New Roman" w:hAnsi="Times New Roman"/>
                  <w:sz w:val="13"/>
                  <w:szCs w:val="13"/>
                  <w:color w:val="0000EE"/>
                  <w:w w:val="92"/>
                </w:rPr>
                <w:t>(7)</w:t>
              </w:r>
            </w:hyperlink>
          </w:p>
        </w:tc>
        <w:tc>
          <w:tcPr>
            <w:tcW w:w="4440" w:type="dxa"/>
            <w:vAlign w:val="bottom"/>
            <w:gridSpan w:val="7"/>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6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240" w:type="dxa"/>
            <w:vAlign w:val="bottom"/>
            <w:gridSpan w:val="3"/>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348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Borders>
              <w:bottom w:val="single" w:sz="8" w:color="0000EE"/>
            </w:tcBorders>
            <w:gridSpan w:val="4"/>
            <w:vMerge w:val="continue"/>
          </w:tcPr>
          <w:p>
            <w:pPr>
              <w:spacing w:after="0"/>
              <w:rPr>
                <w:sz w:val="3"/>
                <w:szCs w:val="3"/>
                <w:color w:val="auto"/>
              </w:rPr>
            </w:pPr>
          </w:p>
        </w:tc>
        <w:tc>
          <w:tcPr>
            <w:tcW w:w="160" w:type="dxa"/>
            <w:vAlign w:val="bottom"/>
            <w:gridSpan w:val="2"/>
          </w:tcPr>
          <w:p>
            <w:pPr>
              <w:spacing w:after="0"/>
              <w:rPr>
                <w:sz w:val="3"/>
                <w:szCs w:val="3"/>
                <w:color w:val="auto"/>
              </w:rPr>
            </w:pPr>
          </w:p>
        </w:tc>
        <w:tc>
          <w:tcPr>
            <w:tcW w:w="4440" w:type="dxa"/>
            <w:vAlign w:val="bottom"/>
            <w:gridSpan w:val="7"/>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40" w:type="dxa"/>
            <w:vAlign w:val="bottom"/>
            <w:gridSpan w:val="3"/>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34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2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w w:val="91"/>
              </w:rPr>
              <w:t>10.1</w:t>
            </w:r>
          </w:p>
        </w:tc>
        <w:tc>
          <w:tcPr>
            <w:tcW w:w="300" w:type="dxa"/>
            <w:vAlign w:val="bottom"/>
          </w:tcPr>
          <w:p>
            <w:pPr>
              <w:spacing w:after="0"/>
              <w:rPr>
                <w:sz w:val="12"/>
                <w:szCs w:val="12"/>
                <w:color w:val="auto"/>
              </w:rPr>
            </w:pPr>
          </w:p>
        </w:tc>
        <w:tc>
          <w:tcPr>
            <w:tcW w:w="6800" w:type="dxa"/>
            <w:vAlign w:val="bottom"/>
            <w:gridSpan w:val="15"/>
            <w:vMerge w:val="restart"/>
          </w:tcPr>
          <w:p>
            <w:pPr>
              <w:spacing w:after="0"/>
              <w:rPr>
                <w:rFonts w:ascii="Times New Roman" w:cs="Times New Roman" w:eastAsia="Times New Roman" w:hAnsi="Times New Roman"/>
                <w:sz w:val="15"/>
                <w:szCs w:val="15"/>
                <w:color w:val="0000EE"/>
              </w:rPr>
            </w:pPr>
            <w:hyperlink r:id="rId125">
              <w:r>
                <w:rPr>
                  <w:rFonts w:ascii="Times New Roman" w:cs="Times New Roman" w:eastAsia="Times New Roman" w:hAnsi="Times New Roman"/>
                  <w:sz w:val="15"/>
                  <w:szCs w:val="15"/>
                  <w:color w:val="0000EE"/>
                </w:rPr>
                <w:t>Note Purchase Agreement, dated August 6, 2024, by and between the Registrant and the purchaser party thereto</w:t>
              </w:r>
            </w:hyperlink>
          </w:p>
        </w:tc>
        <w:tc>
          <w:tcPr>
            <w:tcW w:w="140" w:type="dxa"/>
            <w:vAlign w:val="bottom"/>
            <w:tcBorders>
              <w:bottom w:val="single" w:sz="8" w:color="0000EE"/>
            </w:tcBorders>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0000EE"/>
                <w:w w:val="78"/>
              </w:rPr>
              <w:t>(8)</w:t>
            </w:r>
          </w:p>
        </w:tc>
        <w:tc>
          <w:tcPr>
            <w:tcW w:w="240" w:type="dxa"/>
            <w:vAlign w:val="bottom"/>
            <w:gridSpan w:val="3"/>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348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2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800" w:type="dxa"/>
            <w:vAlign w:val="bottom"/>
            <w:tcBorders>
              <w:bottom w:val="single" w:sz="8" w:color="0000EE"/>
            </w:tcBorders>
            <w:gridSpan w:val="15"/>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gridSpan w:val="3"/>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34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w w:val="91"/>
              </w:rPr>
              <w:t>31.1</w:t>
            </w:r>
          </w:p>
        </w:tc>
        <w:tc>
          <w:tcPr>
            <w:tcW w:w="300" w:type="dxa"/>
            <w:vAlign w:val="bottom"/>
          </w:tcPr>
          <w:p>
            <w:pPr>
              <w:spacing w:after="0"/>
              <w:rPr>
                <w:sz w:val="14"/>
                <w:szCs w:val="14"/>
                <w:color w:val="auto"/>
              </w:rPr>
            </w:pPr>
          </w:p>
        </w:tc>
        <w:tc>
          <w:tcPr>
            <w:tcW w:w="7220" w:type="dxa"/>
            <w:vAlign w:val="bottom"/>
            <w:tcBorders>
              <w:bottom w:val="single" w:sz="8" w:color="0000EE"/>
            </w:tcBorders>
            <w:gridSpan w:val="21"/>
          </w:tcPr>
          <w:p>
            <w:pPr>
              <w:spacing w:after="0" w:line="162" w:lineRule="exact"/>
              <w:rPr>
                <w:sz w:val="20"/>
                <w:szCs w:val="20"/>
                <w:color w:val="auto"/>
              </w:rPr>
            </w:pPr>
            <w:r>
              <w:rPr>
                <w:rFonts w:ascii="Times New Roman" w:cs="Times New Roman" w:eastAsia="Times New Roman" w:hAnsi="Times New Roman"/>
                <w:sz w:val="15"/>
                <w:szCs w:val="15"/>
                <w:color w:val="0000EE"/>
              </w:rPr>
              <w:t>Certification of Chief Executive Officer pursuant to Rule 13a-14 of the Securities Exchange Act of 1934, as amended*</w:t>
            </w:r>
          </w:p>
        </w:tc>
        <w:tc>
          <w:tcPr>
            <w:tcW w:w="34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w w:val="91"/>
              </w:rPr>
              <w:t>31.2</w:t>
            </w:r>
          </w:p>
        </w:tc>
        <w:tc>
          <w:tcPr>
            <w:tcW w:w="300" w:type="dxa"/>
            <w:vAlign w:val="bottom"/>
          </w:tcPr>
          <w:p>
            <w:pPr>
              <w:spacing w:after="0"/>
              <w:rPr>
                <w:sz w:val="14"/>
                <w:szCs w:val="14"/>
                <w:color w:val="auto"/>
              </w:rPr>
            </w:pPr>
          </w:p>
        </w:tc>
        <w:tc>
          <w:tcPr>
            <w:tcW w:w="7180" w:type="dxa"/>
            <w:vAlign w:val="bottom"/>
            <w:tcBorders>
              <w:bottom w:val="single" w:sz="8" w:color="0000EE"/>
            </w:tcBorders>
            <w:gridSpan w:val="20"/>
          </w:tcPr>
          <w:p>
            <w:pPr>
              <w:spacing w:after="0" w:line="162" w:lineRule="exact"/>
              <w:rPr>
                <w:sz w:val="20"/>
                <w:szCs w:val="20"/>
                <w:color w:val="auto"/>
              </w:rPr>
            </w:pPr>
            <w:r>
              <w:rPr>
                <w:rFonts w:ascii="Times New Roman" w:cs="Times New Roman" w:eastAsia="Times New Roman" w:hAnsi="Times New Roman"/>
                <w:sz w:val="15"/>
                <w:szCs w:val="15"/>
                <w:color w:val="0000EE"/>
              </w:rPr>
              <w:t>Certification of Chief Financial Officer pursuant to Rule 13a-14 of the Securities Exchange Act of 1934, as amended*</w:t>
            </w:r>
          </w:p>
        </w:tc>
        <w:tc>
          <w:tcPr>
            <w:tcW w:w="35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w w:val="91"/>
              </w:rPr>
              <w:t>32.1</w:t>
            </w:r>
          </w:p>
        </w:tc>
        <w:tc>
          <w:tcPr>
            <w:tcW w:w="300" w:type="dxa"/>
            <w:vAlign w:val="bottom"/>
          </w:tcPr>
          <w:p>
            <w:pPr>
              <w:spacing w:after="0"/>
              <w:rPr>
                <w:sz w:val="14"/>
                <w:szCs w:val="14"/>
                <w:color w:val="auto"/>
              </w:rPr>
            </w:pPr>
          </w:p>
        </w:tc>
        <w:tc>
          <w:tcPr>
            <w:tcW w:w="6140" w:type="dxa"/>
            <w:vAlign w:val="bottom"/>
            <w:tcBorders>
              <w:bottom w:val="single" w:sz="8" w:color="0000EE"/>
            </w:tcBorders>
            <w:gridSpan w:val="14"/>
          </w:tcPr>
          <w:p>
            <w:pPr>
              <w:spacing w:after="0" w:line="162" w:lineRule="exact"/>
              <w:rPr>
                <w:sz w:val="20"/>
                <w:szCs w:val="20"/>
                <w:color w:val="auto"/>
              </w:rPr>
            </w:pPr>
            <w:r>
              <w:rPr>
                <w:rFonts w:ascii="Times New Roman" w:cs="Times New Roman" w:eastAsia="Times New Roman" w:hAnsi="Times New Roman"/>
                <w:sz w:val="15"/>
                <w:szCs w:val="15"/>
                <w:color w:val="0000EE"/>
              </w:rPr>
              <w:t>Certification of Chief Executive Officer pursuant to Section 906 of the Sarbanes-Oxley Act of 2002*</w:t>
            </w:r>
          </w:p>
        </w:tc>
        <w:tc>
          <w:tcPr>
            <w:tcW w:w="456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w w:val="91"/>
              </w:rPr>
              <w:t>32.2</w:t>
            </w:r>
          </w:p>
        </w:tc>
        <w:tc>
          <w:tcPr>
            <w:tcW w:w="300" w:type="dxa"/>
            <w:vAlign w:val="bottom"/>
          </w:tcPr>
          <w:p>
            <w:pPr>
              <w:spacing w:after="0"/>
              <w:rPr>
                <w:sz w:val="14"/>
                <w:szCs w:val="14"/>
                <w:color w:val="auto"/>
              </w:rPr>
            </w:pPr>
          </w:p>
        </w:tc>
        <w:tc>
          <w:tcPr>
            <w:tcW w:w="6100" w:type="dxa"/>
            <w:vAlign w:val="bottom"/>
            <w:tcBorders>
              <w:bottom w:val="single" w:sz="8" w:color="0000EE"/>
            </w:tcBorders>
            <w:gridSpan w:val="13"/>
          </w:tcPr>
          <w:p>
            <w:pPr>
              <w:spacing w:after="0" w:line="162" w:lineRule="exact"/>
              <w:rPr>
                <w:sz w:val="20"/>
                <w:szCs w:val="20"/>
                <w:color w:val="auto"/>
              </w:rPr>
            </w:pPr>
            <w:r>
              <w:rPr>
                <w:rFonts w:ascii="Times New Roman" w:cs="Times New Roman" w:eastAsia="Times New Roman" w:hAnsi="Times New Roman"/>
                <w:sz w:val="15"/>
                <w:szCs w:val="15"/>
                <w:color w:val="0000EE"/>
              </w:rPr>
              <w:t>Certification of Chief Financial Officer pursuant to Section 906 of the Sarbanes-Oxley Act of 2002*</w:t>
            </w:r>
          </w:p>
        </w:tc>
        <w:tc>
          <w:tcPr>
            <w:tcW w:w="46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101.INS Inline XBRL Instance Document</w:t>
      </w:r>
    </w:p>
    <w:p>
      <w:pPr>
        <w:spacing w:after="0" w:line="2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101.SCHInline XBRL Schema Document</w:t>
      </w:r>
    </w:p>
    <w:p>
      <w:pPr>
        <w:spacing w:after="0" w:line="1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101.CALInline XBRL Calculation Link base Document</w:t>
      </w:r>
    </w:p>
    <w:p>
      <w:pPr>
        <w:spacing w:after="0" w:line="1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101.DEFInline XBRL Definition Link base Document</w:t>
      </w:r>
    </w:p>
    <w:p>
      <w:pPr>
        <w:spacing w:after="0" w:line="1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101.LABInline XBRL Label Link base Document</w:t>
      </w:r>
    </w:p>
    <w:p>
      <w:pPr>
        <w:spacing w:after="0" w:line="1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101.PRE Inline XBRL Presentation Link base Document</w:t>
      </w:r>
    </w:p>
    <w:p>
      <w:pPr>
        <w:spacing w:after="0" w:line="10" w:lineRule="exact"/>
        <w:rPr>
          <w:sz w:val="20"/>
          <w:szCs w:val="20"/>
          <w:color w:val="auto"/>
        </w:rPr>
      </w:pPr>
    </w:p>
    <w:p>
      <w:pPr>
        <w:ind w:left="9"/>
        <w:spacing w:after="0"/>
        <w:tabs>
          <w:tab w:leader="none" w:pos="548" w:val="left"/>
        </w:tabs>
        <w:rPr>
          <w:sz w:val="20"/>
          <w:szCs w:val="20"/>
          <w:color w:val="auto"/>
        </w:rPr>
      </w:pPr>
      <w:r>
        <w:rPr>
          <w:rFonts w:ascii="Times New Roman" w:cs="Times New Roman" w:eastAsia="Times New Roman" w:hAnsi="Times New Roman"/>
          <w:sz w:val="15"/>
          <w:szCs w:val="15"/>
          <w:color w:val="auto"/>
        </w:rPr>
        <w:t>104</w:t>
      </w:r>
      <w:r>
        <w:rPr>
          <w:sz w:val="20"/>
          <w:szCs w:val="20"/>
          <w:color w:val="auto"/>
        </w:rPr>
        <w:tab/>
      </w:r>
      <w:r>
        <w:rPr>
          <w:rFonts w:ascii="Times New Roman" w:cs="Times New Roman" w:eastAsia="Times New Roman" w:hAnsi="Times New Roman"/>
          <w:sz w:val="15"/>
          <w:szCs w:val="15"/>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178689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1786890" cy="6985"/>
                    </a:xfrm>
                    <a:prstGeom prst="rect">
                      <a:avLst/>
                    </a:prstGeom>
                    <a:noFill/>
                  </pic:spPr>
                </pic:pic>
              </a:graphicData>
            </a:graphic>
          </wp:anchor>
        </w:drawing>
      </w:r>
    </w:p>
    <w:p>
      <w:pPr>
        <w:spacing w:after="0" w:line="180" w:lineRule="exact"/>
        <w:rPr>
          <w:sz w:val="20"/>
          <w:szCs w:val="20"/>
          <w:color w:val="auto"/>
        </w:rPr>
      </w:pPr>
    </w:p>
    <w:p>
      <w:pPr>
        <w:ind w:left="269" w:hanging="269"/>
        <w:spacing w:after="0" w:line="264" w:lineRule="auto"/>
        <w:tabs>
          <w:tab w:leader="none" w:pos="269"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in connection with Pre-Effective Amendment No. 2 to the Registrant’s Registration Statement on Form N-2 (File No. 333-171578), filed on March 30, 2011, and incorporated by reference herein.</w:t>
      </w:r>
    </w:p>
    <w:p>
      <w:pPr>
        <w:ind w:left="269" w:hanging="269"/>
        <w:spacing w:after="0"/>
        <w:tabs>
          <w:tab w:leader="none" w:pos="269"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in connection with the Registrant’s Current Report on Form 8-K (File No. 814-00852), filed on June 1, 2011, and incorporated by reference herein.</w:t>
      </w:r>
    </w:p>
    <w:p>
      <w:pPr>
        <w:spacing w:after="0" w:line="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in connection with the Registrant’s Current Report on Form 8-K (File No. 814-00852) filed on August 1, 2019, and incorporated by reference herein.</w:t>
      </w:r>
    </w:p>
    <w:p>
      <w:pPr>
        <w:spacing w:after="0" w:line="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in connection with the Registrant’s Current Report on Form 8-K (File No. 814-00852) filed on June 16, 2020, and incorporated by reference herein.</w:t>
      </w:r>
    </w:p>
    <w:p>
      <w:pPr>
        <w:spacing w:after="0" w:line="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in connection with the Registrant’s Registration Statement on Form N-2 (File No. 333-239681), filed on July 2, 2020, and incorporated by reference herein.</w:t>
      </w:r>
    </w:p>
    <w:p>
      <w:pPr>
        <w:spacing w:after="0" w:line="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in connection with the Registrant’s Current Report on Form 8-K (File No. 814-00852) filed on December 17, 2021, and incorporated by reference herein.</w:t>
      </w:r>
    </w:p>
    <w:p>
      <w:pPr>
        <w:spacing w:after="0" w:line="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in connection with the Registrant’s Annual Report on Form 10-K (File No. 814-00852) filed on March 11, 2022, and incorporated by reference herein.</w:t>
      </w:r>
    </w:p>
    <w:p>
      <w:pPr>
        <w:spacing w:after="0" w:line="9" w:lineRule="exact"/>
        <w:rPr>
          <w:rFonts w:ascii="Times New Roman" w:cs="Times New Roman" w:eastAsia="Times New Roman" w:hAnsi="Times New Roman"/>
          <w:sz w:val="15"/>
          <w:szCs w:val="15"/>
          <w:color w:val="auto"/>
        </w:rPr>
      </w:pPr>
    </w:p>
    <w:p>
      <w:pPr>
        <w:ind w:left="269" w:hanging="269"/>
        <w:spacing w:after="0"/>
        <w:tabs>
          <w:tab w:leader="none" w:pos="269"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in connection with the Registrant’s Quarterly Report on Form 10-Q (File No. 814-00852) filed on August 8, 2024, and incorporated by reference herein.</w:t>
      </w:r>
    </w:p>
    <w:p>
      <w:pPr>
        <w:spacing w:after="0" w:line="177" w:lineRule="exact"/>
        <w:rPr>
          <w:sz w:val="20"/>
          <w:szCs w:val="20"/>
          <w:color w:val="auto"/>
        </w:rPr>
      </w:pPr>
    </w:p>
    <w:p>
      <w:pPr>
        <w:ind w:left="269" w:hanging="269"/>
        <w:spacing w:after="0"/>
        <w:tabs>
          <w:tab w:leader="none" w:pos="269"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Filed herewith.</w:t>
      </w:r>
    </w:p>
    <w:p>
      <w:pPr>
        <w:spacing w:after="0" w:line="19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5391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576" w:right="31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96" w:lineRule="exact"/>
        <w:rPr>
          <w:sz w:val="20"/>
          <w:szCs w:val="20"/>
          <w:color w:val="auto"/>
        </w:rPr>
      </w:pPr>
    </w:p>
    <w:p>
      <w:pPr>
        <w:ind w:firstLine="273"/>
        <w:spacing w:after="0" w:line="288"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thereunto duly authorized.</w:t>
      </w:r>
    </w:p>
    <w:p>
      <w:pPr>
        <w:spacing w:after="0" w:line="12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5"/>
          <w:szCs w:val="15"/>
          <w:b w:val="1"/>
          <w:bCs w:val="1"/>
          <w:color w:val="auto"/>
        </w:rPr>
        <w:t>SURO CAPITAL CORP.</w:t>
      </w:r>
    </w:p>
    <w:p>
      <w:pPr>
        <w:spacing w:after="0" w:line="192" w:lineRule="exact"/>
        <w:rPr>
          <w:sz w:val="20"/>
          <w:szCs w:val="20"/>
          <w:color w:val="auto"/>
        </w:rPr>
      </w:pPr>
    </w:p>
    <w:p>
      <w:pPr>
        <w:spacing w:after="0"/>
        <w:tabs>
          <w:tab w:leader="none" w:pos="540" w:val="left"/>
          <w:tab w:leader="none" w:pos="5620" w:val="left"/>
        </w:tabs>
        <w:rPr>
          <w:sz w:val="20"/>
          <w:szCs w:val="20"/>
          <w:color w:val="auto"/>
        </w:rPr>
      </w:pPr>
      <w:r>
        <w:rPr>
          <w:rFonts w:ascii="Times New Roman" w:cs="Times New Roman" w:eastAsia="Times New Roman" w:hAnsi="Times New Roman"/>
          <w:sz w:val="15"/>
          <w:szCs w:val="15"/>
          <w:color w:val="auto"/>
        </w:rPr>
        <w:t>Date:</w:t>
      </w:r>
      <w:r>
        <w:rPr>
          <w:sz w:val="20"/>
          <w:szCs w:val="20"/>
          <w:color w:val="auto"/>
        </w:rPr>
        <w:tab/>
      </w:r>
      <w:r>
        <w:rPr>
          <w:rFonts w:ascii="Times New Roman" w:cs="Times New Roman" w:eastAsia="Times New Roman" w:hAnsi="Times New Roman"/>
          <w:sz w:val="15"/>
          <w:szCs w:val="15"/>
          <w:color w:val="auto"/>
        </w:rPr>
        <w:t>November 8, 2024</w:t>
      </w:r>
      <w:r>
        <w:rPr>
          <w:sz w:val="20"/>
          <w:szCs w:val="20"/>
          <w:color w:val="auto"/>
        </w:rPr>
        <w:tab/>
      </w:r>
      <w:r>
        <w:rPr>
          <w:rFonts w:ascii="Times New Roman" w:cs="Times New Roman" w:eastAsia="Times New Roman" w:hAnsi="Times New Roman"/>
          <w:sz w:val="15"/>
          <w:szCs w:val="15"/>
          <w:color w:val="auto"/>
        </w:rPr>
        <w:t xml:space="preserve">By:  </w:t>
      </w:r>
      <w:r>
        <w:rPr>
          <w:rFonts w:ascii="Times New Roman" w:cs="Times New Roman" w:eastAsia="Times New Roman" w:hAnsi="Times New Roman"/>
          <w:sz w:val="15"/>
          <w:szCs w:val="15"/>
          <w:i w:val="1"/>
          <w:iCs w:val="1"/>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17780</wp:posOffset>
            </wp:positionV>
            <wp:extent cx="335597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3355975" cy="6985"/>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5"/>
          <w:szCs w:val="15"/>
          <w:b w:val="1"/>
          <w:bCs w:val="1"/>
          <w:color w:val="auto"/>
        </w:rPr>
        <w:t>Mark D. Klein</w:t>
      </w:r>
    </w:p>
    <w:p>
      <w:pPr>
        <w:spacing w:after="0" w:line="2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5"/>
          <w:szCs w:val="15"/>
          <w:color w:val="auto"/>
        </w:rPr>
        <w:t>Chairman, President and Chief Executive Officer</w:t>
      </w:r>
    </w:p>
    <w:p>
      <w:pPr>
        <w:spacing w:after="0" w:line="1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5"/>
          <w:szCs w:val="15"/>
          <w:color w:val="auto"/>
        </w:rPr>
        <w:t>(Principal Executive Officer)</w:t>
      </w:r>
    </w:p>
    <w:p>
      <w:pPr>
        <w:spacing w:after="0" w:line="173" w:lineRule="exact"/>
        <w:rPr>
          <w:sz w:val="20"/>
          <w:szCs w:val="20"/>
          <w:color w:val="auto"/>
        </w:rPr>
      </w:pPr>
    </w:p>
    <w:p>
      <w:pPr>
        <w:spacing w:after="0"/>
        <w:tabs>
          <w:tab w:leader="none" w:pos="540" w:val="left"/>
          <w:tab w:leader="none" w:pos="5620" w:val="left"/>
        </w:tabs>
        <w:rPr>
          <w:sz w:val="20"/>
          <w:szCs w:val="20"/>
          <w:color w:val="auto"/>
        </w:rPr>
      </w:pPr>
      <w:r>
        <w:rPr>
          <w:rFonts w:ascii="Times New Roman" w:cs="Times New Roman" w:eastAsia="Times New Roman" w:hAnsi="Times New Roman"/>
          <w:sz w:val="15"/>
          <w:szCs w:val="15"/>
          <w:color w:val="auto"/>
        </w:rPr>
        <w:t>Date:</w:t>
      </w:r>
      <w:r>
        <w:rPr>
          <w:sz w:val="20"/>
          <w:szCs w:val="20"/>
          <w:color w:val="auto"/>
        </w:rPr>
        <w:tab/>
      </w:r>
      <w:r>
        <w:rPr>
          <w:rFonts w:ascii="Times New Roman" w:cs="Times New Roman" w:eastAsia="Times New Roman" w:hAnsi="Times New Roman"/>
          <w:sz w:val="15"/>
          <w:szCs w:val="15"/>
          <w:color w:val="auto"/>
        </w:rPr>
        <w:t>November 8, 2024</w:t>
      </w:r>
      <w:r>
        <w:rPr>
          <w:sz w:val="20"/>
          <w:szCs w:val="20"/>
          <w:color w:val="auto"/>
        </w:rPr>
        <w:tab/>
      </w:r>
      <w:r>
        <w:rPr>
          <w:rFonts w:ascii="Times New Roman" w:cs="Times New Roman" w:eastAsia="Times New Roman" w:hAnsi="Times New Roman"/>
          <w:sz w:val="15"/>
          <w:szCs w:val="15"/>
          <w:color w:val="auto"/>
        </w:rPr>
        <w:t xml:space="preserve">By:  </w:t>
      </w:r>
      <w:r>
        <w:rPr>
          <w:rFonts w:ascii="Times New Roman" w:cs="Times New Roman" w:eastAsia="Times New Roman" w:hAnsi="Times New Roman"/>
          <w:sz w:val="15"/>
          <w:szCs w:val="15"/>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17780</wp:posOffset>
            </wp:positionV>
            <wp:extent cx="335597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3355975" cy="6985"/>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5"/>
          <w:szCs w:val="15"/>
          <w:b w:val="1"/>
          <w:bCs w:val="1"/>
          <w:color w:val="auto"/>
        </w:rPr>
        <w:t>Allison Green</w:t>
      </w:r>
    </w:p>
    <w:p>
      <w:pPr>
        <w:spacing w:after="0" w:line="2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5"/>
          <w:szCs w:val="15"/>
          <w:color w:val="auto"/>
        </w:rPr>
        <w:t>Chief Financial Officer, Chief Compliance Officer, Treasurer, and Corporate Secretary</w:t>
      </w:r>
    </w:p>
    <w:p>
      <w:pPr>
        <w:spacing w:after="0" w:line="1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5"/>
          <w:szCs w:val="15"/>
          <w:color w:val="auto"/>
        </w:rPr>
        <w:t>(Principal Financial and Accounting Officer)</w:t>
      </w:r>
    </w:p>
    <w:p>
      <w:pPr>
        <w:spacing w:after="0" w:line="359" w:lineRule="exact"/>
        <w:rPr>
          <w:sz w:val="20"/>
          <w:szCs w:val="20"/>
          <w:color w:val="auto"/>
        </w:rPr>
      </w:pPr>
    </w:p>
    <w:p>
      <w:pPr>
        <w:ind w:right="40" w:firstLine="273"/>
        <w:spacing w:after="0" w:line="288"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Date: November 8, 2024</w:t>
            </w:r>
          </w:p>
        </w:tc>
        <w:tc>
          <w:tcPr>
            <w:tcW w:w="2460" w:type="dxa"/>
            <w:vAlign w:val="bottom"/>
          </w:tcPr>
          <w:p>
            <w:pPr>
              <w:ind w:left="2240"/>
              <w:spacing w:after="0"/>
              <w:rPr>
                <w:sz w:val="20"/>
                <w:szCs w:val="20"/>
                <w:color w:val="auto"/>
              </w:rPr>
            </w:pPr>
            <w:r>
              <w:rPr>
                <w:rFonts w:ascii="Times New Roman" w:cs="Times New Roman" w:eastAsia="Times New Roman" w:hAnsi="Times New Roman"/>
                <w:sz w:val="15"/>
                <w:szCs w:val="15"/>
                <w:color w:val="auto"/>
                <w:w w:val="92"/>
              </w:rPr>
              <w:t>By:</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i w:val="1"/>
                <w:iCs w:val="1"/>
                <w:color w:val="auto"/>
              </w:rPr>
              <w:t>/s/ Mark D. Klein</w:t>
            </w:r>
          </w:p>
        </w:tc>
      </w:tr>
      <w:tr>
        <w:trPr>
          <w:trHeight w:val="159"/>
        </w:trPr>
        <w:tc>
          <w:tcPr>
            <w:tcW w:w="35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5280" w:type="dxa"/>
            <w:vAlign w:val="bottom"/>
          </w:tcPr>
          <w:p>
            <w:pPr>
              <w:jc w:val="center"/>
              <w:spacing w:after="0" w:line="159" w:lineRule="exact"/>
              <w:rPr>
                <w:sz w:val="20"/>
                <w:szCs w:val="20"/>
                <w:color w:val="auto"/>
              </w:rPr>
            </w:pPr>
            <w:r>
              <w:rPr>
                <w:rFonts w:ascii="Times New Roman" w:cs="Times New Roman" w:eastAsia="Times New Roman" w:hAnsi="Times New Roman"/>
                <w:sz w:val="15"/>
                <w:szCs w:val="15"/>
                <w:b w:val="1"/>
                <w:bCs w:val="1"/>
                <w:color w:val="auto"/>
              </w:rPr>
              <w:t>Mark D. Klein</w:t>
            </w:r>
          </w:p>
        </w:tc>
      </w:tr>
      <w:tr>
        <w:trPr>
          <w:trHeight w:val="182"/>
        </w:trPr>
        <w:tc>
          <w:tcPr>
            <w:tcW w:w="35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Chairman, President and Chief Executive Officer</w:t>
            </w:r>
          </w:p>
        </w:tc>
      </w:tr>
      <w:tr>
        <w:trPr>
          <w:trHeight w:val="178"/>
        </w:trPr>
        <w:tc>
          <w:tcPr>
            <w:tcW w:w="35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(Principal Executive Officer)</w:t>
            </w:r>
          </w:p>
        </w:tc>
      </w:tr>
      <w:tr>
        <w:trPr>
          <w:trHeight w:val="201"/>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Date: November 8, 2024</w:t>
            </w:r>
          </w:p>
        </w:tc>
        <w:tc>
          <w:tcPr>
            <w:tcW w:w="2460" w:type="dxa"/>
            <w:vAlign w:val="bottom"/>
          </w:tcPr>
          <w:p>
            <w:pPr>
              <w:ind w:left="2240"/>
              <w:spacing w:after="0"/>
              <w:rPr>
                <w:sz w:val="20"/>
                <w:szCs w:val="20"/>
                <w:color w:val="auto"/>
              </w:rPr>
            </w:pPr>
            <w:r>
              <w:rPr>
                <w:rFonts w:ascii="Times New Roman" w:cs="Times New Roman" w:eastAsia="Times New Roman" w:hAnsi="Times New Roman"/>
                <w:sz w:val="15"/>
                <w:szCs w:val="15"/>
                <w:color w:val="auto"/>
                <w:w w:val="92"/>
              </w:rPr>
              <w:t>By:</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i w:val="1"/>
                <w:iCs w:val="1"/>
                <w:color w:val="auto"/>
              </w:rPr>
              <w:t>/s/ Allison Green</w:t>
            </w:r>
          </w:p>
        </w:tc>
      </w:tr>
      <w:tr>
        <w:trPr>
          <w:trHeight w:val="159"/>
        </w:trPr>
        <w:tc>
          <w:tcPr>
            <w:tcW w:w="35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5280" w:type="dxa"/>
            <w:vAlign w:val="bottom"/>
          </w:tcPr>
          <w:p>
            <w:pPr>
              <w:jc w:val="center"/>
              <w:spacing w:after="0" w:line="159" w:lineRule="exact"/>
              <w:rPr>
                <w:sz w:val="20"/>
                <w:szCs w:val="20"/>
                <w:color w:val="auto"/>
              </w:rPr>
            </w:pPr>
            <w:r>
              <w:rPr>
                <w:rFonts w:ascii="Times New Roman" w:cs="Times New Roman" w:eastAsia="Times New Roman" w:hAnsi="Times New Roman"/>
                <w:sz w:val="15"/>
                <w:szCs w:val="15"/>
                <w:b w:val="1"/>
                <w:bCs w:val="1"/>
                <w:color w:val="auto"/>
              </w:rPr>
              <w:t>Allison Green</w:t>
            </w:r>
          </w:p>
        </w:tc>
      </w:tr>
      <w:tr>
        <w:trPr>
          <w:trHeight w:val="182"/>
        </w:trPr>
        <w:tc>
          <w:tcPr>
            <w:tcW w:w="35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Chief Financial Officer, Chief Compliance Officer, Treasurer, and Corporate Secretary</w:t>
            </w:r>
          </w:p>
        </w:tc>
      </w:tr>
      <w:tr>
        <w:trPr>
          <w:trHeight w:val="197"/>
        </w:trPr>
        <w:tc>
          <w:tcPr>
            <w:tcW w:w="35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(Principal Financial and Accounting Officer)</w:t>
            </w:r>
          </w:p>
        </w:tc>
      </w:tr>
      <w:tr>
        <w:trPr>
          <w:trHeight w:val="364"/>
        </w:trPr>
        <w:tc>
          <w:tcPr>
            <w:tcW w:w="35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color w:val="auto"/>
              </w:rPr>
              <w:t>64</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577" w:right="31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5"/>
          <w:szCs w:val="15"/>
          <w:b w:val="1"/>
          <w:bCs w:val="1"/>
          <w:color w:val="auto"/>
        </w:rPr>
        <w:t>Exhibit 31.1</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of Chief Executive Officer of SuRo Capital Corp.</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Rule 13a-14(a) under the Exchange Act,</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as adopted pursuant to Section 302 of the Sarbanes-Oxley Act of 2002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Mark D. Klein, certify that:</w:t>
      </w:r>
    </w:p>
    <w:p>
      <w:pPr>
        <w:spacing w:after="0" w:line="192" w:lineRule="exact"/>
        <w:rPr>
          <w:sz w:val="20"/>
          <w:szCs w:val="20"/>
          <w:color w:val="auto"/>
        </w:rPr>
      </w:pPr>
    </w:p>
    <w:p>
      <w:pPr>
        <w:ind w:left="540" w:hanging="275"/>
        <w:spacing w:after="0"/>
        <w:tabs>
          <w:tab w:leader="none" w:pos="5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quarterly report on Form 10-Q of SuRo Capital Corp.;</w:t>
      </w:r>
    </w:p>
    <w:p>
      <w:pPr>
        <w:spacing w:after="0" w:line="192" w:lineRule="exact"/>
        <w:rPr>
          <w:rFonts w:ascii="Times New Roman" w:cs="Times New Roman" w:eastAsia="Times New Roman" w:hAnsi="Times New Roman"/>
          <w:sz w:val="15"/>
          <w:szCs w:val="15"/>
          <w:color w:val="auto"/>
        </w:rPr>
      </w:pPr>
    </w:p>
    <w:p>
      <w:pPr>
        <w:ind w:left="540" w:right="20" w:hanging="275"/>
        <w:spacing w:after="0" w:line="288" w:lineRule="auto"/>
        <w:tabs>
          <w:tab w:leader="none" w:pos="5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Times New Roman" w:cs="Times New Roman" w:eastAsia="Times New Roman" w:hAnsi="Times New Roman"/>
          <w:sz w:val="15"/>
          <w:szCs w:val="15"/>
          <w:color w:val="auto"/>
        </w:rPr>
      </w:pPr>
    </w:p>
    <w:p>
      <w:pPr>
        <w:ind w:left="540" w:hanging="275"/>
        <w:spacing w:after="0" w:line="288" w:lineRule="auto"/>
        <w:tabs>
          <w:tab w:leader="none" w:pos="5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Times New Roman" w:cs="Times New Roman" w:eastAsia="Times New Roman" w:hAnsi="Times New Roman"/>
          <w:sz w:val="15"/>
          <w:szCs w:val="15"/>
          <w:color w:val="auto"/>
        </w:rPr>
      </w:pPr>
    </w:p>
    <w:p>
      <w:pPr>
        <w:ind w:left="540" w:right="20" w:hanging="275"/>
        <w:spacing w:after="0" w:line="288" w:lineRule="auto"/>
        <w:tabs>
          <w:tab w:leader="none" w:pos="5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Times New Roman" w:cs="Times New Roman" w:eastAsia="Times New Roman" w:hAnsi="Times New Roman"/>
          <w:sz w:val="15"/>
          <w:szCs w:val="15"/>
          <w:color w:val="auto"/>
        </w:rPr>
      </w:pPr>
    </w:p>
    <w:p>
      <w:pPr>
        <w:jc w:val="both"/>
        <w:ind w:left="820" w:hanging="282"/>
        <w:spacing w:after="0" w:line="270" w:lineRule="auto"/>
        <w:tabs>
          <w:tab w:leader="none" w:pos="820" w:val="left"/>
        </w:tabs>
        <w:numPr>
          <w:ilvl w:val="1"/>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Times New Roman" w:cs="Times New Roman" w:eastAsia="Times New Roman" w:hAnsi="Times New Roman"/>
          <w:sz w:val="15"/>
          <w:szCs w:val="15"/>
          <w:color w:val="auto"/>
        </w:rPr>
      </w:pPr>
    </w:p>
    <w:p>
      <w:pPr>
        <w:jc w:val="both"/>
        <w:ind w:left="820" w:right="20" w:hanging="282"/>
        <w:spacing w:after="0" w:line="270" w:lineRule="auto"/>
        <w:tabs>
          <w:tab w:leader="none" w:pos="820" w:val="left"/>
        </w:tabs>
        <w:numPr>
          <w:ilvl w:val="1"/>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Times New Roman" w:cs="Times New Roman" w:eastAsia="Times New Roman" w:hAnsi="Times New Roman"/>
          <w:sz w:val="15"/>
          <w:szCs w:val="15"/>
          <w:color w:val="auto"/>
        </w:rPr>
      </w:pPr>
    </w:p>
    <w:p>
      <w:pPr>
        <w:ind w:left="820" w:right="20" w:hanging="282"/>
        <w:spacing w:after="0" w:line="288" w:lineRule="auto"/>
        <w:tabs>
          <w:tab w:leader="none" w:pos="820" w:val="left"/>
        </w:tabs>
        <w:numPr>
          <w:ilvl w:val="1"/>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Times New Roman" w:cs="Times New Roman" w:eastAsia="Times New Roman" w:hAnsi="Times New Roman"/>
          <w:sz w:val="15"/>
          <w:szCs w:val="15"/>
          <w:color w:val="auto"/>
        </w:rPr>
      </w:pPr>
    </w:p>
    <w:p>
      <w:pPr>
        <w:jc w:val="both"/>
        <w:ind w:left="820" w:hanging="282"/>
        <w:spacing w:after="0" w:line="270" w:lineRule="auto"/>
        <w:tabs>
          <w:tab w:leader="none" w:pos="820" w:val="left"/>
        </w:tabs>
        <w:numPr>
          <w:ilvl w:val="1"/>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5"/>
          <w:szCs w:val="15"/>
          <w:color w:val="auto"/>
        </w:rPr>
      </w:pPr>
    </w:p>
    <w:p>
      <w:pPr>
        <w:ind w:left="540" w:hanging="275"/>
        <w:spacing w:after="0" w:line="288" w:lineRule="auto"/>
        <w:tabs>
          <w:tab w:leader="none" w:pos="5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Times New Roman" w:cs="Times New Roman" w:eastAsia="Times New Roman" w:hAnsi="Times New Roman"/>
          <w:sz w:val="15"/>
          <w:szCs w:val="15"/>
          <w:color w:val="auto"/>
        </w:rPr>
      </w:pPr>
    </w:p>
    <w:p>
      <w:pPr>
        <w:ind w:left="820" w:hanging="282"/>
        <w:spacing w:after="0" w:line="288" w:lineRule="auto"/>
        <w:tabs>
          <w:tab w:leader="none" w:pos="820" w:val="left"/>
        </w:tabs>
        <w:numPr>
          <w:ilvl w:val="1"/>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Times New Roman" w:cs="Times New Roman" w:eastAsia="Times New Roman" w:hAnsi="Times New Roman"/>
          <w:sz w:val="15"/>
          <w:szCs w:val="15"/>
          <w:color w:val="auto"/>
        </w:rPr>
      </w:pPr>
    </w:p>
    <w:p>
      <w:pPr>
        <w:ind w:left="820" w:hanging="282"/>
        <w:spacing w:after="0"/>
        <w:tabs>
          <w:tab w:leader="none" w:pos="820" w:val="left"/>
        </w:tabs>
        <w:numPr>
          <w:ilvl w:val="1"/>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Dated this 8th day of November, 2024.</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By:  </w:t>
      </w:r>
      <w:r>
        <w:rPr>
          <w:rFonts w:ascii="Times New Roman" w:cs="Times New Roman" w:eastAsia="Times New Roman" w:hAnsi="Times New Roman"/>
          <w:sz w:val="15"/>
          <w:szCs w:val="15"/>
          <w:i w:val="1"/>
          <w:iCs w:val="1"/>
          <w:color w:val="auto"/>
        </w:rPr>
        <w:t>/s/ Mark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17780</wp:posOffset>
            </wp:positionV>
            <wp:extent cx="328422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3284220" cy="6985"/>
                    </a:xfrm>
                    <a:prstGeom prst="rect">
                      <a:avLst/>
                    </a:prstGeom>
                    <a:noFill/>
                  </pic:spPr>
                </pic:pic>
              </a:graphicData>
            </a:graphic>
          </wp:anchor>
        </w:drawing>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b w:val="1"/>
          <w:bCs w:val="1"/>
          <w:color w:val="auto"/>
        </w:rPr>
        <w:t>Mark D. Klein</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5391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5"/>
          <w:szCs w:val="15"/>
          <w:b w:val="1"/>
          <w:bCs w:val="1"/>
          <w:color w:val="auto"/>
        </w:rPr>
        <w:t>Exhibit 31.2</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of Chief Financial Officer of SuRo Capital Corp.</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Rule 13a-14(a) under the Exchange Act,</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as adopted pursuant to Section 302 of the Sarbanes-Oxley Act of 2002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Allison Green, certify that:</w:t>
      </w:r>
    </w:p>
    <w:p>
      <w:pPr>
        <w:spacing w:after="0" w:line="192" w:lineRule="exact"/>
        <w:rPr>
          <w:sz w:val="20"/>
          <w:szCs w:val="20"/>
          <w:color w:val="auto"/>
        </w:rPr>
      </w:pPr>
    </w:p>
    <w:p>
      <w:pPr>
        <w:ind w:left="540" w:hanging="275"/>
        <w:spacing w:after="0"/>
        <w:tabs>
          <w:tab w:leader="none" w:pos="5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quarterly report on Form 10-Q of SuRo Capital Corp.;</w:t>
      </w:r>
    </w:p>
    <w:p>
      <w:pPr>
        <w:spacing w:after="0" w:line="192" w:lineRule="exact"/>
        <w:rPr>
          <w:rFonts w:ascii="Times New Roman" w:cs="Times New Roman" w:eastAsia="Times New Roman" w:hAnsi="Times New Roman"/>
          <w:sz w:val="15"/>
          <w:szCs w:val="15"/>
          <w:color w:val="auto"/>
        </w:rPr>
      </w:pPr>
    </w:p>
    <w:p>
      <w:pPr>
        <w:ind w:left="540" w:right="20" w:hanging="275"/>
        <w:spacing w:after="0" w:line="288" w:lineRule="auto"/>
        <w:tabs>
          <w:tab w:leader="none" w:pos="5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Times New Roman" w:cs="Times New Roman" w:eastAsia="Times New Roman" w:hAnsi="Times New Roman"/>
          <w:sz w:val="15"/>
          <w:szCs w:val="15"/>
          <w:color w:val="auto"/>
        </w:rPr>
      </w:pPr>
    </w:p>
    <w:p>
      <w:pPr>
        <w:ind w:left="540" w:hanging="275"/>
        <w:spacing w:after="0" w:line="288" w:lineRule="auto"/>
        <w:tabs>
          <w:tab w:leader="none" w:pos="5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Times New Roman" w:cs="Times New Roman" w:eastAsia="Times New Roman" w:hAnsi="Times New Roman"/>
          <w:sz w:val="15"/>
          <w:szCs w:val="15"/>
          <w:color w:val="auto"/>
        </w:rPr>
      </w:pPr>
    </w:p>
    <w:p>
      <w:pPr>
        <w:ind w:left="540" w:right="20" w:hanging="275"/>
        <w:spacing w:after="0" w:line="288" w:lineRule="auto"/>
        <w:tabs>
          <w:tab w:leader="none" w:pos="5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Times New Roman" w:cs="Times New Roman" w:eastAsia="Times New Roman" w:hAnsi="Times New Roman"/>
          <w:sz w:val="15"/>
          <w:szCs w:val="15"/>
          <w:color w:val="auto"/>
        </w:rPr>
      </w:pPr>
    </w:p>
    <w:p>
      <w:pPr>
        <w:jc w:val="both"/>
        <w:ind w:left="820" w:hanging="282"/>
        <w:spacing w:after="0" w:line="270" w:lineRule="auto"/>
        <w:tabs>
          <w:tab w:leader="none" w:pos="820" w:val="left"/>
        </w:tabs>
        <w:numPr>
          <w:ilvl w:val="1"/>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Times New Roman" w:cs="Times New Roman" w:eastAsia="Times New Roman" w:hAnsi="Times New Roman"/>
          <w:sz w:val="15"/>
          <w:szCs w:val="15"/>
          <w:color w:val="auto"/>
        </w:rPr>
      </w:pPr>
    </w:p>
    <w:p>
      <w:pPr>
        <w:jc w:val="both"/>
        <w:ind w:left="820" w:right="20" w:hanging="282"/>
        <w:spacing w:after="0" w:line="270" w:lineRule="auto"/>
        <w:tabs>
          <w:tab w:leader="none" w:pos="820" w:val="left"/>
        </w:tabs>
        <w:numPr>
          <w:ilvl w:val="1"/>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Times New Roman" w:cs="Times New Roman" w:eastAsia="Times New Roman" w:hAnsi="Times New Roman"/>
          <w:sz w:val="15"/>
          <w:szCs w:val="15"/>
          <w:color w:val="auto"/>
        </w:rPr>
      </w:pPr>
    </w:p>
    <w:p>
      <w:pPr>
        <w:ind w:left="820" w:right="20" w:hanging="282"/>
        <w:spacing w:after="0" w:line="288" w:lineRule="auto"/>
        <w:tabs>
          <w:tab w:leader="none" w:pos="820" w:val="left"/>
        </w:tabs>
        <w:numPr>
          <w:ilvl w:val="1"/>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Times New Roman" w:cs="Times New Roman" w:eastAsia="Times New Roman" w:hAnsi="Times New Roman"/>
          <w:sz w:val="15"/>
          <w:szCs w:val="15"/>
          <w:color w:val="auto"/>
        </w:rPr>
      </w:pPr>
    </w:p>
    <w:p>
      <w:pPr>
        <w:jc w:val="both"/>
        <w:ind w:left="820" w:hanging="282"/>
        <w:spacing w:after="0" w:line="270" w:lineRule="auto"/>
        <w:tabs>
          <w:tab w:leader="none" w:pos="820" w:val="left"/>
        </w:tabs>
        <w:numPr>
          <w:ilvl w:val="1"/>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Times New Roman" w:cs="Times New Roman" w:eastAsia="Times New Roman" w:hAnsi="Times New Roman"/>
          <w:sz w:val="15"/>
          <w:szCs w:val="15"/>
          <w:color w:val="auto"/>
        </w:rPr>
      </w:pPr>
    </w:p>
    <w:p>
      <w:pPr>
        <w:ind w:left="540" w:hanging="275"/>
        <w:spacing w:after="0" w:line="288" w:lineRule="auto"/>
        <w:tabs>
          <w:tab w:leader="none" w:pos="5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Times New Roman" w:cs="Times New Roman" w:eastAsia="Times New Roman" w:hAnsi="Times New Roman"/>
          <w:sz w:val="15"/>
          <w:szCs w:val="15"/>
          <w:color w:val="auto"/>
        </w:rPr>
      </w:pPr>
    </w:p>
    <w:p>
      <w:pPr>
        <w:ind w:left="820" w:hanging="282"/>
        <w:spacing w:after="0" w:line="288" w:lineRule="auto"/>
        <w:tabs>
          <w:tab w:leader="none" w:pos="820" w:val="left"/>
        </w:tabs>
        <w:numPr>
          <w:ilvl w:val="1"/>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Times New Roman" w:cs="Times New Roman" w:eastAsia="Times New Roman" w:hAnsi="Times New Roman"/>
          <w:sz w:val="15"/>
          <w:szCs w:val="15"/>
          <w:color w:val="auto"/>
        </w:rPr>
      </w:pPr>
    </w:p>
    <w:p>
      <w:pPr>
        <w:ind w:right="260" w:firstLine="538"/>
        <w:spacing w:after="0" w:line="504" w:lineRule="auto"/>
        <w:tabs>
          <w:tab w:leader="none" w:pos="820" w:val="left"/>
        </w:tabs>
        <w:numPr>
          <w:ilvl w:val="1"/>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 Dated this 8th day of November, 2024.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By:  </w:t>
      </w:r>
      <w:r>
        <w:rPr>
          <w:rFonts w:ascii="Times New Roman" w:cs="Times New Roman" w:eastAsia="Times New Roman" w:hAnsi="Times New Roman"/>
          <w:sz w:val="15"/>
          <w:szCs w:val="15"/>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17780</wp:posOffset>
            </wp:positionV>
            <wp:extent cx="328422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3284220" cy="6985"/>
                    </a:xfrm>
                    <a:prstGeom prst="rect">
                      <a:avLst/>
                    </a:prstGeom>
                    <a:noFill/>
                  </pic:spPr>
                </pic:pic>
              </a:graphicData>
            </a:graphic>
          </wp:anchor>
        </w:drawing>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b w:val="1"/>
          <w:bCs w:val="1"/>
          <w:color w:val="auto"/>
        </w:rPr>
        <w:t>Allison Green</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5391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5"/>
          <w:szCs w:val="15"/>
          <w:b w:val="1"/>
          <w:bCs w:val="1"/>
          <w:color w:val="auto"/>
        </w:rPr>
        <w:t>Exhibit 32.1</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of Chief Executive Officer</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 (18 U.S.C. 1350)</w:t>
      </w:r>
    </w:p>
    <w:p>
      <w:pPr>
        <w:spacing w:after="0" w:line="177" w:lineRule="exact"/>
        <w:rPr>
          <w:sz w:val="20"/>
          <w:szCs w:val="20"/>
          <w:color w:val="auto"/>
        </w:rPr>
      </w:pPr>
    </w:p>
    <w:p>
      <w:pPr>
        <w:ind w:firstLine="273"/>
        <w:spacing w:after="0" w:line="288" w:lineRule="auto"/>
        <w:rPr>
          <w:sz w:val="20"/>
          <w:szCs w:val="20"/>
          <w:color w:val="auto"/>
        </w:rPr>
      </w:pPr>
      <w:r>
        <w:rPr>
          <w:rFonts w:ascii="Times New Roman" w:cs="Times New Roman" w:eastAsia="Times New Roman" w:hAnsi="Times New Roman"/>
          <w:sz w:val="15"/>
          <w:szCs w:val="15"/>
          <w:color w:val="auto"/>
        </w:rPr>
        <w:t>In connection with the quarterly report on Form 10-Q for the three and nine months ended September 30, 2024 (the “Report”) of SuRo Capital Corp. (the “Registrant”), as filed with the Securities and Exchange Commission on the date hereof, I, Mark D. Klein, the Chief Executive Officer of the Registrant, hereby certify, to the best of my knowledge, that:</w:t>
      </w:r>
    </w:p>
    <w:p>
      <w:pPr>
        <w:spacing w:after="0" w:line="133" w:lineRule="exact"/>
        <w:rPr>
          <w:sz w:val="20"/>
          <w:szCs w:val="20"/>
          <w:color w:val="auto"/>
        </w:rPr>
      </w:pPr>
    </w:p>
    <w:p>
      <w:pPr>
        <w:ind w:left="540" w:hanging="275"/>
        <w:spacing w:after="0"/>
        <w:tabs>
          <w:tab w:leader="none" w:pos="54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as amended; and</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Registrant.</w:t>
      </w:r>
    </w:p>
    <w:p>
      <w:pPr>
        <w:spacing w:after="0" w:line="21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5"/>
          <w:szCs w:val="15"/>
          <w:i w:val="1"/>
          <w:iCs w:val="1"/>
          <w:color w:val="auto"/>
        </w:rPr>
        <w:t>/s/ Mark D. Klein</w:t>
      </w:r>
    </w:p>
    <w:p>
      <w:pPr>
        <w:spacing w:after="0" w:line="29"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5"/>
          <w:szCs w:val="15"/>
          <w:b w:val="1"/>
          <w:bCs w:val="1"/>
          <w:color w:val="auto"/>
        </w:rPr>
        <w:t>Name:</w:t>
        <w:tab/>
        <w:t>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-102235</wp:posOffset>
            </wp:positionV>
            <wp:extent cx="321881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3218815" cy="6985"/>
                    </a:xfrm>
                    <a:prstGeom prst="rect">
                      <a:avLst/>
                    </a:prstGeom>
                    <a:noFill/>
                  </pic:spPr>
                </pic:pic>
              </a:graphicData>
            </a:graphic>
          </wp:anchor>
        </w:drawing>
      </w:r>
    </w:p>
    <w:p>
      <w:pPr>
        <w:spacing w:after="0" w:line="13"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5"/>
          <w:szCs w:val="15"/>
          <w:color w:val="auto"/>
        </w:rPr>
        <w:t>Date:</w:t>
        <w:tab/>
        <w:t>November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5391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5"/>
          <w:szCs w:val="15"/>
          <w:b w:val="1"/>
          <w:bCs w:val="1"/>
          <w:color w:val="auto"/>
        </w:rPr>
        <w:t>Exhibit 32.2</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of Chief Financial Officer</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 (18 U.S.C. 1350)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connection with the quarterly report on Form 10-Q for the three and nine months ended September 30, 2024 (the “Report”) of SuRo Capital Corp. (the “Registrant”), as filed with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Securities and Exchange Commission on the date hereof, I, Allison Green, the Chief Financial Officer of the Registrant, hereby certify, to the best of my knowledge, that:</w:t>
      </w:r>
    </w:p>
    <w:p>
      <w:pPr>
        <w:spacing w:after="0" w:line="177" w:lineRule="exact"/>
        <w:rPr>
          <w:sz w:val="20"/>
          <w:szCs w:val="20"/>
          <w:color w:val="auto"/>
        </w:rPr>
      </w:pPr>
    </w:p>
    <w:p>
      <w:pPr>
        <w:ind w:left="540" w:hanging="275"/>
        <w:spacing w:after="0"/>
        <w:tabs>
          <w:tab w:leader="none" w:pos="54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as amended; and</w:t>
      </w:r>
    </w:p>
    <w:p>
      <w:pPr>
        <w:spacing w:after="0" w:line="192" w:lineRule="exact"/>
        <w:rPr>
          <w:rFonts w:ascii="Times New Roman" w:cs="Times New Roman" w:eastAsia="Times New Roman" w:hAnsi="Times New Roman"/>
          <w:sz w:val="15"/>
          <w:szCs w:val="15"/>
          <w:color w:val="auto"/>
        </w:rPr>
      </w:pPr>
    </w:p>
    <w:p>
      <w:pPr>
        <w:ind w:left="540" w:hanging="275"/>
        <w:spacing w:after="0"/>
        <w:tabs>
          <w:tab w:leader="none" w:pos="54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Registrant.</w:t>
      </w:r>
    </w:p>
    <w:p>
      <w:pPr>
        <w:spacing w:after="0" w:line="21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5"/>
          <w:szCs w:val="15"/>
          <w:i w:val="1"/>
          <w:iCs w:val="1"/>
          <w:color w:val="auto"/>
        </w:rPr>
        <w:t>/s/ Allison Green</w:t>
      </w:r>
    </w:p>
    <w:p>
      <w:pPr>
        <w:spacing w:after="0" w:line="29"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5"/>
          <w:szCs w:val="15"/>
          <w:b w:val="1"/>
          <w:bCs w:val="1"/>
          <w:color w:val="auto"/>
        </w:rPr>
        <w:t>Name:</w:t>
        <w:tab/>
        <w:t>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-102235</wp:posOffset>
            </wp:positionV>
            <wp:extent cx="321881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3218815" cy="6985"/>
                    </a:xfrm>
                    <a:prstGeom prst="rect">
                      <a:avLst/>
                    </a:prstGeom>
                    <a:noFill/>
                  </pic:spPr>
                </pic:pic>
              </a:graphicData>
            </a:graphic>
          </wp:anchor>
        </w:drawing>
      </w:r>
    </w:p>
    <w:p>
      <w:pPr>
        <w:spacing w:after="0" w:line="13"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5"/>
          <w:szCs w:val="15"/>
          <w:color w:val="auto"/>
        </w:rPr>
        <w:t>Date:</w:t>
        <w:tab/>
        <w:t>November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5391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sectPr>
      <w:pgSz w:w="11900" w:h="16838" w:orient="portrait"/>
      <w:cols w:equalWidth="0" w:num="1">
        <w:col w:w="11260"/>
      </w:cols>
      <w:pgMar w:left="320" w:top="30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decimal"/>
      <w:start w:val="1"/>
    </w:lvl>
  </w:abstractNum>
  <w:abstractNum w:abstractNumId="3">
    <w:nsid w:val="8138641"/>
    <w:multiLevelType w:val="hybridMultilevel"/>
    <w:lvl w:ilvl="0">
      <w:lvlJc w:val="left"/>
      <w:lvlText w:val="(%1)"/>
      <w:numFmt w:val="decimal"/>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1)"/>
      <w:numFmt w:val="decimal"/>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1)"/>
      <w:numFmt w:val="decimal"/>
      <w:start w:val="1"/>
    </w:lvl>
  </w:abstractNum>
  <w:abstractNum w:abstractNumId="12">
    <w:nsid w:val="419AC241"/>
    <w:multiLevelType w:val="hybridMultilevel"/>
    <w:lvl w:ilvl="0">
      <w:lvlJc w:val="left"/>
      <w:lvlText w:val="%1."/>
      <w:numFmt w:val="decimal"/>
      <w:start w:val="1"/>
    </w:lvl>
  </w:abstractNum>
  <w:abstractNum w:abstractNumId="13">
    <w:nsid w:val="5577F8E1"/>
    <w:multiLevelType w:val="hybridMultilevel"/>
    <w:lvl w:ilvl="0">
      <w:lvlJc w:val="left"/>
      <w:lvlText w:val="%1."/>
      <w:numFmt w:val="decimal"/>
      <w:start w:val="4"/>
    </w:lvl>
  </w:abstractNum>
  <w:abstractNum w:abstractNumId="14">
    <w:nsid w:val="440BADFC"/>
    <w:multiLevelType w:val="hybridMultilevel"/>
    <w:lvl w:ilvl="0">
      <w:lvlJc w:val="left"/>
      <w:lvlText w:val="(%1)"/>
      <w:numFmt w:val="decimal"/>
      <w:start w:val="1"/>
    </w:lvl>
  </w:abstractNum>
  <w:abstractNum w:abstractNumId="15">
    <w:nsid w:val="5072367"/>
    <w:multiLevelType w:val="hybridMultilevel"/>
    <w:lvl w:ilvl="0">
      <w:lvlJc w:val="left"/>
      <w:lvlText w:val="(%1)"/>
      <w:numFmt w:val="decimal"/>
      <w:start w:val="1"/>
    </w:lvl>
  </w:abstractNum>
  <w:abstractNum w:abstractNumId="16">
    <w:nsid w:val="3804823E"/>
    <w:multiLevelType w:val="hybridMultilevel"/>
    <w:lvl w:ilvl="0">
      <w:lvlJc w:val="left"/>
      <w:lvlText w:val="(%1)"/>
      <w:numFmt w:val="decimal"/>
      <w:start w:val="1"/>
    </w:lvl>
  </w:abstractNum>
  <w:abstractNum w:abstractNumId="17">
    <w:nsid w:val="77465F01"/>
    <w:multiLevelType w:val="hybridMultilevel"/>
    <w:lvl w:ilvl="0">
      <w:lvlJc w:val="left"/>
      <w:lvlText w:val="(%1)"/>
      <w:numFmt w:val="decimal"/>
      <w:start w:val="1"/>
    </w:lvl>
  </w:abstractNum>
  <w:abstractNum w:abstractNumId="18">
    <w:nsid w:val="7724C67E"/>
    <w:multiLevelType w:val="hybridMultilevel"/>
    <w:lvl w:ilvl="0">
      <w:lvlJc w:val="left"/>
      <w:lvlText w:val="(%1)"/>
      <w:numFmt w:val="decimal"/>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1)"/>
      <w:numFmt w:val="decimal"/>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amp;"/>
      <w:numFmt w:val="bullet"/>
      <w:start w:val="1"/>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1)"/>
      <w:numFmt w:val="decimal"/>
      <w:start w:val="1"/>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decimal"/>
      <w:start w:val="7"/>
    </w:lvl>
  </w:abstractNum>
  <w:abstractNum w:abstractNumId="48">
    <w:nsid w:val="12E685FB"/>
    <w:multiLevelType w:val="hybridMultilevel"/>
    <w:lvl w:ilvl="0">
      <w:lvlJc w:val="left"/>
      <w:lvlText w:val="(%1)"/>
      <w:numFmt w:val="decimal"/>
      <w:start w:val="1"/>
    </w:lvl>
  </w:abstractNum>
  <w:abstractNum w:abstractNumId="49">
    <w:nsid w:val="70C6A529"/>
    <w:multiLevelType w:val="hybridMultilevel"/>
    <w:lvl w:ilvl="0">
      <w:lvlJc w:val="left"/>
      <w:lvlText w:val="(%1)"/>
      <w:numFmt w:val="lowerLetter"/>
      <w:start w:val="1"/>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16" Type="http://schemas.openxmlformats.org/officeDocument/2006/relationships/hyperlink" Target="https://www.sec.gov/Archives/edgar/data/1509470/000113379611000069/k216228_ex99-2a.htm" TargetMode="External"/><Relationship Id="rId117" Type="http://schemas.openxmlformats.org/officeDocument/2006/relationships/hyperlink" Target="https://www.sec.gov/Archives/edgar/data/1509470/000114420411033389/v224342_ex3-1.htm" TargetMode="External"/><Relationship Id="rId118" Type="http://schemas.openxmlformats.org/officeDocument/2006/relationships/hyperlink" Target="https://www.sec.gov/Archives/edgar/data/1509470/000114420419037014/tv526412_ex3-1.htm" TargetMode="External"/><Relationship Id="rId119" Type="http://schemas.openxmlformats.org/officeDocument/2006/relationships/hyperlink" Target="https://www.sec.gov/Archives/edgar/data/1509470/000110465920073783/tm2022743d1_ex3-1.htm" TargetMode="External"/><Relationship Id="rId120" Type="http://schemas.openxmlformats.org/officeDocument/2006/relationships/hyperlink" Target="https://www.sec.gov/Archives/edgar/data/1509470/000110465920073783/tm2022743d1_ex3-2.htm" TargetMode="External"/><Relationship Id="rId121" Type="http://schemas.openxmlformats.org/officeDocument/2006/relationships/hyperlink" Target="https://www.sec.gov/Archives/edgar/data/1509470/000110465920080689/tm2023838d1_ex-d3.htm" TargetMode="External"/><Relationship Id="rId122" Type="http://schemas.openxmlformats.org/officeDocument/2006/relationships/hyperlink" Target="https://www.sec.gov/Archives/edgar/data/1509470/000110465921150924/tm2135610d1_ex4-2.htm" TargetMode="External"/><Relationship Id="rId123" Type="http://schemas.openxmlformats.org/officeDocument/2006/relationships/hyperlink" Target="https://www.sec.gov/Archives/edgar/data/1509470/000110465921150924/tm2135610d1_ex4-2.htm#S1" TargetMode="External"/><Relationship Id="rId124" Type="http://schemas.openxmlformats.org/officeDocument/2006/relationships/hyperlink" Target="https://www.sec.gov/Archives/edgar/data/1509470/000162828022005867/surocapital-form10xkex45.htm" TargetMode="External"/><Relationship Id="rId125" Type="http://schemas.openxmlformats.org/officeDocument/2006/relationships/hyperlink" Target="https://www.sec.gov/Archives/edgar/data/1509470/000149315224030665/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2024-11-08T08:05:09Z</dcterms:created>
  <dcterms:modified xsi:type="dcterms:W3CDTF">2024-11-08T08:05:09Z</dcterms:modified>
</cp:coreProperties>
</file>