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300" w:right="1880" w:hanging="3292"/>
        <w:spacing w:after="0" w:line="479" w:lineRule="auto"/>
        <w:tabs>
          <w:tab w:leader="none" w:pos="20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38" w:lineRule="exact"/>
        <w:rPr>
          <w:sz w:val="24"/>
          <w:szCs w:val="24"/>
          <w:color w:val="auto"/>
        </w:rPr>
      </w:pPr>
    </w:p>
    <w:p>
      <w:pPr>
        <w:ind w:left="3920" w:right="1860" w:hanging="3912"/>
        <w:spacing w:after="0" w:line="537" w:lineRule="auto"/>
        <w:tabs>
          <w:tab w:leader="none" w:pos="21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-24765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SuRo Capital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7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27-4443543</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4"/>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8"/>
              </w:rPr>
              <w:t>640 Fifth Avenue, 12th Floor, New York, NY</w:t>
            </w:r>
          </w:p>
        </w:tc>
        <w:tc>
          <w:tcPr>
            <w:tcW w:w="37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10019</w:t>
            </w:r>
          </w:p>
        </w:tc>
      </w:tr>
      <w:tr>
        <w:trPr>
          <w:trHeight w:val="234"/>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7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931-6331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SSSS</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34"/>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6.00% Notes due 2026</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SSSSL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440" w:gutter="0" w:footer="0" w:header="0"/>
        </w:sectPr>
      </w:pPr>
    </w:p>
    <w:p>
      <w:pPr>
        <w:spacing w:after="0" w:line="135" w:lineRule="exact"/>
        <w:rPr>
          <w:sz w:val="24"/>
          <w:szCs w:val="24"/>
          <w:color w:val="auto"/>
        </w:rPr>
      </w:pPr>
    </w:p>
    <w:p>
      <w:pPr>
        <w:ind w:left="46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46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4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5" w:lineRule="exact"/>
        <w:rPr>
          <w:sz w:val="24"/>
          <w:szCs w:val="24"/>
          <w:color w:val="auto"/>
        </w:rPr>
      </w:pPr>
    </w:p>
    <w:p>
      <w:pPr>
        <w:sectPr>
          <w:pgSz w:w="11900" w:h="16838" w:orient="portrait"/>
          <w:cols w:equalWidth="0" w:num="2">
            <w:col w:w="7600" w:space="720"/>
            <w:col w:w="2920"/>
          </w:cols>
          <w:pgMar w:left="320" w:top="740" w:right="339" w:bottom="1440" w:gutter="0" w:footer="0" w:header="0"/>
          <w:type w:val="continuous"/>
        </w:sectPr>
      </w:pPr>
    </w:p>
    <w:p>
      <w:pPr>
        <w:spacing w:after="0" w:line="17"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issuer had 26,070,208 shares of common stock, $0.01 par value per share, outstanding as of May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00" w:type="dxa"/>
            <w:vAlign w:val="bottom"/>
            <w:gridSpan w:val="11"/>
          </w:tcPr>
          <w:p>
            <w:pPr>
              <w:ind w:left="1360"/>
              <w:spacing w:after="0"/>
              <w:rPr>
                <w:sz w:val="20"/>
                <w:szCs w:val="20"/>
                <w:color w:val="auto"/>
              </w:rPr>
            </w:pPr>
            <w:r>
              <w:rPr>
                <w:rFonts w:ascii="Times New Roman" w:cs="Times New Roman" w:eastAsia="Times New Roman" w:hAnsi="Times New Roman"/>
                <w:sz w:val="18"/>
                <w:szCs w:val="18"/>
                <w:b w:val="1"/>
                <w:bCs w:val="1"/>
                <w:color w:val="auto"/>
              </w:rPr>
              <w:t>SURO CAPITAL CORP.</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00" w:type="dxa"/>
            <w:vAlign w:val="bottom"/>
            <w:gridSpan w:val="11"/>
          </w:tcPr>
          <w:p>
            <w:pPr>
              <w:ind w:left="1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0"/>
        </w:trPr>
        <w:tc>
          <w:tcPr>
            <w:tcW w:w="3080" w:type="dxa"/>
            <w:vAlign w:val="bottom"/>
            <w:tcBorders>
              <w:top w:val="single" w:sz="8" w:color="CCEEFF"/>
              <w:bottom w:val="single" w:sz="8" w:color="0000EE"/>
            </w:tcBorders>
            <w:gridSpan w:val="10"/>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7520" w:type="dxa"/>
            <w:vAlign w:val="bottom"/>
            <w:tcBorders>
              <w:top w:val="single" w:sz="8" w:color="CCEEFF"/>
              <w:bottom w:val="single" w:sz="8" w:color="CCEEFF"/>
            </w:tcBorders>
            <w:gridSpan w:val="12"/>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8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Assets and Liabilities as of March 31, 2026 (Unaudited) and December 31, 2025</w:t>
            </w:r>
          </w:p>
        </w:tc>
        <w:tc>
          <w:tcPr>
            <w:tcW w:w="94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2026 and 2025 (Unaudited)</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Net Assets for the Three Months Ended March 31, 2026 and 2025 (Unaudited)</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938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2026 and 2025 (Unaudited)</w:t>
            </w:r>
          </w:p>
        </w:tc>
        <w:tc>
          <w:tcPr>
            <w:tcW w:w="2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Schedule of Investments as of March 31, 2026 (Unaudited)</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610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Schedule of Investments as of December 31, 2025</w:t>
            </w:r>
          </w:p>
        </w:tc>
        <w:tc>
          <w:tcPr>
            <w:tcW w:w="3520" w:type="dxa"/>
            <w:vAlign w:val="bottom"/>
            <w:tcBorders>
              <w:top w:val="single" w:sz="8" w:color="CCEEFF"/>
            </w:tcBorders>
            <w:gridSpan w:val="7"/>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as of March 31, 2026 (Unaudited)</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648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14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26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tcBorders>
              <w:bottom w:val="single" w:sz="8" w:color="0000EE"/>
            </w:tcBorders>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7820" w:type="dxa"/>
            <w:vAlign w:val="bottom"/>
            <w:tcBorders>
              <w:bottom w:val="single" w:sz="8" w:color="CCEEFF"/>
            </w:tcBorders>
            <w:gridSpan w:val="13"/>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8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300" w:type="dxa"/>
            <w:vAlign w:val="bottom"/>
            <w:tcBorders>
              <w:top w:val="single" w:sz="8" w:color="CCEEFF"/>
            </w:tcBorders>
            <w:gridSpan w:val="11"/>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300" w:type="dxa"/>
            <w:vAlign w:val="bottom"/>
            <w:tcBorders>
              <w:bottom w:val="single" w:sz="8" w:color="CCEEFF"/>
            </w:tcBorders>
            <w:gridSpan w:val="1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-1379220</wp:posOffset>
            </wp:positionV>
            <wp:extent cx="672084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2084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67208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ASSETS AND LIABILITIES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38"/>
        </w:trPr>
        <w:tc>
          <w:tcPr>
            <w:tcW w:w="6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(AUDITED)</w:t>
            </w:r>
          </w:p>
        </w:tc>
        <w:tc>
          <w:tcPr>
            <w:tcW w:w="0" w:type="dxa"/>
            <w:vAlign w:val="bottom"/>
          </w:tcPr>
          <w:p>
            <w:pPr>
              <w:spacing w:after="0"/>
              <w:rPr>
                <w:sz w:val="1"/>
                <w:szCs w:val="1"/>
                <w:color w:val="auto"/>
              </w:rPr>
            </w:pPr>
          </w:p>
        </w:tc>
      </w:tr>
      <w:tr>
        <w:trPr>
          <w:trHeight w:val="209"/>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Non-controlled/non-affiliate investments (cost of $223,515,250 and $219,216,145,</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381,596,305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217,304,138</w:t>
            </w:r>
          </w:p>
        </w:tc>
        <w:tc>
          <w:tcPr>
            <w:tcW w:w="0" w:type="dxa"/>
            <w:vAlign w:val="bottom"/>
          </w:tcPr>
          <w:p>
            <w:pPr>
              <w:spacing w:after="0"/>
              <w:rPr>
                <w:sz w:val="1"/>
                <w:szCs w:val="1"/>
                <w:color w:val="auto"/>
              </w:rPr>
            </w:pP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Non-controlled/affiliate investments (cost of $21,609,640 and $21,609,640, respectively)</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6,938,346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8,207,367</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 (cost of $245,124,890 and $240,825,785, respectively)</w:t>
            </w:r>
          </w:p>
        </w:tc>
        <w:tc>
          <w:tcPr>
            <w:tcW w:w="2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388,534,651</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225,511,505</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43,315,750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49,034,154</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38,741</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dividends receivable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126,244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118,710</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500,275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508,310</w:t>
            </w:r>
          </w:p>
        </w:tc>
        <w:tc>
          <w:tcPr>
            <w:tcW w:w="0" w:type="dxa"/>
            <w:vAlign w:val="bottom"/>
          </w:tcPr>
          <w:p>
            <w:pPr>
              <w:spacing w:after="0"/>
              <w:rPr>
                <w:sz w:val="1"/>
                <w:szCs w:val="1"/>
                <w:color w:val="auto"/>
              </w:rPr>
            </w:pPr>
          </w:p>
        </w:tc>
      </w:tr>
      <w:tr>
        <w:trPr>
          <w:trHeight w:val="270"/>
        </w:trPr>
        <w:tc>
          <w:tcPr>
            <w:tcW w:w="670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Prepaid expenses and other assets</w:t>
            </w:r>
            <w:r>
              <w:rPr>
                <w:rFonts w:ascii="Times New Roman" w:cs="Times New Roman" w:eastAsia="Times New Roman" w:hAnsi="Times New Roman"/>
                <w:sz w:val="29"/>
                <w:szCs w:val="29"/>
                <w:color w:val="auto"/>
                <w:vertAlign w:val="superscript"/>
              </w:rPr>
              <w:t>(1)</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789,236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807,302</w:t>
            </w:r>
          </w:p>
        </w:tc>
        <w:tc>
          <w:tcPr>
            <w:tcW w:w="0" w:type="dxa"/>
            <w:vAlign w:val="bottom"/>
          </w:tcPr>
          <w:p>
            <w:pPr>
              <w:spacing w:after="0"/>
              <w:rPr>
                <w:sz w:val="1"/>
                <w:szCs w:val="1"/>
                <w:color w:val="auto"/>
              </w:rPr>
            </w:pPr>
          </w:p>
        </w:tc>
      </w:tr>
      <w:tr>
        <w:trPr>
          <w:trHeight w:val="209"/>
        </w:trPr>
        <w:tc>
          <w:tcPr>
            <w:tcW w:w="67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433,266,156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276,018,722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7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6.00% Notes due December 30, 2026</w:t>
            </w:r>
            <w:r>
              <w:rPr>
                <w:rFonts w:ascii="Times New Roman" w:cs="Times New Roman" w:eastAsia="Times New Roman" w:hAnsi="Times New Roman"/>
                <w:sz w:val="29"/>
                <w:szCs w:val="29"/>
                <w:color w:val="auto"/>
                <w:vertAlign w:val="superscript"/>
              </w:rPr>
              <w:t>(2)</w:t>
            </w: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35,688,549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35,642,149</w:t>
            </w:r>
          </w:p>
        </w:tc>
        <w:tc>
          <w:tcPr>
            <w:tcW w:w="0" w:type="dxa"/>
            <w:vAlign w:val="bottom"/>
          </w:tcPr>
          <w:p>
            <w:pPr>
              <w:spacing w:after="0"/>
              <w:rPr>
                <w:sz w:val="1"/>
                <w:szCs w:val="1"/>
                <w:color w:val="auto"/>
              </w:rPr>
            </w:pPr>
          </w:p>
        </w:tc>
      </w:tr>
      <w:tr>
        <w:trPr>
          <w:trHeight w:val="257"/>
        </w:trPr>
        <w:tc>
          <w:tcPr>
            <w:tcW w:w="67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6.50% Convertible Notes due August 14, 2029</w:t>
            </w:r>
            <w:r>
              <w:rPr>
                <w:rFonts w:ascii="Times New Roman" w:cs="Times New Roman" w:eastAsia="Times New Roman" w:hAnsi="Times New Roman"/>
                <w:sz w:val="29"/>
                <w:szCs w:val="29"/>
                <w:color w:val="auto"/>
                <w:vertAlign w:val="superscript"/>
              </w:rPr>
              <w:t>(3)</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34,190,631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34,131,509</w:t>
            </w:r>
          </w:p>
        </w:tc>
        <w:tc>
          <w:tcPr>
            <w:tcW w:w="0" w:type="dxa"/>
            <w:vAlign w:val="bottom"/>
          </w:tcPr>
          <w:p>
            <w:pPr>
              <w:spacing w:after="0"/>
              <w:rPr>
                <w:sz w:val="1"/>
                <w:szCs w:val="1"/>
                <w:color w:val="auto"/>
              </w:rPr>
            </w:pPr>
          </w:p>
        </w:tc>
      </w:tr>
      <w:tr>
        <w:trPr>
          <w:trHeight w:val="257"/>
        </w:trPr>
        <w:tc>
          <w:tcPr>
            <w:tcW w:w="67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Accounts payable and accrued expenses</w:t>
            </w:r>
            <w:r>
              <w:rPr>
                <w:rFonts w:ascii="Times New Roman" w:cs="Times New Roman" w:eastAsia="Times New Roman" w:hAnsi="Times New Roman"/>
                <w:sz w:val="29"/>
                <w:szCs w:val="29"/>
                <w:color w:val="auto"/>
                <w:vertAlign w:val="superscript"/>
              </w:rPr>
              <w:t>(1)</w:t>
            </w: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1,534,603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627,522</w:t>
            </w:r>
          </w:p>
        </w:tc>
        <w:tc>
          <w:tcPr>
            <w:tcW w:w="0" w:type="dxa"/>
            <w:vAlign w:val="bottom"/>
          </w:tcPr>
          <w:p>
            <w:pPr>
              <w:spacing w:after="0"/>
              <w:rPr>
                <w:sz w:val="1"/>
                <w:szCs w:val="1"/>
                <w:color w:val="auto"/>
              </w:rPr>
            </w:pP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300,791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301,291</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71,714,574</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70,702,471</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(Notes 7 and 10)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361,551,582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205,316,251</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$0.01 per share (100,000,000 authorized; 25,387,393 and</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25,377,756 issued and outstanding, respectively)</w:t>
            </w:r>
          </w:p>
        </w:tc>
        <w:tc>
          <w:tcPr>
            <w:tcW w:w="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253,874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253,778</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Paid-in capital in excess of par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218,069,791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217,470,613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net investment loss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(7,946,424)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(3,967,932)</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net realized gain on investments, net of distributions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7,764,584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6,874,070</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net unrealized appreciation/(depreciation) of investments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143,409,757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(15,314,278)</w:t>
            </w:r>
          </w:p>
        </w:tc>
        <w:tc>
          <w:tcPr>
            <w:tcW w:w="0" w:type="dxa"/>
            <w:vAlign w:val="bottom"/>
          </w:tcPr>
          <w:p>
            <w:pPr>
              <w:spacing w:after="0"/>
              <w:rPr>
                <w:sz w:val="1"/>
                <w:szCs w:val="1"/>
                <w:color w:val="auto"/>
              </w:rPr>
            </w:pPr>
          </w:p>
        </w:tc>
      </w:tr>
      <w:tr>
        <w:trPr>
          <w:trHeight w:val="263"/>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2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361,551,582</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205,316,251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7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Asset Value Per Share</w:t>
            </w:r>
          </w:p>
        </w:tc>
        <w:tc>
          <w:tcPr>
            <w:tcW w:w="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14.24</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8.09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4"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balance includes a right of use asset and corresponding operating lease liability, respectively. Refer to “Note 7—Commitments and Contingencies</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Operating Leases and Related Deposits</w:t>
      </w:r>
      <w:r>
        <w:rPr>
          <w:rFonts w:ascii="Times New Roman" w:cs="Times New Roman" w:eastAsia="Times New Roman" w:hAnsi="Times New Roman"/>
          <w:sz w:val="18"/>
          <w:szCs w:val="18"/>
          <w:color w:val="auto"/>
        </w:rPr>
        <w:t>” for more detail.</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the 6.00% Notes due December 30, 2026 (the “6.00% Notes due 2026”) (effective interest rate of 6.43%) had a face value of $35,829,825. As of December 31, 2025, the 6.00% Notes due 2026 (effective interest rate of 7.08%) had a face value of $35,829,825. Refer to “Note 10—Debt Capital Activities” for a reconciliation of the carrying value to the face value.</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the 6.50% Convertible Notes due August 14, 2029 (the “6.50% Convertible Notes due 2029”) (effective interest rate of 7.17%) had a face value of $35,000,000. As of December 31, 2025, the 6.50% Convertible Notes due 2029 (effective interest rate of 7.17%) had a face value of $35,000,000. Refer to “Note 10—Debt Capital Activities” for a reconciliation of the carrying value to the face value.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64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Non-controlled/non-affiliate investments:</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420" w:type="dxa"/>
            <w:vAlign w:val="bottom"/>
            <w:shd w:val="clear" w:color="auto" w:fill="CCEEFF"/>
          </w:tcPr>
          <w:p>
            <w:pPr>
              <w:ind w:left="540"/>
              <w:spacing w:after="0" w:line="256" w:lineRule="exact"/>
              <w:rPr>
                <w:sz w:val="20"/>
                <w:szCs w:val="20"/>
                <w:color w:val="auto"/>
              </w:rPr>
            </w:pPr>
            <w:r>
              <w:rPr>
                <w:rFonts w:ascii="Times New Roman" w:cs="Times New Roman" w:eastAsia="Times New Roman" w:hAnsi="Times New Roman"/>
                <w:sz w:val="18"/>
                <w:szCs w:val="18"/>
                <w:color w:val="auto"/>
              </w:rPr>
              <w:t>Interest income</w:t>
            </w:r>
            <w:r>
              <w:rPr>
                <w:rFonts w:ascii="Times New Roman" w:cs="Times New Roman" w:eastAsia="Times New Roman" w:hAnsi="Times New Roman"/>
                <w:sz w:val="29"/>
                <w:szCs w:val="29"/>
                <w:color w:val="auto"/>
                <w:vertAlign w:val="superscript"/>
              </w:rPr>
              <w:t>(1)</w:t>
            </w:r>
          </w:p>
        </w:tc>
        <w:tc>
          <w:tcPr>
            <w:tcW w:w="10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388,213</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150,647</w:t>
            </w:r>
          </w:p>
        </w:tc>
        <w:tc>
          <w:tcPr>
            <w:tcW w:w="0" w:type="dxa"/>
            <w:vAlign w:val="bottom"/>
          </w:tcPr>
          <w:p>
            <w:pPr>
              <w:spacing w:after="0"/>
              <w:rPr>
                <w:sz w:val="1"/>
                <w:szCs w:val="1"/>
                <w:color w:val="auto"/>
              </w:rPr>
            </w:pPr>
          </w:p>
        </w:tc>
      </w:tr>
      <w:tr>
        <w:trPr>
          <w:trHeight w:val="230"/>
        </w:trPr>
        <w:tc>
          <w:tcPr>
            <w:tcW w:w="6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Dividend income</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343,750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348,447</w:t>
            </w:r>
          </w:p>
        </w:tc>
        <w:tc>
          <w:tcPr>
            <w:tcW w:w="0" w:type="dxa"/>
            <w:vAlign w:val="bottom"/>
          </w:tcPr>
          <w:p>
            <w:pPr>
              <w:spacing w:after="0"/>
              <w:rPr>
                <w:sz w:val="1"/>
                <w:szCs w:val="1"/>
                <w:color w:val="auto"/>
              </w:rPr>
            </w:pPr>
          </w:p>
        </w:tc>
      </w:tr>
      <w:tr>
        <w:trPr>
          <w:trHeight w:val="209"/>
        </w:trPr>
        <w:tc>
          <w:tcPr>
            <w:tcW w:w="64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Investment Income</w:t>
            </w:r>
          </w:p>
        </w:tc>
        <w:tc>
          <w:tcPr>
            <w:tcW w:w="5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731,963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1,976,252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1,667,835</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Directors’ fees</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195,562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170,565</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1,217,194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1,259,849</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872,729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750,224</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57,558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2,796</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391,160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309,594</w:t>
            </w:r>
          </w:p>
        </w:tc>
        <w:tc>
          <w:tcPr>
            <w:tcW w:w="0" w:type="dxa"/>
            <w:vAlign w:val="bottom"/>
          </w:tcPr>
          <w:p>
            <w:pPr>
              <w:spacing w:after="0"/>
              <w:rPr>
                <w:sz w:val="1"/>
                <w:szCs w:val="1"/>
                <w:color w:val="auto"/>
              </w:rPr>
            </w:pPr>
          </w:p>
        </w:tc>
      </w:tr>
      <w:tr>
        <w:trPr>
          <w:trHeight w:val="209"/>
        </w:trPr>
        <w:tc>
          <w:tcPr>
            <w:tcW w:w="64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4,710,455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4,160,863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Investment Loss</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(3,978,492)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Realized Gain/(Loss) on Investments:</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Non-controlled/non-affiliated investments</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890,513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(17,951)</w:t>
            </w:r>
          </w:p>
        </w:tc>
        <w:tc>
          <w:tcPr>
            <w:tcW w:w="0" w:type="dxa"/>
            <w:vAlign w:val="bottom"/>
          </w:tcPr>
          <w:p>
            <w:pPr>
              <w:spacing w:after="0"/>
              <w:rPr>
                <w:sz w:val="1"/>
                <w:szCs w:val="1"/>
                <w:color w:val="auto"/>
              </w:rPr>
            </w:pPr>
          </w:p>
        </w:tc>
      </w:tr>
      <w:tr>
        <w:trPr>
          <w:trHeight w:val="209"/>
        </w:trPr>
        <w:tc>
          <w:tcPr>
            <w:tcW w:w="64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Realized Gain/(Loss) on Investments</w:t>
            </w:r>
          </w:p>
        </w:tc>
        <w:tc>
          <w:tcPr>
            <w:tcW w:w="5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890,513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Realized loss on partial repurchase of 6.00% Notes due December 30, 2026</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(15,873)</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Unrealized Appreciation/(Depreciation) of Investments:</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Non-controlled/non-affiliated investments</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159,993,061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(5,248,885)</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Non-controlled/affiliate investments</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(1,269,022)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(472,713)</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Controlled investments</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8,610,476</w:t>
            </w:r>
          </w:p>
        </w:tc>
        <w:tc>
          <w:tcPr>
            <w:tcW w:w="0" w:type="dxa"/>
            <w:vAlign w:val="bottom"/>
          </w:tcPr>
          <w:p>
            <w:pPr>
              <w:spacing w:after="0"/>
              <w:rPr>
                <w:sz w:val="1"/>
                <w:szCs w:val="1"/>
                <w:color w:val="auto"/>
              </w:rPr>
            </w:pPr>
          </w:p>
        </w:tc>
      </w:tr>
      <w:tr>
        <w:trPr>
          <w:trHeight w:val="210"/>
        </w:trPr>
        <w:tc>
          <w:tcPr>
            <w:tcW w:w="64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Change in Unrealized Appreciation/(Depreciation) of Investments</w:t>
            </w:r>
          </w:p>
        </w:tc>
        <w:tc>
          <w:tcPr>
            <w:tcW w:w="5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158,724,039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2,888,878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Net Change in Net Assets Resulting from Operations</w:t>
            </w:r>
          </w:p>
        </w:tc>
        <w:tc>
          <w:tcPr>
            <w:tcW w:w="5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155,636,060</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(806,715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642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b w:val="1"/>
                <w:bCs w:val="1"/>
                <w:color w:val="auto"/>
              </w:rPr>
              <w:t>Net Change in Net Assets Resulting from Operations per Common Share:</w:t>
            </w: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560" w:type="dxa"/>
            <w:vAlign w:val="bottom"/>
          </w:tcPr>
          <w:p>
            <w:pPr>
              <w:spacing w:after="0"/>
              <w:rPr>
                <w:sz w:val="22"/>
                <w:szCs w:val="22"/>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6.13</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vMerge w:val="restart"/>
            <w:shd w:val="clear" w:color="auto" w:fill="CCEEFF"/>
          </w:tcPr>
          <w:p>
            <w:pPr>
              <w:ind w:left="360"/>
              <w:spacing w:after="0" w:line="256"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9"/>
                <w:szCs w:val="29"/>
                <w:color w:val="auto"/>
                <w:vertAlign w:val="superscript"/>
              </w:rPr>
              <w:t>(2)</w:t>
            </w: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6420" w:type="dxa"/>
            <w:vAlign w:val="bottom"/>
            <w:vMerge w:val="continue"/>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5.18</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5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25,380,755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23,571,840</w:t>
            </w:r>
          </w:p>
        </w:tc>
        <w:tc>
          <w:tcPr>
            <w:tcW w:w="0" w:type="dxa"/>
            <w:vAlign w:val="bottom"/>
          </w:tcPr>
          <w:p>
            <w:pPr>
              <w:spacing w:after="0"/>
              <w:rPr>
                <w:sz w:val="1"/>
                <w:szCs w:val="1"/>
                <w:color w:val="auto"/>
              </w:rPr>
            </w:pPr>
          </w:p>
        </w:tc>
      </w:tr>
      <w:tr>
        <w:trPr>
          <w:trHeight w:val="394"/>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9"/>
                <w:szCs w:val="29"/>
                <w:color w:val="auto"/>
                <w:vertAlign w:val="superscript"/>
              </w:rPr>
              <w:t>(2)</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30,160,470</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23,571,840</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4"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income earned on cash.</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2025, 4,516,131 potentially dilutive common shares were excluded from the weighted-average common shares outstanding for diluted net change in net assets resulting from operations per common share because the effect of these shares would have been anti-dilutive. Refer to “Note 6 — Net Change in Net Assets Resulting from Operations per Common Share — Basic and Diluted”.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NET ASSETS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0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at Beginning of Year</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205,316,251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157,572,086</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Net Assets Resulting from Operations</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loss</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(3,978,492)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(3,661,769)</w:t>
            </w:r>
          </w:p>
        </w:tc>
      </w:tr>
      <w:tr>
        <w:trPr>
          <w:trHeight w:val="216"/>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realized gain/(loss) on investments</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890,513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(17,951)</w:t>
            </w:r>
          </w:p>
        </w:tc>
      </w:tr>
      <w:tr>
        <w:trPr>
          <w:trHeight w:val="216"/>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loss on partial repurchase of 6.00% Notes due 2026</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(15,873)</w:t>
            </w:r>
          </w:p>
        </w:tc>
      </w:tr>
      <w:tr>
        <w:trPr>
          <w:trHeight w:val="230"/>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unrealized appreciation/(depreciation) of investments</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158,724,039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2,888,878</w:t>
            </w:r>
          </w:p>
        </w:tc>
      </w:tr>
      <w:tr>
        <w:trPr>
          <w:trHeight w:val="209"/>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Change in Net Assets Resulting from Operations</w:t>
            </w:r>
          </w:p>
        </w:tc>
        <w:tc>
          <w:tcPr>
            <w:tcW w:w="9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155,636,060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(806,715)</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Net Assets Resulting from Capital Transactions</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599,271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38,784</w:t>
            </w:r>
          </w:p>
        </w:tc>
      </w:tr>
      <w:tr>
        <w:trPr>
          <w:trHeight w:val="210"/>
        </w:trPr>
        <w:tc>
          <w:tcPr>
            <w:tcW w:w="60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Change in Net Assets Resulting from Capital Transactions</w:t>
            </w:r>
          </w:p>
        </w:tc>
        <w:tc>
          <w:tcPr>
            <w:tcW w:w="9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599,271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Change in Net Assets</w:t>
            </w:r>
          </w:p>
        </w:tc>
        <w:tc>
          <w:tcPr>
            <w:tcW w:w="9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156,235,331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(767,931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at March 31</w:t>
            </w:r>
          </w:p>
        </w:tc>
        <w:tc>
          <w:tcPr>
            <w:tcW w:w="9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361,551,582</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156,804,155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Capital Share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Shares outstanding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80"/>
        <w:spacing w:after="0" w:line="209" w:lineRule="auto"/>
        <w:rPr>
          <w:sz w:val="20"/>
          <w:szCs w:val="20"/>
          <w:color w:val="auto"/>
        </w:rPr>
      </w:pPr>
      <w:r>
        <w:rPr>
          <w:rFonts w:ascii="Times New Roman" w:cs="Times New Roman" w:eastAsia="Times New Roman" w:hAnsi="Times New Roman"/>
          <w:sz w:val="17"/>
          <w:szCs w:val="17"/>
          <w:color w:val="auto"/>
        </w:rPr>
        <w:t>Issuance of common stock under restricted stock plan, net</w:t>
      </w:r>
      <w:r>
        <w:rPr>
          <w:rFonts w:ascii="Times New Roman" w:cs="Times New Roman" w:eastAsia="Times New Roman" w:hAnsi="Times New Roman"/>
          <w:sz w:val="28"/>
          <w:szCs w:val="28"/>
          <w:color w:val="auto"/>
          <w:vertAlign w:val="superscript"/>
        </w:rPr>
        <w:t>(1)</w:t>
      </w:r>
    </w:p>
    <w:p>
      <w:pPr>
        <w:spacing w:after="0"/>
        <w:rPr>
          <w:sz w:val="20"/>
          <w:szCs w:val="20"/>
          <w:color w:val="auto"/>
        </w:rPr>
      </w:pPr>
      <w:r>
        <w:rPr>
          <w:rFonts w:ascii="Times New Roman" w:cs="Times New Roman" w:eastAsia="Times New Roman" w:hAnsi="Times New Roman"/>
          <w:sz w:val="18"/>
          <w:szCs w:val="18"/>
          <w:b w:val="1"/>
          <w:bCs w:val="1"/>
          <w:color w:val="auto"/>
        </w:rPr>
        <w:t>Shares Outstanding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tabs>
          <w:tab w:leader="none" w:pos="2200" w:val="left"/>
        </w:tabs>
        <w:rPr>
          <w:sz w:val="20"/>
          <w:szCs w:val="20"/>
          <w:color w:val="auto"/>
        </w:rPr>
      </w:pPr>
      <w:r>
        <w:rPr>
          <w:rFonts w:ascii="Times New Roman" w:cs="Times New Roman" w:eastAsia="Times New Roman" w:hAnsi="Times New Roman"/>
          <w:sz w:val="18"/>
          <w:szCs w:val="18"/>
          <w:color w:val="auto"/>
        </w:rPr>
        <w:t>25,377,756</w:t>
      </w:r>
      <w:r>
        <w:rPr>
          <w:sz w:val="20"/>
          <w:szCs w:val="20"/>
          <w:color w:val="auto"/>
        </w:rPr>
        <w:tab/>
      </w:r>
      <w:r>
        <w:rPr>
          <w:rFonts w:ascii="Times New Roman" w:cs="Times New Roman" w:eastAsia="Times New Roman" w:hAnsi="Times New Roman"/>
          <w:sz w:val="18"/>
          <w:szCs w:val="18"/>
          <w:color w:val="auto"/>
        </w:rPr>
        <w:t>23,601,566</w:t>
      </w:r>
    </w:p>
    <w:p>
      <w:pPr>
        <w:spacing w:after="0" w:line="50" w:lineRule="exact"/>
        <w:rPr>
          <w:sz w:val="20"/>
          <w:szCs w:val="20"/>
          <w:color w:val="auto"/>
        </w:rPr>
      </w:pPr>
    </w:p>
    <w:p>
      <w:pPr>
        <w:jc w:val="both"/>
        <w:ind w:left="400"/>
        <w:spacing w:after="0"/>
        <w:tabs>
          <w:tab w:leader="none" w:pos="2460" w:val="left"/>
        </w:tabs>
        <w:rPr>
          <w:sz w:val="20"/>
          <w:szCs w:val="20"/>
          <w:color w:val="auto"/>
        </w:rPr>
      </w:pPr>
      <w:r>
        <w:rPr>
          <w:rFonts w:ascii="Times New Roman" w:cs="Times New Roman" w:eastAsia="Times New Roman" w:hAnsi="Times New Roman"/>
          <w:sz w:val="18"/>
          <w:szCs w:val="18"/>
          <w:color w:val="auto"/>
        </w:rPr>
        <w:t>9,637</w:t>
      </w:r>
      <w:r>
        <w:rPr>
          <w:sz w:val="20"/>
          <w:szCs w:val="20"/>
          <w:color w:val="auto"/>
        </w:rPr>
        <w:tab/>
      </w:r>
      <w:r>
        <w:rPr>
          <w:rFonts w:ascii="Times New Roman" w:cs="Times New Roman" w:eastAsia="Times New Roman" w:hAnsi="Times New Roman"/>
          <w:sz w:val="18"/>
          <w:szCs w:val="18"/>
          <w:color w:val="auto"/>
        </w:rPr>
        <w:t>(49,707)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26035</wp:posOffset>
            </wp:positionV>
            <wp:extent cx="26314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0" w:lineRule="exact"/>
        <w:rPr>
          <w:sz w:val="20"/>
          <w:szCs w:val="20"/>
          <w:color w:val="auto"/>
        </w:rPr>
      </w:pPr>
    </w:p>
    <w:p>
      <w:pPr>
        <w:spacing w:after="0"/>
        <w:tabs>
          <w:tab w:leader="none" w:pos="2200" w:val="left"/>
        </w:tabs>
        <w:rPr>
          <w:sz w:val="20"/>
          <w:szCs w:val="20"/>
          <w:color w:val="auto"/>
        </w:rPr>
      </w:pPr>
      <w:r>
        <w:rPr>
          <w:rFonts w:ascii="Times New Roman" w:cs="Times New Roman" w:eastAsia="Times New Roman" w:hAnsi="Times New Roman"/>
          <w:sz w:val="18"/>
          <w:szCs w:val="18"/>
          <w:color w:val="auto"/>
        </w:rPr>
        <w:t>25,387,393</w:t>
      </w:r>
      <w:r>
        <w:rPr>
          <w:sz w:val="20"/>
          <w:szCs w:val="20"/>
          <w:color w:val="auto"/>
        </w:rPr>
        <w:tab/>
      </w:r>
      <w:r>
        <w:rPr>
          <w:rFonts w:ascii="Times New Roman" w:cs="Times New Roman" w:eastAsia="Times New Roman" w:hAnsi="Times New Roman"/>
          <w:sz w:val="18"/>
          <w:szCs w:val="18"/>
          <w:color w:val="auto"/>
        </w:rPr>
        <w:t>23,551,859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17145</wp:posOffset>
            </wp:positionV>
            <wp:extent cx="263144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3144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80" w:space="720"/>
            <w:col w:w="3140"/>
          </w:cols>
          <w:pgMar w:left="320" w:top="229" w:right="339" w:bottom="1440" w:gutter="0" w:footer="0" w:header="0"/>
          <w:type w:val="continuous"/>
        </w:sectPr>
      </w:pPr>
    </w:p>
    <w:p>
      <w:pPr>
        <w:spacing w:after="0" w:line="6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Refer to “Note 11 — Stock-Based Compensation” for more detail.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net assets resulting from operations</w:t>
            </w:r>
          </w:p>
        </w:tc>
        <w:tc>
          <w:tcPr>
            <w:tcW w:w="7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155,636,060</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(806,715)</w:t>
            </w:r>
          </w:p>
        </w:tc>
        <w:tc>
          <w:tcPr>
            <w:tcW w:w="0" w:type="dxa"/>
            <w:vAlign w:val="bottom"/>
          </w:tcPr>
          <w:p>
            <w:pPr>
              <w:spacing w:after="0"/>
              <w:rPr>
                <w:sz w:val="1"/>
                <w:szCs w:val="1"/>
                <w:color w:val="auto"/>
              </w:rPr>
            </w:pPr>
          </w:p>
        </w:tc>
      </w:tr>
      <w:tr>
        <w:trPr>
          <w:trHeight w:val="198"/>
        </w:trPr>
        <w:tc>
          <w:tcPr>
            <w:tcW w:w="67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Adjustments to reconcile net change in net assets resulting from operations to net cash</w:t>
            </w: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used in operating activities:</w:t>
            </w: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realized (gain)/loss on investments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(890,513)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17,951</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unrealized (appreciation)/depreciation of investments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(158,724,039)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(2,888,878)</w:t>
            </w: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599,271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38,784</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discount on 6.00% Notes due 2026</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54,350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60,929</w:t>
            </w: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discount on 6.50% Convertible Notes due 2029</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59,122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57,608</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escrow proceeds receivable</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(17,951)</w:t>
            </w: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investments in:</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Portfolio investments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(5,012,250)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(1,307,578)</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Treasury bills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(24,995,139)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or maturity of investments in:</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Portfolio investments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1,603,658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Treasury bills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24,995,139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907,081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840,845</w:t>
            </w: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dividends receivable</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(7,534)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308,526</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Escrow proceeds receivable</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17,951</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18,066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(40,533)</w:t>
            </w:r>
          </w:p>
        </w:tc>
        <w:tc>
          <w:tcPr>
            <w:tcW w:w="0" w:type="dxa"/>
            <w:vAlign w:val="bottom"/>
          </w:tcPr>
          <w:p>
            <w:pPr>
              <w:spacing w:after="0"/>
              <w:rPr>
                <w:sz w:val="1"/>
                <w:szCs w:val="1"/>
                <w:color w:val="auto"/>
              </w:rPr>
            </w:pPr>
          </w:p>
        </w:tc>
      </w:tr>
      <w:tr>
        <w:trPr>
          <w:trHeight w:val="209"/>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(5,756,728</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(3,719,061</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 from the issuance of 6.50% Convertible Notes due 2029</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Deferred debt issuance costs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(158,157)</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6.00% Notes due 2026</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(4,954,950)</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 on partial repurchase of 6.00% Notes due 2026</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15,875</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(29,938)</w:t>
            </w: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paid</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(8,867)</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(136,037</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Decrease in Cash Balance</w:t>
            </w:r>
          </w:p>
        </w:tc>
        <w:tc>
          <w:tcPr>
            <w:tcW w:w="2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(5,757,145</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(3,855,098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670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Cash and Restricted Cash Balance at Beginning of Year</w:t>
            </w:r>
            <w:r>
              <w:rPr>
                <w:rFonts w:ascii="Times New Roman" w:cs="Times New Roman" w:eastAsia="Times New Roman" w:hAnsi="Times New Roman"/>
                <w:sz w:val="28"/>
                <w:szCs w:val="28"/>
                <w:color w:val="auto"/>
                <w:vertAlign w:val="superscript"/>
              </w:rPr>
              <w:t>(1)</w:t>
            </w: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49,072,895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20,035,640</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Cash and Restricted Cash Balance at End of Period</w:t>
            </w:r>
            <w:r>
              <w:rPr>
                <w:rFonts w:ascii="Times New Roman" w:cs="Times New Roman" w:eastAsia="Times New Roman" w:hAnsi="Times New Roman"/>
                <w:sz w:val="29"/>
                <w:szCs w:val="29"/>
                <w:b w:val="1"/>
                <w:bCs w:val="1"/>
                <w:color w:val="auto"/>
                <w:vertAlign w:val="superscript"/>
              </w:rPr>
              <w:t>(1)</w:t>
            </w: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43,315,750</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16,180,542</w:t>
            </w:r>
          </w:p>
        </w:tc>
        <w:tc>
          <w:tcPr>
            <w:tcW w:w="0" w:type="dxa"/>
            <w:vAlign w:val="bottom"/>
          </w:tcPr>
          <w:p>
            <w:pPr>
              <w:spacing w:after="0"/>
              <w:rPr>
                <w:sz w:val="1"/>
                <w:szCs w:val="1"/>
                <w:color w:val="auto"/>
              </w:rPr>
            </w:pPr>
          </w:p>
        </w:tc>
      </w:tr>
      <w:tr>
        <w:trPr>
          <w:trHeight w:val="209"/>
        </w:trPr>
        <w:tc>
          <w:tcPr>
            <w:tcW w:w="6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4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1,111,671</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1,150,223</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Taxes paid</w:t>
            </w:r>
          </w:p>
        </w:tc>
        <w:tc>
          <w:tcPr>
            <w:tcW w:w="48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57,558</w:t>
            </w:r>
          </w:p>
        </w:tc>
        <w:tc>
          <w:tcPr>
            <w:tcW w:w="4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2,796</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 obtained in exchange for operating lease liabilities</w:t>
            </w:r>
          </w:p>
        </w:tc>
        <w:tc>
          <w:tcPr>
            <w:tcW w:w="4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(2,006)</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4" w:lineRule="exact"/>
        <w:rPr>
          <w:sz w:val="20"/>
          <w:szCs w:val="20"/>
          <w:color w:val="auto"/>
        </w:rPr>
      </w:pPr>
    </w:p>
    <w:p>
      <w:pPr>
        <w:ind w:left="5580" w:right="4080" w:hanging="5572"/>
        <w:spacing w:after="0" w:line="532" w:lineRule="auto"/>
        <w:tabs>
          <w:tab w:leader="none" w:pos="33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the Condensed Consolidated Statements of Assets and Liabilities for additional detail.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340" w:right="2340"/>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CONDENSED CONSOLIDATED SCHEDULE OF INVESTMENTS (UNAUDITED) March 31, 2026</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00" w:type="dxa"/>
            <w:vAlign w:val="bottom"/>
          </w:tcPr>
          <w:p>
            <w:pPr>
              <w:spacing w:after="0"/>
              <w:rPr>
                <w:sz w:val="19"/>
                <w:szCs w:val="19"/>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Shares/</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Headquarters/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Principal/</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of Net</w:t>
            </w:r>
          </w:p>
        </w:tc>
        <w:tc>
          <w:tcPr>
            <w:tcW w:w="0" w:type="dxa"/>
            <w:vAlign w:val="bottom"/>
          </w:tcPr>
          <w:p>
            <w:pPr>
              <w:spacing w:after="0"/>
              <w:rPr>
                <w:sz w:val="1"/>
                <w:szCs w:val="1"/>
                <w:color w:val="auto"/>
              </w:rPr>
            </w:pPr>
          </w:p>
        </w:tc>
      </w:tr>
      <w:tr>
        <w:trPr>
          <w:trHeight w:val="270"/>
        </w:trPr>
        <w:tc>
          <w:tcPr>
            <w:tcW w:w="36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Portfolio Investments*</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Industry</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140" w:type="dxa"/>
            <w:vAlign w:val="bottom"/>
            <w:gridSpan w:val="3"/>
          </w:tcPr>
          <w:p>
            <w:pPr>
              <w:jc w:val="center"/>
              <w:ind w:right="220"/>
              <w:spacing w:after="0" w:line="270" w:lineRule="exact"/>
              <w:rPr>
                <w:sz w:val="20"/>
                <w:szCs w:val="20"/>
                <w:color w:val="auto"/>
              </w:rPr>
            </w:pPr>
            <w:r>
              <w:rPr>
                <w:rFonts w:ascii="Times New Roman" w:cs="Times New Roman" w:eastAsia="Times New Roman" w:hAnsi="Times New Roman"/>
                <w:sz w:val="18"/>
                <w:szCs w:val="18"/>
                <w:b w:val="1"/>
                <w:bCs w:val="1"/>
                <w:color w:val="auto"/>
                <w:w w:val="96"/>
              </w:rPr>
              <w:t>Quantity</w:t>
            </w:r>
            <w:r>
              <w:rPr>
                <w:rFonts w:ascii="Times New Roman" w:cs="Times New Roman" w:eastAsia="Times New Roman" w:hAnsi="Times New Roman"/>
                <w:sz w:val="29"/>
                <w:szCs w:val="29"/>
                <w:b w:val="1"/>
                <w:bCs w:val="1"/>
                <w:color w:val="auto"/>
                <w:w w:val="96"/>
                <w:vertAlign w:val="superscript"/>
              </w:rPr>
              <w:t>(2)</w:t>
            </w: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9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210"/>
        </w:trPr>
        <w:tc>
          <w:tcPr>
            <w:tcW w:w="3540" w:type="dxa"/>
            <w:vAlign w:val="bottom"/>
            <w:tcBorders>
              <w:top w:val="single" w:sz="8" w:color="auto"/>
            </w:tcBorders>
            <w:gridSpan w:val="1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NON-CONTROLLED/NON-AFFILIATE</w:t>
            </w:r>
          </w:p>
        </w:tc>
        <w:tc>
          <w:tcPr>
            <w:tcW w:w="1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17"/>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Whoop, Inc.</w:t>
            </w:r>
            <w:r>
              <w:rPr>
                <w:rFonts w:ascii="Times New Roman" w:cs="Times New Roman" w:eastAsia="Times New Roman" w:hAnsi="Times New Roman"/>
                <w:sz w:val="25"/>
                <w:szCs w:val="25"/>
                <w:b w:val="1"/>
                <w:bCs w:val="1"/>
                <w:color w:val="auto"/>
                <w:vertAlign w:val="superscript"/>
              </w:rPr>
              <w:t>(5)</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Boston, MA</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C</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Fitness Technology</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6/30/2022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13,293,450</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$ 10,011,460</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$ 149,338,619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0" w:type="dxa"/>
            <w:vAlign w:val="bottom"/>
          </w:tcPr>
          <w:p>
            <w:pPr>
              <w:spacing w:after="0"/>
              <w:rPr>
                <w:sz w:val="1"/>
                <w:szCs w:val="1"/>
                <w:color w:val="auto"/>
              </w:rPr>
            </w:pPr>
          </w:p>
        </w:tc>
      </w:tr>
      <w:tr>
        <w:trPr>
          <w:trHeight w:val="229"/>
        </w:trPr>
        <w:tc>
          <w:tcPr>
            <w:tcW w:w="36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Preferred Shares, Series G-2</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2/6/2025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127,164</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1,001,628</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1,428,560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09"/>
        </w:trPr>
        <w:tc>
          <w:tcPr>
            <w:tcW w:w="3640" w:type="dxa"/>
            <w:vAlign w:val="bottom"/>
            <w:tcBorders>
              <w:top w:val="single" w:sz="8" w:color="CCEEFF"/>
            </w:tcBorders>
            <w:gridSpan w:val="1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11,013,088</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150,767,179</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6"/>
        </w:trPr>
        <w:tc>
          <w:tcPr>
            <w:tcW w:w="3640" w:type="dxa"/>
            <w:vAlign w:val="bottom"/>
            <w:gridSpan w:val="17"/>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ARK Type One Deep Ventures Fund LLC</w:t>
            </w:r>
            <w:r>
              <w:rPr>
                <w:rFonts w:ascii="Times New Roman" w:cs="Times New Roman" w:eastAsia="Times New Roman" w:hAnsi="Times New Roman"/>
                <w:sz w:val="22"/>
                <w:szCs w:val="22"/>
                <w:b w:val="1"/>
                <w:bCs w:val="1"/>
                <w:color w:val="auto"/>
                <w:vertAlign w:val="superscript"/>
              </w:rPr>
              <w:t>**</w:t>
            </w:r>
          </w:p>
        </w:tc>
        <w:tc>
          <w:tcPr>
            <w:tcW w:w="2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St. Petersburg, FL</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(6)</w:t>
            </w:r>
          </w:p>
        </w:tc>
        <w:tc>
          <w:tcPr>
            <w:tcW w:w="1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gridSpan w:val="2"/>
            <w:vMerge w:val="continue"/>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Membership Interest, Class A</w:t>
            </w:r>
          </w:p>
        </w:tc>
        <w:tc>
          <w:tcPr>
            <w:tcW w:w="2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AI Application Fund</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9/25/2024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17,500,000</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17,696,568</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59,337,497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0" w:type="dxa"/>
            <w:vAlign w:val="bottom"/>
          </w:tcPr>
          <w:p>
            <w:pPr>
              <w:spacing w:after="0"/>
              <w:rPr>
                <w:sz w:val="1"/>
                <w:szCs w:val="1"/>
                <w:color w:val="auto"/>
              </w:rPr>
            </w:pPr>
          </w:p>
        </w:tc>
      </w:tr>
      <w:tr>
        <w:trPr>
          <w:trHeight w:val="216"/>
        </w:trPr>
        <w:tc>
          <w:tcPr>
            <w:tcW w:w="3640" w:type="dxa"/>
            <w:vAlign w:val="bottom"/>
            <w:gridSpan w:val="17"/>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IH10, LLC</w:t>
            </w:r>
            <w:r>
              <w:rPr>
                <w:rFonts w:ascii="Times New Roman" w:cs="Times New Roman" w:eastAsia="Times New Roman" w:hAnsi="Times New Roman"/>
                <w:sz w:val="25"/>
                <w:szCs w:val="25"/>
                <w:b w:val="1"/>
                <w:bCs w:val="1"/>
                <w:color w:val="auto"/>
                <w:vertAlign w:val="superscript"/>
              </w:rPr>
              <w:t>**(7)</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New York, NY</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Membership Interest</w:t>
            </w:r>
          </w:p>
        </w:tc>
        <w:tc>
          <w:tcPr>
            <w:tcW w:w="2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AI Infrastructure Fund</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10/9/2024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12,000,010</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12,273,784</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32,839,497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176"/>
        </w:trPr>
        <w:tc>
          <w:tcPr>
            <w:tcW w:w="36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Blink Health, Inc.</w:t>
            </w:r>
          </w:p>
        </w:tc>
        <w:tc>
          <w:tcPr>
            <w:tcW w:w="20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7"/>
              </w:rPr>
              <w:t>New York, NY</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Pharmaceutical</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A</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Technology</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10/27/2020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238,095</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5,000,423</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9,999,990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29"/>
        </w:trPr>
        <w:tc>
          <w:tcPr>
            <w:tcW w:w="36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Preferred Shares, Series C</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10/27/2020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261,944</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10,003,917</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11,001,648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gridSpan w:val="1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15,004,340</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21,001,638</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6"/>
        </w:trPr>
        <w:tc>
          <w:tcPr>
            <w:tcW w:w="3640" w:type="dxa"/>
            <w:vAlign w:val="bottom"/>
            <w:gridSpan w:val="17"/>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CW Opportunity 2 LP</w:t>
            </w:r>
            <w:r>
              <w:rPr>
                <w:rFonts w:ascii="Times New Roman" w:cs="Times New Roman" w:eastAsia="Times New Roman" w:hAnsi="Times New Roman"/>
                <w:sz w:val="22"/>
                <w:szCs w:val="22"/>
                <w:b w:val="1"/>
                <w:bCs w:val="1"/>
                <w:color w:val="auto"/>
                <w:vertAlign w:val="superscript"/>
              </w:rPr>
              <w:t>**(8)</w:t>
            </w:r>
          </w:p>
        </w:tc>
        <w:tc>
          <w:tcPr>
            <w:tcW w:w="200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8"/>
              </w:rPr>
              <w:t>Evanston, IL</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640" w:type="dxa"/>
            <w:vAlign w:val="bottom"/>
            <w:gridSpan w:val="17"/>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Class A Interest</w:t>
            </w:r>
            <w:r>
              <w:rPr>
                <w:rFonts w:ascii="Times New Roman" w:cs="Times New Roman" w:eastAsia="Times New Roman" w:hAnsi="Times New Roman"/>
                <w:sz w:val="29"/>
                <w:szCs w:val="29"/>
                <w:color w:val="auto"/>
                <w:vertAlign w:val="superscript"/>
              </w:rPr>
              <w:t>***</w:t>
            </w:r>
          </w:p>
        </w:tc>
        <w:tc>
          <w:tcPr>
            <w:tcW w:w="2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AI Infrastructure Fund</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5/7/2024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10,208,114</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10,384,558</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15,869,158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176"/>
        </w:trPr>
        <w:tc>
          <w:tcPr>
            <w:tcW w:w="36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Canva, Inc.</w:t>
            </w:r>
          </w:p>
        </w:tc>
        <w:tc>
          <w:tcPr>
            <w:tcW w:w="20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8"/>
              </w:rPr>
              <w:t>Austin, TX</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Productivity Software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4/17/2024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9,375</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10,058,820</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15,432,563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176"/>
        </w:trPr>
        <w:tc>
          <w:tcPr>
            <w:tcW w:w="36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Learneo, Inc. (f/k/a Course Hero, Inc.)</w:t>
            </w:r>
          </w:p>
        </w:tc>
        <w:tc>
          <w:tcPr>
            <w:tcW w:w="20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Menlo Park, CA</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A 8%</w:t>
            </w:r>
          </w:p>
        </w:tc>
        <w:tc>
          <w:tcPr>
            <w:tcW w:w="2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Online Education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9/18/2014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2,145,509</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5,000,001</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5,369,286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9"/>
        </w:trPr>
        <w:tc>
          <w:tcPr>
            <w:tcW w:w="36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Preferred Shares, Series C 8%</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11/5/2021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275,659</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9,999,971</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9,999,971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gridSpan w:val="1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14,999,972</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15,369,257</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9"/>
        </w:trPr>
        <w:tc>
          <w:tcPr>
            <w:tcW w:w="3640" w:type="dxa"/>
            <w:vAlign w:val="bottom"/>
            <w:gridSpan w:val="17"/>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Locus Robotics Corp.</w:t>
            </w:r>
          </w:p>
        </w:tc>
        <w:tc>
          <w:tcPr>
            <w:tcW w:w="200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w w:val="99"/>
              </w:rPr>
              <w:t>Wilmington, MA</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F 6%</w:t>
            </w:r>
          </w:p>
        </w:tc>
        <w:tc>
          <w:tcPr>
            <w:tcW w:w="2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Warehouse Automation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11/30/2022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232,568</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10,004,286</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12,171,308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176"/>
        </w:trPr>
        <w:tc>
          <w:tcPr>
            <w:tcW w:w="36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Supplying Demand, Inc. (d/b/a Liquid Death)</w:t>
            </w:r>
          </w:p>
        </w:tc>
        <w:tc>
          <w:tcPr>
            <w:tcW w:w="20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Los Angeles, CA</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F-1</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Lifestyle Beverage Brand</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1/18/2024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776,747</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10,003,934</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9,999,996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01"/>
        </w:trPr>
        <w:tc>
          <w:tcPr>
            <w:tcW w:w="3640" w:type="dxa"/>
            <w:vAlign w:val="bottom"/>
            <w:gridSpan w:val="17"/>
          </w:tcPr>
          <w:p>
            <w:pPr>
              <w:spacing w:after="0" w:line="201" w:lineRule="exact"/>
              <w:rPr>
                <w:sz w:val="20"/>
                <w:szCs w:val="20"/>
                <w:color w:val="auto"/>
              </w:rPr>
            </w:pPr>
            <w:r>
              <w:rPr>
                <w:rFonts w:ascii="Times New Roman" w:cs="Times New Roman" w:eastAsia="Times New Roman" w:hAnsi="Times New Roman"/>
                <w:sz w:val="18"/>
                <w:szCs w:val="18"/>
                <w:color w:val="auto"/>
              </w:rPr>
              <w:t>Series F Convertible Note 4.12%, Due</w:t>
            </w: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1180" w:type="dxa"/>
            <w:vAlign w:val="bottom"/>
            <w:gridSpan w:val="5"/>
          </w:tcPr>
          <w:p>
            <w:pPr>
              <w:spacing w:after="0" w:line="284" w:lineRule="exact"/>
              <w:rPr>
                <w:sz w:val="20"/>
                <w:szCs w:val="20"/>
                <w:color w:val="auto"/>
              </w:rPr>
            </w:pPr>
            <w:r>
              <w:rPr>
                <w:rFonts w:ascii="Times New Roman" w:cs="Times New Roman" w:eastAsia="Times New Roman" w:hAnsi="Times New Roman"/>
                <w:sz w:val="18"/>
                <w:szCs w:val="18"/>
                <w:color w:val="auto"/>
              </w:rPr>
              <w:t>7/15/2030</w:t>
            </w:r>
            <w:r>
              <w:rPr>
                <w:rFonts w:ascii="Times New Roman" w:cs="Times New Roman" w:eastAsia="Times New Roman" w:hAnsi="Times New Roman"/>
                <w:sz w:val="29"/>
                <w:szCs w:val="29"/>
                <w:color w:val="auto"/>
                <w:vertAlign w:val="superscript"/>
              </w:rPr>
              <w:t>***</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7/29/2025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252,362</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gridSpan w:val="1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10,256,296</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10,249,996</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9"/>
        </w:trPr>
        <w:tc>
          <w:tcPr>
            <w:tcW w:w="3640" w:type="dxa"/>
            <w:vAlign w:val="bottom"/>
            <w:gridSpan w:val="17"/>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Shogun Enterprises, Inc. (d/b/a Hearth)</w:t>
            </w:r>
          </w:p>
        </w:tc>
        <w:tc>
          <w:tcPr>
            <w:tcW w:w="200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w w:val="98"/>
              </w:rPr>
              <w:t>Austin, TX</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Home Improvement</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B-1</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Finance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2/26/2021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436,844</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3,501,657</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3,499,994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0" w:type="dxa"/>
            <w:vAlign w:val="bottom"/>
          </w:tcPr>
          <w:p>
            <w:pPr>
              <w:spacing w:after="0"/>
              <w:rPr>
                <w:sz w:val="1"/>
                <w:szCs w:val="1"/>
                <w:color w:val="auto"/>
              </w:rPr>
            </w:pPr>
          </w:p>
        </w:tc>
      </w:tr>
      <w:tr>
        <w:trPr>
          <w:trHeight w:val="216"/>
        </w:trPr>
        <w:tc>
          <w:tcPr>
            <w:tcW w:w="36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Preferred Shares, Series B-2</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2/26/2021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301,750</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3,501,661</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3,499,998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0" w:type="dxa"/>
            <w:vAlign w:val="bottom"/>
          </w:tcPr>
          <w:p>
            <w:pPr>
              <w:spacing w:after="0"/>
              <w:rPr>
                <w:sz w:val="1"/>
                <w:szCs w:val="1"/>
                <w:color w:val="auto"/>
              </w:rPr>
            </w:pPr>
          </w:p>
        </w:tc>
      </w:tr>
      <w:tr>
        <w:trPr>
          <w:trHeight w:val="216"/>
        </w:trPr>
        <w:tc>
          <w:tcPr>
            <w:tcW w:w="36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B-3</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5/2/2022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56,936</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530,822</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530,820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16"/>
        </w:trPr>
        <w:tc>
          <w:tcPr>
            <w:tcW w:w="36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Preferred Shares, Series B-4</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7/12/2023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48,267</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366,606</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499,998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198"/>
        </w:trPr>
        <w:tc>
          <w:tcPr>
            <w:tcW w:w="3640" w:type="dxa"/>
            <w:vAlign w:val="bottom"/>
            <w:gridSpan w:val="1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Warrants, Strike Price $0.01,</w:t>
            </w:r>
          </w:p>
        </w:tc>
        <w:tc>
          <w:tcPr>
            <w:tcW w:w="1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6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Expiration Date 7/12/2026</w:t>
            </w:r>
          </w:p>
        </w:tc>
        <w:tc>
          <w:tcPr>
            <w:tcW w:w="1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7/12/2023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86,076</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140,060</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72,304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17"/>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8,040,806</w:t>
            </w:r>
          </w:p>
        </w:tc>
        <w:tc>
          <w:tcPr>
            <w:tcW w:w="2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8,103,114</w:t>
            </w:r>
          </w:p>
        </w:tc>
        <w:tc>
          <w:tcPr>
            <w:tcW w:w="22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640" w:type="dxa"/>
            <w:vAlign w:val="bottom"/>
            <w:gridSpan w:val="17"/>
            <w:shd w:val="clear" w:color="auto" w:fill="CCEEFF"/>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Plaid Inc.</w:t>
            </w:r>
            <w:r>
              <w:rPr>
                <w:rFonts w:ascii="Times New Roman" w:cs="Times New Roman" w:eastAsia="Times New Roman" w:hAnsi="Times New Roman"/>
                <w:sz w:val="22"/>
                <w:szCs w:val="22"/>
                <w:b w:val="1"/>
                <w:bCs w:val="1"/>
                <w:color w:val="auto"/>
                <w:vertAlign w:val="superscript"/>
              </w:rPr>
              <w:t>(9)</w:t>
            </w:r>
          </w:p>
        </w:tc>
        <w:tc>
          <w:tcPr>
            <w:tcW w:w="2000" w:type="dxa"/>
            <w:vAlign w:val="bottom"/>
            <w:gridSpan w:val="2"/>
            <w:shd w:val="clear" w:color="auto" w:fill="CCEEFF"/>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San Francisco, CA</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0" w:type="dxa"/>
            <w:vAlign w:val="bottom"/>
            <w:tcBorders>
              <w:top w:val="single" w:sz="8" w:color="CCEEFF"/>
            </w:tcBorders>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Financial Technology</w:t>
            </w:r>
          </w:p>
        </w:tc>
        <w:tc>
          <w:tcPr>
            <w:tcW w:w="1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Infrastructure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24,512</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5,395,542</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6,922,679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36"/>
        </w:trPr>
        <w:tc>
          <w:tcPr>
            <w:tcW w:w="3640" w:type="dxa"/>
            <w:vAlign w:val="bottom"/>
            <w:gridSpan w:val="17"/>
            <w:shd w:val="clear" w:color="auto" w:fill="CCEEFF"/>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Magnetar Opportunity 2025-4 LP</w:t>
            </w:r>
            <w:r>
              <w:rPr>
                <w:rFonts w:ascii="Times New Roman" w:cs="Times New Roman" w:eastAsia="Times New Roman" w:hAnsi="Times New Roman"/>
                <w:sz w:val="25"/>
                <w:szCs w:val="25"/>
                <w:b w:val="1"/>
                <w:bCs w:val="1"/>
                <w:color w:val="auto"/>
                <w:vertAlign w:val="superscript"/>
              </w:rPr>
              <w:t>**(10)</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Evanston, IL</w:t>
            </w: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2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Class A Interest</w:t>
            </w:r>
          </w:p>
        </w:tc>
        <w:tc>
          <w:tcPr>
            <w:tcW w:w="1020" w:type="dxa"/>
            <w:vAlign w:val="bottom"/>
            <w:tcBorders>
              <w:top w:val="single" w:sz="8" w:color="CCEEFF"/>
            </w:tcBorders>
            <w:gridSpan w:val="7"/>
          </w:tcPr>
          <w:p>
            <w:pPr>
              <w:spacing w:after="0"/>
              <w:rPr>
                <w:sz w:val="18"/>
                <w:szCs w:val="18"/>
                <w:color w:val="auto"/>
              </w:rPr>
            </w:pPr>
          </w:p>
        </w:tc>
        <w:tc>
          <w:tcPr>
            <w:tcW w:w="200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AI Infrastructure Fund</w:t>
            </w:r>
          </w:p>
        </w:tc>
        <w:tc>
          <w:tcPr>
            <w:tcW w:w="11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1/2/2026</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5,000,000</w:t>
            </w:r>
          </w:p>
        </w:tc>
        <w:tc>
          <w:tcPr>
            <w:tcW w:w="112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5,012,250</w:t>
            </w:r>
          </w:p>
        </w:tc>
        <w:tc>
          <w:tcPr>
            <w:tcW w:w="12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5,000,000</w:t>
            </w:r>
          </w:p>
        </w:tc>
        <w:tc>
          <w:tcPr>
            <w:tcW w:w="9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auto"/>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Neutron Holdings, Inc. (d/b/a/ Lime)</w:t>
            </w:r>
          </w:p>
        </w:tc>
        <w:tc>
          <w:tcPr>
            <w:tcW w:w="820" w:type="dxa"/>
            <w:vAlign w:val="bottom"/>
            <w:tcBorders>
              <w:bottom w:val="single" w:sz="8" w:color="CCEEFF"/>
            </w:tcBorders>
            <w:gridSpan w:val="6"/>
            <w:shd w:val="clear" w:color="auto" w:fill="CCEEFF"/>
          </w:tcPr>
          <w:p>
            <w:pPr>
              <w:spacing w:after="0"/>
              <w:rPr>
                <w:sz w:val="17"/>
                <w:szCs w:val="17"/>
                <w:color w:val="auto"/>
              </w:rPr>
            </w:pPr>
          </w:p>
        </w:tc>
        <w:tc>
          <w:tcPr>
            <w:tcW w:w="20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San Francisco, CA</w:t>
            </w: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Junior Preferred Shares, Series 1-D</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Micromobility</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1/25/2019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41,237,113</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10,007,322</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3,485,014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0" w:type="dxa"/>
            <w:vAlign w:val="bottom"/>
          </w:tcPr>
          <w:p>
            <w:pPr>
              <w:spacing w:after="0"/>
              <w:rPr>
                <w:sz w:val="1"/>
                <w:szCs w:val="1"/>
                <w:color w:val="auto"/>
              </w:rPr>
            </w:pPr>
          </w:p>
        </w:tc>
      </w:tr>
      <w:tr>
        <w:trPr>
          <w:trHeight w:val="201"/>
        </w:trPr>
        <w:tc>
          <w:tcPr>
            <w:tcW w:w="3640" w:type="dxa"/>
            <w:vAlign w:val="bottom"/>
            <w:gridSpan w:val="17"/>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Junior Preferred Convertible Note 4% Due</w:t>
            </w:r>
          </w:p>
        </w:tc>
        <w:tc>
          <w:tcPr>
            <w:tcW w:w="1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180" w:type="dxa"/>
            <w:vAlign w:val="bottom"/>
            <w:gridSpan w:val="5"/>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5/11/2027</w:t>
            </w:r>
            <w:r>
              <w:rPr>
                <w:rFonts w:ascii="Times New Roman" w:cs="Times New Roman" w:eastAsia="Times New Roman" w:hAnsi="Times New Roman"/>
                <w:sz w:val="29"/>
                <w:szCs w:val="29"/>
                <w:color w:val="auto"/>
                <w:vertAlign w:val="superscript"/>
              </w:rPr>
              <w:t>***</w:t>
            </w: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5/11/2020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506,339</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506,339</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506,339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198"/>
        </w:trPr>
        <w:tc>
          <w:tcPr>
            <w:tcW w:w="3640" w:type="dxa"/>
            <w:vAlign w:val="bottom"/>
            <w:gridSpan w:val="17"/>
          </w:tcPr>
          <w:p>
            <w:pPr>
              <w:spacing w:after="0" w:line="198" w:lineRule="exact"/>
              <w:rPr>
                <w:sz w:val="20"/>
                <w:szCs w:val="20"/>
                <w:color w:val="auto"/>
              </w:rPr>
            </w:pPr>
            <w:r>
              <w:rPr>
                <w:rFonts w:ascii="Times New Roman" w:cs="Times New Roman" w:eastAsia="Times New Roman" w:hAnsi="Times New Roman"/>
                <w:sz w:val="18"/>
                <w:szCs w:val="18"/>
                <w:color w:val="auto"/>
              </w:rPr>
              <w:t>Common Warrants, Strike Price $0.01,</w:t>
            </w: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6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Expiration Date 5/11/2027</w:t>
            </w: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5/11/2020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2,032,967</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121,978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gridSpan w:val="1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10,513,661</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4,113,331</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9"/>
        </w:trPr>
        <w:tc>
          <w:tcPr>
            <w:tcW w:w="3640" w:type="dxa"/>
            <w:vAlign w:val="bottom"/>
            <w:gridSpan w:val="17"/>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HL Digital Assets Inc.</w:t>
            </w:r>
          </w:p>
        </w:tc>
        <w:tc>
          <w:tcPr>
            <w:tcW w:w="200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w w:val="97"/>
              </w:rPr>
              <w:t>New York, NY</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Digital Asset</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2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Infrastructure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9/18/2025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8,000,000</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5,106,143</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4,045,949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76"/>
        </w:trPr>
        <w:tc>
          <w:tcPr>
            <w:tcW w:w="36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FourKites, Inc.</w:t>
            </w:r>
          </w:p>
        </w:tc>
        <w:tc>
          <w:tcPr>
            <w:tcW w:w="20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Chicago, IL</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Supply Chain Technology</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7/7/2023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1,398,024</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8,530,389</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3,256,355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229" w:right="339" w:bottom="565"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565"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Headquarters/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10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of Net</w:t>
            </w:r>
          </w:p>
        </w:tc>
        <w:tc>
          <w:tcPr>
            <w:tcW w:w="0" w:type="dxa"/>
            <w:vAlign w:val="bottom"/>
          </w:tcPr>
          <w:p>
            <w:pPr>
              <w:spacing w:after="0"/>
              <w:rPr>
                <w:sz w:val="1"/>
                <w:szCs w:val="1"/>
                <w:color w:val="auto"/>
              </w:rPr>
            </w:pPr>
          </w:p>
        </w:tc>
      </w:tr>
      <w:tr>
        <w:trPr>
          <w:trHeight w:val="270"/>
        </w:trPr>
        <w:tc>
          <w:tcPr>
            <w:tcW w:w="36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Portfolio Investments*</w:t>
            </w:r>
          </w:p>
        </w:tc>
        <w:tc>
          <w:tcPr>
            <w:tcW w:w="10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Industry</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Investment</w:t>
            </w:r>
          </w:p>
        </w:tc>
        <w:tc>
          <w:tcPr>
            <w:tcW w:w="100" w:type="dxa"/>
            <w:vAlign w:val="bottom"/>
          </w:tcPr>
          <w:p>
            <w:pPr>
              <w:spacing w:after="0"/>
              <w:rPr>
                <w:sz w:val="23"/>
                <w:szCs w:val="23"/>
                <w:color w:val="auto"/>
              </w:rPr>
            </w:pPr>
          </w:p>
        </w:tc>
        <w:tc>
          <w:tcPr>
            <w:tcW w:w="1080" w:type="dxa"/>
            <w:vAlign w:val="bottom"/>
            <w:gridSpan w:val="3"/>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Quantity</w:t>
            </w:r>
            <w:r>
              <w:rPr>
                <w:rFonts w:ascii="Times New Roman" w:cs="Times New Roman" w:eastAsia="Times New Roman" w:hAnsi="Times New Roman"/>
                <w:sz w:val="29"/>
                <w:szCs w:val="29"/>
                <w:b w:val="1"/>
                <w:bCs w:val="1"/>
                <w:color w:val="auto"/>
                <w:vertAlign w:val="superscript"/>
              </w:rPr>
              <w:t>(2)</w:t>
            </w: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9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210"/>
        </w:trPr>
        <w:tc>
          <w:tcPr>
            <w:tcW w:w="3640" w:type="dxa"/>
            <w:vAlign w:val="bottom"/>
            <w:tcBorders>
              <w:top w:val="single" w:sz="8" w:color="auto"/>
            </w:tcBorders>
            <w:gridSpan w:val="16"/>
            <w:shd w:val="clear" w:color="auto" w:fill="CCEEFF"/>
          </w:tcPr>
          <w:p>
            <w:pPr>
              <w:spacing w:after="0" w:line="210" w:lineRule="exact"/>
              <w:rPr>
                <w:sz w:val="20"/>
                <w:szCs w:val="20"/>
                <w:color w:val="auto"/>
              </w:rPr>
            </w:pPr>
            <w:r>
              <w:rPr>
                <w:rFonts w:ascii="Times New Roman" w:cs="Times New Roman" w:eastAsia="Times New Roman" w:hAnsi="Times New Roman"/>
                <w:sz w:val="15"/>
                <w:szCs w:val="15"/>
                <w:b w:val="1"/>
                <w:bCs w:val="1"/>
                <w:color w:val="auto"/>
              </w:rPr>
              <w:t>EDGE Markets, Inc.</w:t>
            </w:r>
            <w:r>
              <w:rPr>
                <w:rFonts w:ascii="Times New Roman" w:cs="Times New Roman" w:eastAsia="Times New Roman" w:hAnsi="Times New Roman"/>
                <w:sz w:val="24"/>
                <w:szCs w:val="24"/>
                <w:b w:val="1"/>
                <w:bCs w:val="1"/>
                <w:color w:val="auto"/>
                <w:vertAlign w:val="superscript"/>
              </w:rPr>
              <w:t>(11)</w:t>
            </w:r>
          </w:p>
        </w:tc>
        <w:tc>
          <w:tcPr>
            <w:tcW w:w="1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San Diego, CA</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Preferred Shares, Series Seed 8%</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Gaming Technology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5/18/2022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456,704</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501,330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3,201,961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176"/>
        </w:trPr>
        <w:tc>
          <w:tcPr>
            <w:tcW w:w="37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PayJoy, Inc.</w:t>
            </w:r>
          </w:p>
        </w:tc>
        <w:tc>
          <w:tcPr>
            <w:tcW w:w="208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rPr>
              <w:t>San Francisco, CA</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Preferred Shares, Series C</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Mobile Access Technology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7/23/2021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244,117</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2,501,570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2,499,758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229"/>
        </w:trPr>
        <w:tc>
          <w:tcPr>
            <w:tcW w:w="37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Simple Agreement for Future Equity</w:t>
            </w: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5/25/2023</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501,470</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0"/>
        </w:trPr>
        <w:tc>
          <w:tcPr>
            <w:tcW w:w="3740" w:type="dxa"/>
            <w:vAlign w:val="bottom"/>
            <w:gridSpan w:val="17"/>
            <w:vMerge w:val="restart"/>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gridSpan w:val="17"/>
            <w:vMerge w:val="continue"/>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3,003,040</w:t>
            </w:r>
          </w:p>
        </w:tc>
        <w:tc>
          <w:tcPr>
            <w:tcW w:w="22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2,999,758</w:t>
            </w:r>
          </w:p>
        </w:tc>
        <w:tc>
          <w:tcPr>
            <w:tcW w:w="200" w:type="dxa"/>
            <w:vAlign w:val="bottom"/>
            <w:vMerge w:val="continue"/>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16"/>
        </w:trPr>
        <w:tc>
          <w:tcPr>
            <w:tcW w:w="3740" w:type="dxa"/>
            <w:vAlign w:val="bottom"/>
            <w:tcBorders>
              <w:top w:val="single" w:sz="8" w:color="CCEEFF"/>
            </w:tcBorders>
            <w:gridSpan w:val="17"/>
            <w:shd w:val="clear" w:color="auto" w:fill="CCEEFF"/>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True Global Ventures 4 Plus Pte Ltd</w:t>
            </w:r>
            <w:r>
              <w:rPr>
                <w:rFonts w:ascii="Times New Roman" w:cs="Times New Roman" w:eastAsia="Times New Roman" w:hAnsi="Times New Roman"/>
                <w:sz w:val="22"/>
                <w:szCs w:val="22"/>
                <w:b w:val="1"/>
                <w:bCs w:val="1"/>
                <w:color w:val="auto"/>
                <w:vertAlign w:val="superscript"/>
              </w:rPr>
              <w:t>**(12)</w:t>
            </w:r>
          </w:p>
        </w:tc>
        <w:tc>
          <w:tcPr>
            <w:tcW w:w="2080" w:type="dxa"/>
            <w:vAlign w:val="bottom"/>
            <w:tcBorders>
              <w:top w:val="single" w:sz="8" w:color="CCEEFF"/>
            </w:tcBorders>
            <w:gridSpan w:val="2"/>
            <w:shd w:val="clear" w:color="auto" w:fill="CCEEFF"/>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Singapore, Singapore</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Limited Partner Fund Investment</w:t>
            </w:r>
          </w:p>
        </w:tc>
        <w:tc>
          <w:tcPr>
            <w:tcW w:w="940" w:type="dxa"/>
            <w:vAlign w:val="bottom"/>
            <w:tcBorders>
              <w:top w:val="single" w:sz="8" w:color="CCEEFF"/>
            </w:tcBorders>
            <w:gridSpan w:val="5"/>
          </w:tcPr>
          <w:p>
            <w:pPr>
              <w:spacing w:after="0"/>
              <w:rPr>
                <w:sz w:val="18"/>
                <w:szCs w:val="18"/>
                <w:color w:val="auto"/>
              </w:rPr>
            </w:pPr>
          </w:p>
        </w:tc>
        <w:tc>
          <w:tcPr>
            <w:tcW w:w="208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Venture Investment Fund</w:t>
            </w:r>
          </w:p>
        </w:tc>
        <w:tc>
          <w:tcPr>
            <w:tcW w:w="11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8/27/2021</w:t>
            </w:r>
          </w:p>
        </w:tc>
        <w:tc>
          <w:tcPr>
            <w:tcW w:w="220" w:type="dxa"/>
            <w:vAlign w:val="bottom"/>
            <w:tcBorders>
              <w:top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2,000,000</w:t>
            </w:r>
          </w:p>
        </w:tc>
        <w:tc>
          <w:tcPr>
            <w:tcW w:w="11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202,378</w:t>
            </w:r>
          </w:p>
        </w:tc>
        <w:tc>
          <w:tcPr>
            <w:tcW w:w="104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2,884,437</w:t>
            </w:r>
          </w:p>
        </w:tc>
        <w:tc>
          <w:tcPr>
            <w:tcW w:w="9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36"/>
        </w:trPr>
        <w:tc>
          <w:tcPr>
            <w:tcW w:w="3740" w:type="dxa"/>
            <w:vAlign w:val="bottom"/>
            <w:gridSpan w:val="17"/>
            <w:shd w:val="clear" w:color="auto" w:fill="CCEEFF"/>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Xgroup Holdings Inc (d/b/a Xpoint)</w:t>
            </w:r>
            <w:r>
              <w:rPr>
                <w:rFonts w:ascii="Times New Roman" w:cs="Times New Roman" w:eastAsia="Times New Roman" w:hAnsi="Times New Roman"/>
                <w:sz w:val="25"/>
                <w:szCs w:val="25"/>
                <w:b w:val="1"/>
                <w:bCs w:val="1"/>
                <w:color w:val="auto"/>
                <w:vertAlign w:val="superscript"/>
              </w:rPr>
              <w:t>(11)</w:t>
            </w:r>
          </w:p>
        </w:tc>
        <w:tc>
          <w:tcPr>
            <w:tcW w:w="2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Miami Beach, FL</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6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Preferred Shares, Series A-1</w:t>
            </w:r>
          </w:p>
        </w:tc>
        <w:tc>
          <w:tcPr>
            <w:tcW w:w="980" w:type="dxa"/>
            <w:vAlign w:val="bottom"/>
            <w:tcBorders>
              <w:top w:val="single" w:sz="8" w:color="CCEEFF"/>
            </w:tcBorders>
            <w:gridSpan w:val="6"/>
          </w:tcPr>
          <w:p>
            <w:pPr>
              <w:spacing w:after="0"/>
              <w:rPr>
                <w:sz w:val="18"/>
                <w:szCs w:val="18"/>
                <w:color w:val="auto"/>
              </w:rPr>
            </w:pPr>
          </w:p>
        </w:tc>
        <w:tc>
          <w:tcPr>
            <w:tcW w:w="208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Geolocation Technology</w:t>
            </w:r>
          </w:p>
        </w:tc>
        <w:tc>
          <w:tcPr>
            <w:tcW w:w="11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8/17/2022</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w:t>
            </w:r>
          </w:p>
        </w:tc>
        <w:tc>
          <w:tcPr>
            <w:tcW w:w="11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136,114</w:t>
            </w:r>
          </w:p>
        </w:tc>
        <w:tc>
          <w:tcPr>
            <w:tcW w:w="104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220,200</w:t>
            </w:r>
          </w:p>
        </w:tc>
        <w:tc>
          <w:tcPr>
            <w:tcW w:w="9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198"/>
        </w:trPr>
        <w:tc>
          <w:tcPr>
            <w:tcW w:w="3740" w:type="dxa"/>
            <w:vAlign w:val="bottom"/>
            <w:gridSpan w:val="1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A-1 Warrants, Strike Price $0.0001,</w:t>
            </w: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Expiration Date 5/14/2044</w:t>
            </w:r>
          </w:p>
        </w:tc>
        <w:tc>
          <w:tcPr>
            <w:tcW w:w="1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8/17/2022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3,286</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985,180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1,593,789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198"/>
        </w:trPr>
        <w:tc>
          <w:tcPr>
            <w:tcW w:w="3740" w:type="dxa"/>
            <w:vAlign w:val="bottom"/>
            <w:gridSpan w:val="17"/>
          </w:tcPr>
          <w:p>
            <w:pPr>
              <w:spacing w:after="0" w:line="198" w:lineRule="exact"/>
              <w:rPr>
                <w:sz w:val="20"/>
                <w:szCs w:val="20"/>
                <w:color w:val="auto"/>
              </w:rPr>
            </w:pPr>
            <w:r>
              <w:rPr>
                <w:rFonts w:ascii="Times New Roman" w:cs="Times New Roman" w:eastAsia="Times New Roman" w:hAnsi="Times New Roman"/>
                <w:sz w:val="18"/>
                <w:szCs w:val="18"/>
                <w:color w:val="auto"/>
              </w:rPr>
              <w:t>Series A Warrants, Strike Price $0.0001,</w:t>
            </w: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Expiration Date 5/14/2044</w:t>
            </w: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8/17/2022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873</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261,735</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564,568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gridSpan w:val="1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1,383,029</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2,378,557</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60" w:type="dxa"/>
            <w:vAlign w:val="bottom"/>
            <w:tcBorders>
              <w:top w:val="single" w:sz="8" w:color="CCEEFF"/>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9"/>
        </w:trPr>
        <w:tc>
          <w:tcPr>
            <w:tcW w:w="3740" w:type="dxa"/>
            <w:vAlign w:val="bottom"/>
            <w:gridSpan w:val="17"/>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GrabAGun Digital Holdings Inc.</w:t>
            </w:r>
          </w:p>
        </w:tc>
        <w:tc>
          <w:tcPr>
            <w:tcW w:w="208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w w:val="99"/>
              </w:rPr>
              <w:t>Coppell, TX</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740" w:type="dxa"/>
            <w:vAlign w:val="bottom"/>
            <w:gridSpan w:val="17"/>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(4)</w:t>
            </w: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E-Commerce Marketplace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11/20/2023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599,754</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636,500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1,805,260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01"/>
        </w:trPr>
        <w:tc>
          <w:tcPr>
            <w:tcW w:w="3740" w:type="dxa"/>
            <w:vAlign w:val="bottom"/>
            <w:gridSpan w:val="17"/>
          </w:tcPr>
          <w:p>
            <w:pPr>
              <w:spacing w:after="0" w:line="201" w:lineRule="exact"/>
              <w:rPr>
                <w:sz w:val="20"/>
                <w:szCs w:val="20"/>
                <w:color w:val="auto"/>
              </w:rPr>
            </w:pPr>
            <w:r>
              <w:rPr>
                <w:rFonts w:ascii="Times New Roman" w:cs="Times New Roman" w:eastAsia="Times New Roman" w:hAnsi="Times New Roman"/>
                <w:sz w:val="18"/>
                <w:szCs w:val="18"/>
                <w:color w:val="auto"/>
              </w:rPr>
              <w:t>Common Warrants, Strike Price $11.50,</w:t>
            </w: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3740" w:type="dxa"/>
            <w:vAlign w:val="bottom"/>
            <w:gridSpan w:val="17"/>
          </w:tcPr>
          <w:p>
            <w:pPr>
              <w:spacing w:after="0" w:line="284" w:lineRule="exact"/>
              <w:rPr>
                <w:sz w:val="20"/>
                <w:szCs w:val="20"/>
                <w:color w:val="auto"/>
              </w:rPr>
            </w:pPr>
            <w:r>
              <w:rPr>
                <w:rFonts w:ascii="Times New Roman" w:cs="Times New Roman" w:eastAsia="Times New Roman" w:hAnsi="Times New Roman"/>
                <w:sz w:val="18"/>
                <w:szCs w:val="18"/>
                <w:color w:val="auto"/>
              </w:rPr>
              <w:t>Expiration Date 7/15/2030</w:t>
            </w:r>
            <w:r>
              <w:rPr>
                <w:rFonts w:ascii="Times New Roman" w:cs="Times New Roman" w:eastAsia="Times New Roman" w:hAnsi="Times New Roman"/>
                <w:sz w:val="29"/>
                <w:szCs w:val="29"/>
                <w:color w:val="auto"/>
                <w:vertAlign w:val="superscript"/>
              </w:rPr>
              <w:t>(4)</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11/20/2023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1,204,488</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375,816</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566,109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gridSpan w:val="1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1,012,316</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2,371,369</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60" w:type="dxa"/>
            <w:vAlign w:val="bottom"/>
            <w:tcBorders>
              <w:top w:val="single" w:sz="8" w:color="CCEEFF"/>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6"/>
        </w:trPr>
        <w:tc>
          <w:tcPr>
            <w:tcW w:w="3740" w:type="dxa"/>
            <w:vAlign w:val="bottom"/>
            <w:gridSpan w:val="17"/>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Stake Trade, Inc. (d/b/a Prophet Exchange)</w:t>
            </w:r>
            <w:r>
              <w:rPr>
                <w:rFonts w:ascii="Times New Roman" w:cs="Times New Roman" w:eastAsia="Times New Roman" w:hAnsi="Times New Roman"/>
                <w:sz w:val="22"/>
                <w:szCs w:val="22"/>
                <w:b w:val="1"/>
                <w:bCs w:val="1"/>
                <w:color w:val="auto"/>
                <w:vertAlign w:val="superscript"/>
              </w:rPr>
              <w:t>(11)</w:t>
            </w:r>
          </w:p>
        </w:tc>
        <w:tc>
          <w:tcPr>
            <w:tcW w:w="208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New York, NY</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B-IV</w:t>
            </w:r>
          </w:p>
        </w:tc>
        <w:tc>
          <w:tcPr>
            <w:tcW w:w="2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Sports Betting</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7/26/2023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755,041</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1,002,153</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1,249,993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16"/>
        </w:trPr>
        <w:tc>
          <w:tcPr>
            <w:tcW w:w="3740" w:type="dxa"/>
            <w:vAlign w:val="bottom"/>
            <w:gridSpan w:val="17"/>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Varo Money, Inc.</w:t>
            </w:r>
            <w:r>
              <w:rPr>
                <w:rFonts w:ascii="Times New Roman" w:cs="Times New Roman" w:eastAsia="Times New Roman" w:hAnsi="Times New Roman"/>
                <w:sz w:val="25"/>
                <w:szCs w:val="25"/>
                <w:b w:val="1"/>
                <w:bCs w:val="1"/>
                <w:color w:val="auto"/>
                <w:vertAlign w:val="superscript"/>
              </w:rPr>
              <w:t>**</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San Francisco, CA</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Financial Services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8/11/2021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1,079,266</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10,005,548</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1,079,266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175"/>
        </w:trPr>
        <w:tc>
          <w:tcPr>
            <w:tcW w:w="37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Residential Homes for Rent, LLC (d/b/a</w:t>
            </w: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080" w:type="dxa"/>
            <w:vAlign w:val="bottom"/>
            <w:tcBorders>
              <w:top w:val="single" w:sz="8" w:color="auto"/>
            </w:tcBorders>
            <w:gridSpan w:val="13"/>
          </w:tcPr>
          <w:p>
            <w:pPr>
              <w:spacing w:after="0" w:line="236" w:lineRule="exact"/>
              <w:rPr>
                <w:sz w:val="20"/>
                <w:szCs w:val="20"/>
                <w:color w:val="auto"/>
              </w:rPr>
            </w:pPr>
            <w:r>
              <w:rPr>
                <w:rFonts w:ascii="Times New Roman" w:cs="Times New Roman" w:eastAsia="Times New Roman" w:hAnsi="Times New Roman"/>
                <w:sz w:val="17"/>
                <w:szCs w:val="17"/>
                <w:b w:val="1"/>
                <w:bCs w:val="1"/>
                <w:color w:val="auto"/>
              </w:rPr>
              <w:t>Second Avenue)</w:t>
            </w:r>
            <w:r>
              <w:rPr>
                <w:rFonts w:ascii="Times New Roman" w:cs="Times New Roman" w:eastAsia="Times New Roman" w:hAnsi="Times New Roman"/>
                <w:sz w:val="27"/>
                <w:szCs w:val="27"/>
                <w:b w:val="1"/>
                <w:bCs w:val="1"/>
                <w:color w:val="auto"/>
                <w:vertAlign w:val="superscript"/>
              </w:rPr>
              <w:t>(13)</w:t>
            </w:r>
          </w:p>
        </w:tc>
        <w:tc>
          <w:tcPr>
            <w:tcW w:w="660" w:type="dxa"/>
            <w:vAlign w:val="bottom"/>
            <w:gridSpan w:val="4"/>
          </w:tcPr>
          <w:p>
            <w:pPr>
              <w:spacing w:after="0"/>
              <w:rPr>
                <w:sz w:val="20"/>
                <w:szCs w:val="20"/>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Chicago, IL</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A</w:t>
            </w: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Real Estate Platform</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12/23/2020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554,586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175"/>
        </w:trPr>
        <w:tc>
          <w:tcPr>
            <w:tcW w:w="37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Skillsoft Corp.</w:t>
            </w:r>
          </w:p>
        </w:tc>
        <w:tc>
          <w:tcPr>
            <w:tcW w:w="20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Nashua, NH</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740" w:type="dxa"/>
            <w:vAlign w:val="bottom"/>
            <w:gridSpan w:val="17"/>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(4)</w:t>
            </w: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Online Education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6/8/2021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49,092</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9,818,428</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210,605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175"/>
        </w:trPr>
        <w:tc>
          <w:tcPr>
            <w:tcW w:w="37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Orchard Technologies, Inc.</w:t>
            </w:r>
          </w:p>
        </w:tc>
        <w:tc>
          <w:tcPr>
            <w:tcW w:w="20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New York, NY</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D 8%</w:t>
            </w: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Real Estate Platform</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8/9/2021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524,985</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3,751,518</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Senior Preferred Shares, Series 2 8%</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80,991</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587,951</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Preferred Shares, Series 1 7%</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1/13/2023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463,449</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4,642,772</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558,053</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3,751,518</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Simple Agreement for Future Equity</w:t>
            </w: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1/31/2025</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80,800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81,584</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80,800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9"/>
        </w:trPr>
        <w:tc>
          <w:tcPr>
            <w:tcW w:w="3740" w:type="dxa"/>
            <w:vAlign w:val="bottom"/>
            <w:tcBorders>
              <w:bottom w:val="single" w:sz="8" w:color="CCEEFF"/>
            </w:tcBorders>
            <w:gridSpan w:val="17"/>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12,815,343</w:t>
            </w:r>
          </w:p>
        </w:tc>
        <w:tc>
          <w:tcPr>
            <w:tcW w:w="22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80,800</w:t>
            </w:r>
          </w:p>
        </w:tc>
        <w:tc>
          <w:tcPr>
            <w:tcW w:w="20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0"/>
        </w:trPr>
        <w:tc>
          <w:tcPr>
            <w:tcW w:w="3120" w:type="dxa"/>
            <w:vAlign w:val="bottom"/>
            <w:tcBorders>
              <w:bottom w:val="single" w:sz="8" w:color="auto"/>
            </w:tcBorders>
            <w:gridSpan w:val="1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PSQ Holdings, Inc. (d/b/a PublicSquare)</w:t>
            </w:r>
          </w:p>
        </w:tc>
        <w:tc>
          <w:tcPr>
            <w:tcW w:w="620" w:type="dxa"/>
            <w:vAlign w:val="bottom"/>
            <w:tcBorders>
              <w:bottom w:val="single" w:sz="8" w:color="CCEEFF"/>
            </w:tcBorders>
            <w:gridSpan w:val="3"/>
            <w:shd w:val="clear" w:color="auto" w:fill="CCEEFF"/>
          </w:tcPr>
          <w:p>
            <w:pPr>
              <w:spacing w:after="0"/>
              <w:rPr>
                <w:sz w:val="16"/>
                <w:szCs w:val="16"/>
                <w:color w:val="auto"/>
              </w:rPr>
            </w:pPr>
          </w:p>
        </w:tc>
        <w:tc>
          <w:tcPr>
            <w:tcW w:w="2080" w:type="dxa"/>
            <w:vAlign w:val="bottom"/>
            <w:tcBorders>
              <w:bottom w:val="single" w:sz="8" w:color="CCEEFF"/>
            </w:tcBorders>
            <w:gridSpan w:val="2"/>
            <w:shd w:val="clear" w:color="auto" w:fill="CCEEFF"/>
          </w:tcPr>
          <w:p>
            <w:pPr>
              <w:jc w:val="center"/>
              <w:ind w:right="80"/>
              <w:spacing w:after="0" w:line="169" w:lineRule="exact"/>
              <w:rPr>
                <w:sz w:val="20"/>
                <w:szCs w:val="20"/>
                <w:color w:val="auto"/>
              </w:rPr>
            </w:pPr>
            <w:r>
              <w:rPr>
                <w:rFonts w:ascii="Times New Roman" w:cs="Times New Roman" w:eastAsia="Times New Roman" w:hAnsi="Times New Roman"/>
                <w:sz w:val="18"/>
                <w:szCs w:val="18"/>
                <w:color w:val="auto"/>
                <w:w w:val="98"/>
              </w:rPr>
              <w:t>West Palm Beach, FL</w:t>
            </w: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left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740" w:type="dxa"/>
            <w:vAlign w:val="bottom"/>
            <w:gridSpan w:val="17"/>
          </w:tcPr>
          <w:p>
            <w:pPr>
              <w:spacing w:after="0" w:line="201" w:lineRule="exact"/>
              <w:rPr>
                <w:sz w:val="20"/>
                <w:szCs w:val="20"/>
                <w:color w:val="auto"/>
              </w:rPr>
            </w:pPr>
            <w:r>
              <w:rPr>
                <w:rFonts w:ascii="Times New Roman" w:cs="Times New Roman" w:eastAsia="Times New Roman" w:hAnsi="Times New Roman"/>
                <w:sz w:val="18"/>
                <w:szCs w:val="18"/>
                <w:color w:val="auto"/>
              </w:rPr>
              <w:t>Common Warrants, Strike Price $11.50,</w:t>
            </w: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740" w:type="dxa"/>
            <w:vAlign w:val="bottom"/>
            <w:gridSpan w:val="17"/>
          </w:tcPr>
          <w:p>
            <w:pPr>
              <w:spacing w:after="0" w:line="271" w:lineRule="exact"/>
              <w:rPr>
                <w:sz w:val="20"/>
                <w:szCs w:val="20"/>
                <w:color w:val="auto"/>
              </w:rPr>
            </w:pPr>
            <w:r>
              <w:rPr>
                <w:rFonts w:ascii="Times New Roman" w:cs="Times New Roman" w:eastAsia="Times New Roman" w:hAnsi="Times New Roman"/>
                <w:sz w:val="18"/>
                <w:szCs w:val="18"/>
                <w:color w:val="auto"/>
              </w:rPr>
              <w:t>Expiration Date 7/19/2028</w:t>
            </w:r>
            <w:r>
              <w:rPr>
                <w:rFonts w:ascii="Times New Roman" w:cs="Times New Roman" w:eastAsia="Times New Roman" w:hAnsi="Times New Roman"/>
                <w:sz w:val="29"/>
                <w:szCs w:val="29"/>
                <w:color w:val="auto"/>
                <w:vertAlign w:val="superscript"/>
              </w:rPr>
              <w:t>(4)</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E-Commerce Marketplace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4/1/2021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1,796,037</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771,065</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71,841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auto"/>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Aventine Property Group, Inc.</w:t>
            </w:r>
          </w:p>
        </w:tc>
        <w:tc>
          <w:tcPr>
            <w:tcW w:w="1380" w:type="dxa"/>
            <w:vAlign w:val="bottom"/>
            <w:tcBorders>
              <w:bottom w:val="single" w:sz="8" w:color="CCEEFF"/>
            </w:tcBorders>
            <w:gridSpan w:val="8"/>
            <w:shd w:val="clear" w:color="auto" w:fill="CCEEFF"/>
          </w:tcPr>
          <w:p>
            <w:pPr>
              <w:spacing w:after="0"/>
              <w:rPr>
                <w:sz w:val="17"/>
                <w:szCs w:val="17"/>
                <w:color w:val="auto"/>
              </w:rPr>
            </w:pPr>
          </w:p>
        </w:tc>
        <w:tc>
          <w:tcPr>
            <w:tcW w:w="20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Chicago, IL</w:t>
            </w: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left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Cannabis REIT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9/11/2019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312,500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2,580,750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75"/>
        </w:trPr>
        <w:tc>
          <w:tcPr>
            <w:tcW w:w="37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Kinetiq Holdings, LLC</w:t>
            </w:r>
          </w:p>
        </w:tc>
        <w:tc>
          <w:tcPr>
            <w:tcW w:w="20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Doylestown, PA</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Common Shares, Class A</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Social Data Platform</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3/30/2012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112,374</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5,486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3740" w:type="dxa"/>
            <w:vAlign w:val="bottom"/>
            <w:gridSpan w:val="17"/>
            <w:shd w:val="clear" w:color="auto" w:fill="CCEEFF"/>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Trax Ltd.</w:t>
            </w:r>
            <w:r>
              <w:rPr>
                <w:rFonts w:ascii="Times New Roman" w:cs="Times New Roman" w:eastAsia="Times New Roman" w:hAnsi="Times New Roman"/>
                <w:sz w:val="25"/>
                <w:szCs w:val="25"/>
                <w:b w:val="1"/>
                <w:bCs w:val="1"/>
                <w:color w:val="auto"/>
                <w:vertAlign w:val="superscript"/>
              </w:rPr>
              <w:t>**</w:t>
            </w: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Singapore, Singapore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Retail Technology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55,591</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2,781,148</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Investec Series</w:t>
            </w: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6/9/2021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144,409</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7,224,600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74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10,005,748</w:t>
            </w:r>
          </w:p>
        </w:tc>
        <w:tc>
          <w:tcPr>
            <w:tcW w:w="22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229" w:right="3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Shares/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 of</w:t>
            </w:r>
          </w:p>
        </w:tc>
      </w:tr>
      <w:tr>
        <w:trPr>
          <w:trHeight w:val="216"/>
        </w:trPr>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Headquarters/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12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Principal/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70"/>
        </w:trPr>
        <w:tc>
          <w:tcPr>
            <w:tcW w:w="3620" w:type="dxa"/>
            <w:vAlign w:val="bottom"/>
            <w:gridSpan w:val="10"/>
          </w:tcPr>
          <w:p>
            <w:pPr>
              <w:ind w:left="880"/>
              <w:spacing w:after="0"/>
              <w:rPr>
                <w:sz w:val="20"/>
                <w:szCs w:val="20"/>
                <w:color w:val="auto"/>
              </w:rPr>
            </w:pPr>
            <w:r>
              <w:rPr>
                <w:rFonts w:ascii="Times New Roman" w:cs="Times New Roman" w:eastAsia="Times New Roman" w:hAnsi="Times New Roman"/>
                <w:sz w:val="18"/>
                <w:szCs w:val="18"/>
                <w:b w:val="1"/>
                <w:bCs w:val="1"/>
                <w:color w:val="auto"/>
              </w:rPr>
              <w:t>Portfolio Investments*</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Industry</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20" w:type="dxa"/>
            <w:vAlign w:val="bottom"/>
          </w:tcPr>
          <w:p>
            <w:pPr>
              <w:spacing w:after="0"/>
              <w:rPr>
                <w:sz w:val="23"/>
                <w:szCs w:val="23"/>
                <w:color w:val="auto"/>
              </w:rPr>
            </w:pPr>
          </w:p>
        </w:tc>
        <w:tc>
          <w:tcPr>
            <w:tcW w:w="1020" w:type="dxa"/>
            <w:vAlign w:val="bottom"/>
            <w:gridSpan w:val="3"/>
          </w:tcPr>
          <w:p>
            <w:pPr>
              <w:jc w:val="center"/>
              <w:ind w:right="120"/>
              <w:spacing w:after="0" w:line="270" w:lineRule="exact"/>
              <w:rPr>
                <w:sz w:val="20"/>
                <w:szCs w:val="20"/>
                <w:color w:val="auto"/>
              </w:rPr>
            </w:pPr>
            <w:r>
              <w:rPr>
                <w:rFonts w:ascii="Times New Roman" w:cs="Times New Roman" w:eastAsia="Times New Roman" w:hAnsi="Times New Roman"/>
                <w:sz w:val="18"/>
                <w:szCs w:val="18"/>
                <w:b w:val="1"/>
                <w:bCs w:val="1"/>
                <w:color w:val="auto"/>
                <w:w w:val="93"/>
              </w:rPr>
              <w:t>Quantity</w:t>
            </w:r>
            <w:r>
              <w:rPr>
                <w:rFonts w:ascii="Times New Roman" w:cs="Times New Roman" w:eastAsia="Times New Roman" w:hAnsi="Times New Roman"/>
                <w:sz w:val="29"/>
                <w:szCs w:val="29"/>
                <w:b w:val="1"/>
                <w:bCs w:val="1"/>
                <w:color w:val="auto"/>
                <w:w w:val="93"/>
                <w:vertAlign w:val="superscript"/>
              </w:rPr>
              <w:t>(2)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3"/>
                <w:szCs w:val="23"/>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94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Assets</w:t>
            </w:r>
          </w:p>
        </w:tc>
      </w:tr>
      <w:tr>
        <w:trPr>
          <w:trHeight w:val="169"/>
        </w:trPr>
        <w:tc>
          <w:tcPr>
            <w:tcW w:w="3500" w:type="dxa"/>
            <w:vAlign w:val="bottom"/>
            <w:tcBorders>
              <w:top w:val="single" w:sz="8" w:color="auto"/>
            </w:tcBorders>
            <w:gridSpan w:val="9"/>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Fullbridge, Inc.</w:t>
            </w:r>
          </w:p>
        </w:tc>
        <w:tc>
          <w:tcPr>
            <w:tcW w:w="12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Cambridge, MA</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r>
      <w:tr>
        <w:trPr>
          <w:trHeight w:val="21"/>
        </w:trPr>
        <w:tc>
          <w:tcPr>
            <w:tcW w:w="9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Business Education</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5/13/2012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517,917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6,150,506</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20" w:type="dxa"/>
            <w:vAlign w:val="bottom"/>
            <w:gridSpan w:val="10"/>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Promissory Note 1.47%, Due 11/9/2021</w:t>
            </w:r>
            <w:r>
              <w:rPr>
                <w:rFonts w:ascii="Times New Roman" w:cs="Times New Roman" w:eastAsia="Times New Roman" w:hAnsi="Times New Roman"/>
                <w:sz w:val="29"/>
                <w:szCs w:val="29"/>
                <w:color w:val="auto"/>
                <w:vertAlign w:val="superscript"/>
              </w:rPr>
              <w:t>(3)(14)</w:t>
            </w: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3/3/2016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2,270,458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2,270,858</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620" w:type="dxa"/>
            <w:vAlign w:val="bottom"/>
            <w:tcBorders>
              <w:bottom w:val="single" w:sz="8" w:color="CCEEFF"/>
            </w:tcBorders>
            <w:gridSpan w:val="10"/>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8,421,364</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190"/>
        </w:trPr>
        <w:tc>
          <w:tcPr>
            <w:tcW w:w="3620" w:type="dxa"/>
            <w:vAlign w:val="bottom"/>
            <w:gridSpan w:val="10"/>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Treehouse Real Estate Investment Trust, Inc.</w:t>
            </w:r>
          </w:p>
        </w:tc>
        <w:tc>
          <w:tcPr>
            <w:tcW w:w="1920" w:type="dxa"/>
            <w:vAlign w:val="bottom"/>
            <w:gridSpan w:val="2"/>
            <w:shd w:val="clear" w:color="auto" w:fill="CCEEFF"/>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w w:val="99"/>
              </w:rPr>
              <w:t>Chicago, IL</w:t>
            </w: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16"/>
        </w:trPr>
        <w:tc>
          <w:tcPr>
            <w:tcW w:w="346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60" w:type="dxa"/>
            <w:vAlign w:val="bottom"/>
            <w:tcBorders>
              <w:top w:val="single" w:sz="8" w:color="CCEEFF"/>
            </w:tcBorders>
            <w:gridSpan w:val="2"/>
          </w:tcPr>
          <w:p>
            <w:pPr>
              <w:spacing w:after="0"/>
              <w:rPr>
                <w:sz w:val="18"/>
                <w:szCs w:val="18"/>
                <w:color w:val="auto"/>
              </w:rPr>
            </w:pPr>
          </w:p>
        </w:tc>
        <w:tc>
          <w:tcPr>
            <w:tcW w:w="192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Cannabis REIT</w:t>
            </w:r>
          </w:p>
        </w:tc>
        <w:tc>
          <w:tcPr>
            <w:tcW w:w="10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9/11/2019</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312,500</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4,919,250</w:t>
            </w: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36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CTN Holdings, Inc. (d/b/a Catona Climate,</w:t>
            </w: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71"/>
        </w:trPr>
        <w:tc>
          <w:tcPr>
            <w:tcW w:w="3300" w:type="dxa"/>
            <w:vAlign w:val="bottom"/>
            <w:tcBorders>
              <w:top w:val="single" w:sz="8" w:color="auto"/>
            </w:tcBorders>
            <w:gridSpan w:val="6"/>
            <w:shd w:val="clear" w:color="auto" w:fill="CCEEFF"/>
          </w:tcPr>
          <w:p>
            <w:pPr>
              <w:spacing w:after="0" w:line="236" w:lineRule="exact"/>
              <w:rPr>
                <w:sz w:val="20"/>
                <w:szCs w:val="20"/>
                <w:color w:val="auto"/>
              </w:rPr>
            </w:pPr>
            <w:r>
              <w:rPr>
                <w:rFonts w:ascii="Times New Roman" w:cs="Times New Roman" w:eastAsia="Times New Roman" w:hAnsi="Times New Roman"/>
                <w:sz w:val="17"/>
                <w:szCs w:val="17"/>
                <w:b w:val="1"/>
                <w:bCs w:val="1"/>
                <w:color w:val="auto"/>
              </w:rPr>
              <w:t>f/k/a Aspiration Partners, Inc.)</w:t>
            </w:r>
            <w:r>
              <w:rPr>
                <w:rFonts w:ascii="Times New Roman" w:cs="Times New Roman" w:eastAsia="Times New Roman" w:hAnsi="Times New Roman"/>
                <w:sz w:val="27"/>
                <w:szCs w:val="27"/>
                <w:b w:val="1"/>
                <w:bCs w:val="1"/>
                <w:color w:val="auto"/>
                <w:vertAlign w:val="superscript"/>
              </w:rPr>
              <w:t>(15)</w:t>
            </w:r>
          </w:p>
        </w:tc>
        <w:tc>
          <w:tcPr>
            <w:tcW w:w="320" w:type="dxa"/>
            <w:vAlign w:val="bottom"/>
            <w:tcBorders>
              <w:top w:val="single" w:sz="8" w:color="CCEEFF"/>
            </w:tcBorders>
            <w:gridSpan w:val="4"/>
            <w:shd w:val="clear" w:color="auto" w:fill="CCEEFF"/>
          </w:tcPr>
          <w:p>
            <w:pPr>
              <w:spacing w:after="0"/>
              <w:rPr>
                <w:sz w:val="23"/>
                <w:szCs w:val="23"/>
                <w:color w:val="auto"/>
              </w:rPr>
            </w:pPr>
          </w:p>
        </w:tc>
        <w:tc>
          <w:tcPr>
            <w:tcW w:w="1920" w:type="dxa"/>
            <w:vAlign w:val="bottom"/>
            <w:tcBorders>
              <w:top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Marina Del Rey, CA</w:t>
            </w:r>
          </w:p>
        </w:tc>
        <w:tc>
          <w:tcPr>
            <w:tcW w:w="10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CCEEFF"/>
            </w:tcBorders>
            <w:shd w:val="clear" w:color="auto" w:fill="CCEEFF"/>
          </w:tcPr>
          <w:p>
            <w:pPr>
              <w:spacing w:after="0"/>
              <w:rPr>
                <w:sz w:val="23"/>
                <w:szCs w:val="23"/>
                <w:color w:val="auto"/>
              </w:rPr>
            </w:pPr>
          </w:p>
        </w:tc>
        <w:tc>
          <w:tcPr>
            <w:tcW w:w="76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r>
      <w:tr>
        <w:trPr>
          <w:trHeight w:val="216"/>
        </w:trPr>
        <w:tc>
          <w:tcPr>
            <w:tcW w:w="238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Preferred Shares, Series A</w:t>
            </w:r>
          </w:p>
        </w:tc>
        <w:tc>
          <w:tcPr>
            <w:tcW w:w="1240" w:type="dxa"/>
            <w:vAlign w:val="bottom"/>
            <w:tcBorders>
              <w:top w:val="single" w:sz="8" w:color="CCEEFF"/>
            </w:tcBorders>
            <w:gridSpan w:val="5"/>
          </w:tcPr>
          <w:p>
            <w:pPr>
              <w:spacing w:after="0"/>
              <w:rPr>
                <w:sz w:val="18"/>
                <w:szCs w:val="18"/>
                <w:color w:val="auto"/>
              </w:rPr>
            </w:pPr>
          </w:p>
        </w:tc>
        <w:tc>
          <w:tcPr>
            <w:tcW w:w="192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Carbon Credit Services</w:t>
            </w:r>
          </w:p>
        </w:tc>
        <w:tc>
          <w:tcPr>
            <w:tcW w:w="10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8/11/2015</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540,270</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1,001,815</w:t>
            </w: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C-3</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8/12/2019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281,190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620" w:type="dxa"/>
            <w:vAlign w:val="bottom"/>
            <w:tcBorders>
              <w:bottom w:val="single" w:sz="8" w:color="CCEEFF"/>
            </w:tcBorders>
            <w:gridSpan w:val="10"/>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1,283,005</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9"/>
        </w:trPr>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6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Total Non-Controlled/Non-Affiliate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223,515,250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381,596,305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105.54%</w:t>
            </w:r>
          </w:p>
        </w:tc>
      </w:tr>
      <w:tr>
        <w:trPr>
          <w:trHeight w:val="216"/>
        </w:trPr>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56"/>
        </w:trPr>
        <w:tc>
          <w:tcPr>
            <w:tcW w:w="3620" w:type="dxa"/>
            <w:vAlign w:val="bottom"/>
            <w:gridSpan w:val="10"/>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NON-CONTROLLED/AFFILIATE</w:t>
            </w:r>
            <w:r>
              <w:rPr>
                <w:rFonts w:ascii="Times New Roman" w:cs="Times New Roman" w:eastAsia="Times New Roman" w:hAnsi="Times New Roman"/>
                <w:sz w:val="29"/>
                <w:szCs w:val="29"/>
                <w:b w:val="1"/>
                <w:bCs w:val="1"/>
                <w:color w:val="auto"/>
                <w:vertAlign w:val="superscript"/>
              </w:rPr>
              <w:t>(1)</w:t>
            </w: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16"/>
        </w:trPr>
        <w:tc>
          <w:tcPr>
            <w:tcW w:w="3620" w:type="dxa"/>
            <w:vAlign w:val="bottom"/>
            <w:gridSpan w:val="10"/>
            <w:shd w:val="clear" w:color="auto" w:fill="CCEEFF"/>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StormWind, LLC</w:t>
            </w:r>
            <w:r>
              <w:rPr>
                <w:rFonts w:ascii="Times New Roman" w:cs="Times New Roman" w:eastAsia="Times New Roman" w:hAnsi="Times New Roman"/>
                <w:sz w:val="25"/>
                <w:szCs w:val="25"/>
                <w:b w:val="1"/>
                <w:bCs w:val="1"/>
                <w:color w:val="auto"/>
                <w:vertAlign w:val="superscript"/>
              </w:rPr>
              <w:t>(16)</w:t>
            </w:r>
          </w:p>
        </w:tc>
        <w:tc>
          <w:tcPr>
            <w:tcW w:w="1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Scottsdale, AZ</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0"/>
        </w:trPr>
        <w:tc>
          <w:tcPr>
            <w:tcW w:w="9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Preferred Shares, Series D 8%</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Interactive Learning</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11/26/2019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329,337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257,267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398,713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16"/>
        </w:trPr>
        <w:tc>
          <w:tcPr>
            <w:tcW w:w="36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C 8%</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1/7/2014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2,779,134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4,000,787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4,342,090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3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Preferred Shares, Series B 8%</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12/16/2011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3,279,629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2,019,687</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2,152,809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29"/>
        </w:trPr>
        <w:tc>
          <w:tcPr>
            <w:tcW w:w="36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A 8%</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2/25/2014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366,666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110,000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44,734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10"/>
        </w:trPr>
        <w:tc>
          <w:tcPr>
            <w:tcW w:w="3620" w:type="dxa"/>
            <w:vAlign w:val="bottom"/>
            <w:tcBorders>
              <w:bottom w:val="single" w:sz="8" w:color="CCEEFF"/>
            </w:tcBorders>
            <w:gridSpan w:val="10"/>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6,387,741</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6,938,346</w:t>
            </w:r>
          </w:p>
        </w:tc>
        <w:tc>
          <w:tcPr>
            <w:tcW w:w="2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155"/>
        </w:trPr>
        <w:tc>
          <w:tcPr>
            <w:tcW w:w="3620" w:type="dxa"/>
            <w:vAlign w:val="bottom"/>
            <w:gridSpan w:val="10"/>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Commercial Streaming Solutions Inc. (d/b/a</w:t>
            </w:r>
          </w:p>
        </w:tc>
        <w:tc>
          <w:tcPr>
            <w:tcW w:w="1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257"/>
        </w:trPr>
        <w:tc>
          <w:tcPr>
            <w:tcW w:w="3380" w:type="dxa"/>
            <w:vAlign w:val="bottom"/>
            <w:tcBorders>
              <w:top w:val="single" w:sz="8" w:color="auto"/>
            </w:tcBorders>
            <w:gridSpan w:val="7"/>
            <w:shd w:val="clear" w:color="auto" w:fill="CCEEFF"/>
          </w:tcPr>
          <w:p>
            <w:pPr>
              <w:spacing w:after="0" w:line="236" w:lineRule="exact"/>
              <w:rPr>
                <w:sz w:val="20"/>
                <w:szCs w:val="20"/>
                <w:color w:val="auto"/>
              </w:rPr>
            </w:pPr>
            <w:r>
              <w:rPr>
                <w:rFonts w:ascii="Times New Roman" w:cs="Times New Roman" w:eastAsia="Times New Roman" w:hAnsi="Times New Roman"/>
                <w:sz w:val="17"/>
                <w:szCs w:val="17"/>
                <w:b w:val="1"/>
                <w:bCs w:val="1"/>
                <w:color w:val="auto"/>
              </w:rPr>
              <w:t>BettorView)</w:t>
            </w:r>
            <w:r>
              <w:rPr>
                <w:rFonts w:ascii="Times New Roman" w:cs="Times New Roman" w:eastAsia="Times New Roman" w:hAnsi="Times New Roman"/>
                <w:sz w:val="27"/>
                <w:szCs w:val="27"/>
                <w:b w:val="1"/>
                <w:bCs w:val="1"/>
                <w:color w:val="auto"/>
                <w:vertAlign w:val="superscript"/>
              </w:rPr>
              <w:t>(11)</w:t>
            </w:r>
          </w:p>
        </w:tc>
        <w:tc>
          <w:tcPr>
            <w:tcW w:w="240" w:type="dxa"/>
            <w:vAlign w:val="bottom"/>
            <w:tcBorders>
              <w:top w:val="single" w:sz="8" w:color="CCEEFF"/>
            </w:tcBorders>
            <w:gridSpan w:val="3"/>
            <w:shd w:val="clear" w:color="auto" w:fill="CCEEFF"/>
          </w:tcPr>
          <w:p>
            <w:pPr>
              <w:spacing w:after="0"/>
              <w:rPr>
                <w:sz w:val="22"/>
                <w:szCs w:val="22"/>
                <w:color w:val="auto"/>
              </w:rPr>
            </w:pPr>
          </w:p>
        </w:tc>
        <w:tc>
          <w:tcPr>
            <w:tcW w:w="1920" w:type="dxa"/>
            <w:vAlign w:val="bottom"/>
            <w:tcBorders>
              <w:top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Las Vegas, NV</w:t>
            </w:r>
          </w:p>
        </w:tc>
        <w:tc>
          <w:tcPr>
            <w:tcW w:w="10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r>
      <w:tr>
        <w:trPr>
          <w:trHeight w:val="198"/>
        </w:trPr>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Interactive Media &amp;</w:t>
            </w:r>
          </w:p>
        </w:tc>
        <w:tc>
          <w:tcPr>
            <w:tcW w:w="10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r>
      <w:tr>
        <w:trPr>
          <w:trHeight w:val="234"/>
        </w:trPr>
        <w:tc>
          <w:tcPr>
            <w:tcW w:w="3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Preferred Shares, Series A-1</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Services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3/26/2021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10,548,522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1,004,240</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1680" w:type="dxa"/>
            <w:vAlign w:val="bottom"/>
            <w:tcBorders>
              <w:bottom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Maven Research, Inc.</w:t>
            </w:r>
          </w:p>
        </w:tc>
        <w:tc>
          <w:tcPr>
            <w:tcW w:w="1940" w:type="dxa"/>
            <w:vAlign w:val="bottom"/>
            <w:tcBorders>
              <w:bottom w:val="single" w:sz="8" w:color="CCEEFF"/>
            </w:tcBorders>
            <w:gridSpan w:val="6"/>
            <w:shd w:val="clear" w:color="auto" w:fill="CCEEFF"/>
          </w:tcPr>
          <w:p>
            <w:pPr>
              <w:spacing w:after="0"/>
              <w:rPr>
                <w:sz w:val="17"/>
                <w:szCs w:val="17"/>
                <w:color w:val="auto"/>
              </w:rPr>
            </w:pPr>
          </w:p>
        </w:tc>
        <w:tc>
          <w:tcPr>
            <w:tcW w:w="192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San Francisco, CA</w:t>
            </w: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r>
      <w:tr>
        <w:trPr>
          <w:trHeight w:val="216"/>
        </w:trPr>
        <w:tc>
          <w:tcPr>
            <w:tcW w:w="3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Preferred Shares, Series C</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Knowledge Networks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7/2/2012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318,979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2,000,447</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B</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2/28/2012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217,206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620" w:type="dxa"/>
            <w:vAlign w:val="bottom"/>
            <w:tcBorders>
              <w:bottom w:val="single" w:sz="8" w:color="CCEEFF"/>
            </w:tcBorders>
            <w:gridSpan w:val="10"/>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2,217,653</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190"/>
        </w:trPr>
        <w:tc>
          <w:tcPr>
            <w:tcW w:w="1380" w:type="dxa"/>
            <w:vAlign w:val="bottom"/>
            <w:tcBorders>
              <w:bottom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Curious.com, Inc.</w:t>
            </w:r>
          </w:p>
        </w:tc>
        <w:tc>
          <w:tcPr>
            <w:tcW w:w="2240" w:type="dxa"/>
            <w:vAlign w:val="bottom"/>
            <w:tcBorders>
              <w:bottom w:val="single" w:sz="8" w:color="CCEEFF"/>
            </w:tcBorders>
            <w:gridSpan w:val="7"/>
            <w:shd w:val="clear" w:color="auto" w:fill="CCEEFF"/>
          </w:tcPr>
          <w:p>
            <w:pPr>
              <w:spacing w:after="0"/>
              <w:rPr>
                <w:sz w:val="16"/>
                <w:szCs w:val="16"/>
                <w:color w:val="auto"/>
              </w:rPr>
            </w:pPr>
          </w:p>
        </w:tc>
        <w:tc>
          <w:tcPr>
            <w:tcW w:w="1920" w:type="dxa"/>
            <w:vAlign w:val="bottom"/>
            <w:tcBorders>
              <w:bottom w:val="single" w:sz="8" w:color="CCEEFF"/>
            </w:tcBorders>
            <w:gridSpan w:val="2"/>
            <w:shd w:val="clear" w:color="auto" w:fill="CCEEFF"/>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w w:val="99"/>
              </w:rPr>
              <w:t>Menlo Park, CA</w:t>
            </w:r>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r>
      <w:tr>
        <w:trPr>
          <w:trHeight w:val="216"/>
        </w:trPr>
        <w:tc>
          <w:tcPr>
            <w:tcW w:w="3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Online Education</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11/22/2013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1,135,944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12,000,006</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0"/>
        </w:trPr>
        <w:tc>
          <w:tcPr>
            <w:tcW w:w="36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Total Non-Controlled/Affiliate</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21,609,640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6,938,346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r>
      <w:tr>
        <w:trPr>
          <w:trHeight w:val="230"/>
        </w:trPr>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23"/>
        </w:trPr>
        <w:tc>
          <w:tcPr>
            <w:tcW w:w="36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Total Portfolio Investments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245,124,890</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388,534,651</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107.46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3"/>
        </w:trPr>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700" w:type="dxa"/>
            <w:vAlign w:val="bottom"/>
            <w:gridSpan w:val="16"/>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4" w:lineRule="exact"/>
        <w:rPr>
          <w:sz w:val="20"/>
          <w:szCs w:val="20"/>
          <w:color w:val="auto"/>
        </w:rPr>
      </w:pPr>
    </w:p>
    <w:p>
      <w:pPr>
        <w:jc w:val="both"/>
        <w:ind w:left="660" w:hanging="652"/>
        <w:spacing w:after="0" w:line="25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portfolio investments are non-control/non-affiliated and non-income-producing, unless otherwise identified. As of March 31, 2026, all of the Company’s investments were non-controlled. Equity investments may be subject to lock-up restrictions upon their initial public offering (“IPO”). Preferred dividends are generally only payable when declared and paid by the portfolio company’s board of directors. SuRo Capital Corp.’s (the “Company’s”, or “SuRo Capital’s”)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left="660" w:hanging="652"/>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assets that SuRo Capital Corp. believes do not represent “qualifying assets” under Section 55(a) of the Investment Company Act of 1940, as amended (the “1940 Act”). Of the Company’s total investments as of March 31, 2026, 30.12% of its total investments are non-qualifying assets, excluding cash and short-term US treasuries.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income-producing.</w:t>
      </w:r>
    </w:p>
    <w:p>
      <w:pPr>
        <w:spacing w:after="0" w:line="225" w:lineRule="exact"/>
        <w:rPr>
          <w:sz w:val="20"/>
          <w:szCs w:val="20"/>
          <w:color w:val="auto"/>
        </w:rPr>
      </w:pPr>
    </w:p>
    <w:p>
      <w:pPr>
        <w:jc w:val="both"/>
        <w:ind w:left="660" w:hanging="652"/>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Investments” are investments in those companies that are “Affiliated Companies” of SuRo Capital, as defined in the 1940 Act. In general, a company is deemed to be an “Affiliate” of SuRo Capital if SuRo Capital beneficially owns, directly or indirectly, between 5% and 25% of the voting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securities with the right to elect directors) of such company. For the Schedule of Investments In, and Advances To, Affiliates, as required by SEC Regulation S-X, Rule 12-14, refer to “Note 4—Investments at Fair Value”.</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respective number of shares, principal amount, initial or remaining fund investment, or membership interest as of March 31, 2026. For fund investments, the initial committed amount may be reduced by distributions classified as Return of Capital.</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the investments noted had been placed on non-accrual status.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an investment considered Level 1 or Level 2 and valued using observable inputs. Refer to “Note 4—Investments at Fair Value”.</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2026, Whoop, Inc. announced completion of its Series G financing. As a result of the financing, on February 26, 2026, the Simple Agreement for Future Equity (“SAFE”) Note which SuRo Capital previously held in Whoop, Inc. converted into Series G-2 Preferred shares.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ARK Type One Deep Ventures Fund LLC is an investment fund for which the Class A Interest is solely invested in the Series A-2 Preferred Shares of OpenAI Global, LLC. SuRo Capital Corp. is invested in the Series A-2 Preferred Shares of OpenAI Global, LLC through its investment in the Class A Interest of ARK Type One Deep Ventures Fund LLC. ARK Type One Deep Ventures Fund LLC charges a 1% management fee per year, and an incentive fee of 10%, not subject to a hurdle rate. The management fees will adjust the cost of SuRo Capital’s investment in the fund.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IH10, LLC’s sole portfolio asset is interest in the Series B Preferred Shares of VAST Data, Ltd. through an special purpose vehicle (“SPV”). SuRo Capital is invested in the Series B Preferred Shares of VAST Data, Ltd. through its investment in the Membership Interest of IH10, LLC. IH10, LLC does not charge a management fee or an incentive fee; however, SuRo Capital has prepaid operating expenses.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 Opportunity 2 LP is an SPV for which the Class A Interest is solely invested in the Class A Common Shares of CoreWeave, Inc. SuRo Capital is invested in the Class A Common Shares of CoreWeave, Inc. through its investment in the Class A Interest of CW Opportunity 2 LP. CW Opportunity 2 LP does not charge a management fee but does charge an incentive fee of 20%, subject to an annual 15% IRR hurdle rate. SuRo Capital did not receive any distributions during the quarter ended March 31, 2026 as part of its investment in CW Opportunity 2 LP. As of March 31, 2026, SuRo Capital retains approximately 68.1% of its investment in CW Opportunity 2, LP.</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Capital’s investment in the Class A Common Shares of Plaid Inc. was made through 1789 Capital Nirvana II LP, an SPV in which SuRo Capital is the Sole Limited Partner. 1789 Capital Nirvana II LP is a wholly owned subsidiary of SuRo Capital. SuRo Capital paid a 7% origination fee at the time of investment.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7" w:lineRule="exact"/>
        <w:rPr>
          <w:sz w:val="20"/>
          <w:szCs w:val="20"/>
          <w:color w:val="auto"/>
        </w:rPr>
      </w:pPr>
    </w:p>
    <w:p>
      <w:pPr>
        <w:jc w:val="both"/>
        <w:ind w:left="660" w:hanging="652"/>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Magnetar Opportunity 2025-4 LP is an SPV for which the Class A Interest is invested in TensorWave Inc. On December 31, 2025, SuRo Capital committed up to $20.0 million to Magnetar Opportunity 2025-4 LP. On January 2, 2026, SuRo Capital funded $5.0 million of the commitment. Magnetar Opportunity 2025-4 LP does not charge a management fee but does charge an incentive fee of 20%, subject to an annual 15% IRR hurdle rate. As of March 31, 2026, $15.0 million of the commitment remains to be funded, subject to the satisfaction of certain conditions.</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Capital’s investments in Commercial Streaming Solutions Inc. (d/b/a BettorView), EDGE Markets, Inc., Xgroup Holdings Limited (d/b/a Xpoint), and Stake Trade, Inc. (d/b/a Prophet Exchange) are held through SuRo Capital’s wholly owned subsidiary, SuRo Capital Sports, LLC (“SuRo Capital Sports”).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Capital’s investments in True Global Ventures 4 Plus Pte Ltd are held through SuRo Capital’s wholly owned subsidiary, GSVC SVDS Holdings, Inc. True Global Ventures 4 Plus Pte Ltd charges a 1.8% management fee and a 22.5% incentive fee, subject to an annual 5% IRR hurdle rate. The management fees may adjust the cost of SuRo Capital’s investment in the fund.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Capital’s investment in Residential Homes for Rent, LLC (d/b/a Second Avenue) is held through SuRo Capital’s wholly owned subsidiary, GSVC AV Holdings, Inc.</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9, 2021, Fullbridge, Inc.’s obligations under its financing arrangements with the Company became past due.</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30, 2025, CTN Holdings, Inc. (d/b/a Catona Climate) filed for Chapter 11 protection in the U.S. Bankruptcy Court for the District of Delaware. On June 5, 2025, the US Bankruptcy Court for the District of Delaware approved the sale of the remaining assets of CTN Holdings, Inc. On August 7, 2025, CTN Holdings, Inc. (d/b/a Catona Climate) converted its bankruptcy filing from Chapter 11 reorganization to Chapter 7 liquidation.</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Capital’s investments in StormWind, LLC are held through SuRo Capital’s wholly owned subsidiary, GSVC SW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00" w:type="dxa"/>
            <w:vAlign w:val="bottom"/>
          </w:tcPr>
          <w:p>
            <w:pPr>
              <w:spacing w:after="0"/>
              <w:rPr>
                <w:sz w:val="19"/>
                <w:szCs w:val="19"/>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Shares/</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5"/>
              </w:rPr>
              <w:t>% of</w:t>
            </w:r>
          </w:p>
        </w:tc>
      </w:tr>
      <w:tr>
        <w:trPr>
          <w:trHeight w:val="216"/>
        </w:trPr>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Headquarters/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Initial</w:t>
            </w: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Principal/</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70"/>
        </w:trPr>
        <w:tc>
          <w:tcPr>
            <w:tcW w:w="37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Portfolio Investments*</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Industry</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140" w:type="dxa"/>
            <w:vAlign w:val="bottom"/>
            <w:gridSpan w:val="3"/>
          </w:tcPr>
          <w:p>
            <w:pPr>
              <w:jc w:val="center"/>
              <w:ind w:right="220"/>
              <w:spacing w:after="0" w:line="270" w:lineRule="exact"/>
              <w:rPr>
                <w:sz w:val="20"/>
                <w:szCs w:val="20"/>
                <w:color w:val="auto"/>
              </w:rPr>
            </w:pPr>
            <w:r>
              <w:rPr>
                <w:rFonts w:ascii="Times New Roman" w:cs="Times New Roman" w:eastAsia="Times New Roman" w:hAnsi="Times New Roman"/>
                <w:sz w:val="18"/>
                <w:szCs w:val="18"/>
                <w:b w:val="1"/>
                <w:bCs w:val="1"/>
                <w:color w:val="auto"/>
                <w:w w:val="96"/>
              </w:rPr>
              <w:t>Quantity</w:t>
            </w:r>
            <w:r>
              <w:rPr>
                <w:rFonts w:ascii="Times New Roman" w:cs="Times New Roman" w:eastAsia="Times New Roman" w:hAnsi="Times New Roman"/>
                <w:sz w:val="29"/>
                <w:szCs w:val="29"/>
                <w:b w:val="1"/>
                <w:bCs w:val="1"/>
                <w:color w:val="auto"/>
                <w:w w:val="96"/>
                <w:vertAlign w:val="superscript"/>
              </w:rPr>
              <w:t>(2)</w:t>
            </w: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9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Assets</w:t>
            </w:r>
          </w:p>
        </w:tc>
      </w:tr>
      <w:tr>
        <w:trPr>
          <w:trHeight w:val="210"/>
        </w:trPr>
        <w:tc>
          <w:tcPr>
            <w:tcW w:w="3580" w:type="dxa"/>
            <w:vAlign w:val="bottom"/>
            <w:tcBorders>
              <w:top w:val="single" w:sz="8" w:color="auto"/>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NON-CONTROLLED/NON-AFFILIATE</w:t>
            </w: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gridSpan w:val="16"/>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ARK Type One Deep Ventures Fund LLC</w:t>
            </w:r>
            <w:r>
              <w:rPr>
                <w:rFonts w:ascii="Times New Roman" w:cs="Times New Roman" w:eastAsia="Times New Roman" w:hAnsi="Times New Roman"/>
                <w:sz w:val="25"/>
                <w:szCs w:val="25"/>
                <w:b w:val="1"/>
                <w:bCs w:val="1"/>
                <w:color w:val="auto"/>
                <w:vertAlign w:val="superscript"/>
              </w:rPr>
              <w:t>**(5)</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 Petersburg, FL</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37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Membership Interest, Class A</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AI Application Fund</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9/25/2024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17,500,000</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$17,696,568</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$42,212,173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r>
      <w:tr>
        <w:trPr>
          <w:trHeight w:val="175"/>
        </w:trPr>
        <w:tc>
          <w:tcPr>
            <w:tcW w:w="3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Whoop, Inc.</w:t>
            </w:r>
          </w:p>
        </w:tc>
        <w:tc>
          <w:tcPr>
            <w:tcW w:w="20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Boston, MA</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37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C</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Fitness Technology</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6/30/2022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13,293,450</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10,011,460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27,357,435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229"/>
        </w:trPr>
        <w:tc>
          <w:tcPr>
            <w:tcW w:w="37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Simple Agreement for Future Equity</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2/6/2025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1,001,628</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10"/>
        </w:trPr>
        <w:tc>
          <w:tcPr>
            <w:tcW w:w="3700" w:type="dxa"/>
            <w:vAlign w:val="bottom"/>
            <w:tcBorders>
              <w:top w:val="single" w:sz="8" w:color="CCEEFF"/>
            </w:tcBorders>
            <w:gridSpan w:val="1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11,013,088</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28,357,435</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169"/>
        </w:trPr>
        <w:tc>
          <w:tcPr>
            <w:tcW w:w="3700" w:type="dxa"/>
            <w:vAlign w:val="bottom"/>
            <w:gridSpan w:val="16"/>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Blink Health, Inc.</w:t>
            </w:r>
          </w:p>
        </w:tc>
        <w:tc>
          <w:tcPr>
            <w:tcW w:w="202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w w:val="99"/>
              </w:rPr>
              <w:t>New York, NY</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8"/>
        </w:trPr>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Pharmaceutical</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7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A</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Technology</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10/27/2020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238,095</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5,000,423</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9,999,990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30"/>
        </w:trPr>
        <w:tc>
          <w:tcPr>
            <w:tcW w:w="37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Preferred Shares, Series C</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10/27/2020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261,944</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10,003,917</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11,001,648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09"/>
        </w:trPr>
        <w:tc>
          <w:tcPr>
            <w:tcW w:w="3700" w:type="dxa"/>
            <w:vAlign w:val="bottom"/>
            <w:tcBorders>
              <w:top w:val="single" w:sz="8" w:color="CCEEFF"/>
            </w:tcBorders>
            <w:gridSpan w:val="1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15,004,340</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21,001,638</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169"/>
        </w:trPr>
        <w:tc>
          <w:tcPr>
            <w:tcW w:w="3700" w:type="dxa"/>
            <w:vAlign w:val="bottom"/>
            <w:gridSpan w:val="16"/>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Canva, Inc.</w:t>
            </w:r>
          </w:p>
        </w:tc>
        <w:tc>
          <w:tcPr>
            <w:tcW w:w="202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rPr>
              <w:t>Austin, TX</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37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Productivity Software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4/17/2024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9,375</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10,058,820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15,432,563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175"/>
        </w:trPr>
        <w:tc>
          <w:tcPr>
            <w:tcW w:w="3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Learneo, Inc. (f/k/a Course Hero, Inc.)</w:t>
            </w:r>
          </w:p>
        </w:tc>
        <w:tc>
          <w:tcPr>
            <w:tcW w:w="20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Menlo Park, CA</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37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A 8%</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Online Education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9/18/2014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2,145,509</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5,000,001</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5,369,377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9"/>
        </w:trPr>
        <w:tc>
          <w:tcPr>
            <w:tcW w:w="37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Preferred Shares, Series C 8%</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11/5/2021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275,659</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9,999,971</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9,999,971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10"/>
        </w:trPr>
        <w:tc>
          <w:tcPr>
            <w:tcW w:w="3700" w:type="dxa"/>
            <w:vAlign w:val="bottom"/>
            <w:tcBorders>
              <w:top w:val="single" w:sz="8" w:color="CCEEFF"/>
            </w:tcBorders>
            <w:gridSpan w:val="1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14,999,972</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15,369,348</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196"/>
        </w:trPr>
        <w:tc>
          <w:tcPr>
            <w:tcW w:w="3700" w:type="dxa"/>
            <w:vAlign w:val="bottom"/>
            <w:gridSpan w:val="16"/>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CW Opportunity 2 LP</w:t>
            </w:r>
            <w:r>
              <w:rPr>
                <w:rFonts w:ascii="Times New Roman" w:cs="Times New Roman" w:eastAsia="Times New Roman" w:hAnsi="Times New Roman"/>
                <w:sz w:val="22"/>
                <w:szCs w:val="22"/>
                <w:b w:val="1"/>
                <w:bCs w:val="1"/>
                <w:color w:val="auto"/>
                <w:vertAlign w:val="superscript"/>
              </w:rPr>
              <w:t>**(6)</w:t>
            </w:r>
          </w:p>
        </w:tc>
        <w:tc>
          <w:tcPr>
            <w:tcW w:w="202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Evanston, IL</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6"/>
        </w:trPr>
        <w:tc>
          <w:tcPr>
            <w:tcW w:w="3700" w:type="dxa"/>
            <w:vAlign w:val="bottom"/>
            <w:gridSpan w:val="16"/>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Class A Interest</w:t>
            </w:r>
            <w:r>
              <w:rPr>
                <w:rFonts w:ascii="Times New Roman" w:cs="Times New Roman" w:eastAsia="Times New Roman" w:hAnsi="Times New Roman"/>
                <w:sz w:val="29"/>
                <w:szCs w:val="29"/>
                <w:color w:val="auto"/>
                <w:vertAlign w:val="superscript"/>
              </w:rPr>
              <w:t>***</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AI Infrastructure Fund</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5/7/2024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10,208,114</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10,384,558</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14,659,078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3700" w:type="dxa"/>
            <w:vAlign w:val="bottom"/>
            <w:gridSpan w:val="16"/>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IH10, LLC</w:t>
            </w:r>
            <w:r>
              <w:rPr>
                <w:rFonts w:ascii="Times New Roman" w:cs="Times New Roman" w:eastAsia="Times New Roman" w:hAnsi="Times New Roman"/>
                <w:sz w:val="25"/>
                <w:szCs w:val="25"/>
                <w:b w:val="1"/>
                <w:bCs w:val="1"/>
                <w:color w:val="auto"/>
                <w:vertAlign w:val="superscript"/>
              </w:rPr>
              <w:t>**(7)</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New York, NY</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37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Membership Interest</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AI Infrastructure Fund</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10/9/2024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12,000,010</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12,273,784</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12,132,897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175"/>
        </w:trPr>
        <w:tc>
          <w:tcPr>
            <w:tcW w:w="3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Locus Robotics Corp.</w:t>
            </w:r>
          </w:p>
        </w:tc>
        <w:tc>
          <w:tcPr>
            <w:tcW w:w="20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Wilmington, MA</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4"/>
        </w:trPr>
        <w:tc>
          <w:tcPr>
            <w:tcW w:w="7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37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F 6%</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Warehouse Automation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11/30/2022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232,568</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10,004,286</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11,995,290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175"/>
        </w:trPr>
        <w:tc>
          <w:tcPr>
            <w:tcW w:w="3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Supplying Demand, Inc. (d/b/a Liquid Death)</w:t>
            </w:r>
          </w:p>
        </w:tc>
        <w:tc>
          <w:tcPr>
            <w:tcW w:w="20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Los Angeles, CA</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37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F-1</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Lifestyle Beverage Brand</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1/18/2024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776,747</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10,003,934</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9,999,996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01"/>
        </w:trPr>
        <w:tc>
          <w:tcPr>
            <w:tcW w:w="3700" w:type="dxa"/>
            <w:vAlign w:val="bottom"/>
            <w:gridSpan w:val="16"/>
          </w:tcPr>
          <w:p>
            <w:pPr>
              <w:spacing w:after="0" w:line="201" w:lineRule="exact"/>
              <w:rPr>
                <w:sz w:val="20"/>
                <w:szCs w:val="20"/>
                <w:color w:val="auto"/>
              </w:rPr>
            </w:pPr>
            <w:r>
              <w:rPr>
                <w:rFonts w:ascii="Times New Roman" w:cs="Times New Roman" w:eastAsia="Times New Roman" w:hAnsi="Times New Roman"/>
                <w:sz w:val="18"/>
                <w:szCs w:val="18"/>
                <w:color w:val="auto"/>
              </w:rPr>
              <w:t>Series F Convertible Note 4.12%, Due</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85"/>
        </w:trPr>
        <w:tc>
          <w:tcPr>
            <w:tcW w:w="1180" w:type="dxa"/>
            <w:vAlign w:val="bottom"/>
            <w:gridSpan w:val="5"/>
          </w:tcPr>
          <w:p>
            <w:pPr>
              <w:spacing w:after="0" w:line="284" w:lineRule="exact"/>
              <w:rPr>
                <w:sz w:val="20"/>
                <w:szCs w:val="20"/>
                <w:color w:val="auto"/>
              </w:rPr>
            </w:pPr>
            <w:r>
              <w:rPr>
                <w:rFonts w:ascii="Times New Roman" w:cs="Times New Roman" w:eastAsia="Times New Roman" w:hAnsi="Times New Roman"/>
                <w:sz w:val="18"/>
                <w:szCs w:val="18"/>
                <w:color w:val="auto"/>
              </w:rPr>
              <w:t>7/15/2030</w:t>
            </w:r>
            <w:r>
              <w:rPr>
                <w:rFonts w:ascii="Times New Roman" w:cs="Times New Roman" w:eastAsia="Times New Roman" w:hAnsi="Times New Roman"/>
                <w:sz w:val="29"/>
                <w:szCs w:val="29"/>
                <w:color w:val="auto"/>
                <w:vertAlign w:val="superscript"/>
              </w:rPr>
              <w:t>***</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7/29/2025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252,362</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10"/>
        </w:trPr>
        <w:tc>
          <w:tcPr>
            <w:tcW w:w="3700" w:type="dxa"/>
            <w:vAlign w:val="bottom"/>
            <w:tcBorders>
              <w:top w:val="single" w:sz="8" w:color="CCEEFF"/>
            </w:tcBorders>
            <w:gridSpan w:val="1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10,256,296</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10,249,996</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169"/>
        </w:trPr>
        <w:tc>
          <w:tcPr>
            <w:tcW w:w="3700" w:type="dxa"/>
            <w:vAlign w:val="bottom"/>
            <w:gridSpan w:val="16"/>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Shogun Enterprises, Inc. (d/b/a Hearth)</w:t>
            </w:r>
          </w:p>
        </w:tc>
        <w:tc>
          <w:tcPr>
            <w:tcW w:w="202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rPr>
              <w:t>Austin, TX</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8"/>
        </w:trPr>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Home Improvement</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7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B-1</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Finance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2/26/2021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436,844</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3,501,657</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3,499,994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37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Preferred Shares, Series B-2</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301,750</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3,501,661</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3,499,998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37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B-3</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5/2/2022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56,936</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530,822</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530,820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r>
      <w:tr>
        <w:trPr>
          <w:trHeight w:val="216"/>
        </w:trPr>
        <w:tc>
          <w:tcPr>
            <w:tcW w:w="37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Preferred Shares, Series B-4</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7/12/2023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48,267</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366,606</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499,998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198"/>
        </w:trPr>
        <w:tc>
          <w:tcPr>
            <w:tcW w:w="3700" w:type="dxa"/>
            <w:vAlign w:val="bottom"/>
            <w:gridSpan w:val="1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Warrants, Strike Price $0.01,</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48"/>
        </w:trPr>
        <w:tc>
          <w:tcPr>
            <w:tcW w:w="37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Expiration Date 7/12/2026</w:t>
            </w:r>
          </w:p>
        </w:tc>
        <w:tc>
          <w:tcPr>
            <w:tcW w:w="1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7/12/2023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86,076</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140,060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259,089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10"/>
        </w:trPr>
        <w:tc>
          <w:tcPr>
            <w:tcW w:w="3700" w:type="dxa"/>
            <w:vAlign w:val="bottom"/>
            <w:tcBorders>
              <w:bottom w:val="single" w:sz="8" w:color="CCEEFF"/>
            </w:tcBorders>
            <w:gridSpan w:val="16"/>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8,040,806</w:t>
            </w:r>
          </w:p>
        </w:tc>
        <w:tc>
          <w:tcPr>
            <w:tcW w:w="2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8,289,899</w:t>
            </w:r>
          </w:p>
        </w:tc>
        <w:tc>
          <w:tcPr>
            <w:tcW w:w="22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190"/>
        </w:trPr>
        <w:tc>
          <w:tcPr>
            <w:tcW w:w="1180" w:type="dxa"/>
            <w:vAlign w:val="bottom"/>
            <w:tcBorders>
              <w:bottom w:val="single" w:sz="8" w:color="auto"/>
            </w:tcBorders>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FourKites, Inc.</w:t>
            </w:r>
          </w:p>
        </w:tc>
        <w:tc>
          <w:tcPr>
            <w:tcW w:w="2520" w:type="dxa"/>
            <w:vAlign w:val="bottom"/>
            <w:tcBorders>
              <w:bottom w:val="single" w:sz="8" w:color="CCEEFF"/>
            </w:tcBorders>
            <w:gridSpan w:val="11"/>
            <w:shd w:val="clear" w:color="auto" w:fill="CCEEFF"/>
          </w:tcPr>
          <w:p>
            <w:pPr>
              <w:spacing w:after="0"/>
              <w:rPr>
                <w:sz w:val="16"/>
                <w:szCs w:val="16"/>
                <w:color w:val="auto"/>
              </w:rPr>
            </w:pPr>
          </w:p>
        </w:tc>
        <w:tc>
          <w:tcPr>
            <w:tcW w:w="2020" w:type="dxa"/>
            <w:vAlign w:val="bottom"/>
            <w:tcBorders>
              <w:bottom w:val="single" w:sz="8" w:color="CCEEFF"/>
            </w:tcBorders>
            <w:gridSpan w:val="2"/>
            <w:shd w:val="clear" w:color="auto" w:fill="CCEEFF"/>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w w:val="99"/>
              </w:rPr>
              <w:t>Chicago, IL</w:t>
            </w: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r>
      <w:tr>
        <w:trPr>
          <w:trHeight w:val="216"/>
        </w:trPr>
        <w:tc>
          <w:tcPr>
            <w:tcW w:w="37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Supply Chain Technology</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1,398,024</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8,530,389</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5,682,945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196"/>
        </w:trPr>
        <w:tc>
          <w:tcPr>
            <w:tcW w:w="2820" w:type="dxa"/>
            <w:vAlign w:val="bottom"/>
            <w:tcBorders>
              <w:bottom w:val="single" w:sz="8" w:color="auto"/>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Neutron Holdings, Inc. (d/b/a/ Lime)</w:t>
            </w:r>
          </w:p>
        </w:tc>
        <w:tc>
          <w:tcPr>
            <w:tcW w:w="880" w:type="dxa"/>
            <w:vAlign w:val="bottom"/>
            <w:tcBorders>
              <w:bottom w:val="single" w:sz="8" w:color="CCEEFF"/>
            </w:tcBorders>
            <w:gridSpan w:val="6"/>
            <w:shd w:val="clear" w:color="auto" w:fill="CCEEFF"/>
          </w:tcPr>
          <w:p>
            <w:pPr>
              <w:spacing w:after="0"/>
              <w:rPr>
                <w:sz w:val="17"/>
                <w:szCs w:val="17"/>
                <w:color w:val="auto"/>
              </w:rPr>
            </w:pPr>
          </w:p>
        </w:tc>
        <w:tc>
          <w:tcPr>
            <w:tcW w:w="202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8"/>
              </w:rPr>
              <w:t>San Francisco, CA</w:t>
            </w: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16"/>
        </w:trPr>
        <w:tc>
          <w:tcPr>
            <w:tcW w:w="37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Junior Preferred Shares, Series 1-D</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Micromobility</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41,237,113</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10,007,322</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4,703,189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01"/>
        </w:trPr>
        <w:tc>
          <w:tcPr>
            <w:tcW w:w="3700" w:type="dxa"/>
            <w:vAlign w:val="bottom"/>
            <w:gridSpan w:val="16"/>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Junior Preferred Convertible Note 4% Due</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71"/>
        </w:trPr>
        <w:tc>
          <w:tcPr>
            <w:tcW w:w="1180" w:type="dxa"/>
            <w:vAlign w:val="bottom"/>
            <w:gridSpan w:val="5"/>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5/11/2027</w:t>
            </w:r>
            <w:r>
              <w:rPr>
                <w:rFonts w:ascii="Times New Roman" w:cs="Times New Roman" w:eastAsia="Times New Roman" w:hAnsi="Times New Roman"/>
                <w:sz w:val="29"/>
                <w:szCs w:val="29"/>
                <w:color w:val="auto"/>
                <w:vertAlign w:val="superscript"/>
              </w:rPr>
              <w:t>***</w:t>
            </w: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5/11/2020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506,339</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506,339</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506,339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198"/>
        </w:trPr>
        <w:tc>
          <w:tcPr>
            <w:tcW w:w="3700" w:type="dxa"/>
            <w:vAlign w:val="bottom"/>
            <w:gridSpan w:val="16"/>
          </w:tcPr>
          <w:p>
            <w:pPr>
              <w:spacing w:after="0" w:line="198" w:lineRule="exact"/>
              <w:rPr>
                <w:sz w:val="20"/>
                <w:szCs w:val="20"/>
                <w:color w:val="auto"/>
              </w:rPr>
            </w:pPr>
            <w:r>
              <w:rPr>
                <w:rFonts w:ascii="Times New Roman" w:cs="Times New Roman" w:eastAsia="Times New Roman" w:hAnsi="Times New Roman"/>
                <w:sz w:val="18"/>
                <w:szCs w:val="18"/>
                <w:color w:val="auto"/>
              </w:rPr>
              <w:t>Common Warrants, Strike Price $0.01,</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8"/>
        </w:trPr>
        <w:tc>
          <w:tcPr>
            <w:tcW w:w="37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Expiration Date 5/11/2027</w:t>
            </w: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5/11/2020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2,032,967</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203,297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09"/>
        </w:trPr>
        <w:tc>
          <w:tcPr>
            <w:tcW w:w="3700" w:type="dxa"/>
            <w:vAlign w:val="bottom"/>
            <w:tcBorders>
              <w:top w:val="single" w:sz="8" w:color="CCEEFF"/>
            </w:tcBorders>
            <w:gridSpan w:val="1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10,513,661</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5,412,825</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196"/>
        </w:trPr>
        <w:tc>
          <w:tcPr>
            <w:tcW w:w="3700" w:type="dxa"/>
            <w:vAlign w:val="bottom"/>
            <w:gridSpan w:val="16"/>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Plaid Inc.</w:t>
            </w:r>
            <w:r>
              <w:rPr>
                <w:rFonts w:ascii="Times New Roman" w:cs="Times New Roman" w:eastAsia="Times New Roman" w:hAnsi="Times New Roman"/>
                <w:sz w:val="22"/>
                <w:szCs w:val="22"/>
                <w:b w:val="1"/>
                <w:bCs w:val="1"/>
                <w:color w:val="auto"/>
                <w:vertAlign w:val="superscript"/>
              </w:rPr>
              <w:t>(8)</w:t>
            </w:r>
          </w:p>
        </w:tc>
        <w:tc>
          <w:tcPr>
            <w:tcW w:w="202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8"/>
              </w:rPr>
              <w:t>San Francisco, CA</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8"/>
        </w:trPr>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Financial Technology</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7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Infrastructure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4/4/2025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24,512</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5,395,542</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4,999,874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3700" w:type="dxa"/>
            <w:vAlign w:val="bottom"/>
            <w:gridSpan w:val="16"/>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GrabAGun Digital Holdings Inc.</w:t>
            </w:r>
            <w:r>
              <w:rPr>
                <w:rFonts w:ascii="Times New Roman" w:cs="Times New Roman" w:eastAsia="Times New Roman" w:hAnsi="Times New Roman"/>
                <w:sz w:val="25"/>
                <w:szCs w:val="25"/>
                <w:b w:val="1"/>
                <w:bCs w:val="1"/>
                <w:color w:val="auto"/>
                <w:vertAlign w:val="superscript"/>
              </w:rPr>
              <w:t>(9)</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Coppell, TX</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6"/>
        </w:trPr>
        <w:tc>
          <w:tcPr>
            <w:tcW w:w="3700" w:type="dxa"/>
            <w:vAlign w:val="bottom"/>
            <w:gridSpan w:val="16"/>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(4)</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E-Commerce Marketplace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11/20/2023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1,040,000</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1,103,719</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3,130,400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01"/>
        </w:trPr>
        <w:tc>
          <w:tcPr>
            <w:tcW w:w="3700" w:type="dxa"/>
            <w:vAlign w:val="bottom"/>
            <w:gridSpan w:val="16"/>
          </w:tcPr>
          <w:p>
            <w:pPr>
              <w:spacing w:after="0" w:line="201" w:lineRule="exact"/>
              <w:rPr>
                <w:sz w:val="20"/>
                <w:szCs w:val="20"/>
                <w:color w:val="auto"/>
              </w:rPr>
            </w:pPr>
            <w:r>
              <w:rPr>
                <w:rFonts w:ascii="Times New Roman" w:cs="Times New Roman" w:eastAsia="Times New Roman" w:hAnsi="Times New Roman"/>
                <w:sz w:val="18"/>
                <w:szCs w:val="18"/>
                <w:color w:val="auto"/>
              </w:rPr>
              <w:t>Common Warrants, Strike Price $11.50,</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85"/>
        </w:trPr>
        <w:tc>
          <w:tcPr>
            <w:tcW w:w="3700" w:type="dxa"/>
            <w:vAlign w:val="bottom"/>
            <w:gridSpan w:val="16"/>
          </w:tcPr>
          <w:p>
            <w:pPr>
              <w:spacing w:after="0" w:line="284" w:lineRule="exact"/>
              <w:rPr>
                <w:sz w:val="20"/>
                <w:szCs w:val="20"/>
                <w:color w:val="auto"/>
              </w:rPr>
            </w:pPr>
            <w:r>
              <w:rPr>
                <w:rFonts w:ascii="Times New Roman" w:cs="Times New Roman" w:eastAsia="Times New Roman" w:hAnsi="Times New Roman"/>
                <w:sz w:val="18"/>
                <w:szCs w:val="18"/>
                <w:color w:val="auto"/>
              </w:rPr>
              <w:t>Expiration Date 7/15/2030</w:t>
            </w:r>
            <w:r>
              <w:rPr>
                <w:rFonts w:ascii="Times New Roman" w:cs="Times New Roman" w:eastAsia="Times New Roman" w:hAnsi="Times New Roman"/>
                <w:sz w:val="29"/>
                <w:szCs w:val="29"/>
                <w:color w:val="auto"/>
                <w:vertAlign w:val="superscript"/>
              </w:rPr>
              <w:t>(4)</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11/20/2023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1,204,488</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375,816</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451,683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09"/>
        </w:trPr>
        <w:tc>
          <w:tcPr>
            <w:tcW w:w="3700" w:type="dxa"/>
            <w:vAlign w:val="bottom"/>
            <w:tcBorders>
              <w:top w:val="single" w:sz="8" w:color="CCEEFF"/>
            </w:tcBorders>
            <w:gridSpan w:val="1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1,479,535</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3,582,083</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229" w:right="339" w:bottom="636"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636"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SURO CAPITAL CORP. AND SUBSIDIARIES CONDENSED CONSOLIDATED SCHEDULE OF INVESTMENTS - continued December 31,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center"/>
              <w:ind w:right="76"/>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Headquarters/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10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right="76"/>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270"/>
        </w:trPr>
        <w:tc>
          <w:tcPr>
            <w:tcW w:w="37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Portfolio Investments*</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Industry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Investment</w:t>
            </w:r>
          </w:p>
        </w:tc>
        <w:tc>
          <w:tcPr>
            <w:tcW w:w="1180" w:type="dxa"/>
            <w:vAlign w:val="bottom"/>
            <w:gridSpan w:val="4"/>
          </w:tcPr>
          <w:p>
            <w:pPr>
              <w:ind w:left="100"/>
              <w:spacing w:after="0" w:line="270" w:lineRule="exact"/>
              <w:rPr>
                <w:sz w:val="20"/>
                <w:szCs w:val="20"/>
                <w:color w:val="auto"/>
              </w:rPr>
            </w:pPr>
            <w:r>
              <w:rPr>
                <w:rFonts w:ascii="Times New Roman" w:cs="Times New Roman" w:eastAsia="Times New Roman" w:hAnsi="Times New Roman"/>
                <w:sz w:val="18"/>
                <w:szCs w:val="18"/>
                <w:b w:val="1"/>
                <w:bCs w:val="1"/>
                <w:color w:val="auto"/>
              </w:rPr>
              <w:t>Quantity</w:t>
            </w:r>
            <w:r>
              <w:rPr>
                <w:rFonts w:ascii="Times New Roman" w:cs="Times New Roman" w:eastAsia="Times New Roman" w:hAnsi="Times New Roman"/>
                <w:sz w:val="29"/>
                <w:szCs w:val="29"/>
                <w:b w:val="1"/>
                <w:bCs w:val="1"/>
                <w:color w:val="auto"/>
                <w:vertAlign w:val="superscript"/>
              </w:rPr>
              <w:t>(2)</w:t>
            </w: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940" w:type="dxa"/>
            <w:vAlign w:val="bottom"/>
            <w:gridSpan w:val="2"/>
          </w:tcPr>
          <w:p>
            <w:pPr>
              <w:jc w:val="center"/>
              <w:ind w:right="56"/>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0" w:type="dxa"/>
            <w:vAlign w:val="bottom"/>
          </w:tcPr>
          <w:p>
            <w:pPr>
              <w:spacing w:after="0"/>
              <w:rPr>
                <w:sz w:val="1"/>
                <w:szCs w:val="1"/>
                <w:color w:val="auto"/>
              </w:rPr>
            </w:pPr>
          </w:p>
        </w:tc>
      </w:tr>
      <w:tr>
        <w:trPr>
          <w:trHeight w:val="169"/>
        </w:trPr>
        <w:tc>
          <w:tcPr>
            <w:tcW w:w="3640" w:type="dxa"/>
            <w:vAlign w:val="bottom"/>
            <w:tcBorders>
              <w:top w:val="single" w:sz="8" w:color="auto"/>
            </w:tcBorders>
            <w:gridSpan w:val="18"/>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PayJoy, Inc.</w:t>
            </w:r>
          </w:p>
        </w:tc>
        <w:tc>
          <w:tcPr>
            <w:tcW w:w="100" w:type="dxa"/>
            <w:vAlign w:val="bottom"/>
            <w:tcBorders>
              <w:top w:val="single" w:sz="8" w:color="CCEEFF"/>
            </w:tcBorders>
            <w:shd w:val="clear" w:color="auto" w:fill="CCEEFF"/>
          </w:tcPr>
          <w:p>
            <w:pPr>
              <w:spacing w:after="0"/>
              <w:rPr>
                <w:sz w:val="14"/>
                <w:szCs w:val="14"/>
                <w:color w:val="auto"/>
              </w:rPr>
            </w:pPr>
          </w:p>
        </w:tc>
        <w:tc>
          <w:tcPr>
            <w:tcW w:w="198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San Francisco, CA</w:t>
            </w: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right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Preferred Shares, Series C</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Mobile Access Technology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7/23/2021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244,117</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2,501,570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2,707,718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9"/>
        </w:trPr>
        <w:tc>
          <w:tcPr>
            <w:tcW w:w="374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Simple Agreement for Future Equity</w:t>
            </w: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5/25/2023</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501,470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0"/>
        </w:trPr>
        <w:tc>
          <w:tcPr>
            <w:tcW w:w="3740" w:type="dxa"/>
            <w:vAlign w:val="bottom"/>
            <w:tcBorders>
              <w:bottom w:val="single" w:sz="8" w:color="CCEEFF"/>
            </w:tcBorders>
            <w:gridSpan w:val="19"/>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3,003,040</w:t>
            </w:r>
          </w:p>
        </w:tc>
        <w:tc>
          <w:tcPr>
            <w:tcW w:w="22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3,207,718</w:t>
            </w:r>
          </w:p>
        </w:tc>
        <w:tc>
          <w:tcPr>
            <w:tcW w:w="2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16"/>
        </w:trPr>
        <w:tc>
          <w:tcPr>
            <w:tcW w:w="3740" w:type="dxa"/>
            <w:vAlign w:val="bottom"/>
            <w:gridSpan w:val="19"/>
            <w:shd w:val="clear" w:color="auto" w:fill="CCEEFF"/>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True Global Ventures 4 Plus Pte Ltd</w:t>
            </w:r>
            <w:r>
              <w:rPr>
                <w:rFonts w:ascii="Times New Roman" w:cs="Times New Roman" w:eastAsia="Times New Roman" w:hAnsi="Times New Roman"/>
                <w:sz w:val="22"/>
                <w:szCs w:val="22"/>
                <w:b w:val="1"/>
                <w:bCs w:val="1"/>
                <w:color w:val="auto"/>
                <w:vertAlign w:val="superscript"/>
              </w:rPr>
              <w:t>**(10)</w:t>
            </w:r>
          </w:p>
        </w:tc>
        <w:tc>
          <w:tcPr>
            <w:tcW w:w="2080" w:type="dxa"/>
            <w:vAlign w:val="bottom"/>
            <w:gridSpan w:val="2"/>
            <w:shd w:val="clear" w:color="auto" w:fill="CCEEFF"/>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Singapore, Singapore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Limited Partner Fund Investment</w:t>
            </w:r>
          </w:p>
        </w:tc>
        <w:tc>
          <w:tcPr>
            <w:tcW w:w="940" w:type="dxa"/>
            <w:vAlign w:val="bottom"/>
            <w:tcBorders>
              <w:top w:val="single" w:sz="8" w:color="CCEEFF"/>
            </w:tcBorders>
            <w:gridSpan w:val="6"/>
          </w:tcPr>
          <w:p>
            <w:pPr>
              <w:spacing w:after="0"/>
              <w:rPr>
                <w:sz w:val="18"/>
                <w:szCs w:val="18"/>
                <w:color w:val="auto"/>
              </w:rPr>
            </w:pPr>
          </w:p>
        </w:tc>
        <w:tc>
          <w:tcPr>
            <w:tcW w:w="208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Venture Investment Fund</w:t>
            </w:r>
          </w:p>
        </w:tc>
        <w:tc>
          <w:tcPr>
            <w:tcW w:w="11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8/27/2021</w:t>
            </w:r>
          </w:p>
        </w:tc>
        <w:tc>
          <w:tcPr>
            <w:tcW w:w="220" w:type="dxa"/>
            <w:vAlign w:val="bottom"/>
            <w:tcBorders>
              <w:top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2,000,000</w:t>
            </w:r>
          </w:p>
        </w:tc>
        <w:tc>
          <w:tcPr>
            <w:tcW w:w="11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448,304</w:t>
            </w:r>
          </w:p>
        </w:tc>
        <w:tc>
          <w:tcPr>
            <w:tcW w:w="104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3,130,363</w:t>
            </w:r>
          </w:p>
        </w:tc>
        <w:tc>
          <w:tcPr>
            <w:tcW w:w="9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auto"/>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HL Digital Assets Inc.</w:t>
            </w:r>
          </w:p>
        </w:tc>
        <w:tc>
          <w:tcPr>
            <w:tcW w:w="2040" w:type="dxa"/>
            <w:vAlign w:val="bottom"/>
            <w:tcBorders>
              <w:bottom w:val="single" w:sz="8" w:color="CCEEFF"/>
            </w:tcBorders>
            <w:gridSpan w:val="12"/>
            <w:shd w:val="clear" w:color="auto" w:fill="CCEEFF"/>
          </w:tcPr>
          <w:p>
            <w:pPr>
              <w:spacing w:after="0"/>
              <w:rPr>
                <w:sz w:val="17"/>
                <w:szCs w:val="17"/>
                <w:color w:val="auto"/>
              </w:rPr>
            </w:pPr>
          </w:p>
        </w:tc>
        <w:tc>
          <w:tcPr>
            <w:tcW w:w="20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New York, NY</w:t>
            </w: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Digital Asset Infrastructure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9/18/2025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8,000,000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5,106,143</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2,825,085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7"/>
        </w:trPr>
        <w:tc>
          <w:tcPr>
            <w:tcW w:w="3740" w:type="dxa"/>
            <w:vAlign w:val="bottom"/>
            <w:gridSpan w:val="19"/>
            <w:shd w:val="clear" w:color="auto" w:fill="CCEEFF"/>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Xgroup Holdings Inc (d/b/a Xpoint)</w:t>
            </w:r>
            <w:r>
              <w:rPr>
                <w:rFonts w:ascii="Times New Roman" w:cs="Times New Roman" w:eastAsia="Times New Roman" w:hAnsi="Times New Roman"/>
                <w:sz w:val="25"/>
                <w:szCs w:val="25"/>
                <w:b w:val="1"/>
                <w:bCs w:val="1"/>
                <w:color w:val="auto"/>
                <w:vertAlign w:val="superscript"/>
              </w:rPr>
              <w:t>(11)</w:t>
            </w:r>
          </w:p>
        </w:tc>
        <w:tc>
          <w:tcPr>
            <w:tcW w:w="2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Miami Beach, FL</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6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Preferred Shares, Series A-1</w:t>
            </w:r>
          </w:p>
        </w:tc>
        <w:tc>
          <w:tcPr>
            <w:tcW w:w="980" w:type="dxa"/>
            <w:vAlign w:val="bottom"/>
            <w:tcBorders>
              <w:top w:val="single" w:sz="8" w:color="CCEEFF"/>
            </w:tcBorders>
            <w:gridSpan w:val="7"/>
          </w:tcPr>
          <w:p>
            <w:pPr>
              <w:spacing w:after="0"/>
              <w:rPr>
                <w:sz w:val="18"/>
                <w:szCs w:val="18"/>
                <w:color w:val="auto"/>
              </w:rPr>
            </w:pPr>
          </w:p>
        </w:tc>
        <w:tc>
          <w:tcPr>
            <w:tcW w:w="208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Geolocation Technology</w:t>
            </w:r>
          </w:p>
        </w:tc>
        <w:tc>
          <w:tcPr>
            <w:tcW w:w="11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8/17/2022</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w:t>
            </w:r>
          </w:p>
        </w:tc>
        <w:tc>
          <w:tcPr>
            <w:tcW w:w="11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136,114</w:t>
            </w:r>
          </w:p>
        </w:tc>
        <w:tc>
          <w:tcPr>
            <w:tcW w:w="104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220,201</w:t>
            </w:r>
          </w:p>
        </w:tc>
        <w:tc>
          <w:tcPr>
            <w:tcW w:w="9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198"/>
        </w:trPr>
        <w:tc>
          <w:tcPr>
            <w:tcW w:w="3740" w:type="dxa"/>
            <w:vAlign w:val="bottom"/>
            <w:gridSpan w:val="19"/>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A-1 Warrants, Strike Price $0.0001,</w:t>
            </w: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Expiration Date 5/14/2044</w:t>
            </w:r>
          </w:p>
        </w:tc>
        <w:tc>
          <w:tcPr>
            <w:tcW w:w="1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8/17/2022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3,286</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985,180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1,593,789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198"/>
        </w:trPr>
        <w:tc>
          <w:tcPr>
            <w:tcW w:w="3740" w:type="dxa"/>
            <w:vAlign w:val="bottom"/>
            <w:gridSpan w:val="19"/>
          </w:tcPr>
          <w:p>
            <w:pPr>
              <w:spacing w:after="0" w:line="198" w:lineRule="exact"/>
              <w:rPr>
                <w:sz w:val="20"/>
                <w:szCs w:val="20"/>
                <w:color w:val="auto"/>
              </w:rPr>
            </w:pPr>
            <w:r>
              <w:rPr>
                <w:rFonts w:ascii="Times New Roman" w:cs="Times New Roman" w:eastAsia="Times New Roman" w:hAnsi="Times New Roman"/>
                <w:sz w:val="18"/>
                <w:szCs w:val="18"/>
                <w:color w:val="auto"/>
              </w:rPr>
              <w:t>Series A Warrants, Strike Price $0.0001,</w:t>
            </w: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7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Expiration Date 5/14/2044</w:t>
            </w: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8/17/2022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873</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261,735</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564,568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gridSpan w:val="19"/>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1,383,029</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2,378,558</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196"/>
        </w:trPr>
        <w:tc>
          <w:tcPr>
            <w:tcW w:w="3740" w:type="dxa"/>
            <w:vAlign w:val="bottom"/>
            <w:gridSpan w:val="19"/>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Varo Money, Inc.</w:t>
            </w:r>
            <w:r>
              <w:rPr>
                <w:rFonts w:ascii="Times New Roman" w:cs="Times New Roman" w:eastAsia="Times New Roman" w:hAnsi="Times New Roman"/>
                <w:sz w:val="22"/>
                <w:szCs w:val="22"/>
                <w:b w:val="1"/>
                <w:bCs w:val="1"/>
                <w:color w:val="auto"/>
                <w:vertAlign w:val="superscript"/>
              </w:rPr>
              <w:t>**</w:t>
            </w:r>
          </w:p>
        </w:tc>
        <w:tc>
          <w:tcPr>
            <w:tcW w:w="208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San Francisco, CA</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Financial Services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8/11/2021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1,079,266</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10,005,548</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1,618,899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16"/>
        </w:trPr>
        <w:tc>
          <w:tcPr>
            <w:tcW w:w="3740" w:type="dxa"/>
            <w:vAlign w:val="bottom"/>
            <w:gridSpan w:val="19"/>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Stake Trade, Inc. (d/b/a Prophet Exchange)</w:t>
            </w:r>
            <w:r>
              <w:rPr>
                <w:rFonts w:ascii="Times New Roman" w:cs="Times New Roman" w:eastAsia="Times New Roman" w:hAnsi="Times New Roman"/>
                <w:sz w:val="25"/>
                <w:szCs w:val="25"/>
                <w:b w:val="1"/>
                <w:bCs w:val="1"/>
                <w:color w:val="auto"/>
                <w:vertAlign w:val="superscript"/>
              </w:rPr>
              <w:t>(11)</w:t>
            </w:r>
          </w:p>
        </w:tc>
        <w:tc>
          <w:tcPr>
            <w:tcW w:w="2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New York, NY</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(12)</w:t>
            </w:r>
          </w:p>
        </w:tc>
        <w:tc>
          <w:tcPr>
            <w:tcW w:w="2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4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B-IV</w:t>
            </w:r>
          </w:p>
        </w:tc>
        <w:tc>
          <w:tcPr>
            <w:tcW w:w="2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Sports Betting</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7/26/2023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755,041</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1,002,153</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1,249,993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175"/>
        </w:trPr>
        <w:tc>
          <w:tcPr>
            <w:tcW w:w="37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Aventine Property Group, Inc.</w:t>
            </w:r>
          </w:p>
        </w:tc>
        <w:tc>
          <w:tcPr>
            <w:tcW w:w="20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Chicago, IL</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Cannabis REIT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9/11/2019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312,500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2,580,750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1,187,532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175"/>
        </w:trPr>
        <w:tc>
          <w:tcPr>
            <w:tcW w:w="37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Residential Homes for Rent, LLC (d/b/a</w:t>
            </w: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080" w:type="dxa"/>
            <w:vAlign w:val="bottom"/>
            <w:tcBorders>
              <w:top w:val="single" w:sz="8" w:color="auto"/>
            </w:tcBorders>
            <w:gridSpan w:val="14"/>
          </w:tcPr>
          <w:p>
            <w:pPr>
              <w:spacing w:after="0" w:line="236" w:lineRule="exact"/>
              <w:rPr>
                <w:sz w:val="20"/>
                <w:szCs w:val="20"/>
                <w:color w:val="auto"/>
              </w:rPr>
            </w:pPr>
            <w:r>
              <w:rPr>
                <w:rFonts w:ascii="Times New Roman" w:cs="Times New Roman" w:eastAsia="Times New Roman" w:hAnsi="Times New Roman"/>
                <w:sz w:val="17"/>
                <w:szCs w:val="17"/>
                <w:b w:val="1"/>
                <w:bCs w:val="1"/>
                <w:color w:val="auto"/>
              </w:rPr>
              <w:t>Second Avenue)</w:t>
            </w:r>
            <w:r>
              <w:rPr>
                <w:rFonts w:ascii="Times New Roman" w:cs="Times New Roman" w:eastAsia="Times New Roman" w:hAnsi="Times New Roman"/>
                <w:sz w:val="27"/>
                <w:szCs w:val="27"/>
                <w:b w:val="1"/>
                <w:bCs w:val="1"/>
                <w:color w:val="auto"/>
                <w:vertAlign w:val="superscript"/>
              </w:rPr>
              <w:t>(13)</w:t>
            </w:r>
          </w:p>
        </w:tc>
        <w:tc>
          <w:tcPr>
            <w:tcW w:w="660" w:type="dxa"/>
            <w:vAlign w:val="bottom"/>
            <w:gridSpan w:val="5"/>
          </w:tcPr>
          <w:p>
            <w:pPr>
              <w:spacing w:after="0"/>
              <w:rPr>
                <w:sz w:val="20"/>
                <w:szCs w:val="20"/>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Chicago, IL</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7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A</w:t>
            </w: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Real Estate Platform</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12/23/2020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654,642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176"/>
        </w:trPr>
        <w:tc>
          <w:tcPr>
            <w:tcW w:w="37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Orchard Technologies, Inc.</w:t>
            </w:r>
          </w:p>
        </w:tc>
        <w:tc>
          <w:tcPr>
            <w:tcW w:w="20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New York, NY</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D 8%</w:t>
            </w: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Real Estate Platform</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8/9/2021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524,985</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3,751,518</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Senior Preferred Shares, Series 2 8%</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80,991</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587,951</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Preferred Shares, Series 1 7%</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1/13/2023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463,449</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4,642,772</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463,449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16"/>
        </w:trPr>
        <w:tc>
          <w:tcPr>
            <w:tcW w:w="37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558,053</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3,751,518</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Simple Agreement for Future Equity</w:t>
            </w: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1/31/2025</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80,800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81,584</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80,800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0"/>
        </w:trPr>
        <w:tc>
          <w:tcPr>
            <w:tcW w:w="3740" w:type="dxa"/>
            <w:vAlign w:val="bottom"/>
            <w:tcBorders>
              <w:bottom w:val="single" w:sz="8" w:color="CCEEFF"/>
            </w:tcBorders>
            <w:gridSpan w:val="19"/>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12,815,343</w:t>
            </w:r>
          </w:p>
        </w:tc>
        <w:tc>
          <w:tcPr>
            <w:tcW w:w="22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544,249</w:t>
            </w:r>
          </w:p>
        </w:tc>
        <w:tc>
          <w:tcPr>
            <w:tcW w:w="2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196"/>
        </w:trPr>
        <w:tc>
          <w:tcPr>
            <w:tcW w:w="3740" w:type="dxa"/>
            <w:vAlign w:val="bottom"/>
            <w:gridSpan w:val="19"/>
            <w:shd w:val="clear" w:color="auto" w:fill="CCEEFF"/>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EDGE Markets, Inc.</w:t>
            </w:r>
            <w:r>
              <w:rPr>
                <w:rFonts w:ascii="Times New Roman" w:cs="Times New Roman" w:eastAsia="Times New Roman" w:hAnsi="Times New Roman"/>
                <w:sz w:val="22"/>
                <w:szCs w:val="22"/>
                <w:b w:val="1"/>
                <w:bCs w:val="1"/>
                <w:color w:val="auto"/>
                <w:vertAlign w:val="superscript"/>
              </w:rPr>
              <w:t>(11)</w:t>
            </w:r>
          </w:p>
        </w:tc>
        <w:tc>
          <w:tcPr>
            <w:tcW w:w="2080" w:type="dxa"/>
            <w:vAlign w:val="bottom"/>
            <w:gridSpan w:val="2"/>
            <w:shd w:val="clear" w:color="auto" w:fill="CCEEFF"/>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rPr>
              <w:t>San Diego, CA</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Preferred Shares, Series Seed 8%</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Gaming Technology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5/18/2022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456,704</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501,330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175"/>
        </w:trPr>
        <w:tc>
          <w:tcPr>
            <w:tcW w:w="37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Skillsoft Corp.</w:t>
            </w:r>
          </w:p>
        </w:tc>
        <w:tc>
          <w:tcPr>
            <w:tcW w:w="20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Nashua, NH</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740" w:type="dxa"/>
            <w:vAlign w:val="bottom"/>
            <w:gridSpan w:val="19"/>
          </w:tcPr>
          <w:p>
            <w:pPr>
              <w:spacing w:after="0" w:line="256" w:lineRule="exact"/>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(4)</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Online Education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6/8/2021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49,092</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9,818,428</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456,556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196"/>
        </w:trPr>
        <w:tc>
          <w:tcPr>
            <w:tcW w:w="3120" w:type="dxa"/>
            <w:vAlign w:val="bottom"/>
            <w:tcBorders>
              <w:bottom w:val="single" w:sz="8" w:color="auto"/>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PSQ Holdings, Inc. (d/b/a PublicSquare)</w:t>
            </w:r>
          </w:p>
        </w:tc>
        <w:tc>
          <w:tcPr>
            <w:tcW w:w="620" w:type="dxa"/>
            <w:vAlign w:val="bottom"/>
            <w:tcBorders>
              <w:bottom w:val="single" w:sz="8" w:color="CCEEFF"/>
            </w:tcBorders>
            <w:gridSpan w:val="4"/>
            <w:shd w:val="clear" w:color="auto" w:fill="CCEEFF"/>
          </w:tcPr>
          <w:p>
            <w:pPr>
              <w:spacing w:after="0"/>
              <w:rPr>
                <w:sz w:val="17"/>
                <w:szCs w:val="17"/>
                <w:color w:val="auto"/>
              </w:rPr>
            </w:pPr>
          </w:p>
        </w:tc>
        <w:tc>
          <w:tcPr>
            <w:tcW w:w="2080" w:type="dxa"/>
            <w:vAlign w:val="bottom"/>
            <w:tcBorders>
              <w:bottom w:val="single" w:sz="8" w:color="CCEEFF"/>
            </w:tcBorders>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8"/>
              </w:rPr>
              <w:t>West Palm Beach, FL</w:t>
            </w: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740" w:type="dxa"/>
            <w:vAlign w:val="bottom"/>
            <w:gridSpan w:val="19"/>
          </w:tcPr>
          <w:p>
            <w:pPr>
              <w:spacing w:after="0" w:line="201" w:lineRule="exact"/>
              <w:rPr>
                <w:sz w:val="20"/>
                <w:szCs w:val="20"/>
                <w:color w:val="auto"/>
              </w:rPr>
            </w:pPr>
            <w:r>
              <w:rPr>
                <w:rFonts w:ascii="Times New Roman" w:cs="Times New Roman" w:eastAsia="Times New Roman" w:hAnsi="Times New Roman"/>
                <w:sz w:val="18"/>
                <w:szCs w:val="18"/>
                <w:color w:val="auto"/>
              </w:rPr>
              <w:t>Common Warrants, Strike Price $11.50,</w:t>
            </w: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740" w:type="dxa"/>
            <w:vAlign w:val="bottom"/>
            <w:gridSpan w:val="19"/>
          </w:tcPr>
          <w:p>
            <w:pPr>
              <w:spacing w:after="0" w:line="271" w:lineRule="exact"/>
              <w:rPr>
                <w:sz w:val="20"/>
                <w:szCs w:val="20"/>
                <w:color w:val="auto"/>
              </w:rPr>
            </w:pPr>
            <w:r>
              <w:rPr>
                <w:rFonts w:ascii="Times New Roman" w:cs="Times New Roman" w:eastAsia="Times New Roman" w:hAnsi="Times New Roman"/>
                <w:sz w:val="18"/>
                <w:szCs w:val="18"/>
                <w:color w:val="auto"/>
              </w:rPr>
              <w:t>Expiration Date 7/19/2028</w:t>
            </w:r>
            <w:r>
              <w:rPr>
                <w:rFonts w:ascii="Times New Roman" w:cs="Times New Roman" w:eastAsia="Times New Roman" w:hAnsi="Times New Roman"/>
                <w:sz w:val="29"/>
                <w:szCs w:val="29"/>
                <w:color w:val="auto"/>
                <w:vertAlign w:val="superscript"/>
              </w:rPr>
              <w:t>(4)</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E-Commerce Marketplace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4/1/2021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1,796,037</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771,065</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170,624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175"/>
        </w:trPr>
        <w:tc>
          <w:tcPr>
            <w:tcW w:w="37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Kinetiq Holdings, LLC</w:t>
            </w:r>
          </w:p>
        </w:tc>
        <w:tc>
          <w:tcPr>
            <w:tcW w:w="20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Doylestown, PA</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Common Shares, Class A</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Social Data Platform</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3/30/2012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112,374</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3740" w:type="dxa"/>
            <w:vAlign w:val="bottom"/>
            <w:gridSpan w:val="19"/>
            <w:shd w:val="clear" w:color="auto" w:fill="CCEEFF"/>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Trax Ltd.</w:t>
            </w:r>
            <w:r>
              <w:rPr>
                <w:rFonts w:ascii="Times New Roman" w:cs="Times New Roman" w:eastAsia="Times New Roman" w:hAnsi="Times New Roman"/>
                <w:sz w:val="25"/>
                <w:szCs w:val="25"/>
                <w:b w:val="1"/>
                <w:bCs w:val="1"/>
                <w:color w:val="auto"/>
                <w:vertAlign w:val="superscript"/>
              </w:rPr>
              <w:t>**</w:t>
            </w: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Singapore, Singapore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Retail Technology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55,591</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2,781,148</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4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Investec Series</w:t>
            </w: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6/9/2021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144,409</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7,224,600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740" w:type="dxa"/>
            <w:vAlign w:val="bottom"/>
            <w:tcBorders>
              <w:bottom w:val="single" w:sz="8" w:color="CCEEFF"/>
            </w:tcBorders>
            <w:gridSpan w:val="19"/>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10,005,748</w:t>
            </w:r>
          </w:p>
        </w:tc>
        <w:tc>
          <w:tcPr>
            <w:tcW w:w="22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155"/>
        </w:trPr>
        <w:tc>
          <w:tcPr>
            <w:tcW w:w="3740" w:type="dxa"/>
            <w:vAlign w:val="bottom"/>
            <w:gridSpan w:val="19"/>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CTN Holdings, Inc. (d/b/a Catona Climate,</w:t>
            </w:r>
          </w:p>
        </w:tc>
        <w:tc>
          <w:tcPr>
            <w:tcW w:w="1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3300" w:type="dxa"/>
            <w:vAlign w:val="bottom"/>
            <w:tcBorders>
              <w:top w:val="single" w:sz="8" w:color="auto"/>
            </w:tcBorders>
            <w:gridSpan w:val="16"/>
            <w:shd w:val="clear" w:color="auto" w:fill="CCEEFF"/>
          </w:tcPr>
          <w:p>
            <w:pPr>
              <w:spacing w:after="0" w:line="236" w:lineRule="exact"/>
              <w:rPr>
                <w:sz w:val="20"/>
                <w:szCs w:val="20"/>
                <w:color w:val="auto"/>
              </w:rPr>
            </w:pPr>
            <w:r>
              <w:rPr>
                <w:rFonts w:ascii="Times New Roman" w:cs="Times New Roman" w:eastAsia="Times New Roman" w:hAnsi="Times New Roman"/>
                <w:sz w:val="17"/>
                <w:szCs w:val="17"/>
                <w:b w:val="1"/>
                <w:bCs w:val="1"/>
                <w:color w:val="auto"/>
              </w:rPr>
              <w:t>f/k/a Aspiration Partners, Inc.)</w:t>
            </w:r>
            <w:r>
              <w:rPr>
                <w:rFonts w:ascii="Times New Roman" w:cs="Times New Roman" w:eastAsia="Times New Roman" w:hAnsi="Times New Roman"/>
                <w:sz w:val="27"/>
                <w:szCs w:val="27"/>
                <w:b w:val="1"/>
                <w:bCs w:val="1"/>
                <w:color w:val="auto"/>
                <w:vertAlign w:val="superscript"/>
              </w:rPr>
              <w:t>(14)</w:t>
            </w:r>
          </w:p>
        </w:tc>
        <w:tc>
          <w:tcPr>
            <w:tcW w:w="440" w:type="dxa"/>
            <w:vAlign w:val="bottom"/>
            <w:tcBorders>
              <w:top w:val="single" w:sz="8" w:color="CCEEFF"/>
            </w:tcBorders>
            <w:gridSpan w:val="3"/>
            <w:shd w:val="clear" w:color="auto" w:fill="CCEEFF"/>
          </w:tcPr>
          <w:p>
            <w:pPr>
              <w:spacing w:after="0"/>
              <w:rPr>
                <w:sz w:val="23"/>
                <w:szCs w:val="23"/>
                <w:color w:val="auto"/>
              </w:rPr>
            </w:pPr>
          </w:p>
        </w:tc>
        <w:tc>
          <w:tcPr>
            <w:tcW w:w="2080" w:type="dxa"/>
            <w:vAlign w:val="bottom"/>
            <w:tcBorders>
              <w:top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Marina Del Rey, CA</w:t>
            </w:r>
          </w:p>
        </w:tc>
        <w:tc>
          <w:tcPr>
            <w:tcW w:w="1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74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84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CCEEFF"/>
              <w:right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38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Preferred Shares, Series A</w:t>
            </w:r>
          </w:p>
        </w:tc>
        <w:tc>
          <w:tcPr>
            <w:tcW w:w="1360" w:type="dxa"/>
            <w:vAlign w:val="bottom"/>
            <w:tcBorders>
              <w:top w:val="single" w:sz="8" w:color="CCEEFF"/>
            </w:tcBorders>
            <w:gridSpan w:val="8"/>
          </w:tcPr>
          <w:p>
            <w:pPr>
              <w:spacing w:after="0"/>
              <w:rPr>
                <w:sz w:val="18"/>
                <w:szCs w:val="18"/>
                <w:color w:val="auto"/>
              </w:rPr>
            </w:pPr>
          </w:p>
        </w:tc>
        <w:tc>
          <w:tcPr>
            <w:tcW w:w="2080" w:type="dxa"/>
            <w:vAlign w:val="bottom"/>
            <w:tcBorders>
              <w:top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Carbon Credit Services</w:t>
            </w:r>
          </w:p>
        </w:tc>
        <w:tc>
          <w:tcPr>
            <w:tcW w:w="11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8/11/2015</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540,270</w:t>
            </w:r>
          </w:p>
        </w:tc>
        <w:tc>
          <w:tcPr>
            <w:tcW w:w="11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1,001,815</w:t>
            </w:r>
          </w:p>
        </w:tc>
        <w:tc>
          <w:tcPr>
            <w:tcW w:w="104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C-3</w:t>
            </w: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8/12/2019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24,912</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281,190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740" w:type="dxa"/>
            <w:vAlign w:val="bottom"/>
            <w:gridSpan w:val="19"/>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1,283,005</w:t>
            </w:r>
          </w:p>
        </w:tc>
        <w:tc>
          <w:tcPr>
            <w:tcW w:w="22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229" w:right="33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340" w:right="2500"/>
        <w:spacing w:after="0" w:line="268" w:lineRule="auto"/>
        <w:rPr>
          <w:sz w:val="20"/>
          <w:szCs w:val="20"/>
          <w:color w:val="auto"/>
        </w:rPr>
      </w:pPr>
      <w:r>
        <w:rPr>
          <w:rFonts w:ascii="Times New Roman" w:cs="Times New Roman" w:eastAsia="Times New Roman" w:hAnsi="Times New Roman"/>
          <w:sz w:val="18"/>
          <w:szCs w:val="18"/>
          <w:b w:val="1"/>
          <w:bCs w:val="1"/>
          <w:color w:val="auto"/>
        </w:rPr>
        <w:t>SURO CAPITAL CORP. AND SUBSIDIARIES CONDENSED CONSOLIDATED SCHEDULE OF INVESTMENTS - continued December 31,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Shares/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 of</w:t>
            </w:r>
          </w:p>
        </w:tc>
      </w:tr>
      <w:tr>
        <w:trPr>
          <w:trHeight w:val="216"/>
        </w:trPr>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Headquarters/</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12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Principal/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70"/>
        </w:trPr>
        <w:tc>
          <w:tcPr>
            <w:tcW w:w="36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Portfolio Investments*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Industry</w:t>
            </w:r>
          </w:p>
        </w:tc>
        <w:tc>
          <w:tcPr>
            <w:tcW w:w="10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20" w:type="dxa"/>
            <w:vAlign w:val="bottom"/>
          </w:tcPr>
          <w:p>
            <w:pPr>
              <w:spacing w:after="0"/>
              <w:rPr>
                <w:sz w:val="23"/>
                <w:szCs w:val="23"/>
                <w:color w:val="auto"/>
              </w:rPr>
            </w:pPr>
          </w:p>
        </w:tc>
        <w:tc>
          <w:tcPr>
            <w:tcW w:w="1020" w:type="dxa"/>
            <w:vAlign w:val="bottom"/>
            <w:gridSpan w:val="3"/>
          </w:tcPr>
          <w:p>
            <w:pPr>
              <w:jc w:val="center"/>
              <w:ind w:right="120"/>
              <w:spacing w:after="0" w:line="270" w:lineRule="exact"/>
              <w:rPr>
                <w:sz w:val="20"/>
                <w:szCs w:val="20"/>
                <w:color w:val="auto"/>
              </w:rPr>
            </w:pPr>
            <w:r>
              <w:rPr>
                <w:rFonts w:ascii="Times New Roman" w:cs="Times New Roman" w:eastAsia="Times New Roman" w:hAnsi="Times New Roman"/>
                <w:sz w:val="18"/>
                <w:szCs w:val="18"/>
                <w:b w:val="1"/>
                <w:bCs w:val="1"/>
                <w:color w:val="auto"/>
                <w:w w:val="93"/>
              </w:rPr>
              <w:t>Quantity</w:t>
            </w:r>
            <w:r>
              <w:rPr>
                <w:rFonts w:ascii="Times New Roman" w:cs="Times New Roman" w:eastAsia="Times New Roman" w:hAnsi="Times New Roman"/>
                <w:sz w:val="29"/>
                <w:szCs w:val="29"/>
                <w:b w:val="1"/>
                <w:bCs w:val="1"/>
                <w:color w:val="auto"/>
                <w:w w:val="93"/>
                <w:vertAlign w:val="superscript"/>
              </w:rPr>
              <w:t>(2)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3"/>
                <w:szCs w:val="23"/>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94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Assets</w:t>
            </w:r>
          </w:p>
        </w:tc>
      </w:tr>
      <w:tr>
        <w:trPr>
          <w:trHeight w:val="169"/>
        </w:trPr>
        <w:tc>
          <w:tcPr>
            <w:tcW w:w="3500" w:type="dxa"/>
            <w:vAlign w:val="bottom"/>
            <w:tcBorders>
              <w:top w:val="single" w:sz="8" w:color="auto"/>
            </w:tcBorders>
            <w:gridSpan w:val="7"/>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Fullbridge, Inc.</w:t>
            </w:r>
          </w:p>
        </w:tc>
        <w:tc>
          <w:tcPr>
            <w:tcW w:w="12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Cambridge, MA</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r>
      <w:tr>
        <w:trPr>
          <w:trHeight w:val="21"/>
        </w:trPr>
        <w:tc>
          <w:tcPr>
            <w:tcW w:w="9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Business Education</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5/13/2012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517,917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6,150,506</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20" w:type="dxa"/>
            <w:vAlign w:val="bottom"/>
            <w:gridSpan w:val="8"/>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Promissory Note 1.47%, Due 11/9/2021</w:t>
            </w:r>
            <w:r>
              <w:rPr>
                <w:rFonts w:ascii="Times New Roman" w:cs="Times New Roman" w:eastAsia="Times New Roman" w:hAnsi="Times New Roman"/>
                <w:sz w:val="29"/>
                <w:szCs w:val="29"/>
                <w:color w:val="auto"/>
                <w:vertAlign w:val="superscript"/>
              </w:rPr>
              <w:t>(3)(15)</w:t>
            </w:r>
          </w:p>
        </w:tc>
        <w:tc>
          <w:tcPr>
            <w:tcW w:w="18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3/3/2016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2,270,458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2,270,858</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620" w:type="dxa"/>
            <w:vAlign w:val="bottom"/>
            <w:tcBorders>
              <w:bottom w:val="single" w:sz="8" w:color="CCEEFF"/>
            </w:tcBorders>
            <w:gridSpan w:val="8"/>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8,421,364</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190"/>
        </w:trPr>
        <w:tc>
          <w:tcPr>
            <w:tcW w:w="3620" w:type="dxa"/>
            <w:vAlign w:val="bottom"/>
            <w:gridSpan w:val="8"/>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Treehouse Real Estate Investment Trust, Inc.</w:t>
            </w:r>
          </w:p>
        </w:tc>
        <w:tc>
          <w:tcPr>
            <w:tcW w:w="182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Chicago, IL</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16"/>
        </w:trPr>
        <w:tc>
          <w:tcPr>
            <w:tcW w:w="34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60" w:type="dxa"/>
            <w:vAlign w:val="bottom"/>
            <w:tcBorders>
              <w:top w:val="single" w:sz="8" w:color="CCEEFF"/>
            </w:tcBorders>
            <w:gridSpan w:val="2"/>
          </w:tcPr>
          <w:p>
            <w:pPr>
              <w:spacing w:after="0"/>
              <w:rPr>
                <w:sz w:val="18"/>
                <w:szCs w:val="18"/>
                <w:color w:val="auto"/>
              </w:rPr>
            </w:pPr>
          </w:p>
        </w:tc>
        <w:tc>
          <w:tcPr>
            <w:tcW w:w="18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Cannabis REIT</w:t>
            </w:r>
          </w:p>
        </w:tc>
        <w:tc>
          <w:tcPr>
            <w:tcW w:w="1160" w:type="dxa"/>
            <w:vAlign w:val="bottom"/>
            <w:tcBorders>
              <w:top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9/11/2019</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312,500</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4,919,250</w:t>
            </w: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6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Total Non-Controlled/Non-Affiliate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219,216,145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217,304,138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105.84%</w:t>
            </w:r>
          </w:p>
        </w:tc>
      </w:tr>
      <w:tr>
        <w:trPr>
          <w:trHeight w:val="216"/>
        </w:trPr>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57"/>
        </w:trPr>
        <w:tc>
          <w:tcPr>
            <w:tcW w:w="3620" w:type="dxa"/>
            <w:vAlign w:val="bottom"/>
            <w:gridSpan w:val="8"/>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NON-CONTROLLED/AFFILIATE</w:t>
            </w:r>
            <w:r>
              <w:rPr>
                <w:rFonts w:ascii="Times New Roman" w:cs="Times New Roman" w:eastAsia="Times New Roman" w:hAnsi="Times New Roman"/>
                <w:sz w:val="29"/>
                <w:szCs w:val="29"/>
                <w:b w:val="1"/>
                <w:bCs w:val="1"/>
                <w:color w:val="auto"/>
                <w:vertAlign w:val="superscript"/>
              </w:rPr>
              <w:t>(1)</w:t>
            </w: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16"/>
        </w:trPr>
        <w:tc>
          <w:tcPr>
            <w:tcW w:w="3620" w:type="dxa"/>
            <w:vAlign w:val="bottom"/>
            <w:gridSpan w:val="8"/>
            <w:shd w:val="clear" w:color="auto" w:fill="CCEEFF"/>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StormWind, LLC</w:t>
            </w:r>
            <w:r>
              <w:rPr>
                <w:rFonts w:ascii="Times New Roman" w:cs="Times New Roman" w:eastAsia="Times New Roman" w:hAnsi="Times New Roman"/>
                <w:sz w:val="25"/>
                <w:szCs w:val="25"/>
                <w:b w:val="1"/>
                <w:bCs w:val="1"/>
                <w:color w:val="auto"/>
                <w:vertAlign w:val="superscript"/>
              </w:rPr>
              <w:t>(16)</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Scottsdale, AZ</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
        </w:trPr>
        <w:tc>
          <w:tcPr>
            <w:tcW w:w="9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Preferred Shares, Series D 8%</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Interactive Learning</w:t>
            </w: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11/26/2019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329,337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257,267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435,806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16"/>
        </w:trPr>
        <w:tc>
          <w:tcPr>
            <w:tcW w:w="36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C 8%</w:t>
            </w:r>
          </w:p>
        </w:tc>
        <w:tc>
          <w:tcPr>
            <w:tcW w:w="18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1/7/2014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2,779,134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4,000,787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4,760,083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3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Preferred Shares, Series B 8%</w:t>
            </w:r>
          </w:p>
        </w:tc>
        <w:tc>
          <w:tcPr>
            <w:tcW w:w="1820" w:type="dxa"/>
            <w:vAlign w:val="bottom"/>
          </w:tcPr>
          <w:p>
            <w:pPr>
              <w:spacing w:after="0"/>
              <w:rPr>
                <w:sz w:val="18"/>
                <w:szCs w:val="18"/>
                <w:color w:val="auto"/>
              </w:rPr>
            </w:pP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12/16/2011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3,279,629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2,019,687</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2,578,473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36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A 8%</w:t>
            </w:r>
          </w:p>
        </w:tc>
        <w:tc>
          <w:tcPr>
            <w:tcW w:w="18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2/25/2014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366,666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110,000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83,005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09"/>
        </w:trPr>
        <w:tc>
          <w:tcPr>
            <w:tcW w:w="3620" w:type="dxa"/>
            <w:vAlign w:val="bottom"/>
            <w:tcBorders>
              <w:bottom w:val="single" w:sz="8" w:color="CCEEFF"/>
            </w:tcBorders>
            <w:gridSpan w:val="8"/>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6,387,741</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7,857,367</w:t>
            </w:r>
          </w:p>
        </w:tc>
        <w:tc>
          <w:tcPr>
            <w:tcW w:w="2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156"/>
        </w:trPr>
        <w:tc>
          <w:tcPr>
            <w:tcW w:w="3620" w:type="dxa"/>
            <w:vAlign w:val="bottom"/>
            <w:gridSpan w:val="8"/>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Commercial Streaming Solutions Inc. (d/b/a</w:t>
            </w:r>
          </w:p>
        </w:tc>
        <w:tc>
          <w:tcPr>
            <w:tcW w:w="1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257"/>
        </w:trPr>
        <w:tc>
          <w:tcPr>
            <w:tcW w:w="3380" w:type="dxa"/>
            <w:vAlign w:val="bottom"/>
            <w:tcBorders>
              <w:top w:val="single" w:sz="8" w:color="auto"/>
            </w:tcBorders>
            <w:gridSpan w:val="5"/>
            <w:shd w:val="clear" w:color="auto" w:fill="CCEEFF"/>
          </w:tcPr>
          <w:p>
            <w:pPr>
              <w:spacing w:after="0" w:line="236" w:lineRule="exact"/>
              <w:rPr>
                <w:sz w:val="20"/>
                <w:szCs w:val="20"/>
                <w:color w:val="auto"/>
              </w:rPr>
            </w:pPr>
            <w:r>
              <w:rPr>
                <w:rFonts w:ascii="Times New Roman" w:cs="Times New Roman" w:eastAsia="Times New Roman" w:hAnsi="Times New Roman"/>
                <w:sz w:val="17"/>
                <w:szCs w:val="17"/>
                <w:b w:val="1"/>
                <w:bCs w:val="1"/>
                <w:color w:val="auto"/>
              </w:rPr>
              <w:t>BettorView)</w:t>
            </w:r>
            <w:r>
              <w:rPr>
                <w:rFonts w:ascii="Times New Roman" w:cs="Times New Roman" w:eastAsia="Times New Roman" w:hAnsi="Times New Roman"/>
                <w:sz w:val="27"/>
                <w:szCs w:val="27"/>
                <w:b w:val="1"/>
                <w:bCs w:val="1"/>
                <w:color w:val="auto"/>
                <w:vertAlign w:val="superscript"/>
              </w:rPr>
              <w:t>(11)(17)</w:t>
            </w:r>
          </w:p>
        </w:tc>
        <w:tc>
          <w:tcPr>
            <w:tcW w:w="240" w:type="dxa"/>
            <w:vAlign w:val="bottom"/>
            <w:tcBorders>
              <w:top w:val="single" w:sz="8" w:color="CCEEFF"/>
            </w:tcBorders>
            <w:gridSpan w:val="3"/>
            <w:shd w:val="clear" w:color="auto" w:fill="CCEEFF"/>
          </w:tcPr>
          <w:p>
            <w:pPr>
              <w:spacing w:after="0"/>
              <w:rPr>
                <w:sz w:val="22"/>
                <w:szCs w:val="22"/>
                <w:color w:val="auto"/>
              </w:rPr>
            </w:pPr>
          </w:p>
        </w:tc>
        <w:tc>
          <w:tcPr>
            <w:tcW w:w="18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Las Vegas, NV</w:t>
            </w:r>
          </w:p>
        </w:tc>
        <w:tc>
          <w:tcPr>
            <w:tcW w:w="10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r>
      <w:tr>
        <w:trPr>
          <w:trHeight w:val="198"/>
        </w:trPr>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Interactive Media &amp;</w:t>
            </w:r>
          </w:p>
        </w:tc>
        <w:tc>
          <w:tcPr>
            <w:tcW w:w="10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r>
      <w:tr>
        <w:trPr>
          <w:trHeight w:val="234"/>
        </w:trPr>
        <w:tc>
          <w:tcPr>
            <w:tcW w:w="3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Preferred Shares, Series A-1</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Services</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3/26/2021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10,548,522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1,004,240</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350,000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196"/>
        </w:trPr>
        <w:tc>
          <w:tcPr>
            <w:tcW w:w="1680" w:type="dxa"/>
            <w:vAlign w:val="bottom"/>
            <w:tcBorders>
              <w:bottom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Maven Research, Inc.</w:t>
            </w:r>
          </w:p>
        </w:tc>
        <w:tc>
          <w:tcPr>
            <w:tcW w:w="1940" w:type="dxa"/>
            <w:vAlign w:val="bottom"/>
            <w:tcBorders>
              <w:bottom w:val="single" w:sz="8" w:color="CCEEFF"/>
            </w:tcBorders>
            <w:gridSpan w:val="4"/>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San Francisco, CA</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r>
      <w:tr>
        <w:trPr>
          <w:trHeight w:val="216"/>
        </w:trPr>
        <w:tc>
          <w:tcPr>
            <w:tcW w:w="3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Preferred Shares, Series C</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Knowledge Networks</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7/2/2012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318,979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2,000,447</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6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B</w:t>
            </w:r>
          </w:p>
        </w:tc>
        <w:tc>
          <w:tcPr>
            <w:tcW w:w="18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2/28/2012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217,206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620" w:type="dxa"/>
            <w:vAlign w:val="bottom"/>
            <w:tcBorders>
              <w:bottom w:val="single" w:sz="8" w:color="CCEEFF"/>
            </w:tcBorders>
            <w:gridSpan w:val="8"/>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2,217,653</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190"/>
        </w:trPr>
        <w:tc>
          <w:tcPr>
            <w:tcW w:w="1380" w:type="dxa"/>
            <w:vAlign w:val="bottom"/>
            <w:tcBorders>
              <w:bottom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Curious.com, Inc.</w:t>
            </w:r>
          </w:p>
        </w:tc>
        <w:tc>
          <w:tcPr>
            <w:tcW w:w="2240" w:type="dxa"/>
            <w:vAlign w:val="bottom"/>
            <w:tcBorders>
              <w:bottom w:val="single" w:sz="8" w:color="CCEEFF"/>
            </w:tcBorders>
            <w:gridSpan w:val="5"/>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Menlo Park, CA</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r>
      <w:tr>
        <w:trPr>
          <w:trHeight w:val="216"/>
        </w:trPr>
        <w:tc>
          <w:tcPr>
            <w:tcW w:w="3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Online Education</w:t>
            </w: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11/22/2013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1,135,944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12,000,006</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9"/>
        </w:trPr>
        <w:tc>
          <w:tcPr>
            <w:tcW w:w="3620" w:type="dxa"/>
            <w:vAlign w:val="bottom"/>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Non-Controlled/Affiliate</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21,609,640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8,207,367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r>
      <w:tr>
        <w:trPr>
          <w:trHeight w:val="210"/>
        </w:trPr>
        <w:tc>
          <w:tcPr>
            <w:tcW w:w="9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43"/>
        </w:trPr>
        <w:tc>
          <w:tcPr>
            <w:tcW w:w="3620" w:type="dxa"/>
            <w:vAlign w:val="bottom"/>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Total Portfolio Investments</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240,825,785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225,511,505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109.84%</w:t>
            </w: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3"/>
        </w:trPr>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0" w:type="dxa"/>
            <w:vAlign w:val="bottom"/>
            <w:gridSpan w:val="15"/>
          </w:tcPr>
          <w:p>
            <w:pPr>
              <w:jc w:val="center"/>
              <w:ind w:left="41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340" w:right="2500"/>
        <w:spacing w:after="0" w:line="268" w:lineRule="auto"/>
        <w:rPr>
          <w:sz w:val="20"/>
          <w:szCs w:val="20"/>
          <w:color w:val="auto"/>
        </w:rPr>
      </w:pPr>
      <w:r>
        <w:rPr>
          <w:rFonts w:ascii="Times New Roman" w:cs="Times New Roman" w:eastAsia="Times New Roman" w:hAnsi="Times New Roman"/>
          <w:sz w:val="18"/>
          <w:szCs w:val="18"/>
          <w:b w:val="1"/>
          <w:bCs w:val="1"/>
          <w:color w:val="auto"/>
        </w:rPr>
        <w:t>SURO CAPITAL CORP. AND SUBSIDIARIES CONDENSED CONSOLIDATED SCHEDULE OF INVESTMENTS - continued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830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2" w:lineRule="exact"/>
        <w:rPr>
          <w:sz w:val="20"/>
          <w:szCs w:val="20"/>
          <w:color w:val="auto"/>
        </w:rPr>
      </w:pPr>
    </w:p>
    <w:p>
      <w:pPr>
        <w:jc w:val="both"/>
        <w:ind w:left="660" w:hanging="652"/>
        <w:spacing w:after="0" w:line="254"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portfolio investments are non-control/non-affiliated and non-income-producing, unless otherwise identified. As of December 31, 2025, all of the Company’s investments were non-controlled. Equity investments may be subject to lock-up restrictions upon their initial public offering (“IPO”). Preferred dividends are generally only payable when declared and paid by the portfolio company’s board of directors. SuRo Capital Corp.’s (the “Company’s”, or “SuRo Capital’s”)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left="66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assets that SuRo Capital Corp. believes do not represent “qualifying assets” under Section 55(a) of the Investment Company Act of 1940, as amended (the “1940 Act”). Of the Company’s total investments as of December 31, 2025, 32.70% of its total investments are non-qualifying assets, excluding cash and short-term US treasuries.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income-producing.</w:t>
      </w:r>
    </w:p>
    <w:p>
      <w:pPr>
        <w:spacing w:after="0" w:line="225" w:lineRule="exact"/>
        <w:rPr>
          <w:sz w:val="20"/>
          <w:szCs w:val="20"/>
          <w:color w:val="auto"/>
        </w:rPr>
      </w:pPr>
    </w:p>
    <w:p>
      <w:pPr>
        <w:jc w:val="both"/>
        <w:ind w:left="660" w:hanging="652"/>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Investments” are investments in those companies that are “Affiliated Companies” of SuRo Capital, as defined in the 1940 Act. In general, a company is deemed to be an “Affiliate” of SuRo Capital if SuRo Capital beneficially owns, directly or indirectly, between 5% and 25% of the voting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securities with the right to elect directors) of such company. For the Schedule of Investments In, and Advances To, Affiliates, as required by SEC Regulation S-X, Rule 12-14, refer to “Note 4—Investments at Fair Value”.</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respective number of shares, principal amount, initial or remaining fund investment, or membership interest as of December 31, 2025. For fund investments, the initial committed amount may be reduced by distributions classified as Return of Capital.</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investments noted had been placed on non-accrual status.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an investment considered Level 1 or Level 2 and valued using observable inputs. Refer to “Note 4—Investments at Fair Value”.</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ARK Type One Deep Ventures Fund LLC is an investment fund for which the Class A Interest is solely invested in the Series A-2 Preferred Shares of OpenAI Global, LLC. SuRo Capital Corp. is invested in the Series A-2 Preferred Shares of OpenAI Global, LLC through its investment in the Class A Interest of ARK Type One Deep Ventures Fund LLC. ARK Type One Deep Ventures Fund LLC charges a 1% management fee per year, and an incentive fee of 10%, not subject to a hurdle rate. The management fees will adjust the cost of SuRo Capital’s investment in the fund.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 Opportunity 2 LP is a special purpose vehicle (“SPV”) for which the Class A Interest is solely invested in the Class A Common Shares of CoreWeave, Inc. SuRo Capital is invested in the Class A Common Shares of CoreWeave, Inc. through its investment in the Class A Interest of CW Opportunity 2 LP. On March 28, 2025, CoreWeave, Inc. completed an IPO and the Series C Preferred Shares converted to Class A Common Shares. Prior to the IPO, SuRo Capital was invested in the Series C Preferred Shares of CoreWeave, Inc. through its investment in the Class A Interest of CW Opportunity 2 LP. Additionally, prior to the IPO, the Series C Preferred Shares of CoreWeave, Inc. accrued a 10% per annum dividend, paid quarterly in cash or in-kind. CW Opportunity 2 LP does not charge a management fee but does charge an incentive fee of 20%, subject to an annual 15% IRR hurdle rate. During the year ended December 31, 2025, SuRo Capital received distributions as part of its investment in CW Opportunity 2 LP. The distributions represented approximately 31.9% of the initial investment in CW Opportunity 2, LP. As of December 31, 2025, SuRo Capital retains approximately 68.1% of its investment in CW Opportunity 2, LP.</w:t>
      </w:r>
    </w:p>
    <w:p>
      <w:pPr>
        <w:spacing w:after="0" w:line="188"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IH10, LLC’s sole portfolio asset is interest in the Series B Preferred Shares of VAST Data, Ltd. through an SPV. SuRo Capital is invested in the Series B Preferred Shares of VAST Data, Ltd. through its investment in the Membership Interest of IH10, LLC. IH10, LLC does not charge a management fee or an incentive fee; however, SuRo Capital has prepaid operating expenses.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Capital’s investment in the Class A Common Shares of Plaid Inc. was made through 1789 Capital Nirvana II LP, an SPV in which SuRo Capital is the Sole Limited Partner. 1789 Capital Nirvana II LP is a wholly owned subsidiary of SuRo Capital. SuRo Capital paid a 7% origination fee at the time of investment.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ind w:left="340" w:right="2500"/>
        <w:spacing w:after="0" w:line="268" w:lineRule="auto"/>
        <w:rPr>
          <w:sz w:val="20"/>
          <w:szCs w:val="20"/>
          <w:color w:val="auto"/>
        </w:rPr>
      </w:pPr>
      <w:r>
        <w:rPr>
          <w:rFonts w:ascii="Times New Roman" w:cs="Times New Roman" w:eastAsia="Times New Roman" w:hAnsi="Times New Roman"/>
          <w:sz w:val="18"/>
          <w:szCs w:val="18"/>
          <w:b w:val="1"/>
          <w:bCs w:val="1"/>
          <w:color w:val="auto"/>
        </w:rPr>
        <w:t>SURO CAPITAL CORP. AND SUBSIDIARIES CONDENSED CONSOLIDATED SCHEDULE OF INVESTMENTS - continued December 31, 2025</w:t>
      </w:r>
    </w:p>
    <w:p>
      <w:pPr>
        <w:spacing w:after="0" w:line="202" w:lineRule="exact"/>
        <w:rPr>
          <w:sz w:val="20"/>
          <w:szCs w:val="20"/>
          <w:color w:val="auto"/>
        </w:rPr>
      </w:pPr>
    </w:p>
    <w:p>
      <w:pPr>
        <w:jc w:val="both"/>
        <w:ind w:left="660" w:hanging="652"/>
        <w:spacing w:after="0" w:line="25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15, 2025, Colombier Acquisition Corp. II (“Colombier”) stockholders approved a business combination with GrabAGun Digital Holdings Inc. and related proposals at a special meeting. On July 16, 2025, GrabAGun Digital Holdings, Inc. announced that it had consummated the business combination with Colombier pursuant to a merger agreement between the parties, creating the resultant combined company GrabAGun Digital Holdings, Inc. As of December 31, 2025, SuRo Capital’s shares of GrabAGun Digital Holdings, Inc. Common shares are subject to certain restrictions on transfer, while the GrabAGun Digital Holdings, Inc. warrants are freely tradable.</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Capital’s investments in True Global Ventures 4 Plus Pte Ltd are held through SuRo Capital’s wholly owned subsidiary, GSVC SVDS Holdings, Inc. True Global Ventures 4 Plus Pte Ltd charges a 1.8% management fee and a 22.5% incentive fee, subject to an annual 5% IRR hurdle rate. The management fees may adjust the cost of SuRo Capital’s investment in the fund.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Capital’s investments in Commercial Streaming Solutions Inc. (d/b/a BettorView), EDGE Markets, Inc., Xgroup Holdings Limited (d/b/a Xpoint), and Stake Trade, Inc. (d/b/a Prophet Exchange) are held through SuRo Capital’s wholly owned subsidiary, SuRo Capital Sports, LLC (“SuRo Capital Sports”).</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8, 2025, Stake Trade, Inc. (d/b/a Prophet Exchange) completed its Series B financing. As a result of the financing, the SAFE Note which SuRo Capital previously held in Stake Trade, Inc. (d/b/a Prophet Exchange) converted into Series B-IV Preferred shares.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Capital’s investment in Residential Homes for Rent, LLC (d/b/a Second Avenue) is held through SuRo Capital’s wholly owned subsidiary, GSVC AV Holdings, Inc.</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30, 2025, CTN Holdings, Inc. (d/b/a Catona Climate) filed for Chapter 11 protection in the U.S. Bankruptcy Court for the District of Delaware. On June 5, 2025, the US Bankruptcy Court for the District of Delaware approved the sale of the remaining assets of CTN Holdings, Inc. On August 7, 2025, CTN Holdings, Inc. (d/b/a Catona Climate) converted its bankruptcy filing from Chapter 11 reorganization to Chapter 7 liquidation.</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9, 2021, Fullbridge, Inc.’s obligations under its financing arrangements with the Company became past due.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Capital’s investments in StormWind, LLC are held through SuRo Capital’s wholly owned subsidiary, GSVC SW Holdings,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21, 2025, Commercial Streaming Solutions, Inc. (d/b/a BettorView) merged with FSG Digital, Inc. (d/b/a JefeBet). As a result of the merger, the SAFE Note which SuRo Capital previously held in Commercial Streaming Solutions, Inc. (d/b/a BettorView) converted into Class A-1 Preferred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1—NATURE OF OPERATIONS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SuRo Capital Corp. (“we”, “us”, “our”, the “Company” or “SuRo Capital”), formerly known as Sutter Rock Capital Corp. and GSV Capital Corp. and formed in September 2010 as a Maryland corporation, is an internally managed, non-diversified closed-end management investment company. The Company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date of inception was January 6, 2011, which is the date it commenced development stage activities. The Company’s common stock is currently listed on the Nasdaq Global Select Market under the symbol “SSSS” (formerly “GSVC”). The Company began its investment operations during the second quarter of 2011.</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table below displays the Company’s subsidiaries as of March 31, 2026, which, other than GSV Capital Lending, LLC (“GCL”), SuRo Capital Sports, LLC, 1789 Capital Nirvana II LP, and SRCI Advisors, LLC, are collectively referred to as the “Taxable Subsidiaries.” The Taxable Subsidiaries were formed to hold certain portfolio investments. The Taxable Subsidiaries, including their associated portfolio investments, are consolidated with the Company for accounting purposes, but have elected to be treated as separate corporations for U.S. federal income tax purposes. Refer to “Note 2— Significant Accounting Policies—</w:t>
      </w:r>
      <w:r>
        <w:rPr>
          <w:rFonts w:ascii="Times New Roman" w:cs="Times New Roman" w:eastAsia="Times New Roman" w:hAnsi="Times New Roman"/>
          <w:sz w:val="18"/>
          <w:szCs w:val="18"/>
          <w:i w:val="1"/>
          <w:iCs w:val="1"/>
          <w:color w:val="auto"/>
        </w:rPr>
        <w:t>Basis of Consolidation</w:t>
      </w:r>
      <w:r>
        <w:rPr>
          <w:rFonts w:ascii="Times New Roman" w:cs="Times New Roman" w:eastAsia="Times New Roman" w:hAnsi="Times New Roman"/>
          <w:sz w:val="18"/>
          <w:szCs w:val="18"/>
          <w:color w:val="auto"/>
        </w:rPr>
        <w:t>” below for further detail.</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Formation</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38"/>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0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22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60" w:type="dxa"/>
            <w:vAlign w:val="bottom"/>
            <w:tcBorders>
              <w:bottom w:val="single" w:sz="8" w:color="CCEEFF"/>
            </w:tcBorders>
          </w:tcPr>
          <w:p>
            <w:pPr>
              <w:spacing w:after="0"/>
              <w:rPr>
                <w:sz w:val="20"/>
                <w:szCs w:val="20"/>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GCL</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13, 2012</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SuRo Capital Sports, LLC (“SuRo Capital Sports”)</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19, 2021</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1789 Capital Nirvana II LP</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c>
          <w:tcPr>
            <w:tcW w:w="2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27, 2025</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SRCI Advisors, LLC</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September 9, 2025</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194"/>
        </w:trPr>
        <w:tc>
          <w:tcPr>
            <w:tcW w:w="58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Subsidiaries below are referred to collectively as the “Taxable</w:t>
            </w:r>
          </w:p>
        </w:tc>
        <w:tc>
          <w:tcPr>
            <w:tcW w:w="1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8"/>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GSVC AE Holdings, Inc. (“GAE”)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November 28, 2012</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GSVC AV Holdings, Inc. (“GAV”)</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c>
          <w:tcPr>
            <w:tcW w:w="2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November 28, 2012</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GSVC SW Holdings, Inc. (“GSW”)</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November 28, 2012</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GSVC SVDS Holdings, Inc. (“SVDS”)</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c>
          <w:tcPr>
            <w:tcW w:w="2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August 13, 2013</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investment objective is to maximize its portfolio’s total return, principally by seeking capital gains on its equity and equity-related investments, and to a lesser extent, income from debt investments. The Company invests principally in the equity securities of what it believes to be rapidly growing venture capital-backed emerging companies. The Company may invest in these portfolio companies through direct offerings of the prospective portfolio companies, transactions on secondary marketplaces for private companies, negotiations with selling stockholders, investment funds, or through SPVs and other investment funds for the purpose of investing in securities of a single private issuer. In addition, the Company may invest in private credit and in founders equity, founders warrants, and private investment in public equity transactions of special purpose acquisition companies (“SPACs”). The Company may also invest on an opportunistic basis in select publicly traded equity securities or certain non-U.S. companies that otherwise meet its investment criteria, subject to any applicable limitations under the 1940 Act.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Condensed Consolidated Financial Statements of the Company are prepared on the accrual basis of accounting in conformity with U.S. generally accepted accounting principles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w:t>
      </w:r>
      <w:r>
        <w:rPr>
          <w:rFonts w:ascii="Times New Roman" w:cs="Times New Roman" w:eastAsia="Times New Roman" w:hAnsi="Times New Roman"/>
          <w:sz w:val="18"/>
          <w:szCs w:val="18"/>
          <w:i w:val="1"/>
          <w:iCs w:val="1"/>
          <w:color w:val="auto"/>
        </w:rPr>
        <w:t>Financial Services—Investment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Companies</w:t>
      </w:r>
      <w:r>
        <w:rPr>
          <w:rFonts w:ascii="Times New Roman" w:cs="Times New Roman" w:eastAsia="Times New Roman" w:hAnsi="Times New Roman"/>
          <w:sz w:val="18"/>
          <w:szCs w:val="18"/>
          <w:color w:val="auto"/>
        </w:rPr>
        <w:t>. In the opinion of management, all adjustments, all of which were of a normal recurring nature, were considered necessary for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presentation of Condensed Consolidated Financial Statements for the period and have been included.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7"/>
          <w:szCs w:val="17"/>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w:t>
      </w:r>
    </w:p>
    <w:p>
      <w:pPr>
        <w:spacing w:after="0" w:line="15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 its accounts and the accounts of the Taxable Subsidiaries, GCL, SuRo Capital Sports, 1789 Capital Nirvana II LP, and SRCI Advisors, LLC, its wholly owned subsidiaries. GCL was formed to originate portfolio loan investments within the state of California. SuRo Capital Sports was formed to focus on investing in the sports betting sector. 1789 Capital Nirvana II LP is a SPV in which SuRo Capital holds the sole limited partnership interest and was formed to invest in the Common Shares of Plaid, Inc. SRCI Advisors, LLC was formed to provide investment management services to third parties; as of March 31, 2026, SRCI Advisors has not commenced operations. All intercompany balances and transactions have been eliminated in consolidation. The Company operates as a single operating segment.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also consolidates entities that meet the definition of a Variable Interest Entity (“VIE”) for which the Company is the primary beneficiary. The primary beneficiary is the party who has the power to direct the activities of a VIE that most significantly impact the entity’s economic performance and who has an obligation to absorb losses or a right to receive benefits from the entity. The Company determined that 1789 Capital Nirvana II LP is a VIE and the Company is the primary beneficiary. As such, 1789 Capital Nirvana II LP is consolidated by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SuRo Capital has determined that it has a single operating segment in accordance with Topic 280, Segment Reporting (“ASC 280”). The Company operates as a single segment with a principal investment objective to maximize our portfolio’s total return, principally by seeking capital gains on our equity and equity-related investments, and to a lesser extent, income from debt investments. The Company’s Chief Executive Officer, Chief Financial Officer, and Investment Committee collectively perform the function that allocates resources and assesses performance, and thus together, serve as the Company’s chief operating decision maker (the “CODM”). Among other metrics, the CODM uses Net Change in Net Assets Resulting from Operations as a primary GAAP profit or loss metric used in making operating decisions, which can be found on the Condensed Consolidated Statements of Operations along with significant expenses. The measure of segment assets is reported on the Condensed Consolidated Statements of Assets and Liabilities as total assets.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Condensed Consolidated Financial Statements and the reported amounts of certain revenues and expenses during the reporting period. It is likely that changes in these estimates may occur in the near term. The Company’s estimates are inherently subjective in nature and actual results could differ materially from such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Uncertainties and Risk Factors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in the nature of its operations, as well as vulnerability due to certain concentrations. Refer to “Part II, Item 1A. Risk Factors” of this Form 10-Q for a detailed discussion of the risks and uncertainties inherent in the nature of the Company’s operations. Refer to “Note 4—Investments at Fair Value” for an overview of the Company’s industry and geographic concentrations.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at Fair Value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179"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—Valuations based on unadjusted quoted prices for identical assets or liabilities in an active market that the Company has the ability to access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measurement date.</w:t>
      </w:r>
    </w:p>
    <w:p>
      <w:pPr>
        <w:spacing w:after="0" w:line="15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—Valuations based on observable inputs other than Level 1 prices, such as quoted prices for similar assets or liabilities; quoted prices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market data at the measurement date for substantially the full term of the assets or liabilities.</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—Valuations based on unobservable inputs that reflect management’s best estimate of what market participants would use in pricing the asset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liability at the measurement date. Consideration is given to the risk inherent in the valuation technique and the risk inherent in the inputs to the model. The majority of the Company’s investments are Level 3 investments and are subject to a high degree of judgment and uncertainty in determining fair value.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measurement period in which the reclassifications occur. Refer to “Leveling Policy” below for a detailed discussion of the leveling of the Company’s financial assets or liabilities and events that may cause a reclassification within the fair value hierarchy.</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Securities for which market quotations are readily available on an exchange are valued at the most recently available closing price of such security as of the valuation date. If there are legal or contractual restrictions on the sale or use of such security that under ASC 820-10-35, as modified by ASU 2022-03, should be incorporated into the security’s fair value measurement as a characteristic of the security that would transfer to market participants who would buy the security, the Company will consider those restrictions in the fair value determination of that security. Contractual sale restrictions on the sale or use of a security which are an entity-specific characteristic, rather than a security-specific characteristic (as discussed in ASU 2022-03), are not considered in the fair value determinations for such securities.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Securities for which reliable market quotations are not readily available or for which the pricing source does not provide a valuation or methodology, or provides a valuation or methodology that, in the judgment of management, the Company’s Board of Directors or the valuation committee of the Company’s Board of Directors (the “Valuation Committee”), does not reliably represent fair value, shall each be valued as follows:</w:t>
      </w:r>
    </w:p>
    <w:p>
      <w:pPr>
        <w:spacing w:after="0" w:line="176" w:lineRule="exact"/>
        <w:rPr>
          <w:sz w:val="20"/>
          <w:szCs w:val="20"/>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valuation process begins with each portfolio company or investment being initially valued by the internal investment professionals responsible for the portfolio investment;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estimates are then documented and discussed with senior management;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investments for which there are no readily available market quotations, the Valuation Committee engages an independent third-party valuation firm to conduct independent appraisals, review management’s preliminary valuations and make its own independent assessment;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Committee applies the appropriate valuation methodology to each portfolio asset in a consistent manner, considers the inputs provided by management and the independent third-party valuation firm, discusses the valuations and recommends to the Company’s Board of Directors a fair value for each investment in the portfolio;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then discusses the valuations recommended by the Valuation Committee and determines in good faith the fair value of each investment in the portfolio.</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making a good faith determination of the fair value of investments, the Board of Directors applies valuation methodologies consistent with industry practice. Valuation methods utilized include, but are not limited to, the following: comparisons to prices from secondary market transactions; venture capital financings; public offerings; purchase or sales transactions; analysis of financial ratios and valuation metrics of portfolio companies that issued such private equity securities to peer companies that are public; analysis of the portfolio company’s most recent financial statements, forecasts and the markets in which the portfolio company does business, and other relevant factors. The Company assigns a weighting based upon the relevance of each method to assist the Board of Directors in determining the fair value of each investment.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and prior fiscal year, the Valuation Committee engaged an independent valuation firm to perform valuations of 100% of the Company’s investments for which there were no readily available market quotations.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 In addition, changes in the market environment and other events that may occur over the life of the investments may cause the realized gains or losses on investments to be different from the net change in unrealized appreciation or depreciation currently reflected in the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These investments are generally classified as Level 2 assets. The DLOM used is generally based upon the market value of publicly traded put options with similar terms. For equity securities with readily available market quotations that are subject to entity-specific contractual sale restrictions, rather than security-specific contractual sale restrictions, if such entity-specific contractual sale restrictions first applied or were modified on or after December 15, 2023, the restrictions are not considered in the determination of fair value for that security.</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Board of Directors applies the appropriate respective valuation methodology for the asset class or portfolio holding, which may involve analyzing the relevant portfolio company’s most recently available historical and projected financial results, public market comparables, and other factors. The Board of Directors may also consider other events, including the transaction in which the Company acquired its securities, subsequent equity sales by the portfolio company, and mergers or acquisitions affecting the portfolio company. In addition, the Board of Directors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determining the fair value of equity or equity-linked securities (including simple agreement for future equity (“SAFE”) notes and warrants to purchase common or preferred stock) in a portfolio company, the Board of Directors considers the rights, preferences and limitations of such securities. When equity-linked securities expire worthless, any cost associated with these positions is recognized as a realized loss on investments in the Condensed Consolidated Statements of Operations and Condensed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Condensed Consolidated Statements of Cash Flows.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Investments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Given the nature of the Company’s current debt investments (excluding U.S. Treasuries), which are principally convertible and promissory notes issued by venture capital-backed portfolio companies, these investments are classified as Level 3 assets because there is no known or accessible market or market indices for these investment securities to be traded or exchanged. The Company’s debt investments are valued at estimated fair value as determined in good faith by the Company’s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Board of Directors determines the fair value of options based on methodologies that can include discounted cash flow analyses, option pricing models, comparable analyses and other techniques as deemed appropriate. If the options are publicly traded, in accordance with our leveling policy, the Company prices the options at the closing price on a public exchange as of the measurement date. All other options investments are generally classified as Level 3 assets because there is no known or accessible market or market indices for these investment securities to be traded or exchanged. The Company’s options are valued at estimated fair value as determined in good faith by the Company’s Board of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SPVs and Fund Structures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invests through SPVs and Fund structures, which may hold either a single underlying investment or a portfolio of underlying investments. The Company’s interest in these structures is generally proportionate to its capital contributions, and distributions from the underlying investment(s) are made in accordance with that ownership. These investments are recorded at estimated fair value, as determined in good faith by the Company’s Board of Directors, and are presented in the Condensed Consolidated Schedule of Investments. If available, the Company may utilize the NAV of an SPV or Fund to substantiate its fair value determination. SPVs and Fund structures may incur fees, expenses, or tax liabilities associated with their underlying investments, which can impact the fair value of the Company’s interest. Additionally, these investments may be subject to restrictions on redemption, transfer, or sale.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certain Fund structures, including those in which fair value is not readily determinable, the Company may apply the practical expedient provided under ASC Topic 820 for entities that calculate net asset value (“NAV”) per share or its equivalent, using NAV as a practical measure of fair value without adjustment.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Purpose Acquisition Companies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Board of Directors measures its SPAC sponsor investments at fair value, which is equivalent to cost until a SPAC transaction is announced. After a SPAC transaction is announced, the Company’s Board of Directors will determine the fair value of SPAC investments based on fair value analyses that can include option pricing models, probability-weighted expected return method analyses, and other techniques as deemed appropriate. Upon completion of the SPAC transaction, the Board of Directors utilizes the public share price of the entity, less a DLOM if there are security-specific contractual sale restrictions, or the shares or warrants are confirmed unregistered. The Company’s SPAC investments are valued at estimated fair value as determined in good faith by the Company’s Board of Directors.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Company Investment Classification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a non-diversified company within the meaning of the 1940 Act. The Company classifies its investments by level of control. “Control investments” are investments in companies that the Company is presumed to control under Section 2(a)(9) of the 1940 Act. Under the 1940 Act, any person who owns beneficially, either directly or through one or more controlled companies, more than 25% of the outstanding voting securities of a company is presumed to control such company. “Affiliate investments” are investments in companies that are “affiliated persons” of the Company under Section 2(a)</w:t>
      </w:r>
    </w:p>
    <w:p>
      <w:pPr>
        <w:spacing w:after="0" w:line="3" w:lineRule="exact"/>
        <w:rPr>
          <w:sz w:val="20"/>
          <w:szCs w:val="20"/>
          <w:color w:val="auto"/>
        </w:rPr>
      </w:pPr>
    </w:p>
    <w:p>
      <w:pPr>
        <w:ind w:left="280" w:hanging="272"/>
        <w:spacing w:after="0"/>
        <w:tabs>
          <w:tab w:leader="none" w:pos="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1940 Act. Under the 1940 Act, “affiliated person” includes any person directly or indirectly owning, controlling, or holding with power to vote,</w:t>
      </w:r>
    </w:p>
    <w:p>
      <w:pPr>
        <w:spacing w:after="0" w:line="9"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or more, but not more than 25%, of the outstanding voting securities of such company. Refer to the Condensed Consolidated Schedules of Investments as of March 31, 2026 and December 31, 2025 for details regarding the nature and composition of the Company’s investment portfolio.</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Leveling Policy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or Level 2 if limited by the lock-up agreement. The Company prices the investment at the closing price on a public exchange as of the measurement date. In situations where there are legal or contractual restrictions on the sale or use of such security that under ASC 820-10-35 (as modified by ASU 2022-03)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Transactions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Securities transactions are accounted for on the date the transaction for the purchase or sale of the securities is entered into by the Company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Other Financial Instruments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the Company’s other, non-investment financial instruments, consisting of cash, receivables, accounts payable, and accrued expenses, approximate fair value due to their short-term nature.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custodies its cash with Western Alliance Trust Company, N.A., and may place cash in demand deposit accounts with other high-quality financial institutions. The cash held in these accounts may exceed the Federal Deposit Insurance Corporation insured limit. The Company believes the risk of loss associated with any uninsured balance is remote.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Escrow Proceeds Receivable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portion of the proceeds from the sale of portfolio investments are held in escrow as a recourse for indemnity claims that may arise under the sale agreement or other related transaction contingencies. Amounts held in escrow are held at estimated realizable value and included in net realized gains/(losses) on investments in the Condensed Consolidated Statements of Operations for the period in which they occurred and are adjusted as needed. Any remaining escrow proceeds balances from these transactions reasonably expected to be received are reflected on the Condensed Consolidated Statements of Assets and Liabilities as escrow proceeds receivable. Escrow proceeds receivable resulting from contingent consideration are to be recognized when the amount of the contingent consideration becomes realized or realizable. As of March 31, 2026 and December 31, 2025, the Company had no escrow proceeds receivable.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Restricted Cash consists of amounts that are held in a separate account and are subject to specific contractual restrictions that limit their availability for general corporate use. These funds are not readily available for use in the Company’s general operations and are segregated from unrestricted cash and cash equivalents.</w:t>
      </w:r>
    </w:p>
    <w:p>
      <w:pPr>
        <w:sectPr>
          <w:pgSz w:w="11900" w:h="16838" w:orient="portrait"/>
          <w:cols w:equalWidth="0" w:num="1">
            <w:col w:w="11240"/>
          </w:cols>
          <w:pgMar w:left="320" w:top="229"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records fees and expenses incurred in connection with financing or capital raising activities relating to the Company’s shelf registration statement on Form N-2 as deferred financing costs. The Company also incurred additional offering costs in connection with its 6.00% Notes due 2026. The Company defers these offering costs until capital is raised pursuant to the shelf registration statement or as the shelf registration statement expires. For equity capital raised, the offering costs reduce paid-in capital resulting from the offering. These costs are deferred and amortized using the straight-line method over the respective life of the financing instrument. For modifications to a financing instrument, any unamortized origination costs are expensed.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records fees and expenses incurred in connection with debt capital raises as deferred debt issuance costs. Such costs are reflected in the carrying value of the related debt instrument, and not the Company’s deferred financing costs. For debt capital raised, the associated offering costs are deferred and amortized as part of interest expense using the straight-line method over the life of the debt instrument. As of March 31, 2026 and December 31, 2025, the Company had deferred financing costs of $500,275 and $508,310, respectively, on the Condensed Consolidated Statements of Assets and Liabilities.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0"/>
                <w:szCs w:val="20"/>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debt issuance costs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950,644</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40" w:type="dxa"/>
            <w:vAlign w:val="bottom"/>
          </w:tcPr>
          <w:p>
            <w:pPr>
              <w:spacing w:after="0"/>
              <w:rPr>
                <w:sz w:val="19"/>
                <w:szCs w:val="19"/>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500,275</w:t>
            </w: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508,310</w:t>
            </w: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1,450,919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1,564,477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10—Debt Capital Activities” for further detail regarding the Company’s deferred debt issuance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 &amp; Related Deposits</w:t>
      </w:r>
    </w:p>
    <w:p>
      <w:pPr>
        <w:spacing w:after="0" w:line="227"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its operating leases as prescribed by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requires lessees to recognize a right-of-use asset on the balance sheet, representing its right to use the underlying asset for the lease term, and a corresponding lease liability for all leases with terms greater than 12 months. The lease expense is presented as a single lease cost that is amortized on a straight-line basis over the life of the lease. Non-lease components (maintenance, property tax, insurance and parking) are not included in the lease cost. The Company has recorded a right-of-use asset and a corresponding lease liability for the operating lease obligation. These amounts have been discounted using the rate implicit in the lease. Refer to “Note 7—Commitments and Contingencies—</w:t>
      </w:r>
      <w:r>
        <w:rPr>
          <w:rFonts w:ascii="Times New Roman" w:cs="Times New Roman" w:eastAsia="Times New Roman" w:hAnsi="Times New Roman"/>
          <w:sz w:val="18"/>
          <w:szCs w:val="18"/>
          <w:i w:val="1"/>
          <w:iCs w:val="1"/>
          <w:color w:val="auto"/>
        </w:rPr>
        <w:t>Operating Leases and Related Deposits</w:t>
      </w:r>
      <w:r>
        <w:rPr>
          <w:rFonts w:ascii="Times New Roman" w:cs="Times New Roman" w:eastAsia="Times New Roman" w:hAnsi="Times New Roman"/>
          <w:sz w:val="18"/>
          <w:szCs w:val="18"/>
          <w:color w:val="auto"/>
        </w:rPr>
        <w:t>” for further detail.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Using the fair value recognition provisions as prescribed by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stock-based compensation cost is measured at the grant date based on the fair value of the award and is recognized as expense over the appropriate service period. Determining the fair value of stock-based awards requires considerable judgment, including estimating the expected term of stock options and the expected volatility of the Company’s stock price. Differences between actual results and these estimates could have a material effect on the Company’s financial results. Forfeitures are accounted for as they occur. Refer to “Note 11—Stock-Based Compensation” for further detail.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Transaction Costs and Escrow Deposits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Condensed Consolidated Statements of Assets and Liabilities as escrow deposits. As of March 31, 2026 and December 31, 2025, the Company had no escrow deposits.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Unrealized Appreciation or Depreciation of 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Unrealized appreciation or depreciation is calculated as the difference between the fair value of the investment and the cost basis of such investment.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and State Income Taxes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elected to be treated and intends to qualify annually as a RIC under Subchapter M of the Code. To qualify for tax treatment as a RIC, among other things, the Company is required to meet certain source of income and asset diversification requirements and timely distribute to its stockholders at least the sum of 90% of its investment company taxable income (“ICTI”), including payment-in-kind interest income, as defined by the Code, and 90% of its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the Company meets the Annual Distribution Requirement, but does not distribute (or is not deemed to have distributed) each calendar year a sum of</w:t>
      </w:r>
    </w:p>
    <w:p>
      <w:pPr>
        <w:spacing w:after="0" w:line="27" w:lineRule="exact"/>
        <w:rPr>
          <w:sz w:val="20"/>
          <w:szCs w:val="20"/>
          <w:color w:val="auto"/>
        </w:rPr>
      </w:pPr>
    </w:p>
    <w:p>
      <w:pPr>
        <w:jc w:val="both"/>
        <w:ind w:firstLine="8"/>
        <w:spacing w:after="0" w:line="252" w:lineRule="auto"/>
        <w:tabs>
          <w:tab w:leader="none" w:pos="27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its net ordinary income for each calendar year, (2) 98.2% of its capital gain net income for the one-year period ending October 31 in that calendar year and (3) any income recognized, but not distributed, in preceding years (the “Excise Tax Avoidance Requirement”), it generally will be required to pay an excise tax equal to 4% of 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So long as the Company qualifies and maintains its tax treatment as a RIC, it generally will not be subject to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Condensed Consolidated Financial Statements of the Company. Included in the Company’s Condensed Consolidated Financial Statements, the Taxable Subsidiaries are subject to U.S. federal income tax imposed at corporate rates on their income, regardless of whether the Company is a RIC. These Taxable Subsidiaries are not consolidated for U.S. federal income tax purposes and may generate income tax expenses as a result of their ownership of the portfolio companies. Such income tax expenses and deferred taxes, if any, will be reflected in the Company’s Condensed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adjusted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Refer to “Note 9—Income Taxes” for further details.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 Share Information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change in net assets resulting from operations per basic common share is computed using the weighted-average number of shares outstanding for the period presented. Diluted net change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When applicable, the Company uses the if-converted method in accordance with FASB ASC 260</w:t>
      </w:r>
      <w:r>
        <w:rPr>
          <w:rFonts w:ascii="Times New Roman" w:cs="Times New Roman" w:eastAsia="Times New Roman" w:hAnsi="Times New Roman"/>
          <w:sz w:val="18"/>
          <w:szCs w:val="18"/>
          <w:i w:val="1"/>
          <w:iCs w:val="1"/>
          <w:color w:val="auto"/>
        </w:rPr>
        <w:t>, Earnings Per Share</w:t>
      </w:r>
      <w:r>
        <w:rPr>
          <w:rFonts w:ascii="Times New Roman" w:cs="Times New Roman" w:eastAsia="Times New Roman" w:hAnsi="Times New Roman"/>
          <w:sz w:val="18"/>
          <w:szCs w:val="18"/>
          <w:color w:val="auto"/>
        </w:rPr>
        <w:t xml:space="preserve"> (“ASC 260”), to determine the number of potentially dilutive shares outstanding. Refer to “Note 6—Net Change in Net Assets Resulting from Operations per Common Share—Basic and Diluted” for further detail.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2024-04, “Debt — Debt with Conversion and Other Options”, which amends ASC 470-20 to clarify the requirements related to accounting for the settlement of a debt instrument as an induced conversion. The amendments are effective for fiscal years and interim periods within fiscal years beginning after December 15, 2025. The Company adopted ASU 2024-04 during the quarter ended March 31, 2026. However, adoption did not have any material impact on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ASU 2023-06 amends the disclosure or presentation requirements related to various subtopics in the FASB Accounting Standards Codification including requiring investment companies to disclose the components of capital on the balance sheet. The amendments in ASU 2023-06 will become effective on the date which the SEC’s removal of related disclosures from Regulation S-X or Regulation S-K become effective, but no later than June 30, 2027. The Company is currently evaluating the impact of the new guidance. However, it does not expect ASU 2023-06 to have a material impact on the Company’s future Condensed Consolidated Financial Statements.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which requires disaggregated disclosure of certain costs and expenses, including purchases of inventory, employee compensation, depreciation, amortization and depletion, within relevant income statement captions. Additionally, in January 2025, the FASB issued ASU 2025-01 to clarify the effective date of ASU 2024-03. ASU 2024-03 is effective for fiscal years beginning after December 15, 2026, and interim periods beginning with the first quarter ended March 31, 2028. Early adoption and retrospective application is permitted. The Company is still assessing the impact of the new guidance. However, it does not expect ASU 2024-03 to have a material impact on the Company’s future Condensed Consolidated Financial Statements.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May 2025, the FASB issued ASU 2025-03, “Business Combinations (Topic 805) and Consolidation (Topic 810) - Determining the Accounting Acquirer in the acquisition of a Variable Interest Entity”, which requires an entity to determine the accounting acquirer by considering the factors in ASC 805-10-55-12 through 55-15. The amendments are effective for fiscal years and interim periods within fiscal years beginning after December 15, 2026. The Company is still assessing the impact of the new guidance. However, it does not expect ASU 2025-03 to have a material impact on the Company’s future Condensed Consolidated Financial Statements.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 setting bodies that are adopted by the Company as of the specified effective date. The Company believes that the impact of recently issued standards and any that are not yet effective will not have a material impact on its Condensed Consolidated Financial Statements upon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3—RELATED-PARTY ARRANGEMENTS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executive officers and directors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1940 Act prohibits the Company from participating in certain negotiated co-investments with certain affiliates unless it receives an order from the SEC permitting it to do so. As a BDC, the Company is prohibited under the 1940 Act from participating in certain transactions with certain of its affiliates without the prior approval of the Board of Directors, including its independent directors, and, in some cases, the SEC. The affiliates with which the Company may be prohibited from transacting include its officers, directors, and employees and any person controlling or under common control with the Company, subject to certain exceptions.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investment in Skillsoft Corp. (f/k/a Software Luxembourg Holding S.A.) (“Skillsoft”) constituted a “remote-affiliate” transaction for purposes of the 1940 Act in light of the fact that Mr. Klein has a non-controlling interest in the entity that controlled Churchill Sponsor II LLC, the sponsor of Churchill Capital Corp. II, a SPAC, and was a non-controlling member of the board of directors of Churchill Capital Corp. II, through which the Company executed a private investment in public equity transaction in order to acquire common shares of Skillsoft alongside the merger of Skillsoft and Churchill Capital Corp II. In addition, Mr. Klein’s brother, Michael Klein, was a control person of such Churchill entities. As of March 31, 2026, the fair value of the Company’s remote-affiliate investment in Skillsoft was $210,605.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4—INVESTMENTS AT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Portfolio Composition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investments in portfolio companies consist primarily of equity securities (such as common stock, preferred stock and options or agreements to purchase or acquire common and preferred stock), and to a lesser extent, debt securities, issued by private and publicly traded companies. The Company may also, from time to time, invest in U.S. Treasury bills. Non-portfolio investments represent investments in U.S. Treasury bills. As of March 31, 2026, the Company had 61 positions in 36 portfolio companies. As of December 31, 2025, the Company had 60 positions in 35 portfolio companies.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composition of the Company’s investment portfolio by security type at cost and fair value as of March 31, 2026 and December 31,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3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160" w:type="dxa"/>
            <w:vAlign w:val="bottom"/>
          </w:tcPr>
          <w:p>
            <w:pPr>
              <w:spacing w:after="0"/>
              <w:rPr>
                <w:sz w:val="16"/>
                <w:szCs w:val="16"/>
                <w:color w:val="auto"/>
              </w:rPr>
            </w:pPr>
          </w:p>
        </w:tc>
      </w:tr>
      <w:tr>
        <w:trPr>
          <w:trHeight w:val="238"/>
        </w:trPr>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60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5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Net Assets</w:t>
            </w:r>
          </w:p>
        </w:tc>
      </w:tr>
      <w:tr>
        <w:trPr>
          <w:trHeight w:val="174"/>
        </w:trPr>
        <w:tc>
          <w:tcPr>
            <w:tcW w:w="21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Private Portfolio</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r>
      <w:tr>
        <w:trPr>
          <w:trHeight w:val="238"/>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57"/>
        </w:trPr>
        <w:tc>
          <w:tcPr>
            <w:tcW w:w="212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Preferred Stock</w:t>
            </w:r>
            <w:r>
              <w:rPr>
                <w:rFonts w:ascii="Times New Roman" w:cs="Times New Roman" w:eastAsia="Times New Roman" w:hAnsi="Times New Roman"/>
                <w:sz w:val="29"/>
                <w:szCs w:val="29"/>
                <w:color w:val="auto"/>
                <w:vertAlign w:val="superscript"/>
              </w:rPr>
              <w:t>(1)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146,750,830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331,712,990</w:t>
            </w: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145,749,202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169,631,231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56"/>
        </w:trPr>
        <w:tc>
          <w:tcPr>
            <w:tcW w:w="21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Common Stock</w:t>
            </w:r>
            <w:r>
              <w:rPr>
                <w:rFonts w:ascii="Times New Roman" w:cs="Times New Roman" w:eastAsia="Times New Roman" w:hAnsi="Times New Roman"/>
                <w:sz w:val="29"/>
                <w:szCs w:val="29"/>
                <w:color w:val="auto"/>
                <w:vertAlign w:val="superscript"/>
              </w:rPr>
              <w:t>(2)</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76,760,413</w:t>
            </w:r>
          </w:p>
        </w:tc>
        <w:tc>
          <w:tcPr>
            <w:tcW w:w="1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45,478,068</w:t>
            </w:r>
          </w:p>
        </w:tc>
        <w:tc>
          <w:tcPr>
            <w:tcW w:w="16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77,006,339</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46,713,129</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57"/>
        </w:trPr>
        <w:tc>
          <w:tcPr>
            <w:tcW w:w="212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Options</w:t>
            </w:r>
            <w:r>
              <w:rPr>
                <w:rFonts w:ascii="Times New Roman" w:cs="Times New Roman" w:eastAsia="Times New Roman" w:hAnsi="Times New Roman"/>
                <w:sz w:val="29"/>
                <w:szCs w:val="29"/>
                <w:color w:val="auto"/>
                <w:vertAlign w:val="superscript"/>
              </w:rPr>
              <w:t>(3)</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6,982,279</w:t>
            </w:r>
          </w:p>
        </w:tc>
        <w:tc>
          <w:tcPr>
            <w:tcW w:w="120" w:type="dxa"/>
            <w:vAlign w:val="bottom"/>
          </w:tcPr>
          <w:p>
            <w:pPr>
              <w:spacing w:after="0"/>
              <w:rPr>
                <w:sz w:val="22"/>
                <w:szCs w:val="22"/>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7,933,439</w:t>
            </w: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2,971,657</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4,201,543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Investments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3,029,559</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756,339</w:t>
            </w:r>
          </w:p>
        </w:tc>
        <w:tc>
          <w:tcPr>
            <w:tcW w:w="16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3,029,559</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756,339</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174"/>
        </w:trPr>
        <w:tc>
          <w:tcPr>
            <w:tcW w:w="2120" w:type="dxa"/>
            <w:vAlign w:val="bottom"/>
          </w:tcPr>
          <w:p>
            <w:pPr>
              <w:ind w:left="180"/>
              <w:spacing w:after="0" w:line="174" w:lineRule="exact"/>
              <w:rPr>
                <w:sz w:val="20"/>
                <w:szCs w:val="20"/>
                <w:color w:val="auto"/>
              </w:rPr>
            </w:pPr>
            <w:r>
              <w:rPr>
                <w:rFonts w:ascii="Times New Roman" w:cs="Times New Roman" w:eastAsia="Times New Roman" w:hAnsi="Times New Roman"/>
                <w:sz w:val="18"/>
                <w:szCs w:val="18"/>
                <w:b w:val="1"/>
                <w:bCs w:val="1"/>
                <w:color w:val="auto"/>
              </w:rPr>
              <w:t>Total Private Portfolio</w:t>
            </w: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52"/>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233,523,081</w:t>
            </w:r>
          </w:p>
        </w:tc>
        <w:tc>
          <w:tcPr>
            <w:tcW w:w="120" w:type="dxa"/>
            <w:vAlign w:val="bottom"/>
          </w:tcPr>
          <w:p>
            <w:pPr>
              <w:spacing w:after="0"/>
              <w:rPr>
                <w:sz w:val="21"/>
                <w:szCs w:val="21"/>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385,880,836</w:t>
            </w: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228,756,757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221,302,242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107.8%</w:t>
            </w:r>
          </w:p>
        </w:tc>
      </w:tr>
      <w:tr>
        <w:trPr>
          <w:trHeight w:val="174"/>
        </w:trPr>
        <w:tc>
          <w:tcPr>
            <w:tcW w:w="21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Publicly Traded Portfolio</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r>
      <w:tr>
        <w:trPr>
          <w:trHeight w:val="238"/>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10,454,928</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2,015,865</w:t>
            </w: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10,922,147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3,586,956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1,146,881</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637,950</w:t>
            </w:r>
          </w:p>
        </w:tc>
        <w:tc>
          <w:tcPr>
            <w:tcW w:w="16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1,146,881</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622,307</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174"/>
        </w:trPr>
        <w:tc>
          <w:tcPr>
            <w:tcW w:w="2120" w:type="dxa"/>
            <w:vAlign w:val="bottom"/>
          </w:tcPr>
          <w:p>
            <w:pPr>
              <w:ind w:left="180"/>
              <w:spacing w:after="0" w:line="174" w:lineRule="exact"/>
              <w:rPr>
                <w:sz w:val="20"/>
                <w:szCs w:val="20"/>
                <w:color w:val="auto"/>
              </w:rPr>
            </w:pPr>
            <w:r>
              <w:rPr>
                <w:rFonts w:ascii="Times New Roman" w:cs="Times New Roman" w:eastAsia="Times New Roman" w:hAnsi="Times New Roman"/>
                <w:sz w:val="18"/>
                <w:szCs w:val="18"/>
                <w:b w:val="1"/>
                <w:bCs w:val="1"/>
                <w:color w:val="auto"/>
              </w:rPr>
              <w:t>Total Publicly Traded</w:t>
            </w: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52"/>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Portfolio Companies</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11,601,809</w:t>
            </w:r>
          </w:p>
        </w:tc>
        <w:tc>
          <w:tcPr>
            <w:tcW w:w="120" w:type="dxa"/>
            <w:vAlign w:val="bottom"/>
          </w:tcPr>
          <w:p>
            <w:pPr>
              <w:spacing w:after="0"/>
              <w:rPr>
                <w:sz w:val="21"/>
                <w:szCs w:val="21"/>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2,653,815</w:t>
            </w: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12,069,028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4,209,263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2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245,124,890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388,534,651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240,825,785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225,511,505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2" w:lineRule="exact"/>
        <w:rPr>
          <w:sz w:val="20"/>
          <w:szCs w:val="20"/>
          <w:color w:val="auto"/>
        </w:rPr>
      </w:pPr>
    </w:p>
    <w:p>
      <w:pPr>
        <w:jc w:val="both"/>
        <w:ind w:left="660" w:hanging="652"/>
        <w:spacing w:after="0" w:line="257"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and December 31, 2025, Preferred Stock also includes the Company’s investment in the Class A Interest of ARK Type One Deep Ventures Fund LLC which is invested in the Series A-2 Preferred Shares of OpenAI Global, LLC, and the Company’s investment in the Membership Interest of IH10, LLC which is invested in the Series B Preferred Shares of VAST Data, Ltd. through an SPV.</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and December 31, 2025, Common Stock in Private Portfolio Companies also includes the Company’s Limited Partner Fund Investment in True Global Ventures 4 Plus Pte Ltd. and the Company’s investment in the Class A Interest of CW Opportunity 2 LP which is invested in the Class A Common Stock of CoreWeave, Inc.</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Options in Private Portfolio Companies also includes the Company’s investment in the Class A Interest of Magnetar Opportunity 2025-4 LP which is invested in a SAFE of TensorWave, Inc., as well as investments in the SAFEs of Orchard Technologies, Inc. and PayJoy, Inc. As of December 31, 2025, Options in Private Portfolio Companies also includes the Company’s investments in the SAFEs of Orchard Technologies, Inc., PayJoy, Inc., and Whoop, Inc.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geographic and industrial compositions of the Company’s portfolio at fair value as of March 31, 2026 and December 31, 2025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13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134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3"/>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24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160" w:type="dxa"/>
            <w:vAlign w:val="bottom"/>
          </w:tcPr>
          <w:p>
            <w:pPr>
              <w:spacing w:after="0"/>
              <w:rPr>
                <w:sz w:val="16"/>
                <w:szCs w:val="16"/>
                <w:color w:val="auto"/>
              </w:rPr>
            </w:pPr>
          </w:p>
        </w:tc>
      </w:tr>
      <w:tr>
        <w:trPr>
          <w:trHeight w:val="238"/>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0"/>
                <w:szCs w:val="20"/>
                <w:color w:val="auto"/>
              </w:rPr>
            </w:pPr>
          </w:p>
        </w:tc>
        <w:tc>
          <w:tcPr>
            <w:tcW w:w="17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Portfolio</w:t>
            </w:r>
          </w:p>
        </w:tc>
        <w:tc>
          <w:tcPr>
            <w:tcW w:w="172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2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Pr>
          <w:p>
            <w:pPr>
              <w:spacing w:after="0"/>
              <w:rPr>
                <w:sz w:val="20"/>
                <w:szCs w:val="20"/>
                <w:color w:val="auto"/>
              </w:rPr>
            </w:pPr>
          </w:p>
        </w:tc>
        <w:tc>
          <w:tcPr>
            <w:tcW w:w="18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4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Net Assets</w:t>
            </w:r>
          </w:p>
        </w:tc>
      </w:tr>
      <w:tr>
        <w:trPr>
          <w:trHeight w:val="210"/>
        </w:trPr>
        <w:tc>
          <w:tcPr>
            <w:tcW w:w="1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Geographic Region</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Northeast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222,372,455</w:t>
            </w:r>
          </w:p>
        </w:tc>
        <w:tc>
          <w:tcPr>
            <w:tcW w:w="18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57.3%</w:t>
            </w:r>
          </w:p>
        </w:tc>
        <w:tc>
          <w:tcPr>
            <w:tcW w:w="17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78,565,018</w:t>
            </w:r>
          </w:p>
        </w:tc>
        <w:tc>
          <w:tcPr>
            <w:tcW w:w="19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Southeast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61,787,895</w:t>
            </w:r>
          </w:p>
        </w:tc>
        <w:tc>
          <w:tcPr>
            <w:tcW w:w="18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15.9%</w:t>
            </w:r>
          </w:p>
        </w:tc>
        <w:tc>
          <w:tcPr>
            <w:tcW w:w="17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44,761,355</w:t>
            </w:r>
          </w:p>
        </w:tc>
        <w:tc>
          <w:tcPr>
            <w:tcW w:w="19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West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50,874,594</w:t>
            </w:r>
          </w:p>
        </w:tc>
        <w:tc>
          <w:tcPr>
            <w:tcW w:w="18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13.1%</w:t>
            </w:r>
          </w:p>
        </w:tc>
        <w:tc>
          <w:tcPr>
            <w:tcW w:w="17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49,566,027</w:t>
            </w:r>
          </w:p>
        </w:tc>
        <w:tc>
          <w:tcPr>
            <w:tcW w:w="19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Midwest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50,615,270</w:t>
            </w:r>
          </w:p>
        </w:tc>
        <w:tc>
          <w:tcPr>
            <w:tcW w:w="18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w:t>
            </w:r>
          </w:p>
        </w:tc>
        <w:tc>
          <w:tcPr>
            <w:tcW w:w="17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49,488,742</w:t>
            </w:r>
          </w:p>
        </w:tc>
        <w:tc>
          <w:tcPr>
            <w:tcW w:w="19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30"/>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2,884,437</w:t>
            </w:r>
          </w:p>
        </w:tc>
        <w:tc>
          <w:tcPr>
            <w:tcW w:w="18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17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3,130,363</w:t>
            </w:r>
          </w:p>
        </w:tc>
        <w:tc>
          <w:tcPr>
            <w:tcW w:w="19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1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388,534,651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38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225,511,505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13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134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3"/>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24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160" w:type="dxa"/>
            <w:vAlign w:val="bottom"/>
          </w:tcPr>
          <w:p>
            <w:pPr>
              <w:spacing w:after="0"/>
              <w:rPr>
                <w:sz w:val="16"/>
                <w:szCs w:val="16"/>
                <w:color w:val="auto"/>
              </w:rPr>
            </w:pPr>
          </w:p>
        </w:tc>
      </w:tr>
      <w:tr>
        <w:trPr>
          <w:trHeight w:val="238"/>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0"/>
                <w:szCs w:val="20"/>
                <w:color w:val="auto"/>
              </w:rPr>
            </w:pPr>
          </w:p>
        </w:tc>
        <w:tc>
          <w:tcPr>
            <w:tcW w:w="17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Portfolio</w:t>
            </w:r>
          </w:p>
        </w:tc>
        <w:tc>
          <w:tcPr>
            <w:tcW w:w="172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2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Pr>
          <w:p>
            <w:pPr>
              <w:spacing w:after="0"/>
              <w:rPr>
                <w:sz w:val="20"/>
                <w:szCs w:val="20"/>
                <w:color w:val="auto"/>
              </w:rPr>
            </w:pPr>
          </w:p>
        </w:tc>
        <w:tc>
          <w:tcPr>
            <w:tcW w:w="18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4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Net Assets</w:t>
            </w:r>
          </w:p>
        </w:tc>
      </w:tr>
      <w:tr>
        <w:trPr>
          <w:trHeight w:val="209"/>
        </w:trPr>
        <w:tc>
          <w:tcPr>
            <w:tcW w:w="1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Industry</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198"/>
        </w:trPr>
        <w:tc>
          <w:tcPr>
            <w:tcW w:w="1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Consumer Goods &amp;</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167,573,716</w:t>
            </w:r>
          </w:p>
        </w:tc>
        <w:tc>
          <w:tcPr>
            <w:tcW w:w="18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43.0%</w:t>
            </w:r>
          </w:p>
        </w:tc>
        <w:tc>
          <w:tcPr>
            <w:tcW w:w="17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47,772,963</w:t>
            </w:r>
          </w:p>
        </w:tc>
        <w:tc>
          <w:tcPr>
            <w:tcW w:w="19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198"/>
        </w:trPr>
        <w:tc>
          <w:tcPr>
            <w:tcW w:w="1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Artificial</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Intelligence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Infrastructure &amp;</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Applications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113,046,152</w:t>
            </w:r>
          </w:p>
        </w:tc>
        <w:tc>
          <w:tcPr>
            <w:tcW w:w="18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29.1%</w:t>
            </w:r>
          </w:p>
        </w:tc>
        <w:tc>
          <w:tcPr>
            <w:tcW w:w="17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69,004,148</w:t>
            </w:r>
          </w:p>
        </w:tc>
        <w:tc>
          <w:tcPr>
            <w:tcW w:w="19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198"/>
        </w:trPr>
        <w:tc>
          <w:tcPr>
            <w:tcW w:w="1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Software-as-a-</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Service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44,542,801</w:t>
            </w:r>
          </w:p>
        </w:tc>
        <w:tc>
          <w:tcPr>
            <w:tcW w:w="18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11.5%</w:t>
            </w:r>
          </w:p>
        </w:tc>
        <w:tc>
          <w:tcPr>
            <w:tcW w:w="17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44,725,975</w:t>
            </w:r>
          </w:p>
        </w:tc>
        <w:tc>
          <w:tcPr>
            <w:tcW w:w="19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198"/>
        </w:trPr>
        <w:tc>
          <w:tcPr>
            <w:tcW w:w="1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Education</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22,518,208</w:t>
            </w:r>
          </w:p>
        </w:tc>
        <w:tc>
          <w:tcPr>
            <w:tcW w:w="18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w:t>
            </w:r>
          </w:p>
        </w:tc>
        <w:tc>
          <w:tcPr>
            <w:tcW w:w="17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23,683,271</w:t>
            </w:r>
          </w:p>
        </w:tc>
        <w:tc>
          <w:tcPr>
            <w:tcW w:w="19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198"/>
        </w:trPr>
        <w:tc>
          <w:tcPr>
            <w:tcW w:w="1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Financial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Technology &amp;</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18,595,600</w:t>
            </w:r>
          </w:p>
        </w:tc>
        <w:tc>
          <w:tcPr>
            <w:tcW w:w="18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c>
          <w:tcPr>
            <w:tcW w:w="17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18,168,362</w:t>
            </w:r>
          </w:p>
        </w:tc>
        <w:tc>
          <w:tcPr>
            <w:tcW w:w="19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198"/>
        </w:trPr>
        <w:tc>
          <w:tcPr>
            <w:tcW w:w="1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Logistics &amp; Supply</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Chain</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15,427,663</w:t>
            </w:r>
          </w:p>
        </w:tc>
        <w:tc>
          <w:tcPr>
            <w:tcW w:w="18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c>
          <w:tcPr>
            <w:tcW w:w="17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17,678,235</w:t>
            </w:r>
          </w:p>
        </w:tc>
        <w:tc>
          <w:tcPr>
            <w:tcW w:w="19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SuRo Capital Sports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6,830,511</w:t>
            </w:r>
          </w:p>
        </w:tc>
        <w:tc>
          <w:tcPr>
            <w:tcW w:w="18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17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4,478,551</w:t>
            </w:r>
          </w:p>
        </w:tc>
        <w:tc>
          <w:tcPr>
            <w:tcW w:w="19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1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388,534,651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38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225,511,505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27</w:t>
            </w: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details the composition of the Company’s industrial themes presented in the preceding tables:</w:t>
      </w:r>
    </w:p>
    <w:p>
      <w:pPr>
        <w:sectPr>
          <w:pgSz w:w="11900" w:h="16838" w:orient="portrait"/>
          <w:cols w:equalWidth="0" w:num="1">
            <w:col w:w="10139"/>
          </w:cols>
          <w:pgMar w:left="320" w:top="229" w:right="1440"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Theme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1431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Artificial Intelligence Infrastructure &amp;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1431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Consumer Goods &amp; Services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Education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1431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Technology &amp;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1431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Logistics &amp;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1431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Software-as-a-Service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143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SuRo Capital Sports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1431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48431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84314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 Application Fund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 Infrastructure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48431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E-Commerce Marketplace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Fitness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Lifestyle Beverage Brand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Micromobility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8431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Business Education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Interactive Learning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Online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8431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Cannabis REIT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Carbon Credit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Digital Asset Infrastructure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Technology Infrastructure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Access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Platform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Venture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8431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84314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Supply Chain Technology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Warehouse Automation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8431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Home Improvement Finance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Knowledge Networks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Pharmaceutical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Productivity 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Data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8431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Gaming Technology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Geolocation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Interactive Media &amp;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Sports Betting</w:t>
      </w:r>
    </w:p>
    <w:p>
      <w:pPr>
        <w:spacing w:after="0" w:line="23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2900" w:space="720"/>
            <w:col w:w="6519"/>
          </w:cols>
          <w:pgMar w:left="320" w:top="229" w:right="1440"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Inputs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the Company’s investments disaggregated into the three levels of the fair value hierarchy based upon the lowest level of significant input used in the valuation as of March 31, 2026 and December 31, 2025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3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4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200" w:type="dxa"/>
            <w:vAlign w:val="bottom"/>
          </w:tcPr>
          <w:p>
            <w:pPr>
              <w:spacing w:after="0"/>
              <w:rPr>
                <w:sz w:val="18"/>
                <w:szCs w:val="18"/>
                <w:color w:val="auto"/>
              </w:rPr>
            </w:pPr>
          </w:p>
        </w:tc>
        <w:tc>
          <w:tcPr>
            <w:tcW w:w="16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40" w:type="dxa"/>
            <w:vAlign w:val="bottom"/>
          </w:tcPr>
          <w:p>
            <w:pPr>
              <w:spacing w:after="0"/>
              <w:rPr>
                <w:sz w:val="18"/>
                <w:szCs w:val="18"/>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00" w:type="dxa"/>
            <w:vAlign w:val="bottom"/>
          </w:tcPr>
          <w:p>
            <w:pPr>
              <w:spacing w:after="0"/>
              <w:rPr>
                <w:sz w:val="18"/>
                <w:szCs w:val="18"/>
                <w:color w:val="auto"/>
              </w:rPr>
            </w:pPr>
          </w:p>
        </w:tc>
        <w:tc>
          <w:tcPr>
            <w:tcW w:w="16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40" w:type="dxa"/>
            <w:vAlign w:val="bottom"/>
          </w:tcPr>
          <w:p>
            <w:pPr>
              <w:spacing w:after="0"/>
              <w:rPr>
                <w:sz w:val="18"/>
                <w:szCs w:val="18"/>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20"/>
                <w:szCs w:val="20"/>
                <w:color w:val="auto"/>
              </w:rPr>
            </w:pPr>
          </w:p>
        </w:tc>
        <w:tc>
          <w:tcPr>
            <w:tcW w:w="16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0"/>
                <w:szCs w:val="20"/>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35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Preferred Stock</w:t>
            </w:r>
            <w:r>
              <w:rPr>
                <w:rFonts w:ascii="Times New Roman" w:cs="Times New Roman" w:eastAsia="Times New Roman" w:hAnsi="Times New Roman"/>
                <w:sz w:val="29"/>
                <w:szCs w:val="29"/>
                <w:color w:val="auto"/>
                <w:vertAlign w:val="superscript"/>
              </w:rPr>
              <w:t>(1)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331,712,990</w:t>
            </w:r>
          </w:p>
        </w:tc>
        <w:tc>
          <w:tcPr>
            <w:tcW w:w="3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331,712,990</w:t>
            </w:r>
          </w:p>
        </w:tc>
        <w:tc>
          <w:tcPr>
            <w:tcW w:w="80" w:type="dxa"/>
            <w:vAlign w:val="bottom"/>
            <w:shd w:val="clear" w:color="auto" w:fill="CCEEFF"/>
          </w:tcPr>
          <w:p>
            <w:pPr>
              <w:spacing w:after="0"/>
              <w:rPr>
                <w:sz w:val="22"/>
                <w:szCs w:val="22"/>
                <w:color w:val="auto"/>
              </w:rPr>
            </w:pPr>
          </w:p>
        </w:tc>
      </w:tr>
      <w:tr>
        <w:trPr>
          <w:trHeight w:val="256"/>
        </w:trPr>
        <w:tc>
          <w:tcPr>
            <w:tcW w:w="35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Common Stock</w:t>
            </w:r>
            <w:r>
              <w:rPr>
                <w:rFonts w:ascii="Times New Roman" w:cs="Times New Roman" w:eastAsia="Times New Roman" w:hAnsi="Times New Roman"/>
                <w:sz w:val="29"/>
                <w:szCs w:val="29"/>
                <w:color w:val="auto"/>
                <w:vertAlign w:val="superscript"/>
              </w:rPr>
              <w:t>(2)</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6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45,478,068</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45,478,068</w:t>
            </w:r>
          </w:p>
        </w:tc>
      </w:tr>
      <w:tr>
        <w:trPr>
          <w:trHeight w:val="257"/>
        </w:trPr>
        <w:tc>
          <w:tcPr>
            <w:tcW w:w="35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Options</w:t>
            </w:r>
            <w:r>
              <w:rPr>
                <w:rFonts w:ascii="Times New Roman" w:cs="Times New Roman" w:eastAsia="Times New Roman" w:hAnsi="Times New Roman"/>
                <w:sz w:val="29"/>
                <w:szCs w:val="29"/>
                <w:color w:val="auto"/>
                <w:vertAlign w:val="superscript"/>
              </w:rPr>
              <w:t>(3)</w:t>
            </w: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7,933,439</w:t>
            </w: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7,933,439</w:t>
            </w:r>
          </w:p>
        </w:tc>
        <w:tc>
          <w:tcPr>
            <w:tcW w:w="80" w:type="dxa"/>
            <w:vAlign w:val="bottom"/>
            <w:shd w:val="clear" w:color="auto" w:fill="CCEEFF"/>
          </w:tcPr>
          <w:p>
            <w:pPr>
              <w:spacing w:after="0"/>
              <w:rPr>
                <w:sz w:val="22"/>
                <w:szCs w:val="22"/>
                <w:color w:val="auto"/>
              </w:rPr>
            </w:pPr>
          </w:p>
        </w:tc>
      </w:tr>
      <w:tr>
        <w:trPr>
          <w:trHeight w:val="230"/>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Investments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756,339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756,339</w:t>
            </w:r>
          </w:p>
        </w:tc>
        <w:tc>
          <w:tcPr>
            <w:tcW w:w="80" w:type="dxa"/>
            <w:vAlign w:val="bottom"/>
          </w:tcPr>
          <w:p>
            <w:pPr>
              <w:spacing w:after="0"/>
              <w:rPr>
                <w:sz w:val="19"/>
                <w:szCs w:val="19"/>
                <w:color w:val="auto"/>
              </w:rPr>
            </w:pPr>
          </w:p>
        </w:tc>
      </w:tr>
      <w:tr>
        <w:trPr>
          <w:trHeight w:val="209"/>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385,880,836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385,880,836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2,015,865</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2,015,865</w:t>
            </w:r>
          </w:p>
        </w:tc>
        <w:tc>
          <w:tcPr>
            <w:tcW w:w="80" w:type="dxa"/>
            <w:vAlign w:val="bottom"/>
            <w:shd w:val="clear" w:color="auto" w:fill="CCEEFF"/>
          </w:tcPr>
          <w:p>
            <w:pPr>
              <w:spacing w:after="0"/>
              <w:rPr>
                <w:sz w:val="18"/>
                <w:szCs w:val="18"/>
                <w:color w:val="auto"/>
              </w:rPr>
            </w:pPr>
          </w:p>
        </w:tc>
      </w:tr>
      <w:tr>
        <w:trPr>
          <w:trHeight w:val="230"/>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637,950</w:t>
            </w:r>
          </w:p>
        </w:tc>
        <w:tc>
          <w:tcPr>
            <w:tcW w:w="200" w:type="dxa"/>
            <w:vAlign w:val="bottom"/>
          </w:tcPr>
          <w:p>
            <w:pPr>
              <w:spacing w:after="0"/>
              <w:rPr>
                <w:sz w:val="19"/>
                <w:szCs w:val="19"/>
                <w:color w:val="auto"/>
              </w:rPr>
            </w:pPr>
          </w:p>
        </w:tc>
        <w:tc>
          <w:tcPr>
            <w:tcW w:w="16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637,950</w:t>
            </w:r>
          </w:p>
        </w:tc>
        <w:tc>
          <w:tcPr>
            <w:tcW w:w="80" w:type="dxa"/>
            <w:vAlign w:val="bottom"/>
          </w:tcPr>
          <w:p>
            <w:pPr>
              <w:spacing w:after="0"/>
              <w:rPr>
                <w:sz w:val="19"/>
                <w:szCs w:val="19"/>
                <w:color w:val="auto"/>
              </w:rPr>
            </w:pPr>
          </w:p>
        </w:tc>
      </w:tr>
      <w:tr>
        <w:trPr>
          <w:trHeight w:val="209"/>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2,653,815</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2,653,815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7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2,653,815</w:t>
            </w:r>
          </w:p>
        </w:tc>
        <w:tc>
          <w:tcPr>
            <w:tcW w:w="3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385,880,836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388,534,651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jc w:val="both"/>
        <w:ind w:left="660" w:hanging="652"/>
        <w:spacing w:after="0" w:line="257"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also includes the Company’s investment in the Class A Interest of ARK Type One Deep Ventures Fund LLC which is invested in the Series A-2 Preferred Shares of OpenAI Global, LLC, and the Company’s investment in the Membership Interest of IH10, LLC which is invested in the Series B Preferred Shares of VAST Data, Ltd. through an SPV.</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in Private Portfolio Companies also includes the Company’s Limited Partner Fund Investment in True Global Ventures 4 Plus Pte Ltd. and the Company’s investment in the Class A Interest of CW Opportunity 2 LP which is invested in Class A Common Stock of CoreWeave, Inc.</w:t>
      </w:r>
    </w:p>
    <w:p>
      <w:pPr>
        <w:spacing w:after="0" w:line="1" w:lineRule="exact"/>
        <w:rPr>
          <w:rFonts w:ascii="Times New Roman" w:cs="Times New Roman" w:eastAsia="Times New Roman" w:hAnsi="Times New Roman"/>
          <w:sz w:val="18"/>
          <w:szCs w:val="18"/>
          <w:color w:val="auto"/>
        </w:rPr>
      </w:pPr>
    </w:p>
    <w:p>
      <w:pPr>
        <w:ind w:left="660" w:right="20" w:hanging="652"/>
        <w:spacing w:after="0" w:line="26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in Private Portfolio Companies also includes the Company’s investment in the Class A Interest of Magnetar Opportunity 2025-4 LP which is invested in a SAFE of TensorWave, Inc., as well as investments in the SAFEs of Orchard Technologies, Inc. and PayJoy, Inc.</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3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4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200" w:type="dxa"/>
            <w:vAlign w:val="bottom"/>
          </w:tcPr>
          <w:p>
            <w:pPr>
              <w:spacing w:after="0"/>
              <w:rPr>
                <w:sz w:val="18"/>
                <w:szCs w:val="18"/>
                <w:color w:val="auto"/>
              </w:rPr>
            </w:pPr>
          </w:p>
        </w:tc>
        <w:tc>
          <w:tcPr>
            <w:tcW w:w="16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40" w:type="dxa"/>
            <w:vAlign w:val="bottom"/>
          </w:tcPr>
          <w:p>
            <w:pPr>
              <w:spacing w:after="0"/>
              <w:rPr>
                <w:sz w:val="18"/>
                <w:szCs w:val="18"/>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00" w:type="dxa"/>
            <w:vAlign w:val="bottom"/>
          </w:tcPr>
          <w:p>
            <w:pPr>
              <w:spacing w:after="0"/>
              <w:rPr>
                <w:sz w:val="18"/>
                <w:szCs w:val="18"/>
                <w:color w:val="auto"/>
              </w:rPr>
            </w:pPr>
          </w:p>
        </w:tc>
        <w:tc>
          <w:tcPr>
            <w:tcW w:w="16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40" w:type="dxa"/>
            <w:vAlign w:val="bottom"/>
          </w:tcPr>
          <w:p>
            <w:pPr>
              <w:spacing w:after="0"/>
              <w:rPr>
                <w:sz w:val="18"/>
                <w:szCs w:val="18"/>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20"/>
                <w:szCs w:val="20"/>
                <w:color w:val="auto"/>
              </w:rPr>
            </w:pPr>
          </w:p>
        </w:tc>
        <w:tc>
          <w:tcPr>
            <w:tcW w:w="16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0"/>
                <w:szCs w:val="20"/>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35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Preferred Stock</w:t>
            </w:r>
            <w:r>
              <w:rPr>
                <w:rFonts w:ascii="Times New Roman" w:cs="Times New Roman" w:eastAsia="Times New Roman" w:hAnsi="Times New Roman"/>
                <w:sz w:val="29"/>
                <w:szCs w:val="29"/>
                <w:color w:val="auto"/>
                <w:vertAlign w:val="superscript"/>
              </w:rPr>
              <w:t>(1)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169,631,231</w:t>
            </w:r>
          </w:p>
        </w:tc>
        <w:tc>
          <w:tcPr>
            <w:tcW w:w="3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169,631,231</w:t>
            </w:r>
          </w:p>
        </w:tc>
        <w:tc>
          <w:tcPr>
            <w:tcW w:w="80" w:type="dxa"/>
            <w:vAlign w:val="bottom"/>
            <w:shd w:val="clear" w:color="auto" w:fill="CCEEFF"/>
          </w:tcPr>
          <w:p>
            <w:pPr>
              <w:spacing w:after="0"/>
              <w:rPr>
                <w:sz w:val="22"/>
                <w:szCs w:val="22"/>
                <w:color w:val="auto"/>
              </w:rPr>
            </w:pPr>
          </w:p>
        </w:tc>
      </w:tr>
      <w:tr>
        <w:trPr>
          <w:trHeight w:val="257"/>
        </w:trPr>
        <w:tc>
          <w:tcPr>
            <w:tcW w:w="35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Common Stock</w:t>
            </w:r>
            <w:r>
              <w:rPr>
                <w:rFonts w:ascii="Times New Roman" w:cs="Times New Roman" w:eastAsia="Times New Roman" w:hAnsi="Times New Roman"/>
                <w:sz w:val="29"/>
                <w:szCs w:val="29"/>
                <w:color w:val="auto"/>
                <w:vertAlign w:val="superscript"/>
              </w:rPr>
              <w:t>(2)</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6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46,713,129</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46,713,129</w:t>
            </w:r>
          </w:p>
        </w:tc>
      </w:tr>
      <w:tr>
        <w:trPr>
          <w:trHeight w:val="256"/>
        </w:trPr>
        <w:tc>
          <w:tcPr>
            <w:tcW w:w="35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Options</w:t>
            </w:r>
            <w:r>
              <w:rPr>
                <w:rFonts w:ascii="Times New Roman" w:cs="Times New Roman" w:eastAsia="Times New Roman" w:hAnsi="Times New Roman"/>
                <w:sz w:val="29"/>
                <w:szCs w:val="29"/>
                <w:color w:val="auto"/>
                <w:vertAlign w:val="superscript"/>
              </w:rPr>
              <w:t>(3)</w:t>
            </w: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4,201,543</w:t>
            </w: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4,201,543</w:t>
            </w:r>
          </w:p>
        </w:tc>
        <w:tc>
          <w:tcPr>
            <w:tcW w:w="80" w:type="dxa"/>
            <w:vAlign w:val="bottom"/>
            <w:shd w:val="clear" w:color="auto" w:fill="CCEEFF"/>
          </w:tcPr>
          <w:p>
            <w:pPr>
              <w:spacing w:after="0"/>
              <w:rPr>
                <w:sz w:val="22"/>
                <w:szCs w:val="22"/>
                <w:color w:val="auto"/>
              </w:rPr>
            </w:pPr>
          </w:p>
        </w:tc>
      </w:tr>
      <w:tr>
        <w:trPr>
          <w:trHeight w:val="230"/>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Investments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756,339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756,339</w:t>
            </w:r>
          </w:p>
        </w:tc>
        <w:tc>
          <w:tcPr>
            <w:tcW w:w="80" w:type="dxa"/>
            <w:vAlign w:val="bottom"/>
          </w:tcPr>
          <w:p>
            <w:pPr>
              <w:spacing w:after="0"/>
              <w:rPr>
                <w:sz w:val="19"/>
                <w:szCs w:val="19"/>
                <w:color w:val="auto"/>
              </w:rPr>
            </w:pPr>
          </w:p>
        </w:tc>
      </w:tr>
      <w:tr>
        <w:trPr>
          <w:trHeight w:val="209"/>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221,302,242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221,302,242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3,586,956</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3,586,956</w:t>
            </w:r>
          </w:p>
        </w:tc>
        <w:tc>
          <w:tcPr>
            <w:tcW w:w="80" w:type="dxa"/>
            <w:vAlign w:val="bottom"/>
            <w:shd w:val="clear" w:color="auto" w:fill="CCEEFF"/>
          </w:tcPr>
          <w:p>
            <w:pPr>
              <w:spacing w:after="0"/>
              <w:rPr>
                <w:sz w:val="18"/>
                <w:szCs w:val="18"/>
                <w:color w:val="auto"/>
              </w:rPr>
            </w:pPr>
          </w:p>
        </w:tc>
      </w:tr>
      <w:tr>
        <w:trPr>
          <w:trHeight w:val="229"/>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622,307</w:t>
            </w:r>
          </w:p>
        </w:tc>
        <w:tc>
          <w:tcPr>
            <w:tcW w:w="200" w:type="dxa"/>
            <w:vAlign w:val="bottom"/>
          </w:tcPr>
          <w:p>
            <w:pPr>
              <w:spacing w:after="0"/>
              <w:rPr>
                <w:sz w:val="19"/>
                <w:szCs w:val="19"/>
                <w:color w:val="auto"/>
              </w:rPr>
            </w:pPr>
          </w:p>
        </w:tc>
        <w:tc>
          <w:tcPr>
            <w:tcW w:w="16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622,307</w:t>
            </w:r>
          </w:p>
        </w:tc>
        <w:tc>
          <w:tcPr>
            <w:tcW w:w="80" w:type="dxa"/>
            <w:vAlign w:val="bottom"/>
          </w:tcPr>
          <w:p>
            <w:pPr>
              <w:spacing w:after="0"/>
              <w:rPr>
                <w:sz w:val="19"/>
                <w:szCs w:val="19"/>
                <w:color w:val="auto"/>
              </w:rPr>
            </w:pPr>
          </w:p>
        </w:tc>
      </w:tr>
      <w:tr>
        <w:trPr>
          <w:trHeight w:val="209"/>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4,209,263</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4,209,263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7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4,209,263</w:t>
            </w:r>
          </w:p>
        </w:tc>
        <w:tc>
          <w:tcPr>
            <w:tcW w:w="3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221,302,242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225,511,505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both"/>
        <w:ind w:left="660" w:hanging="652"/>
        <w:spacing w:after="0" w:line="257"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also includes the Company’s investment in the Class A Interest of ARK Type One Deep Ventures Fund LLC which is invested in the Series A-2 Preferred Shares of OpenAI Global, LLC, and the Company’s investment in the Membership Interest of IH10, LLC which is invested in the Series B Preferred Shares of VAST Data, Ltd. through an SPV.</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in Private Portfolio Companies also includes the Company’s Limited Partner Fund Investment in True Global Ventures 4 Plus Pte Ltd. and the Company’s investment in the Class A Interest of CW Opportunity 2 LP which is invested in Class A Common Stock of CoreWeave, Inc.</w:t>
      </w:r>
    </w:p>
    <w:p>
      <w:pPr>
        <w:spacing w:after="0" w:line="1" w:lineRule="exact"/>
        <w:rPr>
          <w:rFonts w:ascii="Times New Roman" w:cs="Times New Roman" w:eastAsia="Times New Roman" w:hAnsi="Times New Roman"/>
          <w:sz w:val="18"/>
          <w:szCs w:val="18"/>
          <w:color w:val="auto"/>
        </w:rPr>
      </w:pPr>
    </w:p>
    <w:p>
      <w:pPr>
        <w:ind w:left="660" w:hanging="652"/>
        <w:spacing w:after="0" w:line="26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in Private Portfolio Companies also includes the Company’s investments in the SAFEs of Orchard Technologies, Inc., PayJoy, Inc., and Whoop, Inc.</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Unobservable Inputs for Level 3 Assets and Liabilities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FASB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tables below provide quantitative information about the fair value measurements of the Company’s Level 3 assets as of March 31, 2026 and December 31, 2025. In addition to the techniques and inputs noted in the tables below, according to the Company’s valuation policy, the Board of Directors may also use other valuation techniques and methodologies when determining the fair value measurements of the Company’s assets. The tables below are not intended to be all-inclusive, but rather provide information on the significant Level 3 inputs as they relate to the fair value measurements of the Company’s assets. To the extent an unobservable input is not reflected in the tables below, such input is deemed insignificant with respect to the Company’s Level 3 fair value measurements as of March 31, 2026 and December 31, 2025. Significant changes in the inputs in isolation would result in a significant change in the fair value measurement, depending on the input and the materiality of the investment. Refer to “Note 2—Significant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 for more detail.</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Approach/</w:t>
            </w:r>
          </w:p>
        </w:tc>
        <w:tc>
          <w:tcPr>
            <w:tcW w:w="1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Range (Weighted</w:t>
            </w:r>
          </w:p>
        </w:tc>
        <w:tc>
          <w:tcPr>
            <w:tcW w:w="0" w:type="dxa"/>
            <w:vAlign w:val="bottom"/>
          </w:tcPr>
          <w:p>
            <w:pPr>
              <w:spacing w:after="0"/>
              <w:rPr>
                <w:sz w:val="1"/>
                <w:szCs w:val="1"/>
                <w:color w:val="auto"/>
              </w:rPr>
            </w:pPr>
          </w:p>
        </w:tc>
      </w:tr>
      <w:tr>
        <w:trPr>
          <w:trHeight w:val="275"/>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Asset</w:t>
            </w:r>
          </w:p>
        </w:tc>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3"/>
                <w:szCs w:val="23"/>
                <w:color w:val="auto"/>
              </w:rPr>
            </w:pPr>
          </w:p>
        </w:tc>
        <w:tc>
          <w:tcPr>
            <w:tcW w:w="1560" w:type="dxa"/>
            <w:vAlign w:val="bottom"/>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4"/>
              </w:rPr>
              <w:t>Technique</w:t>
            </w:r>
            <w:r>
              <w:rPr>
                <w:rFonts w:ascii="Times New Roman" w:cs="Times New Roman" w:eastAsia="Times New Roman" w:hAnsi="Times New Roman"/>
                <w:sz w:val="29"/>
                <w:szCs w:val="29"/>
                <w:b w:val="1"/>
                <w:bCs w:val="1"/>
                <w:color w:val="auto"/>
                <w:w w:val="94"/>
                <w:vertAlign w:val="superscript"/>
              </w:rPr>
              <w:t>(1)</w:t>
            </w:r>
          </w:p>
        </w:tc>
        <w:tc>
          <w:tcPr>
            <w:tcW w:w="120" w:type="dxa"/>
            <w:vAlign w:val="bottom"/>
          </w:tcPr>
          <w:p>
            <w:pPr>
              <w:spacing w:after="0"/>
              <w:rPr>
                <w:sz w:val="23"/>
                <w:szCs w:val="23"/>
                <w:color w:val="auto"/>
              </w:rPr>
            </w:pPr>
          </w:p>
        </w:tc>
        <w:tc>
          <w:tcPr>
            <w:tcW w:w="2240" w:type="dxa"/>
            <w:vAlign w:val="bottom"/>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7"/>
              </w:rPr>
              <w:t>Unobservable Inputs</w:t>
            </w:r>
            <w:r>
              <w:rPr>
                <w:rFonts w:ascii="Times New Roman" w:cs="Times New Roman" w:eastAsia="Times New Roman" w:hAnsi="Times New Roman"/>
                <w:sz w:val="29"/>
                <w:szCs w:val="29"/>
                <w:b w:val="1"/>
                <w:bCs w:val="1"/>
                <w:color w:val="auto"/>
                <w:w w:val="97"/>
                <w:vertAlign w:val="superscript"/>
              </w:rPr>
              <w:t>(2)</w:t>
            </w:r>
          </w:p>
        </w:tc>
        <w:tc>
          <w:tcPr>
            <w:tcW w:w="100" w:type="dxa"/>
            <w:vAlign w:val="bottom"/>
          </w:tcPr>
          <w:p>
            <w:pPr>
              <w:spacing w:after="0"/>
              <w:rPr>
                <w:sz w:val="23"/>
                <w:szCs w:val="23"/>
                <w:color w:val="auto"/>
              </w:rPr>
            </w:pPr>
          </w:p>
        </w:tc>
        <w:tc>
          <w:tcPr>
            <w:tcW w:w="1680" w:type="dxa"/>
            <w:vAlign w:val="bottom"/>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2"/>
              </w:rPr>
              <w:t>Average)</w:t>
            </w:r>
            <w:r>
              <w:rPr>
                <w:rFonts w:ascii="Times New Roman" w:cs="Times New Roman" w:eastAsia="Times New Roman" w:hAnsi="Times New Roman"/>
                <w:sz w:val="29"/>
                <w:szCs w:val="29"/>
                <w:b w:val="1"/>
                <w:bCs w:val="1"/>
                <w:color w:val="auto"/>
                <w:w w:val="92"/>
                <w:vertAlign w:val="superscript"/>
              </w:rPr>
              <w:t>(3)</w:t>
            </w:r>
          </w:p>
        </w:tc>
        <w:tc>
          <w:tcPr>
            <w:tcW w:w="0" w:type="dxa"/>
            <w:vAlign w:val="bottom"/>
          </w:tcPr>
          <w:p>
            <w:pPr>
              <w:spacing w:after="0"/>
              <w:rPr>
                <w:sz w:val="1"/>
                <w:szCs w:val="1"/>
                <w:color w:val="auto"/>
              </w:rPr>
            </w:pPr>
          </w:p>
        </w:tc>
      </w:tr>
      <w:tr>
        <w:trPr>
          <w:trHeight w:val="209"/>
        </w:trPr>
        <w:tc>
          <w:tcPr>
            <w:tcW w:w="3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Market Approach</w:t>
            </w:r>
          </w:p>
        </w:tc>
        <w:tc>
          <w:tcPr>
            <w:tcW w:w="1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0.28x - 5.18x (2.77x)</w:t>
            </w:r>
          </w:p>
        </w:tc>
        <w:tc>
          <w:tcPr>
            <w:tcW w:w="0" w:type="dxa"/>
            <w:vAlign w:val="bottom"/>
          </w:tcPr>
          <w:p>
            <w:pPr>
              <w:spacing w:after="0"/>
              <w:rPr>
                <w:sz w:val="1"/>
                <w:szCs w:val="1"/>
                <w:color w:val="auto"/>
              </w:rPr>
            </w:pPr>
          </w:p>
        </w:tc>
      </w:tr>
      <w:tr>
        <w:trPr>
          <w:trHeight w:val="108"/>
        </w:trPr>
        <w:tc>
          <w:tcPr>
            <w:tcW w:w="39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Preferred stock in private companies</w:t>
            </w:r>
            <w:r>
              <w:rPr>
                <w:rFonts w:ascii="Times New Roman" w:cs="Times New Roman" w:eastAsia="Times New Roman" w:hAnsi="Times New Roman"/>
                <w:sz w:val="29"/>
                <w:szCs w:val="29"/>
                <w:color w:val="auto"/>
                <w:w w:val="97"/>
                <w:vertAlign w:val="superscript"/>
              </w:rPr>
              <w:t>(4)</w:t>
            </w:r>
          </w:p>
        </w:tc>
        <w:tc>
          <w:tcPr>
            <w:tcW w:w="1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56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Precedent Transactions</w:t>
            </w:r>
          </w:p>
        </w:tc>
        <w:tc>
          <w:tcPr>
            <w:tcW w:w="1780" w:type="dxa"/>
            <w:vAlign w:val="bottom"/>
            <w:gridSpan w:val="2"/>
            <w:vMerge w:val="restart"/>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50% - 100% (100%)</w:t>
            </w:r>
          </w:p>
        </w:tc>
        <w:tc>
          <w:tcPr>
            <w:tcW w:w="0" w:type="dxa"/>
            <w:vAlign w:val="bottom"/>
          </w:tcPr>
          <w:p>
            <w:pPr>
              <w:spacing w:after="0"/>
              <w:rPr>
                <w:sz w:val="1"/>
                <w:szCs w:val="1"/>
                <w:color w:val="auto"/>
              </w:rPr>
            </w:pPr>
          </w:p>
        </w:tc>
      </w:tr>
      <w:tr>
        <w:trPr>
          <w:trHeight w:val="108"/>
        </w:trPr>
        <w:tc>
          <w:tcPr>
            <w:tcW w:w="3940" w:type="dxa"/>
            <w:vAlign w:val="bottom"/>
            <w:gridSpan w:val="2"/>
            <w:vMerge w:val="continue"/>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40" w:type="dxa"/>
            <w:vAlign w:val="bottom"/>
            <w:vMerge w:val="continue"/>
            <w:shd w:val="clear" w:color="auto" w:fill="CCEEFF"/>
          </w:tcPr>
          <w:p>
            <w:pPr>
              <w:spacing w:after="0"/>
              <w:rPr>
                <w:sz w:val="9"/>
                <w:szCs w:val="9"/>
                <w:color w:val="auto"/>
              </w:rPr>
            </w:pPr>
          </w:p>
        </w:tc>
        <w:tc>
          <w:tcPr>
            <w:tcW w:w="17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940" w:type="dxa"/>
            <w:vAlign w:val="bottom"/>
            <w:gridSpan w:val="2"/>
            <w:vMerge w:val="continue"/>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$331,712,990</w:t>
            </w:r>
          </w:p>
        </w:tc>
        <w:tc>
          <w:tcPr>
            <w:tcW w:w="12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PWERM</w:t>
            </w:r>
            <w:r>
              <w:rPr>
                <w:rFonts w:ascii="Times New Roman" w:cs="Times New Roman" w:eastAsia="Times New Roman" w:hAnsi="Times New Roman"/>
                <w:sz w:val="29"/>
                <w:szCs w:val="29"/>
                <w:color w:val="auto"/>
                <w:w w:val="94"/>
                <w:vertAlign w:val="superscript"/>
              </w:rPr>
              <w:t>(7)</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0.92x - 2.85x (2.67x)</w:t>
            </w:r>
          </w:p>
        </w:tc>
        <w:tc>
          <w:tcPr>
            <w:tcW w:w="0" w:type="dxa"/>
            <w:vAlign w:val="bottom"/>
          </w:tcPr>
          <w:p>
            <w:pPr>
              <w:spacing w:after="0"/>
              <w:rPr>
                <w:sz w:val="1"/>
                <w:szCs w:val="1"/>
                <w:color w:val="auto"/>
              </w:rPr>
            </w:pPr>
          </w:p>
        </w:tc>
      </w:tr>
      <w:tr>
        <w:trPr>
          <w:trHeight w:val="198"/>
        </w:trPr>
        <w:tc>
          <w:tcPr>
            <w:tcW w:w="3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Dissolution Risk</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3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Precedent Transaction</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c>
          <w:tcPr>
            <w:tcW w:w="0" w:type="dxa"/>
            <w:vAlign w:val="bottom"/>
          </w:tcPr>
          <w:p>
            <w:pPr>
              <w:spacing w:after="0"/>
              <w:rPr>
                <w:sz w:val="1"/>
                <w:szCs w:val="1"/>
                <w:color w:val="auto"/>
              </w:rPr>
            </w:pPr>
          </w:p>
        </w:tc>
      </w:tr>
      <w:tr>
        <w:trPr>
          <w:trHeight w:val="198"/>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Market Approach</w:t>
            </w:r>
          </w:p>
        </w:tc>
        <w:tc>
          <w:tcPr>
            <w:tcW w:w="120" w:type="dxa"/>
            <w:vAlign w:val="bottom"/>
          </w:tcPr>
          <w:p>
            <w:pPr>
              <w:spacing w:after="0"/>
              <w:rPr>
                <w:sz w:val="17"/>
                <w:szCs w:val="17"/>
                <w:color w:val="auto"/>
              </w:rPr>
            </w:pP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Revenue Multiples</w:t>
            </w:r>
          </w:p>
        </w:tc>
        <w:tc>
          <w:tcPr>
            <w:tcW w:w="100" w:type="dxa"/>
            <w:vAlign w:val="bottom"/>
          </w:tcPr>
          <w:p>
            <w:pPr>
              <w:spacing w:after="0"/>
              <w:rPr>
                <w:sz w:val="17"/>
                <w:szCs w:val="17"/>
                <w:color w:val="auto"/>
              </w:rPr>
            </w:pPr>
          </w:p>
        </w:tc>
        <w:tc>
          <w:tcPr>
            <w:tcW w:w="1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0.34x - 3.51x (3.34x)</w:t>
            </w:r>
          </w:p>
        </w:tc>
        <w:tc>
          <w:tcPr>
            <w:tcW w:w="0" w:type="dxa"/>
            <w:vAlign w:val="bottom"/>
          </w:tcPr>
          <w:p>
            <w:pPr>
              <w:spacing w:after="0"/>
              <w:rPr>
                <w:sz w:val="1"/>
                <w:szCs w:val="1"/>
                <w:color w:val="auto"/>
              </w:rPr>
            </w:pPr>
          </w:p>
        </w:tc>
      </w:tr>
      <w:tr>
        <w:trPr>
          <w:trHeight w:val="126"/>
        </w:trPr>
        <w:tc>
          <w:tcPr>
            <w:tcW w:w="3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Common stock in private companies</w:t>
            </w:r>
            <w:r>
              <w:rPr>
                <w:rFonts w:ascii="Times New Roman" w:cs="Times New Roman" w:eastAsia="Times New Roman" w:hAnsi="Times New Roman"/>
                <w:sz w:val="29"/>
                <w:szCs w:val="29"/>
                <w:color w:val="auto"/>
                <w:w w:val="97"/>
                <w:vertAlign w:val="superscript"/>
              </w:rPr>
              <w:t>(5)</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$45,478,068</w:t>
            </w:r>
          </w:p>
        </w:tc>
        <w:tc>
          <w:tcPr>
            <w:tcW w:w="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Precedent Transactions</w:t>
            </w:r>
          </w:p>
        </w:tc>
        <w:tc>
          <w:tcPr>
            <w:tcW w:w="178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90"/>
        </w:trPr>
        <w:tc>
          <w:tcPr>
            <w:tcW w:w="3940" w:type="dxa"/>
            <w:vAlign w:val="bottom"/>
            <w:gridSpan w:val="2"/>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940" w:type="dxa"/>
            <w:vAlign w:val="bottom"/>
            <w:gridSpan w:val="2"/>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PWERM</w:t>
            </w:r>
            <w:r>
              <w:rPr>
                <w:rFonts w:ascii="Times New Roman" w:cs="Times New Roman" w:eastAsia="Times New Roman" w:hAnsi="Times New Roman"/>
                <w:sz w:val="29"/>
                <w:szCs w:val="29"/>
                <w:color w:val="auto"/>
                <w:w w:val="94"/>
                <w:vertAlign w:val="superscript"/>
              </w:rPr>
              <w:t>(7)</w:t>
            </w:r>
          </w:p>
        </w:tc>
        <w:tc>
          <w:tcPr>
            <w:tcW w:w="120" w:type="dxa"/>
            <w:vAlign w:val="bottom"/>
          </w:tcPr>
          <w:p>
            <w:pPr>
              <w:spacing w:after="0"/>
              <w:rPr>
                <w:sz w:val="15"/>
                <w:szCs w:val="15"/>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Dissolution Risk</w:t>
            </w:r>
          </w:p>
        </w:tc>
        <w:tc>
          <w:tcPr>
            <w:tcW w:w="178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36"/>
        </w:trPr>
        <w:tc>
          <w:tcPr>
            <w:tcW w:w="3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vMerge w:val="continue"/>
          </w:tcPr>
          <w:p>
            <w:pPr>
              <w:spacing w:after="0"/>
              <w:rPr>
                <w:sz w:val="3"/>
                <w:szCs w:val="3"/>
                <w:color w:val="auto"/>
              </w:rPr>
            </w:pPr>
          </w:p>
        </w:tc>
        <w:tc>
          <w:tcPr>
            <w:tcW w:w="1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3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Precedent Transaction</w:t>
            </w:r>
          </w:p>
        </w:tc>
        <w:tc>
          <w:tcPr>
            <w:tcW w:w="178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54"/>
        </w:trPr>
        <w:tc>
          <w:tcPr>
            <w:tcW w:w="3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40" w:type="dxa"/>
            <w:vAlign w:val="bottom"/>
            <w:vMerge w:val="continue"/>
          </w:tcPr>
          <w:p>
            <w:pPr>
              <w:spacing w:after="0"/>
              <w:rPr>
                <w:sz w:val="4"/>
                <w:szCs w:val="4"/>
                <w:color w:val="auto"/>
              </w:rPr>
            </w:pPr>
          </w:p>
        </w:tc>
        <w:tc>
          <w:tcPr>
            <w:tcW w:w="1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9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5"/>
              </w:rPr>
              <w:t>Options</w:t>
            </w:r>
            <w:r>
              <w:rPr>
                <w:rFonts w:ascii="Times New Roman" w:cs="Times New Roman" w:eastAsia="Times New Roman" w:hAnsi="Times New Roman"/>
                <w:sz w:val="29"/>
                <w:szCs w:val="29"/>
                <w:color w:val="auto"/>
                <w:w w:val="95"/>
                <w:vertAlign w:val="superscript"/>
              </w:rPr>
              <w:t>(6)</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Option Pricing</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Term to Expiration (Years)</w:t>
            </w:r>
          </w:p>
        </w:tc>
        <w:tc>
          <w:tcPr>
            <w:tcW w:w="17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0.25 - 1.11 (0.79)</w:t>
            </w:r>
          </w:p>
        </w:tc>
        <w:tc>
          <w:tcPr>
            <w:tcW w:w="0" w:type="dxa"/>
            <w:vAlign w:val="bottom"/>
          </w:tcPr>
          <w:p>
            <w:pPr>
              <w:spacing w:after="0"/>
              <w:rPr>
                <w:sz w:val="1"/>
                <w:szCs w:val="1"/>
                <w:color w:val="auto"/>
              </w:rPr>
            </w:pPr>
          </w:p>
        </w:tc>
      </w:tr>
      <w:tr>
        <w:trPr>
          <w:trHeight w:val="216"/>
        </w:trPr>
        <w:tc>
          <w:tcPr>
            <w:tcW w:w="3940" w:type="dxa"/>
            <w:vAlign w:val="bottom"/>
            <w:gridSpan w:val="2"/>
            <w:vMerge w:val="continue"/>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$7,933,439</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Model</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Volatility</w:t>
            </w:r>
          </w:p>
        </w:tc>
        <w:tc>
          <w:tcPr>
            <w:tcW w:w="17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44% - 54% (48%)</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Market Approach</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Precedent Transaction</w:t>
            </w:r>
          </w:p>
        </w:tc>
        <w:tc>
          <w:tcPr>
            <w:tcW w:w="17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Debt investments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$756,339</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Market Approach</w:t>
            </w: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0.34x - 3.66x (2.25x)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jc w:val="both"/>
        <w:ind w:left="660" w:hanging="652"/>
        <w:spacing w:after="0" w:line="253"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the Board of Directors used a hybrid market and income approach to value certain common and preferred stock investments, as the Board of Directors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 for more detail.</w:t>
      </w:r>
    </w:p>
    <w:p>
      <w:pPr>
        <w:spacing w:after="0" w:line="5"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Board of Directors carefully considers numerous factors when selecting the appropriate companies whose multiples are used to value the Company’s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 for more detail.</w:t>
      </w:r>
    </w:p>
    <w:p>
      <w:pPr>
        <w:spacing w:after="0" w:line="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averages are calculated based on the fair market value of each investment.</w:t>
      </w:r>
    </w:p>
    <w:p>
      <w:pPr>
        <w:spacing w:after="0" w:line="9"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also includes the Company’s investment in the Class A Interest of ARK Type One Deep Ventures Fund LLC which is invested in the Series A-2 Preferred Shares of OpenAI Global, LLC, and the Company’s investment in the Membership Interest of IH10, LLC which is invested in the Series B Preferred Shares of VAST Data, Ltd. through an SPV.</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in Private Portfolio Companies also includes the Company’s Limited Partner Fund Investment in True Global Ventures 4 Plus Pte Ltd. and the Company’s investment in the Class A Interest of CW Opportunity 2 LP which is invested in the Class A Common Stock of CoreWeave, Inc.</w:t>
      </w:r>
    </w:p>
    <w:p>
      <w:pPr>
        <w:spacing w:after="0" w:line="1" w:lineRule="exact"/>
        <w:rPr>
          <w:rFonts w:ascii="Times New Roman" w:cs="Times New Roman" w:eastAsia="Times New Roman" w:hAnsi="Times New Roman"/>
          <w:sz w:val="18"/>
          <w:szCs w:val="18"/>
          <w:color w:val="auto"/>
        </w:rPr>
      </w:pPr>
    </w:p>
    <w:p>
      <w:pPr>
        <w:ind w:left="660" w:right="20" w:hanging="652"/>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in Private Portfolio Companies also includes the Company’s investment in the Class A Interest of Magnetar Opportunity 2025-4 LP which is invested in a SAFE of TensorWave, Inc., as well as investments in the SAFEs of Orchard Technologies, Inc. and PayJoy, Inc.</w:t>
      </w: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Probability-Weighted Expected Return Method, or “PWERM”.</w:t>
      </w:r>
    </w:p>
    <w:p>
      <w:pPr>
        <w:sectPr>
          <w:pgSz w:w="11900" w:h="16838" w:orient="portrait"/>
          <w:cols w:equalWidth="0" w:num="1">
            <w:col w:w="11240"/>
          </w:cols>
          <w:pgMar w:left="320" w:top="229"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Approach/</w:t>
            </w:r>
          </w:p>
        </w:tc>
        <w:tc>
          <w:tcPr>
            <w:tcW w:w="1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Range (Weighted</w:t>
            </w:r>
          </w:p>
        </w:tc>
        <w:tc>
          <w:tcPr>
            <w:tcW w:w="0" w:type="dxa"/>
            <w:vAlign w:val="bottom"/>
          </w:tcPr>
          <w:p>
            <w:pPr>
              <w:spacing w:after="0"/>
              <w:rPr>
                <w:sz w:val="1"/>
                <w:szCs w:val="1"/>
                <w:color w:val="auto"/>
              </w:rPr>
            </w:pPr>
          </w:p>
        </w:tc>
      </w:tr>
      <w:tr>
        <w:trPr>
          <w:trHeight w:val="275"/>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Asset</w:t>
            </w:r>
          </w:p>
        </w:tc>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3"/>
                <w:szCs w:val="23"/>
                <w:color w:val="auto"/>
              </w:rPr>
            </w:pPr>
          </w:p>
        </w:tc>
        <w:tc>
          <w:tcPr>
            <w:tcW w:w="1560" w:type="dxa"/>
            <w:vAlign w:val="bottom"/>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4"/>
              </w:rPr>
              <w:t>Technique</w:t>
            </w:r>
            <w:r>
              <w:rPr>
                <w:rFonts w:ascii="Times New Roman" w:cs="Times New Roman" w:eastAsia="Times New Roman" w:hAnsi="Times New Roman"/>
                <w:sz w:val="29"/>
                <w:szCs w:val="29"/>
                <w:b w:val="1"/>
                <w:bCs w:val="1"/>
                <w:color w:val="auto"/>
                <w:w w:val="94"/>
                <w:vertAlign w:val="superscript"/>
              </w:rPr>
              <w:t>(1)</w:t>
            </w:r>
          </w:p>
        </w:tc>
        <w:tc>
          <w:tcPr>
            <w:tcW w:w="120" w:type="dxa"/>
            <w:vAlign w:val="bottom"/>
          </w:tcPr>
          <w:p>
            <w:pPr>
              <w:spacing w:after="0"/>
              <w:rPr>
                <w:sz w:val="23"/>
                <w:szCs w:val="23"/>
                <w:color w:val="auto"/>
              </w:rPr>
            </w:pPr>
          </w:p>
        </w:tc>
        <w:tc>
          <w:tcPr>
            <w:tcW w:w="2240" w:type="dxa"/>
            <w:vAlign w:val="bottom"/>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7"/>
              </w:rPr>
              <w:t>Unobservable Inputs</w:t>
            </w:r>
            <w:r>
              <w:rPr>
                <w:rFonts w:ascii="Times New Roman" w:cs="Times New Roman" w:eastAsia="Times New Roman" w:hAnsi="Times New Roman"/>
                <w:sz w:val="29"/>
                <w:szCs w:val="29"/>
                <w:b w:val="1"/>
                <w:bCs w:val="1"/>
                <w:color w:val="auto"/>
                <w:w w:val="97"/>
                <w:vertAlign w:val="superscript"/>
              </w:rPr>
              <w:t>(2)</w:t>
            </w:r>
          </w:p>
        </w:tc>
        <w:tc>
          <w:tcPr>
            <w:tcW w:w="100" w:type="dxa"/>
            <w:vAlign w:val="bottom"/>
          </w:tcPr>
          <w:p>
            <w:pPr>
              <w:spacing w:after="0"/>
              <w:rPr>
                <w:sz w:val="23"/>
                <w:szCs w:val="23"/>
                <w:color w:val="auto"/>
              </w:rPr>
            </w:pPr>
          </w:p>
        </w:tc>
        <w:tc>
          <w:tcPr>
            <w:tcW w:w="1680" w:type="dxa"/>
            <w:vAlign w:val="bottom"/>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2"/>
              </w:rPr>
              <w:t>Average)</w:t>
            </w:r>
            <w:r>
              <w:rPr>
                <w:rFonts w:ascii="Times New Roman" w:cs="Times New Roman" w:eastAsia="Times New Roman" w:hAnsi="Times New Roman"/>
                <w:sz w:val="29"/>
                <w:szCs w:val="29"/>
                <w:b w:val="1"/>
                <w:bCs w:val="1"/>
                <w:color w:val="auto"/>
                <w:w w:val="92"/>
                <w:vertAlign w:val="superscript"/>
              </w:rPr>
              <w:t>(3)</w:t>
            </w:r>
          </w:p>
        </w:tc>
        <w:tc>
          <w:tcPr>
            <w:tcW w:w="0" w:type="dxa"/>
            <w:vAlign w:val="bottom"/>
          </w:tcPr>
          <w:p>
            <w:pPr>
              <w:spacing w:after="0"/>
              <w:rPr>
                <w:sz w:val="1"/>
                <w:szCs w:val="1"/>
                <w:color w:val="auto"/>
              </w:rPr>
            </w:pPr>
          </w:p>
        </w:tc>
      </w:tr>
      <w:tr>
        <w:trPr>
          <w:trHeight w:val="210"/>
        </w:trPr>
        <w:tc>
          <w:tcPr>
            <w:tcW w:w="3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Market Approach</w:t>
            </w:r>
          </w:p>
        </w:tc>
        <w:tc>
          <w:tcPr>
            <w:tcW w:w="1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0.52x - 7.95x (3.47x)</w:t>
            </w:r>
          </w:p>
        </w:tc>
        <w:tc>
          <w:tcPr>
            <w:tcW w:w="0" w:type="dxa"/>
            <w:vAlign w:val="bottom"/>
          </w:tcPr>
          <w:p>
            <w:pPr>
              <w:spacing w:after="0"/>
              <w:rPr>
                <w:sz w:val="1"/>
                <w:szCs w:val="1"/>
                <w:color w:val="auto"/>
              </w:rPr>
            </w:pPr>
          </w:p>
        </w:tc>
      </w:tr>
      <w:tr>
        <w:trPr>
          <w:trHeight w:val="108"/>
        </w:trPr>
        <w:tc>
          <w:tcPr>
            <w:tcW w:w="39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Preferred stock in private companies</w:t>
            </w:r>
            <w:r>
              <w:rPr>
                <w:rFonts w:ascii="Times New Roman" w:cs="Times New Roman" w:eastAsia="Times New Roman" w:hAnsi="Times New Roman"/>
                <w:sz w:val="29"/>
                <w:szCs w:val="29"/>
                <w:color w:val="auto"/>
                <w:w w:val="97"/>
                <w:vertAlign w:val="superscript"/>
              </w:rPr>
              <w:t>(4)</w:t>
            </w:r>
          </w:p>
        </w:tc>
        <w:tc>
          <w:tcPr>
            <w:tcW w:w="1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56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Precedent Transactions</w:t>
            </w:r>
          </w:p>
        </w:tc>
        <w:tc>
          <w:tcPr>
            <w:tcW w:w="1780" w:type="dxa"/>
            <w:vAlign w:val="bottom"/>
            <w:gridSpan w:val="2"/>
            <w:vMerge w:val="restart"/>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25% - 100% (76%)</w:t>
            </w:r>
          </w:p>
        </w:tc>
        <w:tc>
          <w:tcPr>
            <w:tcW w:w="0" w:type="dxa"/>
            <w:vAlign w:val="bottom"/>
          </w:tcPr>
          <w:p>
            <w:pPr>
              <w:spacing w:after="0"/>
              <w:rPr>
                <w:sz w:val="1"/>
                <w:szCs w:val="1"/>
                <w:color w:val="auto"/>
              </w:rPr>
            </w:pPr>
          </w:p>
        </w:tc>
      </w:tr>
      <w:tr>
        <w:trPr>
          <w:trHeight w:val="108"/>
        </w:trPr>
        <w:tc>
          <w:tcPr>
            <w:tcW w:w="3940" w:type="dxa"/>
            <w:vAlign w:val="bottom"/>
            <w:gridSpan w:val="2"/>
            <w:vMerge w:val="continue"/>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40" w:type="dxa"/>
            <w:vAlign w:val="bottom"/>
            <w:vMerge w:val="continue"/>
            <w:shd w:val="clear" w:color="auto" w:fill="CCEEFF"/>
          </w:tcPr>
          <w:p>
            <w:pPr>
              <w:spacing w:after="0"/>
              <w:rPr>
                <w:sz w:val="9"/>
                <w:szCs w:val="9"/>
                <w:color w:val="auto"/>
              </w:rPr>
            </w:pPr>
          </w:p>
        </w:tc>
        <w:tc>
          <w:tcPr>
            <w:tcW w:w="17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940" w:type="dxa"/>
            <w:vAlign w:val="bottom"/>
            <w:gridSpan w:val="2"/>
            <w:vMerge w:val="continue"/>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$169,631,231</w:t>
            </w:r>
          </w:p>
        </w:tc>
        <w:tc>
          <w:tcPr>
            <w:tcW w:w="12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PWERM</w:t>
            </w:r>
            <w:r>
              <w:rPr>
                <w:rFonts w:ascii="Times New Roman" w:cs="Times New Roman" w:eastAsia="Times New Roman" w:hAnsi="Times New Roman"/>
                <w:sz w:val="29"/>
                <w:szCs w:val="29"/>
                <w:color w:val="auto"/>
                <w:w w:val="94"/>
                <w:vertAlign w:val="superscript"/>
              </w:rPr>
              <w:t>(7)</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1.42x - 5.60x (1.72x)</w:t>
            </w:r>
          </w:p>
        </w:tc>
        <w:tc>
          <w:tcPr>
            <w:tcW w:w="0" w:type="dxa"/>
            <w:vAlign w:val="bottom"/>
          </w:tcPr>
          <w:p>
            <w:pPr>
              <w:spacing w:after="0"/>
              <w:rPr>
                <w:sz w:val="1"/>
                <w:szCs w:val="1"/>
                <w:color w:val="auto"/>
              </w:rPr>
            </w:pPr>
          </w:p>
        </w:tc>
      </w:tr>
      <w:tr>
        <w:trPr>
          <w:trHeight w:val="198"/>
        </w:trPr>
        <w:tc>
          <w:tcPr>
            <w:tcW w:w="3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Dissolution Risk</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3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Precedent Transaction</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c>
          <w:tcPr>
            <w:tcW w:w="0" w:type="dxa"/>
            <w:vAlign w:val="bottom"/>
          </w:tcPr>
          <w:p>
            <w:pPr>
              <w:spacing w:after="0"/>
              <w:rPr>
                <w:sz w:val="1"/>
                <w:szCs w:val="1"/>
                <w:color w:val="auto"/>
              </w:rPr>
            </w:pPr>
          </w:p>
        </w:tc>
      </w:tr>
      <w:tr>
        <w:trPr>
          <w:trHeight w:val="198"/>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Market Approach</w:t>
            </w:r>
          </w:p>
        </w:tc>
        <w:tc>
          <w:tcPr>
            <w:tcW w:w="120" w:type="dxa"/>
            <w:vAlign w:val="bottom"/>
          </w:tcPr>
          <w:p>
            <w:pPr>
              <w:spacing w:after="0"/>
              <w:rPr>
                <w:sz w:val="17"/>
                <w:szCs w:val="17"/>
                <w:color w:val="auto"/>
              </w:rPr>
            </w:pP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Revenue Multiples</w:t>
            </w:r>
          </w:p>
        </w:tc>
        <w:tc>
          <w:tcPr>
            <w:tcW w:w="100" w:type="dxa"/>
            <w:vAlign w:val="bottom"/>
          </w:tcPr>
          <w:p>
            <w:pPr>
              <w:spacing w:after="0"/>
              <w:rPr>
                <w:sz w:val="17"/>
                <w:szCs w:val="17"/>
                <w:color w:val="auto"/>
              </w:rPr>
            </w:pPr>
          </w:p>
        </w:tc>
        <w:tc>
          <w:tcPr>
            <w:tcW w:w="1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0.57x - 5.23x (4.99x)</w:t>
            </w:r>
          </w:p>
        </w:tc>
        <w:tc>
          <w:tcPr>
            <w:tcW w:w="0" w:type="dxa"/>
            <w:vAlign w:val="bottom"/>
          </w:tcPr>
          <w:p>
            <w:pPr>
              <w:spacing w:after="0"/>
              <w:rPr>
                <w:sz w:val="1"/>
                <w:szCs w:val="1"/>
                <w:color w:val="auto"/>
              </w:rPr>
            </w:pPr>
          </w:p>
        </w:tc>
      </w:tr>
      <w:tr>
        <w:trPr>
          <w:trHeight w:val="126"/>
        </w:trPr>
        <w:tc>
          <w:tcPr>
            <w:tcW w:w="3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Common stock in private companies</w:t>
            </w:r>
            <w:r>
              <w:rPr>
                <w:rFonts w:ascii="Times New Roman" w:cs="Times New Roman" w:eastAsia="Times New Roman" w:hAnsi="Times New Roman"/>
                <w:sz w:val="29"/>
                <w:szCs w:val="29"/>
                <w:color w:val="auto"/>
                <w:w w:val="97"/>
                <w:vertAlign w:val="superscript"/>
              </w:rPr>
              <w:t>(5)</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$46,713,129</w:t>
            </w:r>
          </w:p>
        </w:tc>
        <w:tc>
          <w:tcPr>
            <w:tcW w:w="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Precedent Transactions</w:t>
            </w:r>
          </w:p>
        </w:tc>
        <w:tc>
          <w:tcPr>
            <w:tcW w:w="178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93"/>
        </w:trPr>
        <w:tc>
          <w:tcPr>
            <w:tcW w:w="394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1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3940" w:type="dxa"/>
            <w:vAlign w:val="bottom"/>
            <w:gridSpan w:val="2"/>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PWERM</w:t>
            </w:r>
            <w:r>
              <w:rPr>
                <w:rFonts w:ascii="Times New Roman" w:cs="Times New Roman" w:eastAsia="Times New Roman" w:hAnsi="Times New Roman"/>
                <w:sz w:val="29"/>
                <w:szCs w:val="29"/>
                <w:color w:val="auto"/>
                <w:w w:val="94"/>
                <w:vertAlign w:val="superscript"/>
              </w:rPr>
              <w:t>(7)</w:t>
            </w:r>
          </w:p>
        </w:tc>
        <w:tc>
          <w:tcPr>
            <w:tcW w:w="120" w:type="dxa"/>
            <w:vAlign w:val="bottom"/>
          </w:tcPr>
          <w:p>
            <w:pPr>
              <w:spacing w:after="0"/>
              <w:rPr>
                <w:sz w:val="18"/>
                <w:szCs w:val="18"/>
                <w:color w:val="auto"/>
              </w:rPr>
            </w:pPr>
          </w:p>
        </w:tc>
        <w:tc>
          <w:tcPr>
            <w:tcW w:w="2240" w:type="dxa"/>
            <w:vAlign w:val="bottom"/>
            <w:vMerge w:val="restart"/>
          </w:tcPr>
          <w:p>
            <w:pPr>
              <w:jc w:val="center"/>
              <w:spacing w:after="0" w:line="252" w:lineRule="exact"/>
              <w:rPr>
                <w:sz w:val="20"/>
                <w:szCs w:val="20"/>
                <w:color w:val="auto"/>
              </w:rPr>
            </w:pPr>
            <w:r>
              <w:rPr>
                <w:rFonts w:ascii="Times New Roman" w:cs="Times New Roman" w:eastAsia="Times New Roman" w:hAnsi="Times New Roman"/>
                <w:sz w:val="18"/>
                <w:szCs w:val="18"/>
                <w:color w:val="auto"/>
                <w:w w:val="95"/>
              </w:rPr>
              <w:t>AFFO</w:t>
            </w:r>
            <w:r>
              <w:rPr>
                <w:rFonts w:ascii="Times New Roman" w:cs="Times New Roman" w:eastAsia="Times New Roman" w:hAnsi="Times New Roman"/>
                <w:sz w:val="29"/>
                <w:szCs w:val="29"/>
                <w:color w:val="auto"/>
                <w:w w:val="95"/>
                <w:vertAlign w:val="superscript"/>
              </w:rPr>
              <w:t>(8)</w:t>
            </w:r>
            <w:r>
              <w:rPr>
                <w:rFonts w:ascii="Times New Roman" w:cs="Times New Roman" w:eastAsia="Times New Roman" w:hAnsi="Times New Roman"/>
                <w:sz w:val="18"/>
                <w:szCs w:val="18"/>
                <w:color w:val="auto"/>
                <w:w w:val="95"/>
              </w:rPr>
              <w:t xml:space="preserve"> Multiples</w:t>
            </w:r>
          </w:p>
        </w:tc>
        <w:tc>
          <w:tcPr>
            <w:tcW w:w="100" w:type="dxa"/>
            <w:vAlign w:val="bottom"/>
          </w:tcPr>
          <w:p>
            <w:pPr>
              <w:spacing w:after="0"/>
              <w:rPr>
                <w:sz w:val="18"/>
                <w:szCs w:val="18"/>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8.42x</w:t>
            </w:r>
          </w:p>
        </w:tc>
        <w:tc>
          <w:tcPr>
            <w:tcW w:w="0" w:type="dxa"/>
            <w:vAlign w:val="bottom"/>
          </w:tcPr>
          <w:p>
            <w:pPr>
              <w:spacing w:after="0"/>
              <w:rPr>
                <w:sz w:val="1"/>
                <w:szCs w:val="1"/>
                <w:color w:val="auto"/>
              </w:rPr>
            </w:pPr>
          </w:p>
        </w:tc>
      </w:tr>
      <w:tr>
        <w:trPr>
          <w:trHeight w:val="36"/>
        </w:trPr>
        <w:tc>
          <w:tcPr>
            <w:tcW w:w="3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3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Dissolution Risk</w:t>
            </w:r>
          </w:p>
        </w:tc>
        <w:tc>
          <w:tcPr>
            <w:tcW w:w="178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54"/>
        </w:trPr>
        <w:tc>
          <w:tcPr>
            <w:tcW w:w="3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40" w:type="dxa"/>
            <w:vAlign w:val="bottom"/>
            <w:vMerge w:val="continue"/>
          </w:tcPr>
          <w:p>
            <w:pPr>
              <w:spacing w:after="0"/>
              <w:rPr>
                <w:sz w:val="4"/>
                <w:szCs w:val="4"/>
                <w:color w:val="auto"/>
              </w:rPr>
            </w:pPr>
          </w:p>
        </w:tc>
        <w:tc>
          <w:tcPr>
            <w:tcW w:w="1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4.74x - 5.60x</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Option Pricing</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Precedent Transaction</w:t>
            </w:r>
          </w:p>
        </w:tc>
        <w:tc>
          <w:tcPr>
            <w:tcW w:w="17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39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5"/>
              </w:rPr>
              <w:t>Options</w:t>
            </w:r>
            <w:r>
              <w:rPr>
                <w:rFonts w:ascii="Times New Roman" w:cs="Times New Roman" w:eastAsia="Times New Roman" w:hAnsi="Times New Roman"/>
                <w:sz w:val="29"/>
                <w:szCs w:val="29"/>
                <w:color w:val="auto"/>
                <w:w w:val="95"/>
                <w:vertAlign w:val="superscript"/>
              </w:rPr>
              <w:t>(6)</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Model</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Term to Expiration (Years)</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0.50 - 1.36 (0.88)</w:t>
            </w:r>
          </w:p>
        </w:tc>
        <w:tc>
          <w:tcPr>
            <w:tcW w:w="0" w:type="dxa"/>
            <w:vAlign w:val="bottom"/>
          </w:tcPr>
          <w:p>
            <w:pPr>
              <w:spacing w:after="0"/>
              <w:rPr>
                <w:sz w:val="1"/>
                <w:szCs w:val="1"/>
                <w:color w:val="auto"/>
              </w:rPr>
            </w:pPr>
          </w:p>
        </w:tc>
      </w:tr>
      <w:tr>
        <w:trPr>
          <w:trHeight w:val="198"/>
        </w:trPr>
        <w:tc>
          <w:tcPr>
            <w:tcW w:w="3940" w:type="dxa"/>
            <w:vAlign w:val="bottom"/>
            <w:gridSpan w:val="2"/>
            <w:vMerge w:val="continue"/>
            <w:shd w:val="clear" w:color="auto" w:fill="CCEEFF"/>
          </w:tcPr>
          <w:p>
            <w:pPr>
              <w:spacing w:after="0"/>
              <w:rPr>
                <w:sz w:val="17"/>
                <w:szCs w:val="17"/>
                <w:color w:val="auto"/>
              </w:rPr>
            </w:pPr>
          </w:p>
        </w:tc>
        <w:tc>
          <w:tcPr>
            <w:tcW w:w="14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$4,201,543</w:t>
            </w: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Volatility</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45% - 50% (48%)</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PWERM</w:t>
            </w:r>
            <w:r>
              <w:rPr>
                <w:rFonts w:ascii="Times New Roman" w:cs="Times New Roman" w:eastAsia="Times New Roman" w:hAnsi="Times New Roman"/>
                <w:sz w:val="29"/>
                <w:szCs w:val="29"/>
                <w:color w:val="auto"/>
                <w:w w:val="94"/>
                <w:vertAlign w:val="superscript"/>
              </w:rPr>
              <w:t>(7)</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Precedent Transaction</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0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1.54x - 1.90x (1.72x)</w:t>
            </w:r>
          </w:p>
        </w:tc>
        <w:tc>
          <w:tcPr>
            <w:tcW w:w="0" w:type="dxa"/>
            <w:vAlign w:val="bottom"/>
          </w:tcPr>
          <w:p>
            <w:pPr>
              <w:spacing w:after="0"/>
              <w:rPr>
                <w:sz w:val="1"/>
                <w:szCs w:val="1"/>
                <w:color w:val="auto"/>
              </w:rPr>
            </w:pPr>
          </w:p>
        </w:tc>
      </w:tr>
      <w:tr>
        <w:trPr>
          <w:trHeight w:val="54"/>
        </w:trPr>
        <w:tc>
          <w:tcPr>
            <w:tcW w:w="38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5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2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8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Market Approach</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Precedent Transaction</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 - 100% (77%)</w:t>
            </w:r>
          </w:p>
        </w:tc>
        <w:tc>
          <w:tcPr>
            <w:tcW w:w="0" w:type="dxa"/>
            <w:vAlign w:val="bottom"/>
          </w:tcPr>
          <w:p>
            <w:pPr>
              <w:spacing w:after="0"/>
              <w:rPr>
                <w:sz w:val="1"/>
                <w:szCs w:val="1"/>
                <w:color w:val="auto"/>
              </w:rPr>
            </w:pPr>
          </w:p>
        </w:tc>
      </w:tr>
      <w:tr>
        <w:trPr>
          <w:trHeight w:val="198"/>
        </w:trPr>
        <w:tc>
          <w:tcPr>
            <w:tcW w:w="3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Debt investments</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$756,339</w:t>
            </w:r>
          </w:p>
        </w:tc>
        <w:tc>
          <w:tcPr>
            <w:tcW w:w="120" w:type="dxa"/>
            <w:vAlign w:val="bottom"/>
          </w:tcPr>
          <w:p>
            <w:pPr>
              <w:spacing w:after="0"/>
              <w:rPr>
                <w:sz w:val="17"/>
                <w:szCs w:val="17"/>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Market Approach</w:t>
            </w:r>
          </w:p>
        </w:tc>
        <w:tc>
          <w:tcPr>
            <w:tcW w:w="120" w:type="dxa"/>
            <w:vAlign w:val="bottom"/>
          </w:tcPr>
          <w:p>
            <w:pPr>
              <w:spacing w:after="0"/>
              <w:rPr>
                <w:sz w:val="17"/>
                <w:szCs w:val="17"/>
                <w:color w:val="auto"/>
              </w:rPr>
            </w:pP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Revenue Multiples</w:t>
            </w:r>
          </w:p>
        </w:tc>
        <w:tc>
          <w:tcPr>
            <w:tcW w:w="100" w:type="dxa"/>
            <w:vAlign w:val="bottom"/>
          </w:tcPr>
          <w:p>
            <w:pPr>
              <w:spacing w:after="0"/>
              <w:rPr>
                <w:sz w:val="17"/>
                <w:szCs w:val="17"/>
                <w:color w:val="auto"/>
              </w:rPr>
            </w:pPr>
          </w:p>
        </w:tc>
        <w:tc>
          <w:tcPr>
            <w:tcW w:w="1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0.57x - 5.05x (3.49x)</w:t>
            </w:r>
          </w:p>
        </w:tc>
        <w:tc>
          <w:tcPr>
            <w:tcW w:w="0" w:type="dxa"/>
            <w:vAlign w:val="bottom"/>
          </w:tcPr>
          <w:p>
            <w:pPr>
              <w:spacing w:after="0"/>
              <w:rPr>
                <w:sz w:val="1"/>
                <w:szCs w:val="1"/>
                <w:color w:val="auto"/>
              </w:rPr>
            </w:pPr>
          </w:p>
        </w:tc>
      </w:tr>
      <w:tr>
        <w:trPr>
          <w:trHeight w:val="126"/>
        </w:trPr>
        <w:tc>
          <w:tcPr>
            <w:tcW w:w="3940" w:type="dxa"/>
            <w:vAlign w:val="bottom"/>
            <w:gridSpan w:val="2"/>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Precedent Transactions</w:t>
            </w:r>
          </w:p>
        </w:tc>
        <w:tc>
          <w:tcPr>
            <w:tcW w:w="178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jc w:val="both"/>
        <w:ind w:left="660" w:hanging="652"/>
        <w:spacing w:after="0" w:line="253"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Board of Directors used a hybrid market and income approach to value certain common and preferred stock investments, as the Board of Directors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 for more detail.</w:t>
      </w:r>
    </w:p>
    <w:p>
      <w:pPr>
        <w:spacing w:after="0" w:line="5"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Board of Directors carefully considers numerous factors when selecting the appropriate companies whose multiples are used to value the Company’s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 for more detail.</w:t>
      </w:r>
    </w:p>
    <w:p>
      <w:pPr>
        <w:spacing w:after="0" w:line="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averages are calculated based on the fair market value of each investment.</w:t>
      </w:r>
    </w:p>
    <w:p>
      <w:pPr>
        <w:spacing w:after="0" w:line="9"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also includes the Company’s investment in the Class A Interest of ARK Type One Deep Ventures Fund LLC which is invested in the Series A-2 Preferred Shares of OpenAI Global, LLC, and the Company’s investment in the Membership Interest of IH10, LLC which is invested in the Series B Preferred Shares of VAST Data, Ltd. through an SPV.</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in Private Portfolio Companies also includes the Company’s Limited Partner Fund Investment in True Global Ventures 4 Plus Pte Ltd. and the Company’s investment in the Class A Interest of CW Opportunity 2 LP which is invested in the Class A Common Stock of CoreWeave, Inc.</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in Private Portfolio Companies also includes the Company’s investments in the SAFEs of Orchard Technologies, Inc., PayJoy, Inc., and Whoop, Inc.</w:t>
      </w: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Probability-Weighted Expected Return Method, or “PWERM”.</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Funds From Operations, or “AFFO”.</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values of Level 3 assets and liabilities changed during the three months ended March 31, 2026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9"/>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5"/>
              </w:rPr>
              <w:t>Options</w:t>
            </w:r>
            <w:r>
              <w:rPr>
                <w:rFonts w:ascii="Times New Roman" w:cs="Times New Roman" w:eastAsia="Times New Roman" w:hAnsi="Times New Roman"/>
                <w:sz w:val="29"/>
                <w:szCs w:val="29"/>
                <w:b w:val="1"/>
                <w:bCs w:val="1"/>
                <w:color w:val="auto"/>
                <w:w w:val="95"/>
                <w:vertAlign w:val="superscript"/>
              </w:rPr>
              <w:t>(3)</w:t>
            </w:r>
          </w:p>
        </w:tc>
        <w:tc>
          <w:tcPr>
            <w:tcW w:w="8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jc w:val="center"/>
              <w:ind w:right="320"/>
              <w:spacing w:after="0" w:line="256" w:lineRule="exact"/>
              <w:rPr>
                <w:sz w:val="20"/>
                <w:szCs w:val="20"/>
                <w:color w:val="auto"/>
              </w:rPr>
            </w:pPr>
            <w:r>
              <w:rPr>
                <w:rFonts w:ascii="Times New Roman" w:cs="Times New Roman" w:eastAsia="Times New Roman" w:hAnsi="Times New Roman"/>
                <w:sz w:val="18"/>
                <w:szCs w:val="18"/>
                <w:b w:val="1"/>
                <w:bCs w:val="1"/>
                <w:color w:val="auto"/>
                <w:w w:val="91"/>
              </w:rPr>
              <w:t>Stock</w:t>
            </w:r>
            <w:r>
              <w:rPr>
                <w:rFonts w:ascii="Times New Roman" w:cs="Times New Roman" w:eastAsia="Times New Roman" w:hAnsi="Times New Roman"/>
                <w:sz w:val="29"/>
                <w:szCs w:val="29"/>
                <w:b w:val="1"/>
                <w:bCs w:val="1"/>
                <w:color w:val="auto"/>
                <w:w w:val="91"/>
                <w:vertAlign w:val="superscript"/>
              </w:rPr>
              <w:t>(1)</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381"/>
              <w:spacing w:after="0" w:line="256" w:lineRule="exact"/>
              <w:rPr>
                <w:sz w:val="20"/>
                <w:szCs w:val="20"/>
                <w:color w:val="auto"/>
              </w:rPr>
            </w:pP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29"/>
                <w:szCs w:val="29"/>
                <w:b w:val="1"/>
                <w:bCs w:val="1"/>
                <w:color w:val="auto"/>
                <w:vertAlign w:val="superscript"/>
              </w:rPr>
              <w:t>(2)</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60" w:type="dxa"/>
            <w:vAlign w:val="bottom"/>
          </w:tcPr>
          <w:p>
            <w:pPr>
              <w:spacing w:after="0"/>
              <w:rPr>
                <w:sz w:val="22"/>
                <w:szCs w:val="22"/>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Fair Value as of December 31, 2025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169,631,231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46,713,129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4,201,543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756,339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221,302,242</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capitalized fees and interest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5,012,250</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5,012,250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Sales/Redemptions of investments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(245,926)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(245,926)</w:t>
            </w: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Exercises and conversions</w:t>
            </w:r>
            <w:r>
              <w:rPr>
                <w:rFonts w:ascii="Times New Roman" w:cs="Times New Roman" w:eastAsia="Times New Roman" w:hAnsi="Times New Roman"/>
                <w:sz w:val="29"/>
                <w:szCs w:val="29"/>
                <w:color w:val="auto"/>
                <w:vertAlign w:val="superscript"/>
              </w:rPr>
              <w:t>(4)</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1,001,628</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(1,001,628)</w:t>
            </w:r>
          </w:p>
        </w:tc>
        <w:tc>
          <w:tcPr>
            <w:tcW w:w="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change in unrealized appreciation/(depreciation)</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included in earnings</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161,080,131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(989,135)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(278,726)</w:t>
            </w:r>
          </w:p>
        </w:tc>
        <w:tc>
          <w:tcPr>
            <w:tcW w:w="8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159,812,270</w:t>
            </w: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March 31, 2026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331,712,990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45,478,068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7,933,439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756,339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385,880,836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change in unrealized appreciation/ (depreciation)</w:t>
            </w:r>
          </w:p>
        </w:tc>
        <w:tc>
          <w:tcPr>
            <w:tcW w:w="1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00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161,080,131</w:t>
            </w:r>
          </w:p>
        </w:tc>
        <w:tc>
          <w:tcPr>
            <w:tcW w:w="16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(989,136</w:t>
            </w:r>
          </w:p>
        </w:tc>
        <w:tc>
          <w:tcPr>
            <w:tcW w:w="20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(280,354</w:t>
            </w:r>
          </w:p>
        </w:tc>
        <w:tc>
          <w:tcPr>
            <w:tcW w:w="34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159,810,641</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of Level 3 investments still held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34290</wp:posOffset>
            </wp:positionV>
            <wp:extent cx="441452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4145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17830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jc w:val="both"/>
        <w:ind w:left="660" w:hanging="652"/>
        <w:spacing w:after="0" w:line="257"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also includes the Company’s investment in the Class A Interest of ARK Type One Deep Ventures Fund LLC which is invested in the Series A-2 Preferred Shares of OpenAI Global, LLC, and the Company’s investment in the Membership Interest of IH10, LLC which is invested in the Series B Preferred Shares of VAST Data, Ltd. through an SPV.</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in Private Portfolio Companies also includes the Company’s Limited Partner Fund Investment in True Global Ventures 4 Plus Pte Ltd. and the Company’s investment in the Class A Interest of CW Opportunity 2 LP which is invested in Class A Common Stock of CoreWeave, Inc.</w:t>
      </w:r>
    </w:p>
    <w:p>
      <w:pPr>
        <w:spacing w:after="0" w:line="1" w:lineRule="exact"/>
        <w:rPr>
          <w:rFonts w:ascii="Times New Roman" w:cs="Times New Roman" w:eastAsia="Times New Roman" w:hAnsi="Times New Roman"/>
          <w:sz w:val="18"/>
          <w:szCs w:val="18"/>
          <w:color w:val="auto"/>
        </w:rPr>
      </w:pPr>
    </w:p>
    <w:p>
      <w:pPr>
        <w:ind w:left="660" w:right="20" w:hanging="652"/>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in Private Portfolio Companies also includes the Company’s investment in the Class A Interest of Magnetar Opportunity 2025-4 LP which is invested in a SAFE of TensorWave, Inc., as well as investments in the SAFEs of Orchard Technologies, Inc. and PayJoy, Inc.</w:t>
      </w:r>
    </w:p>
    <w:p>
      <w:pPr>
        <w:ind w:left="660" w:hanging="652"/>
        <w:spacing w:after="0" w:line="26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the Company’s portfolio investments had the following corporate actions which are reflected above: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8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TABLE OF CONTENTS</w:t>
            </w: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spacing w:after="0"/>
              <w:rPr>
                <w:sz w:val="17"/>
                <w:szCs w:val="17"/>
                <w:color w:val="auto"/>
              </w:rPr>
            </w:pPr>
          </w:p>
        </w:tc>
      </w:tr>
      <w:tr>
        <w:trPr>
          <w:trHeight w:val="453"/>
        </w:trPr>
        <w:tc>
          <w:tcPr>
            <w:tcW w:w="1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SURO CAPITAL CORP. AND SUBSIDIARIES</w:t>
            </w:r>
          </w:p>
        </w:tc>
        <w:tc>
          <w:tcPr>
            <w:tcW w:w="3600" w:type="dxa"/>
            <w:vAlign w:val="bottom"/>
          </w:tcPr>
          <w:p>
            <w:pPr>
              <w:spacing w:after="0"/>
              <w:rPr>
                <w:sz w:val="24"/>
                <w:szCs w:val="24"/>
                <w:color w:val="auto"/>
              </w:rPr>
            </w:pPr>
          </w:p>
        </w:tc>
      </w:tr>
      <w:tr>
        <w:trPr>
          <w:trHeight w:val="410"/>
        </w:trPr>
        <w:tc>
          <w:tcPr>
            <w:tcW w:w="1840" w:type="dxa"/>
            <w:vAlign w:val="bottom"/>
          </w:tcPr>
          <w:p>
            <w:pPr>
              <w:spacing w:after="0"/>
              <w:rPr>
                <w:sz w:val="24"/>
                <w:szCs w:val="24"/>
                <w:color w:val="auto"/>
              </w:rPr>
            </w:pPr>
          </w:p>
        </w:tc>
        <w:tc>
          <w:tcPr>
            <w:tcW w:w="9400" w:type="dxa"/>
            <w:vAlign w:val="bottom"/>
            <w:gridSpan w:val="5"/>
          </w:tcPr>
          <w:p>
            <w:pPr>
              <w:jc w:val="center"/>
              <w:ind w:right="1750"/>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w:t>
            </w:r>
          </w:p>
        </w:tc>
      </w:tr>
      <w:tr>
        <w:trPr>
          <w:trHeight w:val="238"/>
        </w:trPr>
        <w:tc>
          <w:tcPr>
            <w:tcW w:w="18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600" w:type="dxa"/>
            <w:vAlign w:val="bottom"/>
          </w:tcPr>
          <w:p>
            <w:pPr>
              <w:spacing w:after="0"/>
              <w:rPr>
                <w:sz w:val="20"/>
                <w:szCs w:val="20"/>
                <w:color w:val="auto"/>
              </w:rPr>
            </w:pPr>
          </w:p>
        </w:tc>
      </w:tr>
      <w:tr>
        <w:trPr>
          <w:trHeight w:val="432"/>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Conversion from</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Conversion to</w:t>
            </w:r>
          </w:p>
        </w:tc>
      </w:tr>
      <w:tr>
        <w:trPr>
          <w:trHeight w:val="210"/>
        </w:trPr>
        <w:tc>
          <w:tcPr>
            <w:tcW w:w="1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Whoop, Inc.</w:t>
            </w:r>
          </w:p>
        </w:tc>
        <w:tc>
          <w:tcPr>
            <w:tcW w:w="1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Simple Agreement for Future Equity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Preferred Shares, Series G-2 (Level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-145415</wp:posOffset>
            </wp:positionV>
            <wp:extent cx="137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-145415</wp:posOffset>
            </wp:positionV>
            <wp:extent cx="1454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values of Level 3 assets and liabilities changed during the year ended December 31, 2025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9"/>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b w:val="1"/>
                <w:bCs w:val="1"/>
                <w:color w:val="auto"/>
              </w:rPr>
              <w:t>Preferred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5"/>
              </w:rPr>
              <w:t>Options</w:t>
            </w:r>
            <w:r>
              <w:rPr>
                <w:rFonts w:ascii="Times New Roman" w:cs="Times New Roman" w:eastAsia="Times New Roman" w:hAnsi="Times New Roman"/>
                <w:sz w:val="29"/>
                <w:szCs w:val="29"/>
                <w:b w:val="1"/>
                <w:bCs w:val="1"/>
                <w:color w:val="auto"/>
                <w:w w:val="95"/>
                <w:vertAlign w:val="superscript"/>
              </w:rPr>
              <w:t>(3)</w:t>
            </w:r>
          </w:p>
        </w:tc>
        <w:tc>
          <w:tcPr>
            <w:tcW w:w="80" w:type="dxa"/>
            <w:vAlign w:val="bottom"/>
          </w:tcPr>
          <w:p>
            <w:pPr>
              <w:spacing w:after="0"/>
              <w:rPr>
                <w:sz w:val="17"/>
                <w:szCs w:val="17"/>
                <w:color w:val="auto"/>
              </w:rPr>
            </w:pPr>
          </w:p>
        </w:tc>
        <w:tc>
          <w:tcPr>
            <w:tcW w:w="1340" w:type="dxa"/>
            <w:vAlign w:val="bottom"/>
            <w:gridSpan w:val="2"/>
          </w:tcPr>
          <w:p>
            <w:pPr>
              <w:jc w:val="right"/>
              <w:ind w:right="680"/>
              <w:spacing w:after="0" w:line="196" w:lineRule="exact"/>
              <w:rPr>
                <w:sz w:val="20"/>
                <w:szCs w:val="20"/>
                <w:color w:val="auto"/>
              </w:rPr>
            </w:pPr>
            <w:r>
              <w:rPr>
                <w:rFonts w:ascii="Times New Roman" w:cs="Times New Roman" w:eastAsia="Times New Roman" w:hAnsi="Times New Roman"/>
                <w:sz w:val="18"/>
                <w:szCs w:val="18"/>
                <w:b w:val="1"/>
                <w:bCs w:val="1"/>
                <w:color w:val="auto"/>
              </w:rPr>
              <w:t>Debt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480"/>
              <w:spacing w:after="0" w:line="270" w:lineRule="exact"/>
              <w:rPr>
                <w:sz w:val="20"/>
                <w:szCs w:val="20"/>
                <w:color w:val="auto"/>
              </w:rPr>
            </w:pP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29"/>
                <w:szCs w:val="29"/>
                <w:b w:val="1"/>
                <w:bCs w:val="1"/>
                <w:color w:val="auto"/>
                <w:vertAlign w:val="superscript"/>
              </w:rPr>
              <w:t>(1)</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460"/>
              <w:spacing w:after="0" w:line="270" w:lineRule="exact"/>
              <w:rPr>
                <w:sz w:val="20"/>
                <w:szCs w:val="20"/>
                <w:color w:val="auto"/>
              </w:rPr>
            </w:pP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29"/>
                <w:szCs w:val="29"/>
                <w:b w:val="1"/>
                <w:bCs w:val="1"/>
                <w:color w:val="auto"/>
                <w:vertAlign w:val="superscript"/>
              </w:rPr>
              <w:t>(2)</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vMerge w:val="continue"/>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60" w:type="dxa"/>
            <w:vAlign w:val="bottom"/>
          </w:tcPr>
          <w:p>
            <w:pPr>
              <w:spacing w:after="0"/>
              <w:rPr>
                <w:sz w:val="23"/>
                <w:szCs w:val="23"/>
                <w:color w:val="auto"/>
              </w:rPr>
            </w:pPr>
          </w:p>
        </w:tc>
        <w:tc>
          <w:tcPr>
            <w:tcW w:w="10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Fair Value as of December 31, 2024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151,003,991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35,922,154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4,357,138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506,339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191,789,622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out of Level 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(5,221,824)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(6,323,519)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(498,305)</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(12,043,648)</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Purchases, capitalized fees and interest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5,330,509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5,395,541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1,083,211</w:t>
            </w:r>
          </w:p>
        </w:tc>
        <w:tc>
          <w:tcPr>
            <w:tcW w:w="8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252,363</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12,061,624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Sales/Redemptions of investments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(16,324,378)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(16,324,378)</w:t>
            </w:r>
          </w:p>
        </w:tc>
        <w:tc>
          <w:tcPr>
            <w:tcW w:w="0" w:type="dxa"/>
            <w:vAlign w:val="bottom"/>
          </w:tcPr>
          <w:p>
            <w:pPr>
              <w:spacing w:after="0"/>
              <w:rPr>
                <w:sz w:val="1"/>
                <w:szCs w:val="1"/>
                <w:color w:val="auto"/>
              </w:rPr>
            </w:pPr>
          </w:p>
        </w:tc>
      </w:tr>
      <w:tr>
        <w:trPr>
          <w:trHeight w:val="257"/>
        </w:trPr>
        <w:tc>
          <w:tcPr>
            <w:tcW w:w="40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Exercises and conversions</w:t>
            </w:r>
            <w:r>
              <w:rPr>
                <w:rFonts w:ascii="Times New Roman" w:cs="Times New Roman" w:eastAsia="Times New Roman" w:hAnsi="Times New Roman"/>
                <w:sz w:val="29"/>
                <w:szCs w:val="29"/>
                <w:color w:val="auto"/>
                <w:vertAlign w:val="superscript"/>
              </w:rPr>
              <w:t>(4)</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(15,768,763)</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17,775,155</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(2,006,392)</w:t>
            </w:r>
          </w:p>
        </w:tc>
        <w:tc>
          <w:tcPr>
            <w:tcW w:w="80" w:type="dxa"/>
            <w:vAlign w:val="bottom"/>
          </w:tcPr>
          <w:p>
            <w:pPr>
              <w:spacing w:after="0"/>
              <w:rPr>
                <w:sz w:val="22"/>
                <w:szCs w:val="22"/>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gains/(losses)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(1,002,755)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11,395,780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10,393,025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change in unrealized appreciation/(depreciation)</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included in earnings</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35,290,073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(1,127,604)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1,265,891</w:t>
            </w:r>
          </w:p>
        </w:tc>
        <w:tc>
          <w:tcPr>
            <w:tcW w:w="8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(2,363)</w:t>
            </w:r>
          </w:p>
        </w:tc>
        <w:tc>
          <w:tcPr>
            <w:tcW w:w="16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35,425,997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December 31, 2025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169,631,231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46,713,129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4,201,543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756,339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221,302,242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Net change in unrealized appreciation/ (depreciation)</w:t>
            </w: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Level 3 investments still held as of December 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34,444,974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(1,127,603)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1,121,861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(2,363)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34,436,869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2" w:lineRule="exact"/>
        <w:rPr>
          <w:sz w:val="20"/>
          <w:szCs w:val="20"/>
          <w:color w:val="auto"/>
        </w:rPr>
      </w:pPr>
    </w:p>
    <w:p>
      <w:pPr>
        <w:jc w:val="both"/>
        <w:ind w:left="660" w:hanging="652"/>
        <w:spacing w:after="0" w:line="257"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also includes the Company’s investment in the Class A Interest of ARK Type One Deep Ventures Fund LLC which is invested in the Series A-2 Preferred Shares of OpenAI Global, LLC, and the Company’s investment in the Membership Interest of IH10, LLC which is invested in the Series B Preferred Shares of VAST Data, Ltd. through an SPV.</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in Private Portfolio Companies also includes the Company’s Limited Partner Fund Investment in True Global Ventures 4 Plus Pte Ltd. and the Company’s investment in the Class A Interest of CW Opportunity 2 LP which is invested in Class A Common Stock of CoreWeave, Inc.</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in Private Portfolio Companies also includes the Company’s investments in the SAFEs of Orchard Technologies, Inc., PayJoy, Inc., and Whoop, Inc.</w:t>
      </w: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2025, the Company’s portfolio investments had the following corporate actions which are reflected above: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120" w:type="dxa"/>
            <w:vAlign w:val="bottom"/>
            <w:tcBorders>
              <w:bottom w:val="single" w:sz="8" w:color="CCEEFF"/>
            </w:tcBorders>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Conversion from</w:t>
            </w:r>
          </w:p>
        </w:tc>
        <w:tc>
          <w:tcPr>
            <w:tcW w:w="100" w:type="dxa"/>
            <w:vAlign w:val="bottom"/>
            <w:tcBorders>
              <w:bottom w:val="single" w:sz="8" w:color="CCEEFF"/>
            </w:tcBorders>
          </w:tcPr>
          <w:p>
            <w:pPr>
              <w:spacing w:after="0"/>
              <w:rPr>
                <w:sz w:val="20"/>
                <w:szCs w:val="20"/>
                <w:color w:val="auto"/>
              </w:rPr>
            </w:pP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Conversion to</w:t>
            </w:r>
          </w:p>
        </w:tc>
        <w:tc>
          <w:tcPr>
            <w:tcW w:w="0" w:type="dxa"/>
            <w:vAlign w:val="bottom"/>
          </w:tcPr>
          <w:p>
            <w:pPr>
              <w:spacing w:after="0"/>
              <w:rPr>
                <w:sz w:val="1"/>
                <w:szCs w:val="1"/>
                <w:color w:val="auto"/>
              </w:rPr>
            </w:pPr>
          </w:p>
        </w:tc>
      </w:tr>
      <w:tr>
        <w:trPr>
          <w:trHeight w:val="191"/>
        </w:trPr>
        <w:tc>
          <w:tcPr>
            <w:tcW w:w="35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CoreWeave, Inc.</w:t>
            </w:r>
          </w:p>
        </w:tc>
        <w:tc>
          <w:tcPr>
            <w:tcW w:w="360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Preferred Shares, Series A</w:t>
            </w:r>
          </w:p>
        </w:tc>
        <w:tc>
          <w:tcPr>
            <w:tcW w:w="100" w:type="dxa"/>
            <w:vAlign w:val="bottom"/>
            <w:shd w:val="clear" w:color="auto" w:fill="CCEEFF"/>
          </w:tcPr>
          <w:p>
            <w:pPr>
              <w:spacing w:after="0"/>
              <w:rPr>
                <w:sz w:val="16"/>
                <w:szCs w:val="16"/>
                <w:color w:val="auto"/>
              </w:rPr>
            </w:pPr>
          </w:p>
        </w:tc>
        <w:tc>
          <w:tcPr>
            <w:tcW w:w="4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Shares (Level 2)</w:t>
            </w:r>
          </w:p>
        </w:tc>
        <w:tc>
          <w:tcPr>
            <w:tcW w:w="0" w:type="dxa"/>
            <w:vAlign w:val="bottom"/>
          </w:tcPr>
          <w:p>
            <w:pPr>
              <w:spacing w:after="0"/>
              <w:rPr>
                <w:sz w:val="1"/>
                <w:szCs w:val="1"/>
                <w:color w:val="auto"/>
              </w:rPr>
            </w:pPr>
          </w:p>
        </w:tc>
      </w:tr>
      <w:tr>
        <w:trPr>
          <w:trHeight w:val="126"/>
        </w:trPr>
        <w:tc>
          <w:tcPr>
            <w:tcW w:w="3500" w:type="dxa"/>
            <w:vAlign w:val="bottom"/>
            <w:gridSpan w:val="2"/>
            <w:vMerge w:val="continue"/>
            <w:shd w:val="clear" w:color="auto" w:fill="CCEEFF"/>
          </w:tcPr>
          <w:p>
            <w:pPr>
              <w:spacing w:after="0"/>
              <w:rPr>
                <w:sz w:val="10"/>
                <w:szCs w:val="10"/>
                <w:color w:val="auto"/>
              </w:rPr>
            </w:pPr>
          </w:p>
        </w:tc>
        <w:tc>
          <w:tcPr>
            <w:tcW w:w="37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shares</w:t>
            </w:r>
          </w:p>
        </w:tc>
        <w:tc>
          <w:tcPr>
            <w:tcW w:w="40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700" w:type="dxa"/>
            <w:vAlign w:val="bottom"/>
            <w:gridSpan w:val="2"/>
            <w:vMerge w:val="continue"/>
            <w:shd w:val="clear" w:color="auto" w:fill="CCEEFF"/>
          </w:tcPr>
          <w:p>
            <w:pPr>
              <w:spacing w:after="0"/>
              <w:rPr>
                <w:sz w:val="9"/>
                <w:szCs w:val="9"/>
                <w:color w:val="auto"/>
              </w:rPr>
            </w:pPr>
          </w:p>
        </w:tc>
        <w:tc>
          <w:tcPr>
            <w:tcW w:w="40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 Opportunity 2 LP</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Preferred Shares, Series C</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Shares (Level 3)</w:t>
            </w:r>
          </w:p>
        </w:tc>
        <w:tc>
          <w:tcPr>
            <w:tcW w:w="0" w:type="dxa"/>
            <w:vAlign w:val="bottom"/>
          </w:tcPr>
          <w:p>
            <w:pPr>
              <w:spacing w:after="0"/>
              <w:rPr>
                <w:sz w:val="1"/>
                <w:szCs w:val="1"/>
                <w:color w:val="auto"/>
              </w:rPr>
            </w:pPr>
          </w:p>
        </w:tc>
      </w:tr>
      <w:tr>
        <w:trPr>
          <w:trHeight w:val="198"/>
        </w:trPr>
        <w:tc>
          <w:tcPr>
            <w:tcW w:w="3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Commercial Streaming Solutions Inc.</w:t>
            </w:r>
          </w:p>
        </w:tc>
        <w:tc>
          <w:tcPr>
            <w:tcW w:w="37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Simple Agreement for Future Equity</w:t>
            </w:r>
          </w:p>
        </w:tc>
        <w:tc>
          <w:tcPr>
            <w:tcW w:w="4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Preferred Shares, Class A-1 (Level 3)</w:t>
            </w:r>
          </w:p>
        </w:tc>
        <w:tc>
          <w:tcPr>
            <w:tcW w:w="0" w:type="dxa"/>
            <w:vAlign w:val="bottom"/>
          </w:tcPr>
          <w:p>
            <w:pPr>
              <w:spacing w:after="0"/>
              <w:rPr>
                <w:sz w:val="1"/>
                <w:szCs w:val="1"/>
                <w:color w:val="auto"/>
              </w:rPr>
            </w:pPr>
          </w:p>
        </w:tc>
      </w:tr>
      <w:tr>
        <w:trPr>
          <w:trHeight w:val="126"/>
        </w:trPr>
        <w:tc>
          <w:tcPr>
            <w:tcW w:w="35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(d/b/a BettorView)</w:t>
            </w:r>
          </w:p>
        </w:tc>
        <w:tc>
          <w:tcPr>
            <w:tcW w:w="3700" w:type="dxa"/>
            <w:vAlign w:val="bottom"/>
            <w:gridSpan w:val="2"/>
            <w:vMerge w:val="continue"/>
            <w:shd w:val="clear" w:color="auto" w:fill="CCEEFF"/>
          </w:tcPr>
          <w:p>
            <w:pPr>
              <w:spacing w:after="0"/>
              <w:rPr>
                <w:sz w:val="10"/>
                <w:szCs w:val="10"/>
                <w:color w:val="auto"/>
              </w:rPr>
            </w:pPr>
          </w:p>
        </w:tc>
        <w:tc>
          <w:tcPr>
            <w:tcW w:w="40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500" w:type="dxa"/>
            <w:vAlign w:val="bottom"/>
            <w:gridSpan w:val="2"/>
            <w:vMerge w:val="continue"/>
            <w:shd w:val="clear" w:color="auto" w:fill="CCEEFF"/>
          </w:tcPr>
          <w:p>
            <w:pPr>
              <w:spacing w:after="0"/>
              <w:rPr>
                <w:sz w:val="9"/>
                <w:szCs w:val="9"/>
                <w:color w:val="auto"/>
              </w:rPr>
            </w:pPr>
          </w:p>
        </w:tc>
        <w:tc>
          <w:tcPr>
            <w:tcW w:w="3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GrabAGun Digital Holdings Inc. Common Shares</w:t>
            </w:r>
          </w:p>
        </w:tc>
        <w:tc>
          <w:tcPr>
            <w:tcW w:w="0" w:type="dxa"/>
            <w:vAlign w:val="bottom"/>
          </w:tcPr>
          <w:p>
            <w:pPr>
              <w:spacing w:after="0"/>
              <w:rPr>
                <w:sz w:val="1"/>
                <w:szCs w:val="1"/>
                <w:color w:val="auto"/>
              </w:rPr>
            </w:pPr>
          </w:p>
        </w:tc>
      </w:tr>
      <w:tr>
        <w:trPr>
          <w:trHeight w:val="216"/>
        </w:trPr>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Colombier Sponsor II LLC</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Class B Units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1)</w:t>
            </w:r>
          </w:p>
        </w:tc>
        <w:tc>
          <w:tcPr>
            <w:tcW w:w="0" w:type="dxa"/>
            <w:vAlign w:val="bottom"/>
          </w:tcPr>
          <w:p>
            <w:pPr>
              <w:spacing w:after="0"/>
              <w:rPr>
                <w:sz w:val="1"/>
                <w:szCs w:val="1"/>
                <w:color w:val="auto"/>
              </w:rPr>
            </w:pPr>
          </w:p>
        </w:tc>
      </w:tr>
      <w:tr>
        <w:trPr>
          <w:trHeight w:val="126"/>
        </w:trPr>
        <w:tc>
          <w:tcPr>
            <w:tcW w:w="3500" w:type="dxa"/>
            <w:vAlign w:val="bottom"/>
            <w:gridSpan w:val="2"/>
            <w:vMerge w:val="continue"/>
          </w:tcPr>
          <w:p>
            <w:pPr>
              <w:spacing w:after="0"/>
              <w:rPr>
                <w:sz w:val="10"/>
                <w:szCs w:val="10"/>
                <w:color w:val="auto"/>
              </w:rPr>
            </w:pPr>
          </w:p>
        </w:tc>
        <w:tc>
          <w:tcPr>
            <w:tcW w:w="3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W Units</w:t>
            </w:r>
          </w:p>
        </w:tc>
        <w:tc>
          <w:tcPr>
            <w:tcW w:w="4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GrabAGun Digital Holdings Inc. Common Warrants</w:t>
            </w:r>
          </w:p>
        </w:tc>
        <w:tc>
          <w:tcPr>
            <w:tcW w:w="0" w:type="dxa"/>
            <w:vAlign w:val="bottom"/>
          </w:tcPr>
          <w:p>
            <w:pPr>
              <w:spacing w:after="0"/>
              <w:rPr>
                <w:sz w:val="1"/>
                <w:szCs w:val="1"/>
                <w:color w:val="auto"/>
              </w:rPr>
            </w:pPr>
          </w:p>
        </w:tc>
      </w:tr>
      <w:tr>
        <w:trPr>
          <w:trHeight w:val="90"/>
        </w:trPr>
        <w:tc>
          <w:tcPr>
            <w:tcW w:w="3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700" w:type="dxa"/>
            <w:vAlign w:val="bottom"/>
            <w:gridSpan w:val="2"/>
            <w:vMerge w:val="continue"/>
          </w:tcPr>
          <w:p>
            <w:pPr>
              <w:spacing w:after="0"/>
              <w:rPr>
                <w:sz w:val="7"/>
                <w:szCs w:val="7"/>
                <w:color w:val="auto"/>
              </w:rPr>
            </w:pPr>
          </w:p>
        </w:tc>
        <w:tc>
          <w:tcPr>
            <w:tcW w:w="4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1)</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Stake Trade, Inc. (d/b/a Prophet Exchange)</w:t>
            </w:r>
          </w:p>
        </w:tc>
        <w:tc>
          <w:tcPr>
            <w:tcW w:w="3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Simple Agreement for Future Equity</w:t>
            </w:r>
          </w:p>
        </w:tc>
        <w:tc>
          <w:tcPr>
            <w:tcW w:w="4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Preferred Shares, Series B-IV (Level 3)</w:t>
            </w:r>
          </w:p>
        </w:tc>
        <w:tc>
          <w:tcPr>
            <w:tcW w:w="0" w:type="dxa"/>
            <w:vAlign w:val="bottom"/>
          </w:tcPr>
          <w:p>
            <w:pPr>
              <w:spacing w:after="0"/>
              <w:rPr>
                <w:sz w:val="1"/>
                <w:szCs w:val="1"/>
                <w:color w:val="auto"/>
              </w:rPr>
            </w:pPr>
          </w:p>
        </w:tc>
      </w:tr>
      <w:tr>
        <w:trPr>
          <w:trHeight w:val="439"/>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-1670685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-1670685</wp:posOffset>
            </wp:positionV>
            <wp:extent cx="76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Investments In, and Advances to, Affiliates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Transactions during the three months ended March 31, 2026 involving the Company’s controlled investments and non-controlled/affiliate investments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40" w:type="dxa"/>
            <w:vAlign w:val="bottom"/>
          </w:tcPr>
          <w:p>
            <w:pPr>
              <w:spacing w:after="0"/>
              <w:rPr>
                <w:sz w:val="18"/>
                <w:szCs w:val="18"/>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Transfer</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at March</w:t>
            </w: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of Net</w:t>
            </w:r>
          </w:p>
        </w:tc>
        <w:tc>
          <w:tcPr>
            <w:tcW w:w="0" w:type="dxa"/>
            <w:vAlign w:val="bottom"/>
          </w:tcPr>
          <w:p>
            <w:pPr>
              <w:spacing w:after="0"/>
              <w:rPr>
                <w:sz w:val="1"/>
                <w:szCs w:val="1"/>
                <w:color w:val="auto"/>
              </w:rPr>
            </w:pPr>
          </w:p>
        </w:tc>
      </w:tr>
      <w:tr>
        <w:trPr>
          <w:trHeight w:val="238"/>
        </w:trPr>
        <w:tc>
          <w:tcPr>
            <w:tcW w:w="39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Type/Industry/Portfolio Company/Investment</w:t>
            </w: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Principal/Quantity</w:t>
            </w:r>
          </w:p>
        </w:tc>
        <w:tc>
          <w:tcPr>
            <w:tcW w:w="10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31, 2025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 (Out)</w:t>
            </w:r>
          </w:p>
        </w:tc>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Gains/(Losses)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5"/>
              </w:rPr>
              <w:t>31, 2026</w:t>
            </w:r>
          </w:p>
        </w:tc>
        <w:tc>
          <w:tcPr>
            <w:tcW w:w="260" w:type="dxa"/>
            <w:vAlign w:val="bottom"/>
          </w:tcPr>
          <w:p>
            <w:pPr>
              <w:spacing w:after="0"/>
              <w:rPr>
                <w:sz w:val="20"/>
                <w:szCs w:val="20"/>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0" w:type="dxa"/>
            <w:vAlign w:val="bottom"/>
          </w:tcPr>
          <w:p>
            <w:pPr>
              <w:spacing w:after="0"/>
              <w:rPr>
                <w:sz w:val="1"/>
                <w:szCs w:val="1"/>
                <w:color w:val="auto"/>
              </w:rPr>
            </w:pPr>
          </w:p>
        </w:tc>
      </w:tr>
      <w:tr>
        <w:trPr>
          <w:trHeight w:val="169"/>
        </w:trPr>
        <w:tc>
          <w:tcPr>
            <w:tcW w:w="3740" w:type="dxa"/>
            <w:vAlign w:val="bottom"/>
            <w:tcBorders>
              <w:top w:val="single" w:sz="8" w:color="auto"/>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NON-CONTROLLED/AFFILIATE</w:t>
            </w:r>
          </w:p>
        </w:tc>
        <w:tc>
          <w:tcPr>
            <w:tcW w:w="16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0" w:type="dxa"/>
            <w:vAlign w:val="bottom"/>
            <w:tcBorders>
              <w:top w:val="single" w:sz="8" w:color="auto"/>
              <w:bottom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1"/>
              </w:rPr>
              <w:t>(1)</w:t>
            </w:r>
          </w:p>
        </w:tc>
        <w:tc>
          <w:tcPr>
            <w:tcW w:w="118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1140" w:type="dxa"/>
            <w:vAlign w:val="bottom"/>
            <w:tcBorders>
              <w:top w:val="single" w:sz="8" w:color="CCEEFF"/>
              <w:bottom w:val="single" w:sz="8" w:color="CCEEFF"/>
            </w:tcBorders>
            <w:gridSpan w:val="2"/>
            <w:vMerge w:val="restart"/>
            <w:shd w:val="clear" w:color="auto" w:fill="CCEEFF"/>
          </w:tcPr>
          <w:p>
            <w:pPr>
              <w:spacing w:after="0"/>
              <w:rPr>
                <w:sz w:val="14"/>
                <w:szCs w:val="14"/>
                <w:color w:val="auto"/>
              </w:rPr>
            </w:pPr>
          </w:p>
        </w:tc>
        <w:tc>
          <w:tcPr>
            <w:tcW w:w="144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1400" w:type="dxa"/>
            <w:vAlign w:val="bottom"/>
            <w:tcBorders>
              <w:bottom w:val="single" w:sz="8" w:color="auto"/>
            </w:tcBorders>
            <w:vMerge w:val="continue"/>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1180" w:type="dxa"/>
            <w:vAlign w:val="bottom"/>
            <w:tcBorders>
              <w:bottom w:val="single" w:sz="8" w:color="CCEEFF"/>
            </w:tcBorders>
            <w:vMerge w:val="continue"/>
            <w:shd w:val="clear" w:color="auto" w:fill="CCEEFF"/>
          </w:tcPr>
          <w:p>
            <w:pPr>
              <w:spacing w:after="0"/>
              <w:rPr>
                <w:sz w:val="5"/>
                <w:szCs w:val="5"/>
                <w:color w:val="auto"/>
              </w:rPr>
            </w:pPr>
          </w:p>
        </w:tc>
        <w:tc>
          <w:tcPr>
            <w:tcW w:w="1140" w:type="dxa"/>
            <w:vAlign w:val="bottom"/>
            <w:tcBorders>
              <w:bottom w:val="single" w:sz="8" w:color="CCEEFF"/>
            </w:tcBorders>
            <w:gridSpan w:val="2"/>
            <w:vMerge w:val="continue"/>
            <w:shd w:val="clear" w:color="auto" w:fill="CCEEFF"/>
          </w:tcPr>
          <w:p>
            <w:pPr>
              <w:spacing w:after="0"/>
              <w:rPr>
                <w:sz w:val="5"/>
                <w:szCs w:val="5"/>
                <w:color w:val="auto"/>
              </w:rPr>
            </w:pPr>
          </w:p>
        </w:tc>
        <w:tc>
          <w:tcPr>
            <w:tcW w:w="144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98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86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900" w:type="dxa"/>
            <w:vAlign w:val="bottom"/>
            <w:tcBorders>
              <w:top w:val="single" w:sz="8" w:color="CCEEFF"/>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Interactive Media &amp; Services</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0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Commercial Streaming Solutions Inc. (d/b/a</w:t>
            </w: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BettorView)–Preferred Shares, Series A-1</w:t>
            </w: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10,548,522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350,000</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(350,000)</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Knowledge Networks</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Maven Research, Inc.–Preferred Shares, Series C</w:t>
            </w: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318,979</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Maven Research, Inc.–Preferred Shares, Series B</w:t>
            </w:r>
          </w:p>
        </w:tc>
        <w:tc>
          <w:tcPr>
            <w:tcW w:w="1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49,505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i w:val="1"/>
                <w:iCs w:val="1"/>
                <w:color w:val="auto"/>
              </w:rPr>
              <w:t>Total Knowledge Networks</w:t>
            </w: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gridSpan w:val="5"/>
            <w:vMerge w:val="continue"/>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continue"/>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Interactive Learning</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00" w:type="dxa"/>
            <w:vAlign w:val="bottom"/>
            <w:gridSpan w:val="5"/>
          </w:tcPr>
          <w:p>
            <w:pPr>
              <w:spacing w:after="0" w:line="239" w:lineRule="exact"/>
              <w:rPr>
                <w:sz w:val="20"/>
                <w:szCs w:val="20"/>
                <w:color w:val="auto"/>
              </w:rPr>
            </w:pPr>
            <w:r>
              <w:rPr>
                <w:rFonts w:ascii="Times New Roman" w:cs="Times New Roman" w:eastAsia="Times New Roman" w:hAnsi="Times New Roman"/>
                <w:sz w:val="17"/>
                <w:szCs w:val="17"/>
                <w:color w:val="auto"/>
              </w:rPr>
              <w:t>StormWind, LLC</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7"/>
                <w:szCs w:val="17"/>
                <w:color w:val="auto"/>
              </w:rPr>
              <w:t xml:space="preserve"> – Preferred Shares, Series D</w:t>
            </w: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329,337</w:t>
            </w: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435,806</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(37,093)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398,713</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38"/>
        </w:trPr>
        <w:tc>
          <w:tcPr>
            <w:tcW w:w="3900" w:type="dxa"/>
            <w:vAlign w:val="bottom"/>
            <w:gridSpan w:val="5"/>
            <w:shd w:val="clear" w:color="auto" w:fill="CCEEFF"/>
          </w:tcPr>
          <w:p>
            <w:pPr>
              <w:spacing w:after="0" w:line="239" w:lineRule="exact"/>
              <w:rPr>
                <w:sz w:val="20"/>
                <w:szCs w:val="20"/>
                <w:color w:val="auto"/>
              </w:rPr>
            </w:pPr>
            <w:r>
              <w:rPr>
                <w:rFonts w:ascii="Times New Roman" w:cs="Times New Roman" w:eastAsia="Times New Roman" w:hAnsi="Times New Roman"/>
                <w:sz w:val="17"/>
                <w:szCs w:val="17"/>
                <w:color w:val="auto"/>
              </w:rPr>
              <w:t>StormWind, LLC</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7"/>
                <w:szCs w:val="17"/>
                <w:color w:val="auto"/>
              </w:rPr>
              <w:t xml:space="preserve"> – Preferred Shares, Series C</w:t>
            </w:r>
          </w:p>
        </w:tc>
        <w:tc>
          <w:tcPr>
            <w:tcW w:w="1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2,779,134</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4,760,083</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(417,992)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4,342,090</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8"/>
        </w:trPr>
        <w:tc>
          <w:tcPr>
            <w:tcW w:w="3900" w:type="dxa"/>
            <w:vAlign w:val="bottom"/>
            <w:gridSpan w:val="5"/>
          </w:tcPr>
          <w:p>
            <w:pPr>
              <w:spacing w:after="0" w:line="239" w:lineRule="exact"/>
              <w:rPr>
                <w:sz w:val="20"/>
                <w:szCs w:val="20"/>
                <w:color w:val="auto"/>
              </w:rPr>
            </w:pPr>
            <w:r>
              <w:rPr>
                <w:rFonts w:ascii="Times New Roman" w:cs="Times New Roman" w:eastAsia="Times New Roman" w:hAnsi="Times New Roman"/>
                <w:sz w:val="17"/>
                <w:szCs w:val="17"/>
                <w:color w:val="auto"/>
              </w:rPr>
              <w:t>StormWind, LLC</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7"/>
                <w:szCs w:val="17"/>
                <w:color w:val="auto"/>
              </w:rPr>
              <w:t xml:space="preserve"> – Preferred Shares, Series B</w:t>
            </w: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3,279,629</w:t>
            </w: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2,578,473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(425,665)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2,152,809</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38"/>
        </w:trPr>
        <w:tc>
          <w:tcPr>
            <w:tcW w:w="3900" w:type="dxa"/>
            <w:vAlign w:val="bottom"/>
            <w:gridSpan w:val="5"/>
            <w:shd w:val="clear" w:color="auto" w:fill="CCEEFF"/>
          </w:tcPr>
          <w:p>
            <w:pPr>
              <w:spacing w:after="0" w:line="239" w:lineRule="exact"/>
              <w:rPr>
                <w:sz w:val="20"/>
                <w:szCs w:val="20"/>
                <w:color w:val="auto"/>
              </w:rPr>
            </w:pPr>
            <w:r>
              <w:rPr>
                <w:rFonts w:ascii="Times New Roman" w:cs="Times New Roman" w:eastAsia="Times New Roman" w:hAnsi="Times New Roman"/>
                <w:sz w:val="17"/>
                <w:szCs w:val="17"/>
                <w:color w:val="auto"/>
              </w:rPr>
              <w:t>StormWind, LLC</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7"/>
                <w:szCs w:val="17"/>
                <w:color w:val="auto"/>
              </w:rPr>
              <w:t xml:space="preserve"> – Preferred Shares, Series A</w:t>
            </w:r>
          </w:p>
        </w:tc>
        <w:tc>
          <w:tcPr>
            <w:tcW w:w="1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366,666</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(38,272)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44,734</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39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i w:val="1"/>
                <w:iCs w:val="1"/>
                <w:color w:val="auto"/>
              </w:rPr>
              <w:t>Total Interactive Learning</w:t>
            </w: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gridSpan w:val="5"/>
            <w:vMerge w:val="continue"/>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7,857,367</w:t>
            </w:r>
          </w:p>
        </w:tc>
        <w:tc>
          <w:tcPr>
            <w:tcW w:w="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(919,022)</w:t>
            </w:r>
          </w:p>
        </w:tc>
        <w:tc>
          <w:tcPr>
            <w:tcW w:w="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6,938,345</w:t>
            </w:r>
          </w:p>
        </w:tc>
        <w:tc>
          <w:tcPr>
            <w:tcW w:w="260" w:type="dxa"/>
            <w:vAlign w:val="bottom"/>
            <w:vMerge w:val="continue"/>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3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Preferred Stock</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8,207,367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(1,269,022)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6,938,345</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30"/>
        </w:trPr>
        <w:tc>
          <w:tcPr>
            <w:tcW w:w="39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Online Education</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Curious.com, Inc.–Common Shares</w:t>
            </w: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1,135,944</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Common Stock</w:t>
            </w: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7"/>
        </w:trPr>
        <w:tc>
          <w:tcPr>
            <w:tcW w:w="3900" w:type="dxa"/>
            <w:vAlign w:val="bottom"/>
            <w:gridSpan w:val="5"/>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TOTAL NON-CONTROLLED/AFFILIATE</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900" w:type="dxa"/>
            <w:vAlign w:val="bottom"/>
            <w:gridSpan w:val="5"/>
          </w:tcPr>
          <w:p>
            <w:pPr>
              <w:spacing w:after="0" w:line="221" w:lineRule="exact"/>
              <w:rPr>
                <w:sz w:val="20"/>
                <w:szCs w:val="20"/>
                <w:color w:val="auto"/>
              </w:rPr>
            </w:pP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25"/>
                <w:szCs w:val="25"/>
                <w:b w:val="1"/>
                <w:bCs w:val="1"/>
                <w:color w:val="auto"/>
                <w:vertAlign w:val="superscript"/>
              </w:rPr>
              <w:t>(1)</w:t>
            </w: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8,207,367</w:t>
            </w:r>
          </w:p>
        </w:tc>
        <w:tc>
          <w:tcPr>
            <w:tcW w:w="46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(1,269,022</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6,938,345</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1"/>
        </w:trPr>
        <w:tc>
          <w:tcPr>
            <w:tcW w:w="1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80" w:type="dxa"/>
            <w:vAlign w:val="bottom"/>
            <w:gridSpan w:val="2"/>
          </w:tcPr>
          <w:p>
            <w:pPr>
              <w:jc w:val="right"/>
              <w:ind w:right="20"/>
              <w:spacing w:after="0" w:line="81" w:lineRule="exact"/>
              <w:rPr>
                <w:sz w:val="20"/>
                <w:szCs w:val="20"/>
                <w:color w:val="auto"/>
              </w:rPr>
            </w:pPr>
            <w:r>
              <w:rPr>
                <w:rFonts w:ascii="Times New Roman" w:cs="Times New Roman" w:eastAsia="Times New Roman" w:hAnsi="Times New Roman"/>
                <w:sz w:val="9"/>
                <w:szCs w:val="9"/>
                <w:b w:val="1"/>
                <w:bCs w:val="1"/>
                <w:color w:val="auto"/>
              </w:rPr>
              <w:t>1.92</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55"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portfolio investments are non-income-producing, unless otherwise identified. Equity investments may be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 </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3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Investments” are investments in those companies that are “Affiliated Companies” of SuRo Capital, as defined in the 1940 Act. In general, a company is deemed to be an “Affiliate” of SuRo Capital if SuRo Capital beneficially owns, directly or indirectly, between 5% and 25% of the voting securities (i.e., securities with the right to elect directors) of such company.</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Capital’s investments in StormWind, LLC are held through SuRo Capital Corp.’s wholly owned subsidiary, GSVC SW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Investments In, and Advances to, Affiliates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Transactions during the year ended December 31, 2025 involving the Company’s controlled investments and non-controlled/affiliate investments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Shares/</w:t>
            </w:r>
          </w:p>
        </w:tc>
        <w:tc>
          <w:tcPr>
            <w:tcW w:w="100" w:type="dxa"/>
            <w:vAlign w:val="bottom"/>
          </w:tcPr>
          <w:p>
            <w:pPr>
              <w:spacing w:after="0"/>
              <w:rPr>
                <w:sz w:val="18"/>
                <w:szCs w:val="18"/>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at</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at</w:t>
            </w: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Principal/</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Transfer</w:t>
            </w:r>
          </w:p>
        </w:tc>
        <w:tc>
          <w:tcPr>
            <w:tcW w:w="12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22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of Net</w:t>
            </w:r>
          </w:p>
        </w:tc>
        <w:tc>
          <w:tcPr>
            <w:tcW w:w="0" w:type="dxa"/>
            <w:vAlign w:val="bottom"/>
          </w:tcPr>
          <w:p>
            <w:pPr>
              <w:spacing w:after="0"/>
              <w:rPr>
                <w:sz w:val="1"/>
                <w:szCs w:val="1"/>
                <w:color w:val="auto"/>
              </w:rPr>
            </w:pPr>
          </w:p>
        </w:tc>
      </w:tr>
      <w:tr>
        <w:trPr>
          <w:trHeight w:val="238"/>
        </w:trPr>
        <w:tc>
          <w:tcPr>
            <w:tcW w:w="4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Type/Industry/Portfolio Company/Investment</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Quantity</w:t>
            </w:r>
          </w:p>
        </w:tc>
        <w:tc>
          <w:tcPr>
            <w:tcW w:w="10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31, 2024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In/ (Out)</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Gains/(Losses)</w:t>
            </w:r>
          </w:p>
        </w:tc>
        <w:tc>
          <w:tcPr>
            <w:tcW w:w="10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31, 2025</w:t>
            </w:r>
          </w:p>
        </w:tc>
        <w:tc>
          <w:tcPr>
            <w:tcW w:w="220" w:type="dxa"/>
            <w:vAlign w:val="bottom"/>
          </w:tcPr>
          <w:p>
            <w:pPr>
              <w:spacing w:after="0"/>
              <w:rPr>
                <w:sz w:val="20"/>
                <w:szCs w:val="20"/>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0" w:type="dxa"/>
            <w:vAlign w:val="bottom"/>
          </w:tcPr>
          <w:p>
            <w:pPr>
              <w:spacing w:after="0"/>
              <w:rPr>
                <w:sz w:val="1"/>
                <w:szCs w:val="1"/>
                <w:color w:val="auto"/>
              </w:rPr>
            </w:pPr>
          </w:p>
        </w:tc>
      </w:tr>
      <w:tr>
        <w:trPr>
          <w:trHeight w:val="142"/>
        </w:trPr>
        <w:tc>
          <w:tcPr>
            <w:tcW w:w="2740" w:type="dxa"/>
            <w:vAlign w:val="bottom"/>
            <w:tcBorders>
              <w:top w:val="single" w:sz="8" w:color="auto"/>
              <w:bottom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CONTROLLED INVESTMENTS*</w:t>
            </w:r>
          </w:p>
        </w:tc>
        <w:tc>
          <w:tcPr>
            <w:tcW w:w="1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(2)</w:t>
            </w:r>
          </w:p>
        </w:tc>
        <w:tc>
          <w:tcPr>
            <w:tcW w:w="130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18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6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spacing w:after="0"/>
              <w:rPr>
                <w:sz w:val="12"/>
                <w:szCs w:val="12"/>
                <w:color w:val="auto"/>
              </w:rPr>
            </w:pPr>
          </w:p>
        </w:tc>
        <w:tc>
          <w:tcPr>
            <w:tcW w:w="980" w:type="dxa"/>
            <w:vAlign w:val="bottom"/>
            <w:tcBorders>
              <w:top w:val="single" w:sz="8" w:color="auto"/>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740" w:type="dxa"/>
            <w:vAlign w:val="bottom"/>
            <w:tcBorders>
              <w:bottom w:val="single" w:sz="8" w:color="auto"/>
            </w:tcBorders>
            <w:vMerge w:val="continue"/>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300" w:type="dxa"/>
            <w:vAlign w:val="bottom"/>
            <w:tcBorders>
              <w:bottom w:val="single" w:sz="8" w:color="CCEEFF"/>
            </w:tcBorders>
            <w:vMerge w:val="continue"/>
            <w:shd w:val="clear" w:color="auto" w:fill="CCEEFF"/>
          </w:tcPr>
          <w:p>
            <w:pPr>
              <w:spacing w:after="0"/>
              <w:rPr>
                <w:sz w:val="5"/>
                <w:szCs w:val="5"/>
                <w:color w:val="auto"/>
              </w:rPr>
            </w:pPr>
          </w:p>
        </w:tc>
        <w:tc>
          <w:tcPr>
            <w:tcW w:w="18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8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98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540" w:type="dxa"/>
            <w:vAlign w:val="bottom"/>
            <w:tcBorders>
              <w:top w:val="single" w:sz="8" w:color="CCEEFF"/>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Special Purpose Acquisition Company</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540" w:type="dxa"/>
            <w:vAlign w:val="bottom"/>
            <w:gridSpan w:val="6"/>
          </w:tcPr>
          <w:p>
            <w:pPr>
              <w:ind w:left="360"/>
              <w:spacing w:after="0" w:line="256" w:lineRule="exact"/>
              <w:rPr>
                <w:sz w:val="20"/>
                <w:szCs w:val="20"/>
                <w:color w:val="auto"/>
              </w:rPr>
            </w:pPr>
            <w:r>
              <w:rPr>
                <w:rFonts w:ascii="Times New Roman" w:cs="Times New Roman" w:eastAsia="Times New Roman" w:hAnsi="Times New Roman"/>
                <w:sz w:val="18"/>
                <w:szCs w:val="18"/>
                <w:color w:val="auto"/>
              </w:rPr>
              <w:t>Colombier Sponsor II LLC**</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–Class B Units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1,101,695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(1,103,719)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Common Stock</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1,101,695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(1,103,719)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Special Purpose Acquisition Company</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540" w:type="dxa"/>
            <w:vAlign w:val="bottom"/>
            <w:gridSpan w:val="6"/>
          </w:tcPr>
          <w:p>
            <w:pPr>
              <w:ind w:left="360"/>
              <w:spacing w:after="0" w:line="256" w:lineRule="exact"/>
              <w:rPr>
                <w:sz w:val="20"/>
                <w:szCs w:val="20"/>
                <w:color w:val="auto"/>
              </w:rPr>
            </w:pPr>
            <w:r>
              <w:rPr>
                <w:rFonts w:ascii="Times New Roman" w:cs="Times New Roman" w:eastAsia="Times New Roman" w:hAnsi="Times New Roman"/>
                <w:sz w:val="18"/>
                <w:szCs w:val="18"/>
                <w:color w:val="auto"/>
              </w:rPr>
              <w:t>Colombier Sponsor II LLC**</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–Class W Units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498,305</w:t>
            </w:r>
          </w:p>
        </w:tc>
        <w:tc>
          <w:tcPr>
            <w:tcW w:w="8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(499,221)</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Options</w:t>
            </w: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498,305</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(499,221)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540" w:type="dxa"/>
            <w:vAlign w:val="bottom"/>
            <w:gridSpan w:val="6"/>
            <w:vMerge w:val="restart"/>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TOTAL CONTROLLED INVESTMENTS*</w:t>
            </w:r>
            <w:r>
              <w:rPr>
                <w:rFonts w:ascii="Times New Roman" w:cs="Times New Roman" w:eastAsia="Times New Roman" w:hAnsi="Times New Roman"/>
                <w:sz w:val="29"/>
                <w:szCs w:val="29"/>
                <w:b w:val="1"/>
                <w:bCs w:val="1"/>
                <w:color w:val="auto"/>
                <w:vertAlign w:val="superscript"/>
              </w:rPr>
              <w:t>(2)</w:t>
            </w: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4540" w:type="dxa"/>
            <w:vAlign w:val="bottom"/>
            <w:gridSpan w:val="6"/>
            <w:vMerge w:val="continue"/>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1,600,000</w:t>
            </w:r>
          </w:p>
        </w:tc>
        <w:tc>
          <w:tcPr>
            <w:tcW w:w="2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(1,602,940)</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2,940</w:t>
            </w:r>
          </w:p>
        </w:tc>
        <w:tc>
          <w:tcPr>
            <w:tcW w:w="2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02"/>
        </w:trPr>
        <w:tc>
          <w:tcPr>
            <w:tcW w:w="4200" w:type="dxa"/>
            <w:vAlign w:val="bottom"/>
            <w:tcBorders>
              <w:top w:val="single" w:sz="8" w:color="CCEEFF"/>
              <w:bottom w:val="single" w:sz="8" w:color="CCEEFF"/>
            </w:tcBorders>
            <w:gridSpan w:val="3"/>
            <w:vMerge w:val="restart"/>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w w:val="99"/>
              </w:rPr>
              <w:t>NON-CONTROLLED/AFFILIATE INVESTMENTS*</w:t>
            </w:r>
          </w:p>
        </w:tc>
        <w:tc>
          <w:tcPr>
            <w:tcW w:w="180" w:type="dxa"/>
            <w:vAlign w:val="bottom"/>
            <w:tcBorders>
              <w:top w:val="single" w:sz="8" w:color="CCEEFF"/>
              <w:bottom w:val="single" w:sz="8" w:color="auto"/>
            </w:tcBorders>
            <w:shd w:val="clear" w:color="auto" w:fill="CCEEFF"/>
          </w:tcPr>
          <w:p>
            <w:pPr>
              <w:jc w:val="right"/>
              <w:spacing w:after="0" w:line="89" w:lineRule="exact"/>
              <w:rPr>
                <w:sz w:val="20"/>
                <w:szCs w:val="20"/>
                <w:color w:val="auto"/>
              </w:rPr>
            </w:pPr>
            <w:r>
              <w:rPr>
                <w:rFonts w:ascii="Times New Roman" w:cs="Times New Roman" w:eastAsia="Times New Roman" w:hAnsi="Times New Roman"/>
                <w:sz w:val="10"/>
                <w:szCs w:val="10"/>
                <w:b w:val="1"/>
                <w:bCs w:val="1"/>
                <w:color w:val="auto"/>
              </w:rPr>
              <w:t>(1)</w:t>
            </w:r>
          </w:p>
        </w:tc>
        <w:tc>
          <w:tcPr>
            <w:tcW w:w="160" w:type="dxa"/>
            <w:vAlign w:val="bottom"/>
            <w:tcBorders>
              <w:top w:val="single" w:sz="8" w:color="CCEEFF"/>
              <w:bottom w:val="single" w:sz="8" w:color="CCEEFF"/>
            </w:tcBorders>
            <w:gridSpan w:val="2"/>
            <w:vMerge w:val="restart"/>
            <w:shd w:val="clear" w:color="auto" w:fill="CCEEFF"/>
          </w:tcPr>
          <w:p>
            <w:pPr>
              <w:spacing w:after="0"/>
              <w:rPr>
                <w:sz w:val="8"/>
                <w:szCs w:val="8"/>
                <w:color w:val="auto"/>
              </w:rPr>
            </w:pPr>
          </w:p>
        </w:tc>
        <w:tc>
          <w:tcPr>
            <w:tcW w:w="920" w:type="dxa"/>
            <w:vAlign w:val="bottom"/>
            <w:tcBorders>
              <w:top w:val="single" w:sz="8" w:color="CCEEFF"/>
              <w:bottom w:val="single" w:sz="8" w:color="CCEEFF"/>
            </w:tcBorders>
            <w:shd w:val="clear" w:color="auto" w:fill="CCEEFF"/>
          </w:tcPr>
          <w:p>
            <w:pPr>
              <w:spacing w:after="0"/>
              <w:rPr>
                <w:sz w:val="8"/>
                <w:szCs w:val="8"/>
                <w:color w:val="auto"/>
              </w:rPr>
            </w:pPr>
          </w:p>
        </w:tc>
        <w:tc>
          <w:tcPr>
            <w:tcW w:w="22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CCEEFF"/>
            </w:tcBorders>
            <w:shd w:val="clear" w:color="auto" w:fill="CCEEFF"/>
          </w:tcPr>
          <w:p>
            <w:pPr>
              <w:spacing w:after="0"/>
              <w:rPr>
                <w:sz w:val="8"/>
                <w:szCs w:val="8"/>
                <w:color w:val="auto"/>
              </w:rPr>
            </w:pPr>
          </w:p>
        </w:tc>
        <w:tc>
          <w:tcPr>
            <w:tcW w:w="740" w:type="dxa"/>
            <w:vAlign w:val="bottom"/>
            <w:tcBorders>
              <w:top w:val="single" w:sz="8" w:color="auto"/>
              <w:bottom w:val="single" w:sz="8" w:color="CCEEFF"/>
            </w:tcBorders>
            <w:shd w:val="clear" w:color="auto" w:fill="CCEEFF"/>
          </w:tcPr>
          <w:p>
            <w:pPr>
              <w:spacing w:after="0"/>
              <w:rPr>
                <w:sz w:val="8"/>
                <w:szCs w:val="8"/>
                <w:color w:val="auto"/>
              </w:rPr>
            </w:pPr>
          </w:p>
        </w:tc>
        <w:tc>
          <w:tcPr>
            <w:tcW w:w="22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CCEEFF"/>
            </w:tcBorders>
            <w:shd w:val="clear" w:color="auto" w:fill="CCEEFF"/>
          </w:tcPr>
          <w:p>
            <w:pPr>
              <w:spacing w:after="0"/>
              <w:rPr>
                <w:sz w:val="8"/>
                <w:szCs w:val="8"/>
                <w:color w:val="auto"/>
              </w:rPr>
            </w:pPr>
          </w:p>
        </w:tc>
        <w:tc>
          <w:tcPr>
            <w:tcW w:w="800" w:type="dxa"/>
            <w:vAlign w:val="bottom"/>
            <w:tcBorders>
              <w:top w:val="single" w:sz="8" w:color="auto"/>
              <w:bottom w:val="single" w:sz="8" w:color="CCEEFF"/>
            </w:tcBorders>
            <w:shd w:val="clear" w:color="auto" w:fill="CCEEFF"/>
          </w:tcPr>
          <w:p>
            <w:pPr>
              <w:spacing w:after="0"/>
              <w:rPr>
                <w:sz w:val="8"/>
                <w:szCs w:val="8"/>
                <w:color w:val="auto"/>
              </w:rPr>
            </w:pPr>
          </w:p>
        </w:tc>
        <w:tc>
          <w:tcPr>
            <w:tcW w:w="22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auto"/>
              <w:bottom w:val="single" w:sz="8" w:color="CCEEFF"/>
            </w:tcBorders>
            <w:shd w:val="clear" w:color="auto" w:fill="CCEEFF"/>
          </w:tcPr>
          <w:p>
            <w:pPr>
              <w:spacing w:after="0"/>
              <w:rPr>
                <w:sz w:val="8"/>
                <w:szCs w:val="8"/>
                <w:color w:val="auto"/>
              </w:rPr>
            </w:pPr>
          </w:p>
        </w:tc>
        <w:tc>
          <w:tcPr>
            <w:tcW w:w="980" w:type="dxa"/>
            <w:vAlign w:val="bottom"/>
            <w:tcBorders>
              <w:top w:val="single" w:sz="8" w:color="auto"/>
              <w:bottom w:val="single" w:sz="8" w:color="CCEEFF"/>
            </w:tcBorders>
            <w:shd w:val="clear" w:color="auto" w:fill="CCEEFF"/>
          </w:tcPr>
          <w:p>
            <w:pPr>
              <w:spacing w:after="0"/>
              <w:rPr>
                <w:sz w:val="8"/>
                <w:szCs w:val="8"/>
                <w:color w:val="auto"/>
              </w:rPr>
            </w:pPr>
          </w:p>
        </w:tc>
        <w:tc>
          <w:tcPr>
            <w:tcW w:w="22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CCEEFF"/>
            </w:tcBorders>
            <w:shd w:val="clear" w:color="auto" w:fill="CCEEFF"/>
          </w:tcPr>
          <w:p>
            <w:pPr>
              <w:spacing w:after="0"/>
              <w:rPr>
                <w:sz w:val="8"/>
                <w:szCs w:val="8"/>
                <w:color w:val="auto"/>
              </w:rPr>
            </w:pPr>
          </w:p>
        </w:tc>
        <w:tc>
          <w:tcPr>
            <w:tcW w:w="740" w:type="dxa"/>
            <w:vAlign w:val="bottom"/>
            <w:tcBorders>
              <w:top w:val="single" w:sz="8" w:color="auto"/>
              <w:bottom w:val="single" w:sz="8" w:color="CCEEFF"/>
            </w:tcBorders>
            <w:shd w:val="clear" w:color="auto" w:fill="CCEEFF"/>
          </w:tcPr>
          <w:p>
            <w:pPr>
              <w:spacing w:after="0"/>
              <w:rPr>
                <w:sz w:val="8"/>
                <w:szCs w:val="8"/>
                <w:color w:val="auto"/>
              </w:rPr>
            </w:pPr>
          </w:p>
        </w:tc>
        <w:tc>
          <w:tcPr>
            <w:tcW w:w="220" w:type="dxa"/>
            <w:vAlign w:val="bottom"/>
            <w:tcBorders>
              <w:top w:val="single" w:sz="8" w:color="CCEEFF"/>
              <w:bottom w:val="single" w:sz="8" w:color="CCEEFF"/>
            </w:tcBorders>
            <w:shd w:val="clear" w:color="auto" w:fill="CCEEFF"/>
          </w:tcPr>
          <w:p>
            <w:pPr>
              <w:spacing w:after="0"/>
              <w:rPr>
                <w:sz w:val="8"/>
                <w:szCs w:val="8"/>
                <w:color w:val="auto"/>
              </w:rPr>
            </w:pPr>
          </w:p>
        </w:tc>
        <w:tc>
          <w:tcPr>
            <w:tcW w:w="840" w:type="dxa"/>
            <w:vAlign w:val="bottom"/>
            <w:tcBorders>
              <w:top w:val="single" w:sz="8" w:color="auto"/>
              <w:bottom w:val="single" w:sz="8" w:color="CCEEFF"/>
            </w:tcBorders>
            <w:shd w:val="clear" w:color="auto" w:fill="CCEEFF"/>
          </w:tcPr>
          <w:p>
            <w:pPr>
              <w:spacing w:after="0"/>
              <w:rPr>
                <w:sz w:val="8"/>
                <w:szCs w:val="8"/>
                <w:color w:val="auto"/>
              </w:rPr>
            </w:pPr>
          </w:p>
        </w:tc>
        <w:tc>
          <w:tcPr>
            <w:tcW w:w="20" w:type="dxa"/>
            <w:vAlign w:val="bottom"/>
            <w:tcBorders>
              <w:top w:val="single" w:sz="8" w:color="CCEEFF"/>
              <w:bottom w:val="single" w:sz="8" w:color="CCEEFF"/>
            </w:tcBorders>
            <w:shd w:val="clear" w:color="auto" w:fill="CCEEFF"/>
          </w:tcPr>
          <w:p>
            <w:pPr>
              <w:spacing w:after="0"/>
              <w:rPr>
                <w:sz w:val="8"/>
                <w:szCs w:val="8"/>
                <w:color w:val="auto"/>
              </w:rPr>
            </w:pPr>
          </w:p>
        </w:tc>
        <w:tc>
          <w:tcPr>
            <w:tcW w:w="160" w:type="dxa"/>
            <w:vAlign w:val="bottom"/>
            <w:tcBorders>
              <w:top w:val="single" w:sz="8" w:color="CCEEFF"/>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4200" w:type="dxa"/>
            <w:vAlign w:val="bottom"/>
            <w:tcBorders>
              <w:bottom w:val="single" w:sz="8" w:color="auto"/>
            </w:tcBorders>
            <w:gridSpan w:val="3"/>
            <w:vMerge w:val="continue"/>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gridSpan w:val="2"/>
            <w:vMerge w:val="continue"/>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8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98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540" w:type="dxa"/>
            <w:vAlign w:val="bottom"/>
            <w:tcBorders>
              <w:top w:val="single" w:sz="8" w:color="CCEEFF"/>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Interactive Media &amp; Services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40" w:type="dxa"/>
            <w:vAlign w:val="bottom"/>
            <w:gridSpan w:val="6"/>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Commercial Streaming Solutions Inc. (d/b/a</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BettorView)–Preferred Shares, Series A-1</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10,548,522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350,000</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16"/>
        </w:trPr>
        <w:tc>
          <w:tcPr>
            <w:tcW w:w="454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Knowledge Networks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Maven Research, Inc.–Preferred Shares, Series C</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318,979</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Maven Research, Inc.–Preferred Shares, Series B</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49,505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540" w:type="dxa"/>
            <w:vAlign w:val="bottom"/>
            <w:gridSpan w:val="6"/>
            <w:vMerge w:val="restart"/>
          </w:tcPr>
          <w:p>
            <w:pPr>
              <w:ind w:left="180"/>
              <w:spacing w:after="0"/>
              <w:rPr>
                <w:sz w:val="20"/>
                <w:szCs w:val="20"/>
                <w:color w:val="auto"/>
              </w:rPr>
            </w:pPr>
            <w:r>
              <w:rPr>
                <w:rFonts w:ascii="Times New Roman" w:cs="Times New Roman" w:eastAsia="Times New Roman" w:hAnsi="Times New Roman"/>
                <w:sz w:val="18"/>
                <w:szCs w:val="18"/>
                <w:i w:val="1"/>
                <w:iCs w:val="1"/>
                <w:color w:val="auto"/>
              </w:rPr>
              <w:t>Total Knowledge Networks</w:t>
            </w: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gridSpan w:val="6"/>
            <w:vMerge w:val="continue"/>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Interactive Learning</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540" w:type="dxa"/>
            <w:vAlign w:val="bottom"/>
            <w:gridSpan w:val="6"/>
          </w:tcPr>
          <w:p>
            <w:pPr>
              <w:ind w:left="360"/>
              <w:spacing w:after="0" w:line="256" w:lineRule="exact"/>
              <w:rPr>
                <w:sz w:val="20"/>
                <w:szCs w:val="20"/>
                <w:color w:val="auto"/>
              </w:rPr>
            </w:pPr>
            <w:r>
              <w:rPr>
                <w:rFonts w:ascii="Times New Roman" w:cs="Times New Roman" w:eastAsia="Times New Roman" w:hAnsi="Times New Roman"/>
                <w:sz w:val="18"/>
                <w:szCs w:val="18"/>
                <w:color w:val="auto"/>
              </w:rPr>
              <w:t>StormWind, LLC</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 Preferred Shares, Series D 8%</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329,337</w:t>
            </w:r>
          </w:p>
        </w:tc>
        <w:tc>
          <w:tcPr>
            <w:tcW w:w="1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501,626</w:t>
            </w:r>
          </w:p>
        </w:tc>
        <w:tc>
          <w:tcPr>
            <w:tcW w:w="8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(65,820)</w:t>
            </w:r>
          </w:p>
        </w:tc>
        <w:tc>
          <w:tcPr>
            <w:tcW w:w="1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435,806</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57"/>
        </w:trPr>
        <w:tc>
          <w:tcPr>
            <w:tcW w:w="4540" w:type="dxa"/>
            <w:vAlign w:val="bottom"/>
            <w:gridSpan w:val="6"/>
            <w:shd w:val="clear" w:color="auto" w:fill="CCEEFF"/>
          </w:tcPr>
          <w:p>
            <w:pPr>
              <w:ind w:left="360"/>
              <w:spacing w:after="0" w:line="256" w:lineRule="exact"/>
              <w:rPr>
                <w:sz w:val="20"/>
                <w:szCs w:val="20"/>
                <w:color w:val="auto"/>
              </w:rPr>
            </w:pPr>
            <w:r>
              <w:rPr>
                <w:rFonts w:ascii="Times New Roman" w:cs="Times New Roman" w:eastAsia="Times New Roman" w:hAnsi="Times New Roman"/>
                <w:sz w:val="18"/>
                <w:szCs w:val="18"/>
                <w:color w:val="auto"/>
              </w:rPr>
              <w:t>StormWind, LLC</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 Preferred Shares, Series C 8%</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2,779,134</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5,376,994</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(616,911)</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4,760,083</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56"/>
        </w:trPr>
        <w:tc>
          <w:tcPr>
            <w:tcW w:w="4540" w:type="dxa"/>
            <w:vAlign w:val="bottom"/>
            <w:gridSpan w:val="6"/>
          </w:tcPr>
          <w:p>
            <w:pPr>
              <w:ind w:left="360"/>
              <w:spacing w:after="0" w:line="256" w:lineRule="exact"/>
              <w:rPr>
                <w:sz w:val="20"/>
                <w:szCs w:val="20"/>
                <w:color w:val="auto"/>
              </w:rPr>
            </w:pPr>
            <w:r>
              <w:rPr>
                <w:rFonts w:ascii="Times New Roman" w:cs="Times New Roman" w:eastAsia="Times New Roman" w:hAnsi="Times New Roman"/>
                <w:sz w:val="18"/>
                <w:szCs w:val="18"/>
                <w:color w:val="auto"/>
              </w:rPr>
              <w:t>StormWind, LLC</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 Preferred Shares, Series B 8%</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3,279,629</w:t>
            </w:r>
          </w:p>
        </w:tc>
        <w:tc>
          <w:tcPr>
            <w:tcW w:w="1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3,233,922</w:t>
            </w:r>
          </w:p>
        </w:tc>
        <w:tc>
          <w:tcPr>
            <w:tcW w:w="8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(655,449)</w:t>
            </w:r>
          </w:p>
        </w:tc>
        <w:tc>
          <w:tcPr>
            <w:tcW w:w="1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2,578,473</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0"/>
        </w:trPr>
        <w:tc>
          <w:tcPr>
            <w:tcW w:w="4540" w:type="dxa"/>
            <w:vAlign w:val="bottom"/>
            <w:gridSpan w:val="6"/>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StormWind, LLC</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 Preferred Shares, Series A 8%</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366,666</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156,285</w:t>
            </w: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(73,280)</w:t>
            </w: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83,005</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4540" w:type="dxa"/>
            <w:vAlign w:val="bottom"/>
            <w:gridSpan w:val="6"/>
            <w:vMerge w:val="restart"/>
          </w:tcPr>
          <w:p>
            <w:pPr>
              <w:ind w:left="180"/>
              <w:spacing w:after="0"/>
              <w:rPr>
                <w:sz w:val="20"/>
                <w:szCs w:val="20"/>
                <w:color w:val="auto"/>
              </w:rPr>
            </w:pPr>
            <w:r>
              <w:rPr>
                <w:rFonts w:ascii="Times New Roman" w:cs="Times New Roman" w:eastAsia="Times New Roman" w:hAnsi="Times New Roman"/>
                <w:sz w:val="18"/>
                <w:szCs w:val="18"/>
                <w:i w:val="1"/>
                <w:iCs w:val="1"/>
                <w:color w:val="auto"/>
              </w:rPr>
              <w:t>Total Interactive Learning</w:t>
            </w: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gridSpan w:val="6"/>
            <w:vMerge w:val="continue"/>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9,268,827</w:t>
            </w:r>
          </w:p>
        </w:tc>
        <w:tc>
          <w:tcPr>
            <w:tcW w:w="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(1,411,460)</w:t>
            </w:r>
          </w:p>
        </w:tc>
        <w:tc>
          <w:tcPr>
            <w:tcW w:w="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7,857,367</w:t>
            </w:r>
          </w:p>
        </w:tc>
        <w:tc>
          <w:tcPr>
            <w:tcW w:w="220" w:type="dxa"/>
            <w:vAlign w:val="bottom"/>
            <w:vMerge w:val="continue"/>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45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Preferred Stock</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9,268,827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(2,061,460)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8,207,367</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0"/>
        </w:trPr>
        <w:tc>
          <w:tcPr>
            <w:tcW w:w="4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Online Education</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Curious.com, Inc.–Common Shares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1,135,944</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Common Stock</w:t>
            </w: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7"/>
        </w:trPr>
        <w:tc>
          <w:tcPr>
            <w:tcW w:w="4540" w:type="dxa"/>
            <w:vAlign w:val="bottom"/>
            <w:gridSpan w:val="6"/>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TOTAL NON-CONTROLLED/AFFILIATE</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540" w:type="dxa"/>
            <w:vAlign w:val="bottom"/>
            <w:gridSpan w:val="6"/>
          </w:tcPr>
          <w:p>
            <w:pPr>
              <w:spacing w:after="0" w:line="221" w:lineRule="exact"/>
              <w:rPr>
                <w:sz w:val="20"/>
                <w:szCs w:val="20"/>
                <w:color w:val="auto"/>
              </w:rPr>
            </w:pP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25"/>
                <w:szCs w:val="25"/>
                <w:b w:val="1"/>
                <w:bCs w:val="1"/>
                <w:color w:val="auto"/>
                <w:vertAlign w:val="superscript"/>
              </w:rPr>
              <w:t>(1)</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9,268,827</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1,000,000</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(2,061,460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8,207,367</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1"/>
        </w:trPr>
        <w:tc>
          <w:tcPr>
            <w:tcW w:w="2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860" w:type="dxa"/>
            <w:vAlign w:val="bottom"/>
            <w:gridSpan w:val="2"/>
          </w:tcPr>
          <w:p>
            <w:pPr>
              <w:jc w:val="right"/>
              <w:ind w:right="20"/>
              <w:spacing w:after="0" w:line="81" w:lineRule="exact"/>
              <w:rPr>
                <w:sz w:val="20"/>
                <w:szCs w:val="20"/>
                <w:color w:val="auto"/>
              </w:rPr>
            </w:pPr>
            <w:r>
              <w:rPr>
                <w:rFonts w:ascii="Times New Roman" w:cs="Times New Roman" w:eastAsia="Times New Roman" w:hAnsi="Times New Roman"/>
                <w:sz w:val="9"/>
                <w:szCs w:val="9"/>
                <w:b w:val="1"/>
                <w:bCs w:val="1"/>
                <w:color w:val="auto"/>
              </w:rPr>
              <w:t>4.00</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55"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portfolio investments are non-income-producing, unless otherwise identified. Equity investments may be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 </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34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assets that SuRo Capital believes do not represent “qualifying assets” under Section 55(a) of the 1940 Act. Of the Company’s total investments as of December 31, 2025, 32.70% of its total investments are non-qualifying assets, excluding cash and short-term US treasuries.</w:t>
      </w:r>
    </w:p>
    <w:p>
      <w:pPr>
        <w:spacing w:after="0" w:line="162" w:lineRule="exact"/>
        <w:rPr>
          <w:sz w:val="20"/>
          <w:szCs w:val="20"/>
          <w:color w:val="auto"/>
        </w:rPr>
      </w:pPr>
    </w:p>
    <w:p>
      <w:pPr>
        <w:jc w:val="both"/>
        <w:ind w:left="34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Investments” are investments in those companies that are “Affiliated Companies” of SuRo Capital, as defined in the 1940 Act. In general, a company is deemed to be an “Affiliate” of SuRo Capital if SuRo Capital beneficially owns, directly or indirectly, between 5% and 25% of the voting securities (i.e., securities with the right to elect directors) of such company.</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Investments” are investments in those companies that are “Controlled Companies” of SuRo Capital,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Capital’s investments in StormWind, LLC are held through SuRo Capital Corp.’s wholly owned subsidiary, GSVC SW Holdings, Inc.</w:t>
      </w:r>
    </w:p>
    <w:p>
      <w:pPr>
        <w:sectPr>
          <w:pgSz w:w="11900" w:h="16838" w:orient="portrait"/>
          <w:cols w:equalWidth="0" w:num="1">
            <w:col w:w="11240"/>
          </w:cols>
          <w:pgMar w:left="320" w:top="229" w:right="339" w:bottom="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Following several intervening approvals from the Company’s Board of Directors to increase the amount of shares of the Company’s common stock that may be repurchased under the discretionary Share Repurchase Program and/or to extend the Share Repurchase Program to later expiration dates, on October 29, 2025, the Company’s Board of Directors authorized an extension, and increase in the amount of common shares that may be purchased under, of the Company’s discretionary Share Repurchase Program until the earlier of (i) October 31, 2026 or (ii) the repurchase of $64.3 million in aggregate amount of the Company’s common stock.</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 Under the Share Repurchase Program, the Company may repurchase its outstanding common stock in the open market, provided that it complies with the prohibitions under its insider trading policies and procedures and the applicable provisions of the 1940 Act and the Exchange Act.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did not repurchase any shares of the Company’s common stock under the Share Repurchase Program. As of March 31, 2026, the dollar value of shares that remained available to be purchased by the Company under the Share Repurchase Program was approximately $25.0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Amended and Restated 2019 Equity Incentive Plan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“Note 11—Stock-Based Compensation” for a description of the Company’s restricted shares of common stock granted under the Second Amended &amp; Restated 2019 Equity Incentive Plan (as defined therein).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29, 2020, the Company established an “at-the-market” offering (the “ATM Program”) pursuant to an At-the-Market Sales Agreement dated July 29, 2020 (as amended on September 23, 2020 and November 8, 2024, the “Sales Agreement”) with BTIG LLC, Citizens JMP Securities, LLC (f/k/a JMP Securities LLC), Ladenburg Thalmann &amp; Co. Inc. and Barrington Research Associates, Inc. (collectively, the “Agents”). Under the Sales Agreement, the Company may, but has no obligation to, issue and sell up to $150.0 million in aggregate amount of shares of its common stock (the “Shares”) from time to time through the Agents or to them as principal for their own account. The Company intends to use the net proceeds from the ATM Program to make investments in portfolio companies in accordance with its investment objective and strategy and for general corporate purposes.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of the Shares, if any, will be made by any method that is deemed to be an “at-the-market” offering as defined in Rule 415 under the Securities Act of 1933, as amended, including sales made directly on the Nasdaq Global Select Market or sales made to or through a market maker other than on an exchange, at market prices prevailing at the time of sale, at prices related to prevailing market prices or at other negotiated prices. Actual sales in the ATM Program will depend on a variety of factors to be determined by the Company from time to time.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Agents will receive a commission from the Company equal to up to 2.0% of the gross sales price of any Shares sold through the Agents under the Sales Agreement and reimbursement of certain expenses. The Sales Agreement contains customary representations, warranties and agreements of the Company, conditions to closing, indemnification rights and obligations of the parties and termination provisions.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did not issue or sell Shares under the ATM Program. As of March 31, 2026, up to approximately $87.9 million in aggregate amount of the Shares remain available for sale under the ATM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6—NET CHANGE IN NET ASSETS RESULTING FROM OPERATIONS PER COMMON SHARE—BASIC AND DILUTED</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information sets forth the computation of basic and diluted net change in net assets resulting from operations per common share, pursuant to ASC 260, for the three months ended March 31, 2026 and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27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72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Earnings per common share–basic:</w:t>
            </w:r>
          </w:p>
        </w:tc>
        <w:tc>
          <w:tcPr>
            <w:tcW w:w="3820" w:type="dxa"/>
            <w:vAlign w:val="bottom"/>
            <w:tcBorders>
              <w:bottom w:val="single" w:sz="8" w:color="CCEEFF"/>
            </w:tcBorders>
            <w:gridSpan w:val="2"/>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change in net assets resulting from operations</w:t>
            </w:r>
          </w:p>
        </w:tc>
        <w:tc>
          <w:tcPr>
            <w:tcW w:w="8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155,636,060</w:t>
            </w:r>
          </w:p>
        </w:tc>
        <w:tc>
          <w:tcPr>
            <w:tcW w:w="6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(806,715)</w:t>
            </w:r>
          </w:p>
        </w:tc>
        <w:tc>
          <w:tcPr>
            <w:tcW w:w="0" w:type="dxa"/>
            <w:vAlign w:val="bottom"/>
          </w:tcPr>
          <w:p>
            <w:pPr>
              <w:spacing w:after="0"/>
              <w:rPr>
                <w:sz w:val="1"/>
                <w:szCs w:val="1"/>
                <w:color w:val="auto"/>
              </w:rPr>
            </w:pPr>
          </w:p>
        </w:tc>
      </w:tr>
      <w:tr>
        <w:trPr>
          <w:trHeight w:val="229"/>
        </w:trPr>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shares–basic</w:t>
            </w:r>
          </w:p>
        </w:tc>
        <w:tc>
          <w:tcPr>
            <w:tcW w:w="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25,380,755</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23,571,840</w:t>
            </w:r>
          </w:p>
        </w:tc>
        <w:tc>
          <w:tcPr>
            <w:tcW w:w="0" w:type="dxa"/>
            <w:vAlign w:val="bottom"/>
          </w:tcPr>
          <w:p>
            <w:pPr>
              <w:spacing w:after="0"/>
              <w:rPr>
                <w:sz w:val="1"/>
                <w:szCs w:val="1"/>
                <w:color w:val="auto"/>
              </w:rPr>
            </w:pPr>
          </w:p>
        </w:tc>
      </w:tr>
      <w:tr>
        <w:trPr>
          <w:trHeight w:val="263"/>
        </w:trPr>
        <w:tc>
          <w:tcPr>
            <w:tcW w:w="65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share–basic</w:t>
            </w:r>
          </w:p>
        </w:tc>
        <w:tc>
          <w:tcPr>
            <w:tcW w:w="44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56"/>
        </w:trPr>
        <w:tc>
          <w:tcPr>
            <w:tcW w:w="654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Earnings per common share–diluted:</w:t>
            </w:r>
          </w:p>
        </w:tc>
        <w:tc>
          <w:tcPr>
            <w:tcW w:w="4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7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change in net assets resulting from operations</w:t>
            </w:r>
          </w:p>
        </w:tc>
        <w:tc>
          <w:tcPr>
            <w:tcW w:w="8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155,636,060</w:t>
            </w:r>
          </w:p>
        </w:tc>
        <w:tc>
          <w:tcPr>
            <w:tcW w:w="6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(806,715)</w:t>
            </w:r>
          </w:p>
        </w:tc>
        <w:tc>
          <w:tcPr>
            <w:tcW w:w="0" w:type="dxa"/>
            <w:vAlign w:val="bottom"/>
          </w:tcPr>
          <w:p>
            <w:pPr>
              <w:spacing w:after="0"/>
              <w:rPr>
                <w:sz w:val="1"/>
                <w:szCs w:val="1"/>
                <w:color w:val="auto"/>
              </w:rPr>
            </w:pPr>
          </w:p>
        </w:tc>
      </w:tr>
      <w:tr>
        <w:trPr>
          <w:trHeight w:val="270"/>
        </w:trPr>
        <w:tc>
          <w:tcPr>
            <w:tcW w:w="6540" w:type="dxa"/>
            <w:vAlign w:val="bottom"/>
            <w:gridSpan w:val="3"/>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Adjustment for interest and amortization on 6.50% Convertible Notes due 2029</w:t>
            </w:r>
            <w:r>
              <w:rPr>
                <w:rFonts w:ascii="Times New Roman" w:cs="Times New Roman" w:eastAsia="Times New Roman" w:hAnsi="Times New Roman"/>
                <w:sz w:val="29"/>
                <w:szCs w:val="29"/>
                <w:color w:val="auto"/>
                <w:vertAlign w:val="superscript"/>
              </w:rPr>
              <w:t>(1)</w:t>
            </w:r>
          </w:p>
        </w:tc>
        <w:tc>
          <w:tcPr>
            <w:tcW w:w="4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627,872</w:t>
            </w:r>
          </w:p>
        </w:tc>
        <w:tc>
          <w:tcPr>
            <w:tcW w:w="1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change in net assets resulting from operations, as adjusted</w:t>
            </w:r>
          </w:p>
        </w:tc>
        <w:tc>
          <w:tcPr>
            <w:tcW w:w="440" w:type="dxa"/>
            <w:vAlign w:val="bottom"/>
          </w:tcPr>
          <w:p>
            <w:pPr>
              <w:spacing w:after="0"/>
              <w:rPr>
                <w:sz w:val="19"/>
                <w:szCs w:val="19"/>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156,263,932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(806,715)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540" w:type="dxa"/>
            <w:vAlign w:val="bottom"/>
            <w:gridSpan w:val="3"/>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Adjustment for dilutive effect of 6.50% Convertible Notes due 2029</w:t>
            </w:r>
            <w:r>
              <w:rPr>
                <w:rFonts w:ascii="Times New Roman" w:cs="Times New Roman" w:eastAsia="Times New Roman" w:hAnsi="Times New Roman"/>
                <w:sz w:val="29"/>
                <w:szCs w:val="29"/>
                <w:color w:val="auto"/>
                <w:vertAlign w:val="superscript"/>
              </w:rPr>
              <w:t>(1)</w:t>
            </w:r>
          </w:p>
        </w:tc>
        <w:tc>
          <w:tcPr>
            <w:tcW w:w="4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4,779,715</w:t>
            </w:r>
          </w:p>
        </w:tc>
        <w:tc>
          <w:tcPr>
            <w:tcW w:w="1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line="270" w:lineRule="exact"/>
              <w:rPr>
                <w:sz w:val="20"/>
                <w:szCs w:val="20"/>
                <w:color w:val="auto"/>
              </w:rPr>
            </w:pPr>
            <w:r>
              <w:rPr>
                <w:rFonts w:ascii="Times New Roman" w:cs="Times New Roman" w:eastAsia="Times New Roman" w:hAnsi="Times New Roman"/>
                <w:sz w:val="18"/>
                <w:szCs w:val="18"/>
                <w:color w:val="auto"/>
              </w:rPr>
              <w:t>Weighted-average common shares outstanding–diluted</w:t>
            </w:r>
            <w:r>
              <w:rPr>
                <w:rFonts w:ascii="Times New Roman" w:cs="Times New Roman" w:eastAsia="Times New Roman" w:hAnsi="Times New Roman"/>
                <w:sz w:val="29"/>
                <w:szCs w:val="29"/>
                <w:color w:val="auto"/>
                <w:vertAlign w:val="superscript"/>
              </w:rPr>
              <w:t>(1)</w:t>
            </w: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gridSpan w:val="3"/>
            <w:vMerge w:val="continue"/>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30,160,470</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23,571,840</w:t>
            </w:r>
          </w:p>
        </w:tc>
        <w:tc>
          <w:tcPr>
            <w:tcW w:w="0" w:type="dxa"/>
            <w:vAlign w:val="bottom"/>
          </w:tcPr>
          <w:p>
            <w:pPr>
              <w:spacing w:after="0"/>
              <w:rPr>
                <w:sz w:val="1"/>
                <w:szCs w:val="1"/>
                <w:color w:val="auto"/>
              </w:rPr>
            </w:pPr>
          </w:p>
        </w:tc>
      </w:tr>
      <w:tr>
        <w:trPr>
          <w:trHeight w:val="223"/>
        </w:trPr>
        <w:tc>
          <w:tcPr>
            <w:tcW w:w="65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share–diluted</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2025, 4,516,131 potentially dilutive common shares were excluded from the weighted-average common shares outstanding for diluted net change in net assets resulting from operations per common share because the effect of these shares would have been anti-dilutive.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7—COMMITMENTS AND CONTINGENCIES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may enter into investment agreements under which it commits to make an investment in a portfolio company at some future date or over a specified period of time. On December 31, 2025, the Company committed up to $20,000,000 to Magnetar Opportunity 2025-4 LP that required it to make future investments subject to the satisfaction of certain conditions. During the three months ended March 31, 2026, the Company funded $5,000,000 of the commitment. As of March 31, 2026, the remaining unfunded commitment to Magnetar Opportunity 2025-4 LP was $15,000,000, subject to the satisfaction of certain conditions.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 The Company is not currently a party to any material legal proceedings.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 and Related Deposits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currently has one operating lease for office space for which the Company has recorded a right-of-use asset and lease liability for the operating lease obligation. The lease originally commenced on June 3, 2019 and expired on August 31, 2024. On September 1, 2024, the Company extended the previous operating lease for office space for an additional term of three years and three months, with an estimated commencement date of January 1, 2025 and expiring March 31, 2028. On February 7, 2025, the Company executed a commencement letter, upon which the lease term was amended to begin on February 13, 2025 and expiring May 12, 2028. The lease expense is presented as a single lease cost that is amortized on a straight-line basis over the life of the lease.</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March 31, 2026 and December 31, 2025, the Company booked a right-of-use asset and operating lease liability of $324,895 and $327,932, respectively, on the Condensed Consolidated Statements of Assets and Liabilities. As of March 31, 2026 and December 31, 2025, the Company recorded a security deposit of $16,574 and $16,574, respectively, on the Condensed Consolidated Statements of Assets and Liabilities. For the three months ended March 31, 2026 and 2025, the Company incurred $37,066 and $23,188, respectively, of operating lease expense. The amounts reflected on the Condensed Consolidated Statements of Assets and Liabilities have been discounted using the rate implicit in the lease. As of March 31, 2026, the remaining lease term was 2.2 years and the discount rate was 3.00%.</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future minimum payments under the Company’s operating lease as of March 31, 2026:</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52"/>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7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116,524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159,471</w:t>
            </w:r>
          </w:p>
        </w:tc>
        <w:tc>
          <w:tcPr>
            <w:tcW w:w="80" w:type="dxa"/>
            <w:vAlign w:val="bottom"/>
          </w:tcPr>
          <w:p>
            <w:pPr>
              <w:spacing w:after="0"/>
              <w:rPr>
                <w:sz w:val="18"/>
                <w:szCs w:val="18"/>
                <w:color w:val="auto"/>
              </w:rPr>
            </w:pPr>
          </w:p>
        </w:tc>
      </w:tr>
      <w:tr>
        <w:trPr>
          <w:trHeight w:val="230"/>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59,688</w:t>
            </w:r>
          </w:p>
        </w:tc>
        <w:tc>
          <w:tcPr>
            <w:tcW w:w="80" w:type="dxa"/>
            <w:vAlign w:val="bottom"/>
            <w:shd w:val="clear" w:color="auto" w:fill="CCEEFF"/>
          </w:tcPr>
          <w:p>
            <w:pPr>
              <w:spacing w:after="0"/>
              <w:rPr>
                <w:sz w:val="19"/>
                <w:szCs w:val="19"/>
                <w:color w:val="auto"/>
              </w:rPr>
            </w:pPr>
          </w:p>
        </w:tc>
      </w:tr>
      <w:tr>
        <w:trPr>
          <w:trHeight w:val="223"/>
        </w:trPr>
        <w:tc>
          <w:tcPr>
            <w:tcW w:w="7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335,683</w:t>
            </w:r>
          </w:p>
        </w:tc>
        <w:tc>
          <w:tcPr>
            <w:tcW w:w="8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8—FINANCIAL HIGHLIGHTS</w:t>
            </w: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0" w:type="dxa"/>
            <w:vAlign w:val="bottom"/>
            <w:gridSpan w:val="5"/>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Basic Share Data</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at beginning of year</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8.09</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57"/>
        </w:trPr>
        <w:tc>
          <w:tcPr>
            <w:tcW w:w="68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Net investment loss</w:t>
            </w:r>
            <w:r>
              <w:rPr>
                <w:rFonts w:ascii="Times New Roman" w:cs="Times New Roman" w:eastAsia="Times New Roman" w:hAnsi="Times New Roman"/>
                <w:sz w:val="29"/>
                <w:szCs w:val="29"/>
                <w:color w:val="auto"/>
                <w:vertAlign w:val="superscript"/>
              </w:rPr>
              <w:t>(1)</w:t>
            </w:r>
          </w:p>
        </w:tc>
        <w:tc>
          <w:tcPr>
            <w:tcW w:w="420" w:type="dxa"/>
            <w:vAlign w:val="bottom"/>
            <w:shd w:val="clear" w:color="auto" w:fill="CCEEFF"/>
          </w:tcPr>
          <w:p>
            <w:pPr>
              <w:spacing w:after="0"/>
              <w:rPr>
                <w:sz w:val="22"/>
                <w:szCs w:val="22"/>
                <w:color w:val="auto"/>
              </w:rPr>
            </w:pPr>
          </w:p>
        </w:tc>
        <w:tc>
          <w:tcPr>
            <w:tcW w:w="1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(0.16)</w:t>
            </w:r>
          </w:p>
        </w:tc>
        <w:tc>
          <w:tcPr>
            <w:tcW w:w="42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56"/>
        </w:trPr>
        <w:tc>
          <w:tcPr>
            <w:tcW w:w="682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Net realized gain/(loss) on investments</w:t>
            </w:r>
            <w:r>
              <w:rPr>
                <w:rFonts w:ascii="Times New Roman" w:cs="Times New Roman" w:eastAsia="Times New Roman" w:hAnsi="Times New Roman"/>
                <w:sz w:val="29"/>
                <w:szCs w:val="29"/>
                <w:color w:val="auto"/>
                <w:vertAlign w:val="superscript"/>
              </w:rPr>
              <w:t>(1)</w:t>
            </w:r>
          </w:p>
        </w:tc>
        <w:tc>
          <w:tcPr>
            <w:tcW w:w="420" w:type="dxa"/>
            <w:vAlign w:val="bottom"/>
          </w:tcPr>
          <w:p>
            <w:pPr>
              <w:spacing w:after="0"/>
              <w:rPr>
                <w:sz w:val="22"/>
                <w:szCs w:val="22"/>
                <w:color w:val="auto"/>
              </w:rPr>
            </w:pPr>
          </w:p>
        </w:tc>
        <w:tc>
          <w:tcPr>
            <w:tcW w:w="1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0.04</w:t>
            </w:r>
          </w:p>
        </w:tc>
        <w:tc>
          <w:tcPr>
            <w:tcW w:w="420" w:type="dxa"/>
            <w:vAlign w:val="bottom"/>
          </w:tcPr>
          <w:p>
            <w:pPr>
              <w:spacing w:after="0"/>
              <w:rPr>
                <w:sz w:val="22"/>
                <w:szCs w:val="22"/>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&lt;(0.01)</w:t>
            </w:r>
          </w:p>
        </w:tc>
        <w:tc>
          <w:tcPr>
            <w:tcW w:w="0" w:type="dxa"/>
            <w:vAlign w:val="bottom"/>
          </w:tcPr>
          <w:p>
            <w:pPr>
              <w:spacing w:after="0"/>
              <w:rPr>
                <w:sz w:val="1"/>
                <w:szCs w:val="1"/>
                <w:color w:val="auto"/>
              </w:rPr>
            </w:pPr>
          </w:p>
        </w:tc>
      </w:tr>
      <w:tr>
        <w:trPr>
          <w:trHeight w:val="257"/>
        </w:trPr>
        <w:tc>
          <w:tcPr>
            <w:tcW w:w="68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Realized loss on partial repurchase of 6.00% Notes due December 30, 2026</w:t>
            </w:r>
            <w:r>
              <w:rPr>
                <w:rFonts w:ascii="Times New Roman" w:cs="Times New Roman" w:eastAsia="Times New Roman" w:hAnsi="Times New Roman"/>
                <w:sz w:val="29"/>
                <w:szCs w:val="29"/>
                <w:color w:val="auto"/>
                <w:vertAlign w:val="superscript"/>
              </w:rPr>
              <w:t>(1)</w:t>
            </w:r>
          </w:p>
        </w:tc>
        <w:tc>
          <w:tcPr>
            <w:tcW w:w="420" w:type="dxa"/>
            <w:vAlign w:val="bottom"/>
            <w:shd w:val="clear" w:color="auto" w:fill="CCEEFF"/>
          </w:tcPr>
          <w:p>
            <w:pPr>
              <w:spacing w:after="0"/>
              <w:rPr>
                <w:sz w:val="22"/>
                <w:szCs w:val="22"/>
                <w:color w:val="auto"/>
              </w:rPr>
            </w:pPr>
          </w:p>
        </w:tc>
        <w:tc>
          <w:tcPr>
            <w:tcW w:w="1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&lt;(0.01)</w:t>
            </w:r>
          </w:p>
        </w:tc>
        <w:tc>
          <w:tcPr>
            <w:tcW w:w="0" w:type="dxa"/>
            <w:vAlign w:val="bottom"/>
          </w:tcPr>
          <w:p>
            <w:pPr>
              <w:spacing w:after="0"/>
              <w:rPr>
                <w:sz w:val="1"/>
                <w:szCs w:val="1"/>
                <w:color w:val="auto"/>
              </w:rPr>
            </w:pPr>
          </w:p>
        </w:tc>
      </w:tr>
      <w:tr>
        <w:trPr>
          <w:trHeight w:val="256"/>
        </w:trPr>
        <w:tc>
          <w:tcPr>
            <w:tcW w:w="682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Net change in unrealized appreciation/(depreciation) of investments</w:t>
            </w:r>
            <w:r>
              <w:rPr>
                <w:rFonts w:ascii="Times New Roman" w:cs="Times New Roman" w:eastAsia="Times New Roman" w:hAnsi="Times New Roman"/>
                <w:sz w:val="29"/>
                <w:szCs w:val="29"/>
                <w:color w:val="auto"/>
                <w:vertAlign w:val="superscript"/>
              </w:rPr>
              <w:t>(1)</w:t>
            </w:r>
          </w:p>
        </w:tc>
        <w:tc>
          <w:tcPr>
            <w:tcW w:w="420" w:type="dxa"/>
            <w:vAlign w:val="bottom"/>
          </w:tcPr>
          <w:p>
            <w:pPr>
              <w:spacing w:after="0"/>
              <w:rPr>
                <w:sz w:val="22"/>
                <w:szCs w:val="22"/>
                <w:color w:val="auto"/>
              </w:rPr>
            </w:pPr>
          </w:p>
        </w:tc>
        <w:tc>
          <w:tcPr>
            <w:tcW w:w="1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6.25</w:t>
            </w:r>
          </w:p>
        </w:tc>
        <w:tc>
          <w:tcPr>
            <w:tcW w:w="42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70"/>
        </w:trPr>
        <w:tc>
          <w:tcPr>
            <w:tcW w:w="682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9"/>
                <w:szCs w:val="29"/>
                <w:color w:val="auto"/>
                <w:vertAlign w:val="superscript"/>
              </w:rPr>
              <w:t>(1)</w:t>
            </w:r>
          </w:p>
        </w:tc>
        <w:tc>
          <w:tcPr>
            <w:tcW w:w="420" w:type="dxa"/>
            <w:vAlign w:val="bottom"/>
            <w:shd w:val="clear" w:color="auto" w:fill="CCEEFF"/>
          </w:tcPr>
          <w:p>
            <w:pPr>
              <w:spacing w:after="0"/>
              <w:rPr>
                <w:sz w:val="23"/>
                <w:szCs w:val="23"/>
                <w:color w:val="auto"/>
              </w:rPr>
            </w:pPr>
          </w:p>
        </w:tc>
        <w:tc>
          <w:tcPr>
            <w:tcW w:w="1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0.02</w:t>
            </w:r>
          </w:p>
        </w:tc>
        <w:tc>
          <w:tcPr>
            <w:tcW w:w="42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63"/>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asset value at end of period</w:t>
            </w: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44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 share market value at end of period</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10.71</w:t>
            </w: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8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Total return based on market value</w:t>
            </w:r>
            <w:r>
              <w:rPr>
                <w:rFonts w:ascii="Times New Roman" w:cs="Times New Roman" w:eastAsia="Times New Roman" w:hAnsi="Times New Roman"/>
                <w:sz w:val="29"/>
                <w:szCs w:val="29"/>
                <w:color w:val="auto"/>
                <w:vertAlign w:val="superscript"/>
              </w:rPr>
              <w:t>(2)</w:t>
            </w:r>
          </w:p>
        </w:tc>
        <w:tc>
          <w:tcPr>
            <w:tcW w:w="420" w:type="dxa"/>
            <w:vAlign w:val="bottom"/>
          </w:tcPr>
          <w:p>
            <w:pPr>
              <w:spacing w:after="0"/>
              <w:rPr>
                <w:sz w:val="22"/>
                <w:szCs w:val="22"/>
                <w:color w:val="auto"/>
              </w:rPr>
            </w:pPr>
          </w:p>
        </w:tc>
        <w:tc>
          <w:tcPr>
            <w:tcW w:w="1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13.45%</w:t>
            </w:r>
          </w:p>
        </w:tc>
        <w:tc>
          <w:tcPr>
            <w:tcW w:w="420" w:type="dxa"/>
            <w:vAlign w:val="bottom"/>
          </w:tcPr>
          <w:p>
            <w:pPr>
              <w:spacing w:after="0"/>
              <w:rPr>
                <w:sz w:val="22"/>
                <w:szCs w:val="22"/>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0" w:type="dxa"/>
            <w:vAlign w:val="bottom"/>
          </w:tcPr>
          <w:p>
            <w:pPr>
              <w:spacing w:after="0"/>
              <w:rPr>
                <w:sz w:val="1"/>
                <w:szCs w:val="1"/>
                <w:color w:val="auto"/>
              </w:rPr>
            </w:pPr>
          </w:p>
        </w:tc>
      </w:tr>
      <w:tr>
        <w:trPr>
          <w:trHeight w:val="257"/>
        </w:trPr>
        <w:tc>
          <w:tcPr>
            <w:tcW w:w="68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Total return based on net asset value</w:t>
            </w:r>
            <w:r>
              <w:rPr>
                <w:rFonts w:ascii="Times New Roman" w:cs="Times New Roman" w:eastAsia="Times New Roman" w:hAnsi="Times New Roman"/>
                <w:sz w:val="29"/>
                <w:szCs w:val="29"/>
                <w:color w:val="auto"/>
                <w:vertAlign w:val="superscript"/>
              </w:rPr>
              <w:t>(2)</w:t>
            </w:r>
          </w:p>
        </w:tc>
        <w:tc>
          <w:tcPr>
            <w:tcW w:w="420" w:type="dxa"/>
            <w:vAlign w:val="bottom"/>
            <w:shd w:val="clear" w:color="auto" w:fill="CCEEFF"/>
          </w:tcPr>
          <w:p>
            <w:pPr>
              <w:spacing w:after="0"/>
              <w:rPr>
                <w:sz w:val="22"/>
                <w:szCs w:val="22"/>
                <w:color w:val="auto"/>
              </w:rPr>
            </w:pPr>
          </w:p>
        </w:tc>
        <w:tc>
          <w:tcPr>
            <w:tcW w:w="1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76.02%</w:t>
            </w:r>
          </w:p>
        </w:tc>
        <w:tc>
          <w:tcPr>
            <w:tcW w:w="42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 at end of period</w:t>
            </w:r>
          </w:p>
        </w:tc>
        <w:tc>
          <w:tcPr>
            <w:tcW w:w="420" w:type="dxa"/>
            <w:vAlign w:val="bottom"/>
          </w:tcPr>
          <w:p>
            <w:pPr>
              <w:spacing w:after="0"/>
              <w:rPr>
                <w:sz w:val="18"/>
                <w:szCs w:val="18"/>
                <w:color w:val="auto"/>
              </w:rPr>
            </w:pPr>
          </w:p>
        </w:tc>
        <w:tc>
          <w:tcPr>
            <w:tcW w:w="1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25,387,393</w:t>
            </w:r>
          </w:p>
        </w:tc>
        <w:tc>
          <w:tcPr>
            <w:tcW w:w="4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23,551,859</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Ratios/Supplemental Data:</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assets at end of period</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361,551,582</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156,804,155</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net assets</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206,417,463</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156,454,212</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line="284" w:lineRule="exact"/>
              <w:rPr>
                <w:sz w:val="20"/>
                <w:szCs w:val="20"/>
                <w:color w:val="auto"/>
              </w:rPr>
            </w:pPr>
            <w:r>
              <w:rPr>
                <w:rFonts w:ascii="Times New Roman" w:cs="Times New Roman" w:eastAsia="Times New Roman" w:hAnsi="Times New Roman"/>
                <w:sz w:val="18"/>
                <w:szCs w:val="18"/>
                <w:color w:val="auto"/>
              </w:rPr>
              <w:t>Ratio of net operating expenses to average net assets</w:t>
            </w:r>
            <w:r>
              <w:rPr>
                <w:rFonts w:ascii="Times New Roman" w:cs="Times New Roman" w:eastAsia="Times New Roman" w:hAnsi="Times New Roman"/>
                <w:sz w:val="29"/>
                <w:szCs w:val="29"/>
                <w:color w:val="auto"/>
                <w:vertAlign w:val="superscript"/>
              </w:rPr>
              <w:t>(3)</w:t>
            </w:r>
          </w:p>
        </w:tc>
        <w:tc>
          <w:tcPr>
            <w:tcW w:w="4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8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9.25%</w:t>
            </w:r>
          </w:p>
        </w:tc>
        <w:tc>
          <w:tcPr>
            <w:tcW w:w="420" w:type="dxa"/>
            <w:vAlign w:val="bottom"/>
          </w:tcPr>
          <w:p>
            <w:pPr>
              <w:spacing w:after="0"/>
              <w:rPr>
                <w:sz w:val="24"/>
                <w:szCs w:val="24"/>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vMerge w:val="restart"/>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Ratio of net investment loss to average net assets</w:t>
            </w:r>
            <w:r>
              <w:rPr>
                <w:rFonts w:ascii="Times New Roman" w:cs="Times New Roman" w:eastAsia="Times New Roman" w:hAnsi="Times New Roman"/>
                <w:sz w:val="26"/>
                <w:szCs w:val="26"/>
                <w:color w:val="auto"/>
                <w:vertAlign w:val="superscript"/>
              </w:rPr>
              <w:t>(3)</w:t>
            </w: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(7.82)%</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Portfolio Turnover Ratio</w:t>
            </w:r>
          </w:p>
        </w:tc>
        <w:tc>
          <w:tcPr>
            <w:tcW w:w="420" w:type="dxa"/>
            <w:vAlign w:val="bottom"/>
          </w:tcPr>
          <w:p>
            <w:pPr>
              <w:spacing w:after="0"/>
              <w:rPr>
                <w:sz w:val="20"/>
                <w:szCs w:val="20"/>
                <w:color w:val="auto"/>
              </w:rPr>
            </w:pPr>
          </w:p>
        </w:tc>
        <w:tc>
          <w:tcPr>
            <w:tcW w:w="1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0.52%</w:t>
            </w:r>
          </w:p>
        </w:tc>
        <w:tc>
          <w:tcPr>
            <w:tcW w:w="420" w:type="dxa"/>
            <w:vAlign w:val="bottom"/>
          </w:tcPr>
          <w:p>
            <w:pPr>
              <w:spacing w:after="0"/>
              <w:rPr>
                <w:sz w:val="20"/>
                <w:szCs w:val="20"/>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6"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weighted-average number of shares outstanding for the relevant period.</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market value is based upon the change in market price per share between the opening and ending market values per share in the period, adjusted for dividends</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Total return based on net asset value is based upon the change in net asset value per share between the opening and ending net asset values per share in the period, adjusted for dividends.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highlights for periods of less than one year are annualized and the ratios of operating expenses to average net assets and net investment loss to average net assets are adjusted accordingly. Because the ratios are calculated for the Company’s common stock taken as a whole, an individual investor’s ratios may vary from these ratios.</w:t>
      </w:r>
    </w:p>
    <w:p>
      <w:pPr>
        <w:sectPr>
          <w:pgSz w:w="11900" w:h="16838" w:orient="portrait"/>
          <w:cols w:equalWidth="0" w:num="1">
            <w:col w:w="11240"/>
          </w:cols>
          <w:pgMar w:left="320" w:top="229"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9—INCOME TAXES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elected to be treated and intends to qualify annually as a RIC under Subchapter M of the Code and, as such, will not be subject to U.S. federal income tax on the portion of taxable income (including gains) timely distributed as dividends for U.S. federal income tax purposes to stockholders. Taxable income includes the Company’s taxable interest, dividend and fee income, reduced by certain deductions, as well as taxable net realized investment gains.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qualify as a RIC, the Company is required to meet certain income and asset diversification tests in addition to distributing dividends of an amount generally at least equal to 90% of its investment company taxable income, as defined by the Code and determined without regard to any deduction for distributions paid, to its stockholders. The amount to be paid out as a distribution is determined by the Board of Directors each quarter and is based upon the annual earnings estimated by the management of the Company. To the extent that the Company’s earnings fall below the amount of dividend distributions declared, however, a portion of the total amount of the Company’s distributions for the fiscal year may be deemed a return of capital for tax purposes to the Company’s stockholders.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RIC, the Company will be subject to a 4% nondeductible U.S. federal excise tax on certain undistributed income unless the Company makes distributions treated as dividends for U.S. federal income tax purposes in a timely manner to its stockholders in respect of each calendar year of an amount at least equal to the sum of (1) 98% of its ordinary income (taking into account certain deferrals and elections) for each calendar year, (2) 98.2% of its capital gain net income (adjusted for certain ordinary losses) for the 1-year period ending October 31 of each such calendar year and (3) any ordinary income and net capital gains for preceding years, but not distributed during such years and on which the Company paid no U.S. federal income tax. The Company will not be subject to this excise tax on any amount on which the Company incurred U.S. federal corporate income tax (such as the tax imposed on a RIC’s retained net capital gains).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Depending on the level of taxable income earned in a taxable year, the Company may choose to carry over taxable income in excess of current taxable year distributions from such taxable income into the next taxable year and incur a 4% excise tax on such taxable income, as required. The maximum amount of excess taxable income that may be carried over for distribution in the next taxable year under the Code is the total amount of distributions paid in the following taxable year, subject to certain declaration and payment guidelines. To the extent the Company chooses to carry over taxable income into the next taxable year, distributions declared and paid by the Company in a taxable year may differ from the Company’s taxable income for that taxable year as such distributions may include the distribution of current taxable year taxable income, the distribution of prior taxable year taxable income carried over into and distributed in the current taxable year, or returns of capital.</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subsidiaries that are classified as corporations for U.S. federal income tax purposes which hold certain portfolio investments in an effort to limit potential legal liability and/or comply with source-income type requirements contained in the RIC tax provisions of the Code. These subsidiaries are consolidated for GAAP and the portfolio investments held by the subsidiaries are included in the Company’s Condensed Consolidated Financial Statements and are recorded at fair value. These subsidiaries are not consolidated with the Company for U.S. federal income tax purposes and may generate income tax expense, or benefit, and tax assets and liabilities as a result of their ownership of certain portfolio investments. Any income generated by these subsidiaries generally would be subject to U.S. federal income tax imposed at corporate rates.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intends to timely distribute to its stockholders substantially all of its annual taxable income for each year, except that it may retain certain net capital gains for reinvestment and, depending upon the level of taxable income earned in a year, may choose to carry forward taxable income for distribution in the following year and pay any applicable U.S. federal excise tax.</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required to include net deferred tax provision/benefit in calculating its total expenses even though these net deferred taxes are not currently payable/receivable.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U.S. federal and state income tax purposes, a portion of the Taxable Subsidiaries’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accounting purposes, the Company and the Taxable Subsidiaries identified their major tax jurisdictions as U.S. federal, New York, and California and may be subject to the taxing authorities’ examination for the tax years 2022–2024 for federal and New York and 2021–2024 in California, respectively. Further, the Company and the Taxable Subsidiaries accrue all interest and penalties related to uncertain tax positions as incurred. As of March 31, 2026, there were no material interest or penalties incurred related to uncertain tax positions.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10—DEBT CAPITAL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6.00% Notes due 2026</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17, 2021, the Company issued $70.0 million aggregate principal amount of its 6.00% Notes due 2026 pursuant to an Indenture, dated as of March 28, 2018 (the “Base Indenture”), between the Company and U.S. Bank Trust Company, National Association (as successor in interest to U.S. Bank National Association), as trustee (the “Trustee”), as supplemented by a second supplemental indenture, dated as of December 17, 2021 (together with the Base Indenture, the “Indenture”), between the Company and the Trustee. On December 21, 2021, the Company issued an additional $5.0 million aggregate principal amount of 6.00% Notes due 2026 pursuant to an overallotment option. The 6.00% Notes due 2026 bear interest at a fixed rate of 6.00% per year, payable quarterly in arrears on March 30, June 30, September 30, and December 30 of each year, commencing on March 30, 2022. The 6.00% Notes due 2026 have a maturity date of December 30, 2026, unless previously repurchased or redeemed in accordance with their terms. The Company has the right to redeem the 6.00% Notes due 2026, in whole or in part, at any time or from time to time, on or after December 30, 2024 at a redemption price of 100% of the outstanding principal amount of the 6.00% Notes due 2026 plus accrued and unpaid interest.</w:t>
      </w:r>
    </w:p>
    <w:p>
      <w:pPr>
        <w:spacing w:after="0" w:line="1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6.00% Notes due 2026 are direct unsecured obligations of the Company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or equal in right of payment, with all outstanding and future unsecured, unsubordinated indebtedness of the Company; senior to any of the Company’s future indebtedness that expressly provides it is subordinated to the 6.00% Notes due 2026; effectively subordinated to any of the Company’s future secured indebtedness (including indebtedness that is initially unsecured in respect of which the Company subsequently grants a security interest), to the extent of the value of the assets securing such indebtedness (provided, however, that the Company has agreed under the Indenture to not incur any secured or unsecured indebtedness that would be senior to the 6.00% Notes due 2026 while the 6.00% Notes due 2026 are outstanding, subject to certain exceptions); and structurally subordinated to all existing and future indebtedness and other obligations of any of the Company’s subsidiaries.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records certain fees and expenses incurred in connection with its 6.00% Notes due 2026 as deferred debt issuance costs. Such costs are reflected in the carrying value of the 6.00% Notes due 2026. As of March 31, 2026 and December 31, 2025, the Company had deferred debt issuance costs of $141,276 and $187,676, respectively, associated with the 6.00% Notes due 2026. The table below shows a reconciliation from the aggregate principal amount of 6.00% Notes due 2026 to the balance shown on the Condensed Consolidated Statements of Assets and Liabilities.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0"/>
                <w:szCs w:val="20"/>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principal amount of 6.00% Notes due 2026</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35,829,825</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35,829,825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Direct deduction of deferred debt issuance costs</w:t>
            </w:r>
          </w:p>
        </w:tc>
        <w:tc>
          <w:tcPr>
            <w:tcW w:w="240" w:type="dxa"/>
            <w:vAlign w:val="bottom"/>
          </w:tcPr>
          <w:p>
            <w:pPr>
              <w:spacing w:after="0"/>
              <w:rPr>
                <w:sz w:val="19"/>
                <w:szCs w:val="19"/>
                <w:color w:val="auto"/>
              </w:rPr>
            </w:pP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(141,276)</w:t>
            </w:r>
          </w:p>
        </w:tc>
        <w:tc>
          <w:tcPr>
            <w:tcW w:w="16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(187,676)</w:t>
            </w: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35,688,549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35,642,149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6.00% Notes due 2026 are listed for trading on the Nasdaq Global Select Market under the symbol “SSSSL”. The reported closing market price of SSSSL on March 31, 2026 and December 31, 2025 was $25.07 and $25.00 per note, respectively. As of March 31, 2026 and December 31, 2025, the fair value of the 6.00% Notes due 2026 was $35.8 million and $35.8 million, respectively.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6, 2024, the Company’s Board of Directors approved a discretionary note repurchase program (the “Note Repurchase Program”), which allows the Company to repurchase up to $35.0 million of its 6.00% Notes due 2026 through open market purchases, including block purchases, in such manner as will comply with the provisions of the 1940 Act and the Exchange Act. During the year ended December 31, 2024, the Company repurchased and retired $30.3 million of aggregate principal amount of the 6.00% Notes due 2026.</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29, 2025, the Company’s Board of Directors approved an extension of the discretionary note repurchase program (the “Note Repurchase Program”) which allows the Company to repurchase up to an additional $40.0 million or the remaining aggregate principal amount, of its 6.00% Notes due 2026 through open market purchases, including block purchases, in such manner as will comply with the provisions of the 1940 Act and the Exchange Act. During the year ended December 31, 2025, the Company repurchased and retired $8.8 million aggregate principal amount of the 6.00% Notes due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6.50% Convertible Notes due 2029</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14, 2024, the Company privately issued $25.0 million aggregate principal amount of its 6.50% Convertible Notes due 2029 (the “Initial Notes”) pursuant to a Notes Purchase Agreement, as Amended and Restated on December 12, 2025 (the “Notes Purchase Agreement”), between the Company and the purchaser identified therein (the “Purchaser”). On October 9, 2024, the Company issued an additional $5.0 million in aggregate principal amount of 6.50% Convertible Notes due 2029 (the “Additional Notes”), which are treated as a single series with the Initial Notes. On January 16, 2025, the Company issued $5.0 million in Additional Notes, which are treated as a single series with the Initial Notes and prior issuances of Additional Notes. As of March 31, 2026, $35.0 million of 6.50% Convertible Notes due 2029 had been issued.</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6.50% Convertible Notes due 2029 bear interest at a rate of 6.50% per year, payable quarterly in arrears on March 30, June 30, September 30, and December 30 of each year, commencing on September 30, 2024. The 6.50% Convertible Notes due 2029 have a maturity date of August 14, 2029, unless previously repurchased, redeemed or converted in accordance with the terms of the Notes Purchase Agreement. The Company has the right to redeem the 6.50% Convertible Notes due 2029, in whole or in part, at any time or from time to time, on or after August 6, 2027, upon the fulfillment of certain conditions. The Company has determined that the Conversion Cap Cash Payment feature included in the Convertible Note is an embedded derivative that meets the equity classification criteria. As such, the feature is not bifurcated and is accounted for as part of the debt instrument, which is recorded at amortized cost. The Company continues to assess this feature to determine if a future event would require bifurcation.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6.50% Convertible Notes due 2029 are convertible into shares of our common stock at the Purchaser’s sole discretion at an initial conversion rate of 129.0323 shares of common stock per $1,000 principal amount of the 6.50% Convertible Notes due 2029, subject to adjustment as provided in the Notes Purchase Agreement. Effective as of July 21, 2025, the conversion rate applicable to the 6.50% Convertible Notes due 2029 was adjusted to $7.53 per share (132.7530 shares of the Company’s common stock per $1,000 principal amount of the 6.50% Convertible Notes due 2029) from the initial conversion price of $7.75 per share (129.0323 shares of the Company’s common stock per $1,000 principal amount of the 6.50% Convertible Notes due 2029), which had been effective since issuance. The adjustment to the conversion rate of the 6.50% Convertible Notes due 2029 was made pursuant to the Notes Purchase Agreement governing the 6.50% Convertible Notes due 2029 as a result of the Company’s cash dividend of $0.25 per share, paid on July 31, 2025 to stockholders of record as of the close of business on July 21, 2025. Effective as of November 21, 2025, the conversion rate applicable to the 6.50% Convertible Notes due 2029 was adjusted to $7.32 per share (136.5633 shares of the Company’s common stock per $1,000 principal amount of the 6.50% Convertible Notes due 2029) from the most recent conversion price of $7.53 per share (132.7530 shares of the Company’s common stock per $1,000 principal amount of the 6.50% Convertible Notes due 2029), which had been effective since July 21, 2025. The adjustment to the conversion rate of the 6.50% Convertible Notes due 2029 was made pursuant to the Notes Purchase Agreement governing the 6.50% Convertible Notes due 2029 as a result of the Company’s cash dividend of $0.25 per share, paid on December 5, 2025 to stockholders of record as of the close of business on November 21, 2025.</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6.50% Convertible Notes due 2029 are direct unsecured obligations of the Company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equal in right of payment, with any outstanding existing or future unsecured, unsubordinated indebtedness of the Company. The 6.50% Convertible Notes due 2029 are junior in right of payment to any existing or future secured credit facility; provided, however, that if the Company enters into a future credit facility senior in right of payment to the 6.50% Convertible Notes due 2029 (including any secured indebtedness), the interest on the outstanding principal amount of the 6.50% Convertible Notes due 2029 shall increase as of the date of such entry to 7.00% per annum.</w:t>
      </w:r>
    </w:p>
    <w:p>
      <w:pPr>
        <w:spacing w:after="0" w:line="1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shows a reconciliation from the aggregate principal amount of 6.50% Convertible Notes due 2029 to the balance shown on the Condensed Consolidated Statements of Assets and Liabilities.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0"/>
                <w:szCs w:val="20"/>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principal amount of 6.50% Convertible Notes due 2029</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35,000,000</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Direct deduction of deferred debt issuance costs</w:t>
            </w:r>
          </w:p>
        </w:tc>
        <w:tc>
          <w:tcPr>
            <w:tcW w:w="240" w:type="dxa"/>
            <w:vAlign w:val="bottom"/>
          </w:tcPr>
          <w:p>
            <w:pPr>
              <w:spacing w:after="0"/>
              <w:rPr>
                <w:sz w:val="19"/>
                <w:szCs w:val="19"/>
                <w:color w:val="auto"/>
              </w:rPr>
            </w:pP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(809,369)</w:t>
            </w:r>
          </w:p>
        </w:tc>
        <w:tc>
          <w:tcPr>
            <w:tcW w:w="16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(868,491)</w:t>
            </w: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34,190,631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34,131,509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Amended and Restated 2019 Equity Incentive Plan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May 28, 2025, the Company’s Board of Directors adopted, and the Company’s stockholders approved, an amendment and restatement of the Company’s Amended and Restated 2019 Equity Incentive Plan (the “Second Amended &amp; Restated 2019 Equity Incentive Plan”) under which the Company is authorized to grant equity awards for up to 2,390,186 shares of its common stock. In accordance with the exemptive relief granted to the Company by the SEC on June 16, 2020 with respect to the Second Amended &amp; Restated 2019 Equity Incentive Plan, the Company is generally authorized to (i) issue restricted shares as part of the compensation package for certain of its employees, officers and all directors, including non-employee directors (collectively, the “Participants”), (ii) issue options to acquire shares of its common stock (“Options”) to certain employees, officers and employee directors as a part of such compensation packages, (iii) withhold shares of the Company’s common stock or purchase shares of common stock from the Participants to satisfy tax withholding obligations relating to the vesting of restricted shares or the exercise of Options granted to the certain Participants pursuant to the Second Amended &amp; Restated 2019 Equity Incentive Plan, and (iv) permit the Participants to pay the exercise price of Options granted to them with shares of the Company’s common stock.</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Second Amended &amp; Restated 2019 Equity Incentive Plan, each non-employee director will receive an annual grant of $50,000 worth of restricted shares of common stock (based on the closing stock price of the common stock on the grant date). Each grant of $50,000 in restricted shares will vest, in full, if the non-employee director is in continuous service as a director of the Company through the anniversary of such grant (or, if earlier, the annual meeting of the Company’s stockholders that is closest to the anniversary of such grant). During the three months ended March 31, 2026, the Company did not grant any restricted shares to the Company’s non-employee directors pursuant to the Second Amended &amp; Restated 2019 Equity Incentive Plan.</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Other than such restricted shares granted to non-employee directors, the Compensation Committee of the Company’s Board of Directors may determine the time or times at which restricted shares and Options granted to other Participants will vest or become payable or exercisable, as applicable. The exercise price of each Option will not be less than 100% of the fair market value of the Company’s common stock on the date the option is granted. However, any optionee who owns more than 10% of the combined voting power of all classes of the Company’s outstanding common stock (a “10% Stockholder”), will not be eligible for the grant of an incentive stock option unless the exercise price of the incentive stock option is at least 110% of the fair market value of the Company’s common stock on the date of grant. Generally, no Option will be exercisable after the expiration of ten years from the date of grant. In the case of an Option granted to a 10% Stockholder, the term of an incentive stock option will be for no more than five years from the date of grant.</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did not grant any restricted shares to the Company’s officers pursuant to the Second Amended &amp; Restated 2019 Equity Incentive Plan.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recognized stock-based compensation expense of $555,226 and $276,007, respectively, not including executive and employee forfeits. As of March 31, 2026 and December 31, 2025, there were approximately $5,214,978 and $5,722,648 (immaterially adjusted from amount previously disclosed), respectively, of total unrecognized compensation costs related to the restricted share grants. Compensation expense associated with the restricted shares is recognized on a quarterly basis over the respective vesting periods.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activities for the Company’s restricted share grants for the three months ended March 31, 2026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Amended &amp; Restated 2019 Equity Incentive Plan:</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020" w:type="dxa"/>
            <w:vAlign w:val="bottom"/>
          </w:tcPr>
          <w:p>
            <w:pPr>
              <w:spacing w:after="0"/>
              <w:rPr>
                <w:sz w:val="18"/>
                <w:szCs w:val="18"/>
                <w:color w:val="auto"/>
              </w:rPr>
            </w:pPr>
          </w:p>
        </w:tc>
        <w:tc>
          <w:tcPr>
            <w:tcW w:w="19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7020" w:type="dxa"/>
            <w:vAlign w:val="bottom"/>
          </w:tcPr>
          <w:p>
            <w:pPr>
              <w:spacing w:after="0"/>
              <w:rPr>
                <w:sz w:val="20"/>
                <w:szCs w:val="20"/>
                <w:color w:val="auto"/>
              </w:rPr>
            </w:pPr>
          </w:p>
        </w:tc>
        <w:tc>
          <w:tcPr>
            <w:tcW w:w="1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Restricted Shares</w:t>
            </w:r>
          </w:p>
        </w:tc>
      </w:tr>
      <w:tr>
        <w:trPr>
          <w:trHeight w:val="237"/>
        </w:trPr>
        <w:tc>
          <w:tcPr>
            <w:tcW w:w="7020" w:type="dxa"/>
            <w:vAlign w:val="bottom"/>
            <w:tcBorders>
              <w:top w:val="single" w:sz="8" w:color="CCEEFF"/>
            </w:tcBorders>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Outstanding as of December 31, 2025</w:t>
            </w:r>
            <w:r>
              <w:rPr>
                <w:rFonts w:ascii="Times New Roman" w:cs="Times New Roman" w:eastAsia="Times New Roman" w:hAnsi="Times New Roman"/>
                <w:sz w:val="27"/>
                <w:szCs w:val="27"/>
                <w:color w:val="auto"/>
                <w:vertAlign w:val="superscript"/>
              </w:rPr>
              <w:t>(1)</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957,173</w:t>
            </w:r>
          </w:p>
        </w:tc>
        <w:tc>
          <w:tcPr>
            <w:tcW w:w="80" w:type="dxa"/>
            <w:vAlign w:val="bottom"/>
            <w:tcBorders>
              <w:top w:val="single" w:sz="8" w:color="CCEEFF"/>
            </w:tcBorders>
            <w:shd w:val="clear" w:color="auto" w:fill="CCEEFF"/>
          </w:tcPr>
          <w:p>
            <w:pPr>
              <w:spacing w:after="0"/>
              <w:rPr>
                <w:sz w:val="20"/>
                <w:szCs w:val="20"/>
                <w:color w:val="auto"/>
              </w:rPr>
            </w:pPr>
          </w:p>
        </w:tc>
      </w:tr>
      <w:tr>
        <w:trPr>
          <w:trHeight w:val="230"/>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9"/>
                <w:szCs w:val="19"/>
                <w:color w:val="auto"/>
              </w:rPr>
            </w:pPr>
          </w:p>
        </w:tc>
      </w:tr>
      <w:tr>
        <w:trPr>
          <w:trHeight w:val="270"/>
        </w:trPr>
        <w:tc>
          <w:tcPr>
            <w:tcW w:w="702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9"/>
                <w:szCs w:val="29"/>
                <w:color w:val="auto"/>
                <w:vertAlign w:val="superscript"/>
              </w:rPr>
              <w:t>(2)</w:t>
            </w:r>
          </w:p>
        </w:tc>
        <w:tc>
          <w:tcPr>
            <w:tcW w:w="1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966,173</w:t>
            </w:r>
          </w:p>
        </w:tc>
        <w:tc>
          <w:tcPr>
            <w:tcW w:w="80" w:type="dxa"/>
            <w:vAlign w:val="bottom"/>
          </w:tcPr>
          <w:p>
            <w:pPr>
              <w:spacing w:after="0"/>
              <w:rPr>
                <w:sz w:val="19"/>
                <w:szCs w:val="19"/>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vested since inception as of March 31, 2026</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1,169,249</w:t>
            </w:r>
          </w:p>
        </w:tc>
        <w:tc>
          <w:tcPr>
            <w:tcW w:w="8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including unvested dividends.</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of vested shares reflects the total shares vested during the period and has not been reduced for those vested shares forfeited at time of vest related to net share settlement. The Second Amended &amp; Restated 2019 Equity Incentive Plan provides for the concept of “net share settlement.” Specifically, it provides that the Company is authorized to withhold the Common Stock at the time the restricted shares are vested and taxed in satisfaction of the Participant’s tax obligations.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Activity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From April 1, 2026 through May 5, 2026, the Company made the following investments (not including capitalized transaction costs).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0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Transaction Date</w:t>
            </w:r>
          </w:p>
        </w:tc>
        <w:tc>
          <w:tcPr>
            <w:tcW w:w="300" w:type="dxa"/>
            <w:vAlign w:val="bottom"/>
          </w:tcPr>
          <w:p>
            <w:pPr>
              <w:spacing w:after="0"/>
              <w:rPr>
                <w:sz w:val="20"/>
                <w:szCs w:val="20"/>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Huntress Labs Inc.</w:t>
            </w:r>
          </w:p>
        </w:tc>
        <w:tc>
          <w:tcPr>
            <w:tcW w:w="2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4/8/2026</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ClickHouse, Inc.</w:t>
            </w: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Series A Preferred</w:t>
            </w:r>
          </w:p>
        </w:tc>
        <w:tc>
          <w:tcPr>
            <w:tcW w:w="1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4/22/2026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9,471,170</w:t>
            </w:r>
          </w:p>
        </w:tc>
      </w:tr>
      <w:tr>
        <w:trPr>
          <w:trHeight w:val="223"/>
        </w:trPr>
        <w:tc>
          <w:tcPr>
            <w:tcW w:w="54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9,696,170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From April 1, 2026 through May 5, 2026, the Company received proceeds from the following investment.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Transaction Date</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Net Proceeds</w:t>
            </w:r>
          </w:p>
        </w:tc>
        <w:tc>
          <w:tcPr>
            <w:tcW w:w="140" w:type="dxa"/>
            <w:vAlign w:val="bottom"/>
          </w:tcPr>
          <w:p>
            <w:pPr>
              <w:spacing w:after="0"/>
              <w:rPr>
                <w:sz w:val="24"/>
                <w:szCs w:val="24"/>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Realized Gain</w:t>
            </w:r>
            <w:r>
              <w:rPr>
                <w:rFonts w:ascii="Times New Roman" w:cs="Times New Roman" w:eastAsia="Times New Roman" w:hAnsi="Times New Roman"/>
                <w:sz w:val="29"/>
                <w:szCs w:val="29"/>
                <w:b w:val="1"/>
                <w:bCs w:val="1"/>
                <w:color w:val="auto"/>
                <w:vertAlign w:val="superscript"/>
              </w:rPr>
              <w:t>(1)</w:t>
            </w:r>
          </w:p>
        </w:tc>
      </w:tr>
      <w:tr>
        <w:trPr>
          <w:trHeight w:val="210"/>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CW Opportunity 2 LP</w:t>
            </w:r>
          </w:p>
        </w:tc>
        <w:tc>
          <w:tcPr>
            <w:tcW w:w="2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Various</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3,041,906</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2,140,384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jc w:val="both"/>
        <w:ind w:left="340" w:hanging="332"/>
        <w:spacing w:after="0" w:line="254"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 Opportunity 2 LP is an SPV for which the Class A Interest is solely invested in the Class A Common Shares of CoreWeave, Inc. Realized gain is calculated based on the current reporting by the SPV, but may be subject to change or adjustment due to the impact of performance fees that may be charged.</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Partial Conversion of the 6.50% Convertible Notes due 2029</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April 1, 2026 through May 5, 2026, the Purchaser of the 6.50% Convertible Notes due 2029 elected to exercise their conversion option on multiple occasions and convert a total of $5.0 million of their principal amount ($1,000 per Note) into 682,815 shares of the Company’s common stock and $19.56 in lieu of fractional shares. As of May 5, 2026, the remaining principal balance of the 6.50% Convertible Notes due 2029 was $30.0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Externalization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2, 2026, the Board of Directors, including all of its independent directors, unanimously approved a proposal to transition from an internally managed BDC to an externally managed structure (the “Externalization”). The Board of Directors also approved the related investment advisory agreement (the “Advisory Agreement”) with Neostellar Advisors LLC (the “Adviser”), an entity jointly owned by certain current employees of the Company and Magnetar Holdings LLC, pursuant to which the Adviser would be appointed as the investment adviser of the Company. Entry into the Advisory Agreement effectuating the Externalization is subject to approval by the Company’s stockholders. If the Company’s stockholders do not approve the Advisory Agreement, the Company will continue its operations as an internally managed BDC. For the avoidance of doubt, the Company is not being sold. If the Externalization occurs, the Company’s stockholders immediately prior to the Externalization will be the Company’s stockholders immediately following the Externalization and will hold the same number of shares of the Company’s common stock as they did prior to the Externalization.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key terms of the Externalization and the Advisory Agreement include:</w:t>
      </w:r>
    </w:p>
    <w:p>
      <w:pPr>
        <w:spacing w:after="0" w:line="223" w:lineRule="exact"/>
        <w:rPr>
          <w:sz w:val="20"/>
          <w:szCs w:val="20"/>
          <w:color w:val="auto"/>
        </w:rPr>
      </w:pPr>
    </w:p>
    <w:p>
      <w:pPr>
        <w:ind w:left="660" w:hanging="328"/>
        <w:spacing w:after="0" w:line="26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Incentive Fee on Pre-Existing Portfolio </w:t>
      </w:r>
      <w:r>
        <w:rPr>
          <w:rFonts w:ascii="Times New Roman" w:cs="Times New Roman" w:eastAsia="Times New Roman" w:hAnsi="Times New Roman"/>
          <w:sz w:val="18"/>
          <w:szCs w:val="18"/>
          <w:color w:val="auto"/>
        </w:rPr>
        <w:t>— Under the Advisory Agreement, the Adviser would not be paid an incentive fee on any realized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gains attributable to the Company’s existing portfolio. Any such realized gains will inure to the benefit of the Company’s stockholders.</w:t>
      </w:r>
    </w:p>
    <w:p>
      <w:pPr>
        <w:ind w:left="660" w:hanging="328"/>
        <w:spacing w:after="0" w:line="250"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Annual Cost Savings </w:t>
      </w:r>
      <w:r>
        <w:rPr>
          <w:rFonts w:ascii="Times New Roman" w:cs="Times New Roman" w:eastAsia="Times New Roman" w:hAnsi="Times New Roman"/>
          <w:sz w:val="18"/>
          <w:szCs w:val="18"/>
          <w:color w:val="auto"/>
        </w:rPr>
        <w:t>— Based on the Board’s analysis, the Externalization is expected to result in annual expense savings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0.77% of average total assets compared to the current internal management structure.</w:t>
      </w:r>
    </w:p>
    <w:p>
      <w:pPr>
        <w:ind w:left="660" w:right="20" w:hanging="328"/>
        <w:spacing w:after="0" w:line="250"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Magnetar’s $20 Million Capital Commitment </w:t>
      </w:r>
      <w:r>
        <w:rPr>
          <w:rFonts w:ascii="Times New Roman" w:cs="Times New Roman" w:eastAsia="Times New Roman" w:hAnsi="Times New Roman"/>
          <w:sz w:val="18"/>
          <w:szCs w:val="18"/>
          <w:color w:val="auto"/>
        </w:rPr>
        <w:t>— In connection with the Externalization, Magnetar will agree to invest $20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form of which will depend on certain factors.</w:t>
      </w:r>
    </w:p>
    <w:p>
      <w:pPr>
        <w:jc w:val="both"/>
        <w:ind w:left="660" w:hanging="328"/>
        <w:spacing w:after="0" w:line="250"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Competitive Fee Structure </w:t>
      </w:r>
      <w:r>
        <w:rPr>
          <w:rFonts w:ascii="Times New Roman" w:cs="Times New Roman" w:eastAsia="Times New Roman" w:hAnsi="Times New Roman"/>
          <w:sz w:val="18"/>
          <w:szCs w:val="18"/>
          <w:color w:val="auto"/>
        </w:rPr>
        <w:t>— The Board of Directors noted that the proposed base management fee of 1.75% of the Company’s gross assets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competitive with fees charged by comparable BDCs and is below the median fee charged by private market venture and technology funds. In addition, the fact that the Company will not pay any incentive fees on existing investments has the potential to be highly accretive to stockholders.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Management Continuity </w:t>
      </w:r>
      <w:r>
        <w:rPr>
          <w:rFonts w:ascii="Times New Roman" w:cs="Times New Roman" w:eastAsia="Times New Roman" w:hAnsi="Times New Roman"/>
          <w:sz w:val="18"/>
          <w:szCs w:val="18"/>
          <w:color w:val="auto"/>
        </w:rPr>
        <w:t>— The Company’s current investment team, including Mark D. Klein (Chairman, CEO and President) and Allison Green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(CFO, Treasurer and Corporate Secretary), will remain in their current capacities but will be employed by the Adviser rather than the Company following the Externalization.</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Upon effectiveness of the Advisory Agreement, the Company also will enter into an administration agreement (the “Administration Agreement”) with Neostellar Administrative Services LLC, an affiliate of the Adviser (the “Administrator”). Under the terms of the Administration Agreement, the Administrator has agreed to perform (or oversee or arrange for the performance of) the administrative services necessary for the operation of the Company. The Company will reimburse the Administrator for the costs and expenses incurred by the Administrator in performing its obligations and providing personnel and facilities under the Administration Agreement, including the Company’s allocable portion of overhead.</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2, 2026, in connection with the Externalization, the Company’s Compensation Committee approved the following: (a) a grant of 350,000 restricted shares (with any aggregate income tax liability to be paid by the Company) to Mark D. Klein, the Company’s Chairman, President and Chief Executive Officer; (b) a grant of 60,000 restricted shares (with any aggregate income tax liability to be paid by the Company) to Allison Green, the</w:t>
      </w:r>
    </w:p>
    <w:p>
      <w:pPr>
        <w:sectPr>
          <w:pgSz w:w="11900" w:h="16838" w:orient="portrait"/>
          <w:cols w:equalWidth="0" w:num="1">
            <w:col w:w="11240"/>
          </w:cols>
          <w:pgMar w:left="320" w:top="229" w:right="339" w:bottom="0" w:gutter="0" w:footer="0" w:header="0"/>
        </w:sectPr>
      </w:pPr>
    </w:p>
    <w:bookmarkStart w:id="48" w:name="page49"/>
    <w:bookmarkEnd w:id="48"/>
    <w:p>
      <w:pPr>
        <w:jc w:val="both"/>
        <w:spacing w:after="0" w:line="282" w:lineRule="auto"/>
        <w:rPr>
          <w:sz w:val="20"/>
          <w:szCs w:val="20"/>
          <w:color w:val="auto"/>
        </w:rPr>
      </w:pPr>
      <w:r>
        <w:rPr>
          <w:rFonts w:ascii="Times New Roman" w:cs="Times New Roman" w:eastAsia="Times New Roman" w:hAnsi="Times New Roman"/>
          <w:sz w:val="18"/>
          <w:szCs w:val="18"/>
          <w:color w:val="auto"/>
        </w:rPr>
        <w:t>Company’s Chief Financial Officer, Treasurer and Corporate Secretary; (c) a cash bonus of $850,000 to Mark D. Klein; and (d) a cash bonus of $500,000 to Allison Green. The foregoing compensation will be paid only if the Advisory Agreement is approved by the Company’s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13—SUPPLEMENTAL FINANCIAL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Summarized Financial Information of Unconsolidated Subsidiaries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the SEC’s Regulation S-X and GAAP,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however, the Company must disclose certain financial information related to any subsidiaries or other entities that are considered to be “significant subsidiaries” under the applicable rules of Regulation S-X.</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May 2020, the SEC adopted rule amendments that impacted the requirement of investment companies, including BDCs, to disclose the financial statements of certain of their portfolio companies or acquired funds (the “Final Rules”). The Final Rules adopted a new definition of “significant subsidiary” set forth in Rule 1-02(w)(2) of Regulation S-X under the Securities Act. In accordance with Rules 3-09, 4-08(g), and 10-01(b)(1) of Regulation S-X, the Company must determine if any of its unconsolidated subsidiaries are considered a “significant subsidiary.” The Final Rules amended the definition of “significant subsidiary” in a manner that was intended to more accurately capture those portfolio companies that were more likely to materially impact the financial condition of an investment company.</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had no controlled portfolio companies as of March 31, 2026. The Company’s controlled portfolio company as of March 31, 2025, Colombier Sponsor II LLC, did not meet the definition of a “significant subsidiary” as set forth in Rule 1-02(w)(2) of Regulation S-X.</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involve risks and uncertainties, including, without limitation, statements as to:</w:t>
      </w:r>
    </w:p>
    <w:p>
      <w:pPr>
        <w:spacing w:after="0" w:line="162"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upon our management team and key investment professionals;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business and future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investments in growth-stage companies, other venture capital-backed companies, and generally U.S.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distributions;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uncertainty of the value of our portfolio investments;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political, economic or industry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laws or regulations (including the interpretation thereof), including tax laws, on our operations and/or the operation of our portfolio companies;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market volatility, including general price and volume fluctuations in stock markets;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76" w:lineRule="exact"/>
        <w:rPr>
          <w:sz w:val="20"/>
          <w:szCs w:val="20"/>
          <w:color w:val="auto"/>
        </w:rPr>
      </w:pPr>
    </w:p>
    <w:p>
      <w:pPr>
        <w:ind w:left="660" w:right="2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ability to continue to operate, which could lead to the loss of some or all of our investments in such portfolio companies;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disproportionately impact the market sectors in which a significant portion of our portfolio is concentrated, causing us to suffer losses in our portfolio;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contraction of available credit and/or an inability to access the equity markets could impair our investment activities;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inflation or an inflationary economic environment could adversely affect our portfolio companies’ operating results, causing us to suffer losses in our portfolio;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volatility could adversely affect our results, particularly because we use leverage as part of our investment strategy;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sections entitled “Risk Factors” in our quarterly reports on Form 10-Q, our annual report on Form 10-K, and in our other filings with the SEC.</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our quarterly reports on Form 10-Q and our annual report on Form 10-K in the “Risk Factors” sections. You should not place undue reliance on these forward-looking statements, which apply only as of the date of this quarterly report on Form 10-Q. The following analysis of our financial condition and results of operations should be read in conjunction with our Condensed Consolidated Financial Statements and the related notes thereto contained elsewhere in this quarterly report on Form 10-Q.</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an internally managed, non-diversified closed-end management investment company that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investment objective is to maximize our portfolio’s total return, principally by seeking capital gains on our equity and equity-related investments, and to a lesser extent, income from debt investments. We invest principally in the equity securities of what we believe to be rapidly growing venture capital-backed emerging companies. We acquire our investments through direct investments in prospective portfolio companies, secondary marketplaces for private companies, negotiations with selling stockholders, and through investments in special purpose vehicles (“SPVs”) and investment funds that invest directly in the equity or debt of a single private issuer. In addition, we may invest in private credit and in the founders equity, founders warrants, venture capital investment funds, and private investment in public equity (“PIPE”) transactions of special purpose acquisition companies (“SPACs”). We may also invest on an opportunistic basis in select publicly traded equity securities, private equity funds and hedge funds that are excluded from the definition of “investment company” under the 1940 Act by Section 3(c)(1) or 3(c)(7) of the 1940 Act, or certain non-U.S. companies that otherwise meet our investment criteria, subject to applicable requirements of the 1940 Act.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investment philosophy is based on a disciplined approach of identifying promising investments in high-growth, venture-backed companies across several key industry themes which may include, among others, Artificial Intelligence Infrastructure &amp; Applications, Consumer Goods &amp; Services, Software-as-a-Service, Financial Technology &amp; Services, and Logistics &amp; Supply Chain.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we evaluate.</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primarily focused on equity positions, our investments generally do not produce current income and therefore we may be dependent on future capital raising to meet our operating needs if no other source of liquidity is available.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seek to create a low-turnover portfolio that includes investments in companies representing a broad range of investment themes.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formed in 2010 as a Maryland corporation and operate as an internally managed, non-diversified closed-end management investment company. Our investment activities are supervised by our Board of Directors and managed by our executive officers and investments professionals, all of which are our employees.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date of inception was January 6, 2011, which is the date we commenced development stage activities. We commenced operations as a BDC upon completion of our IPO in May 2011 and began our investment operations during the second quarter of 2011.</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and effective March 12, 2019, our Board of Directors approved our Internalization, and we began operating as an internally managed non-diversified closed-end management investment company that has elected to be regulated as a BDC under the 1940 Act. Our Board of Directors approved the Internalization in order to better align the interests of our stockholders with its management. As an internally managed BDC, we are managed by our employees, rather than the employees of an external investment adviser. As a result of the Internalization, we no longer pay any fees or expenses under an investment advisory agreement or administration agreement, and instead pay the operating costs associated with employing investment management professionals including, without limitation, compensation expenses related to salaries, discretionary bonuses and restricted stock grants.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March 31, 2026 of all of our portfolio investments was $388,534,651.</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funded investments in an aggregate amount of $5,000,000 (not including capitalized transaction costs) as shown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2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2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Transaction Date</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Gross Payments</w:t>
            </w:r>
          </w:p>
        </w:tc>
        <w:tc>
          <w:tcPr>
            <w:tcW w:w="100" w:type="dxa"/>
            <w:vAlign w:val="bottom"/>
            <w:tcBorders>
              <w:bottom w:val="single" w:sz="8" w:color="CCEEFF"/>
            </w:tcBorders>
            <w:gridSpan w:val="2"/>
          </w:tcPr>
          <w:p>
            <w:pPr>
              <w:spacing w:after="0"/>
              <w:rPr>
                <w:sz w:val="20"/>
                <w:szCs w:val="20"/>
                <w:color w:val="auto"/>
              </w:rPr>
            </w:pPr>
          </w:p>
        </w:tc>
      </w:tr>
      <w:tr>
        <w:trPr>
          <w:trHeight w:val="263"/>
        </w:trPr>
        <w:tc>
          <w:tcPr>
            <w:tcW w:w="5180" w:type="dxa"/>
            <w:vAlign w:val="bottom"/>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Magnetar Opportunity 2025-4 LP</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2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Class A Interest</w:t>
            </w:r>
          </w:p>
        </w:tc>
        <w:tc>
          <w:tcPr>
            <w:tcW w:w="18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1/2/2026</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shd w:val="clear" w:color="auto" w:fill="CCEEFF"/>
          </w:tcPr>
          <w:p>
            <w:pPr>
              <w:spacing w:after="0"/>
              <w:rPr>
                <w:sz w:val="22"/>
                <w:szCs w:val="22"/>
                <w:color w:val="auto"/>
              </w:rPr>
            </w:pPr>
          </w:p>
        </w:tc>
      </w:tr>
      <w:tr>
        <w:trPr>
          <w:trHeight w:val="223"/>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61"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Magnetar Opportunity 2025-4 LP is an SPV for which the Class A Interest is invested in TensorWave Inc. On December 31, 2025, SuRo Capital committed up to $20.0 million to Magnetar Opportunity 2025-4 LP. On January 2, 2026, SuRo Capital funded $5.0 million of the commitment. Magnetar Opportunity 2025-4 LP does not charge a management fee but does charge an incentive fee of 20%, subject to an annual 15% IRR hurdle rate. As of March 31, 2026, $15.0 million of the commitment remains to be funded, subject to the satisfaction of certain conditions</w:t>
      </w:r>
    </w:p>
    <w:p>
      <w:pPr>
        <w:spacing w:after="0" w:line="17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we capitalized fees of $12,250.</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exited or received proceeds from investments in the amount of $1,603,659, net of transaction costs, and realized a net gain on investments of $890,513 as shown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Average Net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5"/>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Transaction Date</w:t>
            </w: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500" w:type="dxa"/>
            <w:vAlign w:val="bottom"/>
            <w:gridSpan w:val="3"/>
          </w:tcPr>
          <w:p>
            <w:pPr>
              <w:jc w:val="center"/>
              <w:ind w:right="360"/>
              <w:spacing w:after="0" w:line="276" w:lineRule="exact"/>
              <w:rPr>
                <w:sz w:val="20"/>
                <w:szCs w:val="20"/>
                <w:color w:val="auto"/>
              </w:rPr>
            </w:pPr>
            <w:r>
              <w:rPr>
                <w:rFonts w:ascii="Times New Roman" w:cs="Times New Roman" w:eastAsia="Times New Roman" w:hAnsi="Times New Roman"/>
                <w:sz w:val="18"/>
                <w:szCs w:val="18"/>
                <w:b w:val="1"/>
                <w:bCs w:val="1"/>
                <w:color w:val="auto"/>
                <w:w w:val="94"/>
              </w:rPr>
              <w:t>Share Price</w:t>
            </w:r>
            <w:r>
              <w:rPr>
                <w:rFonts w:ascii="Times New Roman" w:cs="Times New Roman" w:eastAsia="Times New Roman" w:hAnsi="Times New Roman"/>
                <w:sz w:val="29"/>
                <w:szCs w:val="29"/>
                <w:b w:val="1"/>
                <w:bCs w:val="1"/>
                <w:color w:val="auto"/>
                <w:w w:val="94"/>
                <w:vertAlign w:val="superscript"/>
              </w:rPr>
              <w:t>(1)</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Net Proceeds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Realized Gain</w:t>
            </w:r>
          </w:p>
        </w:tc>
      </w:tr>
      <w:tr>
        <w:trPr>
          <w:trHeight w:val="195"/>
        </w:trPr>
        <w:tc>
          <w:tcPr>
            <w:tcW w:w="3720" w:type="dxa"/>
            <w:vAlign w:val="bottom"/>
            <w:tcBorders>
              <w:top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GrabAGun Digital Holdings Inc. - Common</w:t>
            </w:r>
          </w:p>
        </w:tc>
        <w:tc>
          <w:tcPr>
            <w:tcW w:w="2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71"/>
        </w:trPr>
        <w:tc>
          <w:tcPr>
            <w:tcW w:w="3940" w:type="dxa"/>
            <w:vAlign w:val="bottom"/>
            <w:gridSpan w:val="2"/>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Shares</w:t>
            </w:r>
            <w:r>
              <w:rPr>
                <w:rFonts w:ascii="Times New Roman" w:cs="Times New Roman" w:eastAsia="Times New Roman" w:hAnsi="Times New Roman"/>
                <w:sz w:val="29"/>
                <w:szCs w:val="29"/>
                <w:color w:val="auto"/>
                <w:vertAlign w:val="superscript"/>
              </w:rPr>
              <w:t>(2)</w:t>
            </w:r>
          </w:p>
        </w:tc>
        <w:tc>
          <w:tcPr>
            <w:tcW w:w="15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4"/>
              </w:rPr>
              <w:t>Various</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440,246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1,357,733</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890,513</w:t>
            </w:r>
          </w:p>
        </w:tc>
      </w:tr>
      <w:tr>
        <w:trPr>
          <w:trHeight w:val="230"/>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True Global Ventures 4 Plus Pte Ltd</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3/5/2026</w:t>
            </w:r>
          </w:p>
        </w:tc>
        <w:tc>
          <w:tcPr>
            <w:tcW w:w="2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9"/>
                <w:szCs w:val="19"/>
                <w:color w:val="auto"/>
              </w:rPr>
            </w:pPr>
          </w:p>
        </w:tc>
        <w:tc>
          <w:tcPr>
            <w:tcW w:w="14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245,926</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1,603,659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890,513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net share price is the net share price realized after deducting all commissions and fees on the sale(s), if applicable.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SuRo Capital held 599,754 remaining GrabAGun Digital Holdings Inc. common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2025</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March 31, 2025 of all of our portfolio investments was $213,577,198.</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we funded investments in an aggregate amount of $1,303,010 (not including capitalized transaction costs) as shown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3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0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Transaction Date</w:t>
            </w:r>
          </w:p>
        </w:tc>
        <w:tc>
          <w:tcPr>
            <w:tcW w:w="160" w:type="dxa"/>
            <w:vAlign w:val="bottom"/>
          </w:tcPr>
          <w:p>
            <w:pPr>
              <w:spacing w:after="0"/>
              <w:rPr>
                <w:sz w:val="20"/>
                <w:szCs w:val="20"/>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Gross Payments</w:t>
            </w:r>
          </w:p>
        </w:tc>
      </w:tr>
      <w:tr>
        <w:trPr>
          <w:trHeight w:val="210"/>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Orchard Technologies, Inc.</w:t>
            </w:r>
          </w:p>
        </w:tc>
        <w:tc>
          <w:tcPr>
            <w:tcW w:w="22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Senior Preferred Shares, Series 1</w:t>
            </w: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1/31/2025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Orchard Technologies, Inc.</w:t>
            </w:r>
          </w:p>
        </w:tc>
        <w:tc>
          <w:tcPr>
            <w:tcW w:w="3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Simple Agreement for Future Equity</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80,800</w:t>
            </w:r>
          </w:p>
        </w:tc>
      </w:tr>
      <w:tr>
        <w:trPr>
          <w:trHeight w:val="230"/>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Whoop, Inc.</w:t>
            </w:r>
          </w:p>
        </w:tc>
        <w:tc>
          <w:tcPr>
            <w:tcW w:w="35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Simple Agreement for Future Equity</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2/6/2025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shd w:val="clear" w:color="auto" w:fill="CCEEFF"/>
          </w:tcPr>
          <w:p>
            <w:pPr>
              <w:spacing w:after="0"/>
              <w:rPr>
                <w:sz w:val="19"/>
                <w:szCs w:val="19"/>
                <w:color w:val="auto"/>
              </w:rPr>
            </w:pPr>
          </w:p>
        </w:tc>
      </w:tr>
      <w:tr>
        <w:trPr>
          <w:trHeight w:val="223"/>
        </w:trPr>
        <w:tc>
          <w:tcPr>
            <w:tcW w:w="39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1,303,010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2025, we capitalized fees of $4,568.</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we did not exit or receive proceeds from any of our investments, and realized a net loss on investments of $17,951 (including adjustments to amounts held in escrow receivable).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2025, we did not write-off any investments.</w:t>
      </w:r>
    </w:p>
    <w:p>
      <w:pPr>
        <w:sectPr>
          <w:pgSz w:w="11900" w:h="16838" w:orient="portrait"/>
          <w:cols w:equalWidth="0" w:num="1">
            <w:col w:w="11240"/>
          </w:cols>
          <w:pgMar w:left="320" w:top="229"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18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TABLE OF CONTENTS</w:t>
            </w:r>
          </w:p>
        </w:tc>
        <w:tc>
          <w:tcPr>
            <w:tcW w:w="4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results for the three months ended March 31, 2026 and 2025:</w:t>
            </w: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18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2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1840" w:type="dxa"/>
            <w:vAlign w:val="bottom"/>
            <w:tcBorders>
              <w:bottom w:val="single" w:sz="8" w:color="CCEEFF"/>
            </w:tcBorders>
          </w:tcPr>
          <w:p>
            <w:pPr>
              <w:spacing w:after="0"/>
              <w:rPr>
                <w:sz w:val="19"/>
                <w:szCs w:val="19"/>
                <w:color w:val="auto"/>
              </w:rPr>
            </w:pPr>
          </w:p>
        </w:tc>
        <w:tc>
          <w:tcPr>
            <w:tcW w:w="44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731,963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499,094</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388,213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150,647</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343,750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348,447</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4,710,455</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4,160,863</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1,976,252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1,667,835</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fees</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195,562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170,565</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1,217,194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1,259,849</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872,729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750,224</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57,558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2,796</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391,160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309,594</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Investment Loss</w:t>
            </w:r>
          </w:p>
        </w:tc>
        <w:tc>
          <w:tcPr>
            <w:tcW w:w="11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(3,978,492)</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(3,661,769)</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realized gain/(loss) on investments</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890,513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(17,951)</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loss on partial repurchase of 6.00% Notes due December 30, 2026</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(15,873)</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in unrealized appreciation/(depreciation) of investments</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158,724,039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2,888,878</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Net Assets Resulting from Operations</w:t>
            </w:r>
          </w:p>
        </w:tc>
        <w:tc>
          <w:tcPr>
            <w:tcW w:w="11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155,636,060</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(806,715)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Investment income increased to $731,963 for the three months ended March 31, 2026 from $499,094 for the three months ended March 31, 2025. The net increase between periods was primarily due to an increase in interest income received on cash, an increase in interest accruals on our investment in the Supplying Demand, Inc. (d/b/a Liquid Death) Convertible Note, and an increase in dividend income from Treehouse Real Estate Investment Trust, Inc. The increases were offset by the cessation of dividend income from CW Opportunity 2 LP during the three months ended March 31, 2026, relative to the three months ended March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Total operating expenses increased to $4,710,455 for the three months ended March 31, 2026 from $4,160,863 for the three months ended March 31, 2025. The increase in operating expenses was primarily due to increases in compensation expense, professional fees, income tax expense, directors’ fees, and other expenses. These increases were partially offset by a decrease in interest expense during the three months ended March 31, 2026, relative to the three months ended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Loss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we recognized a net investment loss of $3,978,492, compared to a net investment loss of $3,661,769 for the three months ended March 31, 2025. The change between periods resulted from an increase in operating expenses, partially offset by an increase in total investment income, during the three months ended March 31, 2026, relative to the three months ended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Gain/Loss on Investments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we recognized a net realized gain on our investments of $890,513, compared to a net realized loss of $17,951 for the three months ended March 31, 2025. The components of our net realized gains or losses on portfolio investments for the three months ended March 31, 2026 and 2025, excluding short-term U.S. Treasury bills, are reflected in the tables above, under “—Portfolio and Investment Activity.”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Change in Unrealized Appreciation/(Depreciation) of Investments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we had a net change in unrealized appreciation/(depreciation) of $158,724,039. For the three months ended March 31, 2025, we had a net change in unrealized appreciation/(depreciation) of $2,888,878. The following table summarizes, by portfolio company, the significant changes in unrealized appreciation/(depreciation) of our investment portfolio for the three months ended March 31, 2026 and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Net Change in Unrealized</w:t>
            </w: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Net Change in Unrealized</w:t>
            </w:r>
          </w:p>
        </w:tc>
      </w:tr>
      <w:tr>
        <w:trPr>
          <w:trHeight w:val="216"/>
        </w:trPr>
        <w:tc>
          <w:tcPr>
            <w:tcW w:w="3140" w:type="dxa"/>
            <w:vAlign w:val="bottom"/>
          </w:tcPr>
          <w:p>
            <w:pPr>
              <w:spacing w:after="0"/>
              <w:rPr>
                <w:sz w:val="18"/>
                <w:szCs w:val="18"/>
                <w:color w:val="auto"/>
              </w:rPr>
            </w:pPr>
          </w:p>
        </w:tc>
        <w:tc>
          <w:tcPr>
            <w:tcW w:w="26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Appreciation/(Depreciation)</w:t>
            </w: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Appreciation/(Depreciation)</w:t>
            </w:r>
          </w:p>
        </w:tc>
      </w:tr>
      <w:tr>
        <w:trPr>
          <w:trHeight w:val="216"/>
        </w:trPr>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For the Quarter Ended</w:t>
            </w: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 Quarter Ended</w:t>
            </w:r>
          </w:p>
        </w:tc>
      </w:tr>
      <w:tr>
        <w:trPr>
          <w:trHeight w:val="238"/>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80" w:type="dxa"/>
            <w:vAlign w:val="bottom"/>
          </w:tcPr>
          <w:p>
            <w:pPr>
              <w:spacing w:after="0"/>
              <w:rPr>
                <w:sz w:val="20"/>
                <w:szCs w:val="20"/>
                <w:color w:val="auto"/>
              </w:rPr>
            </w:pPr>
          </w:p>
        </w:tc>
        <w:tc>
          <w:tcPr>
            <w:tcW w:w="2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r>
      <w:tr>
        <w:trPr>
          <w:trHeight w:val="191"/>
        </w:trPr>
        <w:tc>
          <w:tcPr>
            <w:tcW w:w="31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9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ARK Type One Deep Ventures Fund</w:t>
            </w: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Whoop, Inc.</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122,409,743</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LLC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10,164,967</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IH10, LLC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20,706,600</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Colombier Sponsor II LLC</w:t>
            </w:r>
          </w:p>
        </w:tc>
        <w:tc>
          <w:tcPr>
            <w:tcW w:w="80" w:type="dxa"/>
            <w:vAlign w:val="bottom"/>
          </w:tcPr>
          <w:p>
            <w:pPr>
              <w:spacing w:after="0"/>
              <w:rPr>
                <w:sz w:val="18"/>
                <w:szCs w:val="18"/>
                <w:color w:val="auto"/>
              </w:rPr>
            </w:pPr>
          </w:p>
        </w:tc>
        <w:tc>
          <w:tcPr>
            <w:tcW w:w="2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8,610,476</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ARK Type One Deep Ventures Fund LLC</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17,125,324</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Whoop, Inc.</w:t>
            </w:r>
          </w:p>
        </w:tc>
        <w:tc>
          <w:tcPr>
            <w:tcW w:w="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5,421,854</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EDGE Markets, Inc.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2,701,961</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PSQ Holdings, Inc. (d/b/a PublicSquare)</w:t>
            </w:r>
          </w:p>
        </w:tc>
        <w:tc>
          <w:tcPr>
            <w:tcW w:w="80" w:type="dxa"/>
            <w:vAlign w:val="bottom"/>
          </w:tcPr>
          <w:p>
            <w:pPr>
              <w:spacing w:after="0"/>
              <w:rPr>
                <w:sz w:val="18"/>
                <w:szCs w:val="18"/>
                <w:color w:val="auto"/>
              </w:rPr>
            </w:pPr>
          </w:p>
        </w:tc>
        <w:tc>
          <w:tcPr>
            <w:tcW w:w="2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(1,023,741)</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Plaid Inc.</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1,922,805</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Locus Robotics Corp.</w:t>
            </w:r>
          </w:p>
        </w:tc>
        <w:tc>
          <w:tcPr>
            <w:tcW w:w="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(1,101,665)</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HL Digital Assets Inc.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1,220,864</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Canva, Inc.</w:t>
            </w:r>
          </w:p>
        </w:tc>
        <w:tc>
          <w:tcPr>
            <w:tcW w:w="80" w:type="dxa"/>
            <w:vAlign w:val="bottom"/>
          </w:tcPr>
          <w:p>
            <w:pPr>
              <w:spacing w:after="0"/>
              <w:rPr>
                <w:sz w:val="18"/>
                <w:szCs w:val="18"/>
                <w:color w:val="auto"/>
              </w:rPr>
            </w:pPr>
          </w:p>
        </w:tc>
        <w:tc>
          <w:tcPr>
            <w:tcW w:w="2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(1,160,056)</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 Opportunity 2 LP</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1,210,080</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Learneo, Inc. (f/k/a Course Hero, Inc.)</w:t>
            </w:r>
          </w:p>
        </w:tc>
        <w:tc>
          <w:tcPr>
            <w:tcW w:w="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(1,364,790)</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Aventine Property Group, Inc.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(1,159,407)</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Blink Health, Inc.</w:t>
            </w:r>
          </w:p>
        </w:tc>
        <w:tc>
          <w:tcPr>
            <w:tcW w:w="80" w:type="dxa"/>
            <w:vAlign w:val="bottom"/>
          </w:tcPr>
          <w:p>
            <w:pPr>
              <w:spacing w:after="0"/>
              <w:rPr>
                <w:sz w:val="18"/>
                <w:szCs w:val="18"/>
                <w:color w:val="auto"/>
              </w:rPr>
            </w:pPr>
          </w:p>
        </w:tc>
        <w:tc>
          <w:tcPr>
            <w:tcW w:w="2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(1,881,034)</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Neutron Holdings, Inc. (d/b/a/ Lime)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(1,299,494)</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CoreWeave, Inc.</w:t>
            </w:r>
          </w:p>
        </w:tc>
        <w:tc>
          <w:tcPr>
            <w:tcW w:w="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(3,439,087)</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FourKites, Inc.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(2,426,590)</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FourKites, Inc.</w:t>
            </w:r>
          </w:p>
        </w:tc>
        <w:tc>
          <w:tcPr>
            <w:tcW w:w="80" w:type="dxa"/>
            <w:vAlign w:val="bottom"/>
          </w:tcPr>
          <w:p>
            <w:pPr>
              <w:spacing w:after="0"/>
              <w:rPr>
                <w:sz w:val="18"/>
                <w:szCs w:val="18"/>
                <w:color w:val="auto"/>
              </w:rPr>
            </w:pPr>
          </w:p>
        </w:tc>
        <w:tc>
          <w:tcPr>
            <w:tcW w:w="2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(4,636,617)</w:t>
            </w:r>
          </w:p>
        </w:tc>
      </w:tr>
      <w:tr>
        <w:trPr>
          <w:trHeight w:val="216"/>
        </w:trPr>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CW Opportunity 2 LP</w:t>
            </w:r>
          </w:p>
        </w:tc>
        <w:tc>
          <w:tcPr>
            <w:tcW w:w="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(5,493,634)</w:t>
            </w:r>
          </w:p>
        </w:tc>
      </w:tr>
      <w:tr>
        <w:trPr>
          <w:trHeight w:val="270"/>
        </w:trPr>
        <w:tc>
          <w:tcPr>
            <w:tcW w:w="314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(1)</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(3,687,847)</w:t>
            </w:r>
          </w:p>
        </w:tc>
        <w:tc>
          <w:tcPr>
            <w:tcW w:w="316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(1)</w:t>
            </w:r>
          </w:p>
        </w:tc>
        <w:tc>
          <w:tcPr>
            <w:tcW w:w="80" w:type="dxa"/>
            <w:vAlign w:val="bottom"/>
          </w:tcPr>
          <w:p>
            <w:pPr>
              <w:spacing w:after="0"/>
              <w:rPr>
                <w:sz w:val="23"/>
                <w:szCs w:val="23"/>
                <w:color w:val="auto"/>
              </w:rPr>
            </w:pPr>
          </w:p>
        </w:tc>
        <w:tc>
          <w:tcPr>
            <w:tcW w:w="2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(1,207,795)</w:t>
            </w:r>
          </w:p>
        </w:tc>
      </w:tr>
      <w:tr>
        <w:trPr>
          <w:trHeight w:val="223"/>
        </w:trPr>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158,724,039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2,888,878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represents investments for which individual changes in unrealized appreciation/(depreciation) was less than $1.0 million for the three months ended March 31, 2026 and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liquidity and capital resources are generated primarily from the sales of our investments, recent private convertible debt issuances, and the net proceeds from public offerings of our equity and debt securities, including pursuant to our continuous at-the-market offering of shares of our common stock as discussed below under “Equity Issuances and Debt Capital Activities—At-the-Market Offering”. On December 17, 2021, we issued $75.0 million aggregate principal amount of our 6.00% Notes due 2026 (the “6.00% Notes due 2026”), of which $35.8 million remain outstanding as of March 31, 2026. In addition, on August 14, 2024, we issued $25.0 million in aggregate principal amount of 6.50% Convertible Notes due 2029, and on October 9, 2024 and January 16, 2025, we issued $5.0 million and $5.0 million, respectively, in aggregate principal amount of the Additional Notes (as defined below), all of which remain outstanding. For additional information, see “Equity Issuances and Debt Capital Activities—6.50% Convertible Notes due 2029” below and “Note 10—Debt Capital Activities” to our Condensed Consolidated Financial Statements as of March 31, 2026.</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primary uses of cash are to make investments, pay our operating expenses, and make distributions to our stockholders. For the three months ended March 31, 2026 and 2025 our operating expenses, including interest payments on our debt obligations, were $4,710,455 and $4,160,863,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of March 31, 2026, $35.8 million in aggregate principal of our 6.00% Notes due 2026 remained outstanding, with a maturity date of December 30, 2026. We have the right to redeem the 6.00% Notes due 2026, in whole or in part, at any time at a redemption price of 100% of the outstanding principal amount plus accrued and unpaid interest. We may also continue to repurchase the 6.00% Notes due 2026 in the open market under the Note Repurchase Program, which was extended by our Board of Directors on October 29, 2025 and authorizes us to repurchase up to the remaining aggregate principal amount of the 6.00% Notes due 2026. We intend to satisfy our repayment obligation at maturity primarily from existing cash balances, and we may also consider refinancing alternatives, including the issuance of new debt securities, the sale of portfolio investments, or the issuance of equity under the ATM Program (under which approximately $87.9 million in aggregate amount of shares remained available for sale as of March 31, 2026). Any refinancing involving the incurrence of new indebtedness would require five business days’ prior written notice to the holder of our 6.50% Convertible Notes due 2029 pursuant to the Notes Purchase Agreement. As of March 31, 2026, we held approximately $43.3 million in cash, which exceeds the outstanding principal amount of the 6.00% Notes due 2026 and which we believe is sufficient to satisfy this obligation at maturity. In addition, as of March 31, 2026, we held approximately $2.7 million of unrestricted securities of publicly traded portfolio companies that could provide an additional source of liquidity. We will continue to evaluate our overall liquidity position and may take additional proactive steps, including the potential early redemption or open-market repurchase of some or all of the outstanding 6.00% Notes due 2026, to manage this near-term maturity.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Reserves and Liquid Securities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43,315,750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49,034,154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67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Restricted cash</w:t>
            </w:r>
            <w:r>
              <w:rPr>
                <w:rFonts w:ascii="Times New Roman" w:cs="Times New Roman" w:eastAsia="Times New Roman" w:hAnsi="Times New Roman"/>
                <w:sz w:val="29"/>
                <w:szCs w:val="29"/>
                <w:color w:val="auto"/>
                <w:vertAlign w:val="superscript"/>
              </w:rPr>
              <w:t>(1)</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38,741</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of publicly traded portfolio companies: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67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Unrestricted securities</w:t>
            </w:r>
            <w:r>
              <w:rPr>
                <w:rFonts w:ascii="Times New Roman" w:cs="Times New Roman" w:eastAsia="Times New Roman" w:hAnsi="Times New Roman"/>
                <w:sz w:val="29"/>
                <w:szCs w:val="29"/>
                <w:color w:val="auto"/>
                <w:vertAlign w:val="superscript"/>
              </w:rPr>
              <w:t>(2)</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2,653,815</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1,078,863</w:t>
            </w:r>
          </w:p>
        </w:tc>
      </w:tr>
      <w:tr>
        <w:trPr>
          <w:trHeight w:val="229"/>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Subject to other sales restrictions(3)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3,130,400</w:t>
            </w:r>
          </w:p>
        </w:tc>
      </w:tr>
      <w:tr>
        <w:trPr>
          <w:trHeight w:val="209"/>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Securities of publicly traded portfolio companies</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2,653,815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4,209,263</w:t>
            </w:r>
          </w:p>
        </w:tc>
        <w:tc>
          <w:tcPr>
            <w:tcW w:w="100" w:type="dxa"/>
            <w:vAlign w:val="bottom"/>
            <w:tcBorders>
              <w:bottom w:val="single" w:sz="8" w:color="CCEEFF"/>
            </w:tcBorders>
          </w:tcPr>
          <w:p>
            <w:pPr>
              <w:spacing w:after="0"/>
              <w:rPr>
                <w:sz w:val="18"/>
                <w:szCs w:val="18"/>
                <w:color w:val="auto"/>
              </w:rPr>
            </w:pPr>
          </w:p>
        </w:tc>
      </w:tr>
      <w:tr>
        <w:trPr>
          <w:trHeight w:val="223"/>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Reserves and Liquid Securities</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45,969,565</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53,282,158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line="261"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consists of amounts that are held in a separate account and are subject to specific contractual restrictions that limit their availability for general corporate use.</w:t>
      </w:r>
    </w:p>
    <w:p>
      <w:pPr>
        <w:ind w:left="340" w:hanging="332"/>
        <w:spacing w:after="0" w:line="25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“Unrestricted securities” represents common stock and warrants of our publicly traded portfolio companies that are not currently subject to any restrictions upon sale. We may incur losses.</w:t>
      </w:r>
    </w:p>
    <w:p>
      <w:pPr>
        <w:ind w:left="340" w:hanging="332"/>
        <w:spacing w:after="0" w:line="26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publicly traded portfolio companies “subject to other sales restrictions” represents common stock of our publicly traded portfolio companies that are currently subject to certain lock-up restrictions.</w:t>
      </w:r>
    </w:p>
    <w:p>
      <w:pPr>
        <w:spacing w:after="0" w:line="1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cash decreased to $43,315,750 from $49,034,154 at the beginning of the year. The decrease in cash was primarily due to the purchase of new investments, payment of our operating expenses, and payment of interest on the 6.00% Notes due 2026 and 6.50% Convertible Notes due 2029. The decrease was offset by the increase in cash from the sale of public securities and investment income received.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Currently, we believe we have ample liquidity to support our near-term capital requirements. Consistent with past and current practices, we will continue to evaluate our overall liquidity position and take proactive steps to maintain the appropriate liquidity position based upon the current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significant contractual payment obligations as of March 31, 2026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9"/>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 xml:space="preserve">Payments Due By Period </w:t>
            </w:r>
            <w:r>
              <w:rPr>
                <w:rFonts w:ascii="Times New Roman" w:cs="Times New Roman" w:eastAsia="Times New Roman" w:hAnsi="Times New Roman"/>
                <w:sz w:val="18"/>
                <w:szCs w:val="18"/>
                <w:b w:val="1"/>
                <w:bCs w:val="1"/>
                <w:i w:val="1"/>
                <w:iCs w:val="1"/>
                <w:color w:val="auto"/>
              </w:rPr>
              <w:t>(in millions)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3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More than</w:t>
            </w:r>
          </w:p>
        </w:tc>
        <w:tc>
          <w:tcPr>
            <w:tcW w:w="100" w:type="dxa"/>
            <w:vAlign w:val="bottom"/>
            <w:gridSpan w:val="2"/>
          </w:tcPr>
          <w:p>
            <w:pPr>
              <w:spacing w:after="0"/>
              <w:rPr>
                <w:sz w:val="16"/>
                <w:szCs w:val="16"/>
                <w:color w:val="auto"/>
              </w:rPr>
            </w:pPr>
          </w:p>
        </w:tc>
      </w:tr>
      <w:tr>
        <w:trPr>
          <w:trHeight w:val="238"/>
        </w:trPr>
        <w:tc>
          <w:tcPr>
            <w:tcW w:w="344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100" w:type="dxa"/>
            <w:vAlign w:val="bottom"/>
            <w:tcBorders>
              <w:bottom w:val="single" w:sz="8" w:color="CCEEFF"/>
            </w:tcBorders>
            <w:gridSpan w:val="2"/>
          </w:tcPr>
          <w:p>
            <w:pPr>
              <w:spacing w:after="0"/>
              <w:rPr>
                <w:sz w:val="20"/>
                <w:szCs w:val="20"/>
                <w:color w:val="auto"/>
              </w:rPr>
            </w:pPr>
          </w:p>
        </w:tc>
      </w:tr>
      <w:tr>
        <w:trPr>
          <w:trHeight w:val="237"/>
        </w:trPr>
        <w:tc>
          <w:tcPr>
            <w:tcW w:w="344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6.00% Notes due 2026</w:t>
            </w:r>
            <w:r>
              <w:rPr>
                <w:rFonts w:ascii="Times New Roman" w:cs="Times New Roman" w:eastAsia="Times New Roman" w:hAnsi="Times New Roman"/>
                <w:sz w:val="27"/>
                <w:szCs w:val="27"/>
                <w:color w:val="auto"/>
                <w:vertAlign w:val="superscript"/>
              </w:rPr>
              <w:t>(1)</w:t>
            </w:r>
          </w:p>
        </w:tc>
        <w:tc>
          <w:tcPr>
            <w:tcW w:w="1540" w:type="dxa"/>
            <w:vAlign w:val="bottom"/>
            <w:gridSpan w:val="2"/>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4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6.50% Convertible Notes due 2029</w:t>
            </w:r>
            <w:r>
              <w:rPr>
                <w:rFonts w:ascii="Times New Roman" w:cs="Times New Roman" w:eastAsia="Times New Roman" w:hAnsi="Times New Roman"/>
                <w:sz w:val="29"/>
                <w:szCs w:val="29"/>
                <w:color w:val="auto"/>
                <w:vertAlign w:val="superscript"/>
              </w:rPr>
              <w:t>(2)</w:t>
            </w: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22"/>
                <w:szCs w:val="22"/>
                <w:color w:val="auto"/>
              </w:rPr>
            </w:pPr>
          </w:p>
        </w:tc>
        <w:tc>
          <w:tcPr>
            <w:tcW w:w="11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7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Pr>
          <w:p>
            <w:pPr>
              <w:spacing w:after="0"/>
              <w:rPr>
                <w:sz w:val="19"/>
                <w:szCs w:val="19"/>
                <w:color w:val="auto"/>
              </w:rPr>
            </w:pPr>
          </w:p>
        </w:tc>
        <w:tc>
          <w:tcPr>
            <w:tcW w:w="800" w:type="dxa"/>
            <w:vAlign w:val="bottom"/>
            <w:tcBorders>
              <w:top w:val="single" w:sz="8" w:color="auto"/>
            </w:tcBorders>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gridSpan w:val="2"/>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8" w:lineRule="exact"/>
        <w:rPr>
          <w:sz w:val="20"/>
          <w:szCs w:val="20"/>
          <w:color w:val="auto"/>
        </w:rPr>
      </w:pPr>
    </w:p>
    <w:p>
      <w:pPr>
        <w:ind w:left="340" w:hanging="332"/>
        <w:spacing w:after="0" w:line="261"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principal balance payable for the 6.00% Notes due 2026 as of March 31, 2026. Refer to “Note 10—Debt Capital Activities” in our Condensed Consolidated Financial Statements as of March 31, 2026 for more information.</w:t>
      </w:r>
    </w:p>
    <w:p>
      <w:pPr>
        <w:ind w:left="340" w:hanging="332"/>
        <w:spacing w:after="0" w:line="260"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principal balance payable for the 6.50% Convertible Notes due 2029 as of March 31, 2026. Refer to “Note 10—Debt Capital Activities” in our Condensed Consolidated Financial Statements as of March 31, 2026 for more information.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we did not repurchase any shares of our common stock under the discretionary open-market Share Repurchase Program. As of March 31, 2026, the dollar value of shares that remained available to be purchased under the Share Repurchase Program is approximately $25.0 million. Currently, the Share Repurchase Program is authorized until the earlier of (i) October 31, 2026 or (ii) the repurchase of $64.3 million in aggregate amount of our common stock.</w:t>
      </w:r>
    </w:p>
    <w:p>
      <w:pPr>
        <w:sectPr>
          <w:pgSz w:w="11900" w:h="16838" w:orient="portrait"/>
          <w:cols w:equalWidth="0" w:num="1">
            <w:col w:w="11240"/>
          </w:cols>
          <w:pgMar w:left="320" w:top="229"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 (the “Exchange Act”), and the rules promulgated thereunder. For more information on the Share Repurchase Program, see “Note 5—Common Stock” to our Condensed Consolidated Financial Statements as of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and 2025, we had no off-balance sheet arrangements, including any risk management of commodity pricing or other hedging practices. However, we may employ hedging and other risk management techniques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Issuances and Debt Capital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Offering</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29, 2020, we established an “at-the-market” offering (the “ATM Program”) pursuant to an At-the-Market Sales Agreement dated July 29, 2020 (as amended on September 23, 2020 and November 8, 2024, the “Sales Agreement”) with BTIG LLC, Citizens JMP Securities, LLC (f/k/a JMP Securities LLC), Ladenburg Thalmann &amp; Co. Inc. and Barrington Research Associates, Inc. (collectively, the “Agents”). Under the Sales Agreement, we may, but have no obligation to, issue and sell up to $150.0 million in aggregate amount of shares of our common stock (the “Shares”) from time to time through the Agents or to them as principal for their own account. We intend to use the net proceeds from the ATM Program to make investments in portfolio companies in accordance with our investment objective and strategy and for general corporate purposes.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we did not issue or sell Shares under the ATM Program. As of March 31, 2026, up to approximately $87.9 million in aggregate amount of the Shares remain available for sale under the ATM Program.</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“Note 5—Common Stock” to our Condensed Consolidated Financial Statements as of March 31, 2026 for more information regarding the ATM Program.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6.00% Notes due 2026 - Note Repurchase Program</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December 17, 2021, we issued $70.0 million aggregate principal amount of 6.00% Notes due 2026, which bear interest at a fixed rate of 6.00% per year, payable quarterly in arrears on March 30, June 30, September 30, and December 30 of each year, commencing on March 30, 2022. On December 21, 2021, we issued an additional $5.0 million aggregate principal amount of 6.00% Notes due 2026. We received approximately $73.0 million in proceeds from the offering, net of underwriting discounts and commissions and other offering expenses. The 6.00% Notes due 2026 have a maturity date of December 30, 2026, unless previously repurchased or redeemed in accordance with their terms. We have the right to redeem the 6.00% Notes due 2026, in whole or in part, at any time or from time to time, on or after December 30, 2024 at a redemption price of 100% of the aggregate principal amount thereof plus accrued and unpaid interest.</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6, 2024, our Board of Directors approved a discretionary note repurchase program (the “Note Repurchase Program”) which allows us to repurchase up to $35.0 million of our 6.00% Notes due 2026 through open market purchases, including block purchases, in such manner as will comply with the provisions of the 1940 Act and the Exchange Act. During the year ended December 31, 2024, the Company repurchased and retired $30.3 million of aggregate principal amount of the 6.00% Notes due 2026. On October 29, 2025, our Board of Directors approved an extension of the discretionary note repurchase program (the “Note Repurchase Program”), which allows us to repurchase up to an additional $40.0 million or the remaining aggregate principal amount, of our 6.00% Notes due 2026 through open market purchases, including block purchases, in such manner as will comply with the provisions of the 1940 Act and the Exchange Act. During the year ended December 31, 2025, the Company repurchased and retired $8.8 million of aggregate principal amount of the 6.00% Notes due 2026. As of March 31, 2026, the aggregate principal dollar amount of 6.00% Notes due 2026 that remained available to be purchased under the Note Repurchase Program was approximately $35.8 million.</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“Note 10—Debt Capital Activities” to our Condensed Consolidated Financial Statements as of March 31, 2026 for more information regarding the 6.00% Notes due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6.50% Convertible Notes due 2029</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14, 2024, we issued $25.0 million aggregate principal amount of the 6.50% Convertible Notes due 2029 to a private purchaser (the “Purchaser”), which bear interest at a rate of 6.50% per year, payable quarterly in arrears on March 30, June 30, September 30, and December 30 of each year, commencing on September 30, 2024. We received $24.3 million in proceeds from the issuance, net of underwriting discounts and commissions. Under the purchase agreement governing the 6.50% Convertible Notes due 2029, as Amended and Restated on December 12, 2025 (the “Notes Purchase Agreement”), upon mutual agreement between the Company and the Purchaser, we may issue additional 6.50% Convertible Notes due 2029 for sale in subsequent offerings to the Purchaser (the “Additional Notes”), or issue additional notes with modified pricing terms (the “New Notes”), in the aggregate for both the Additional Notes and the New Notes, up to a maximum of $50.0 million in one or more private offerings. Pursuant to the Notes Purchase Agreement, on October 9, 2024, we issued $5.0 million of Additional Notes to the Purchaser, and on January 16, 2025, we issued an additional $5.0 million of Additional Notes to the Purchaser, which Additional Notes are treated as a single series with the initial issuance of the 6.50% Convertible Notes due 2029. The 6.50% Convertible Notes due 2029 mature on August 14, 2029, unless previously repurchased, redeemed or converted in accordance with their terms. We do not have the right to redeem the 6.50% Convertible Notes due 2029 prior to August 6, 2027.</w:t>
      </w:r>
    </w:p>
    <w:p>
      <w:pPr>
        <w:spacing w:after="0" w:line="19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6.50% Convertible Notes due 2029 are convertible into shares of our common stock at the Purchaser’s sole discretion at an initial conversion rate of 129.0323 shares of common stock per $1,000 principal amount of the 6.50% Convertible Notes due 2029, subject to adjustment as provided in the Notes Purchase Agreement.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Effective as of July 21, 2025, the conversion rate applicable to the 6.50% Convertible Notes due 2029 was adjusted to $7.53 per share (132.7530 shares of the Company’s common stock per $1,000 principal amount of the 6.50% Convertible Notes due 2029) from the initial conversion price of $7.75 per share (129.0323 shares of the Company’s common stock per $1,000 principal amount of the 6.50% Convertible Notes due 2029), which had been effective since issuance. The adjustment to the conversion rate of the 6.50% Convertible Notes due 2029 was made pursuant to the Notes Purchase Agreement governing the 6.50% Convertible Notes due 2029 as a result of the Company’s cash dividend of $0.25 per share, paid on July 31, 2025 to stockholders of record as of the close of business on July 21, 2025.</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Effective as of November 21, 2025, the conversion rate applicable to the 6.50% Convertible Notes due 2029 was adjusted to $7.32 per share (136.5633 shares of the Company’s common stock per $1,000 principal amount of the 6.50% Convertible Notes due 2029) from the most recent conversion price of $7.53 per share (132.7530 shares of the Company’s common stock per $1,000 principal amount of the 6.50% Convertible Notes due 2029), which had been effective since July 21, 2025. The adjustment to the conversion rate of the 6.50% Convertible Notes due 2029 was made pursuant to the Notes Purchase Agreement governing the 6.50% Convertible Notes due 2029 as a result of the Company’s cash dividend of $0.25 per share, paid on December 5, 2025 to stockholders of record as of the close of business on November 21, 2025.</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“Note 10—Debt Capital Activities” and “Note 12—Subsequent Events” to our Condensed Consolidated Financial Statements as of March 31, 2026 for more information regarding the 6.50% Convertible Notes due 2029.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March 31, 2026. The table is divided by fiscal year according to record date: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 Declared</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 per Share</w:t>
            </w: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2015:</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47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November 4, 2015</w:t>
            </w:r>
            <w:r>
              <w:rPr>
                <w:rFonts w:ascii="Times New Roman" w:cs="Times New Roman" w:eastAsia="Times New Roman" w:hAnsi="Times New Roman"/>
                <w:sz w:val="29"/>
                <w:szCs w:val="29"/>
                <w:color w:val="auto"/>
                <w:vertAlign w:val="superscript"/>
              </w:rPr>
              <w:t>(1)</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November 16, 2015</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31, 2015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2016:</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47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August 3, 2016</w:t>
            </w:r>
            <w:r>
              <w:rPr>
                <w:rFonts w:ascii="Times New Roman" w:cs="Times New Roman" w:eastAsia="Times New Roman" w:hAnsi="Times New Roman"/>
                <w:sz w:val="29"/>
                <w:szCs w:val="29"/>
                <w:color w:val="auto"/>
                <w:vertAlign w:val="superscript"/>
              </w:rPr>
              <w:t>(2)</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August 16, 2016</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24, 2016</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2019:</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47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November 5, 2019</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December 2, 2019</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12, 2019</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r>
      <w:tr>
        <w:trPr>
          <w:trHeight w:val="257"/>
        </w:trPr>
        <w:tc>
          <w:tcPr>
            <w:tcW w:w="47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December 20, 2019</w:t>
            </w:r>
            <w:r>
              <w:rPr>
                <w:rFonts w:ascii="Times New Roman" w:cs="Times New Roman" w:eastAsia="Times New Roman" w:hAnsi="Times New Roman"/>
                <w:sz w:val="29"/>
                <w:szCs w:val="29"/>
                <w:color w:val="auto"/>
                <w:vertAlign w:val="superscript"/>
              </w:rPr>
              <w:t>(4)</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December 31, 2019</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15, 2020</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2020:</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7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July 29, 2020</w:t>
            </w:r>
            <w:r>
              <w:rPr>
                <w:rFonts w:ascii="Times New Roman" w:cs="Times New Roman" w:eastAsia="Times New Roman" w:hAnsi="Times New Roman"/>
                <w:sz w:val="29"/>
                <w:szCs w:val="29"/>
                <w:color w:val="auto"/>
                <w:vertAlign w:val="superscript"/>
              </w:rPr>
              <w:t>(5)</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August 11, 2020</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25, 2020</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0.15</w:t>
            </w:r>
          </w:p>
        </w:tc>
      </w:tr>
      <w:tr>
        <w:trPr>
          <w:trHeight w:val="257"/>
        </w:trPr>
        <w:tc>
          <w:tcPr>
            <w:tcW w:w="47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September 28, 2020</w:t>
            </w:r>
            <w:r>
              <w:rPr>
                <w:rFonts w:ascii="Times New Roman" w:cs="Times New Roman" w:eastAsia="Times New Roman" w:hAnsi="Times New Roman"/>
                <w:sz w:val="29"/>
                <w:szCs w:val="29"/>
                <w:color w:val="auto"/>
                <w:vertAlign w:val="superscript"/>
              </w:rPr>
              <w:t>(6)</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October 5, 2020</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20, 2020</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r>
        <w:trPr>
          <w:trHeight w:val="257"/>
        </w:trPr>
        <w:tc>
          <w:tcPr>
            <w:tcW w:w="47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October 28, 2020</w:t>
            </w:r>
            <w:r>
              <w:rPr>
                <w:rFonts w:ascii="Times New Roman" w:cs="Times New Roman" w:eastAsia="Times New Roman" w:hAnsi="Times New Roman"/>
                <w:sz w:val="29"/>
                <w:szCs w:val="29"/>
                <w:color w:val="auto"/>
                <w:vertAlign w:val="superscript"/>
              </w:rPr>
              <w:t>(7)</w:t>
            </w:r>
          </w:p>
        </w:tc>
        <w:tc>
          <w:tcPr>
            <w:tcW w:w="22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November 10, 2020</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30, 2020</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r>
        <w:trPr>
          <w:trHeight w:val="256"/>
        </w:trPr>
        <w:tc>
          <w:tcPr>
            <w:tcW w:w="47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December 16, 2020</w:t>
            </w:r>
            <w:r>
              <w:rPr>
                <w:rFonts w:ascii="Times New Roman" w:cs="Times New Roman" w:eastAsia="Times New Roman" w:hAnsi="Times New Roman"/>
                <w:sz w:val="29"/>
                <w:szCs w:val="29"/>
                <w:color w:val="auto"/>
                <w:vertAlign w:val="superscript"/>
              </w:rPr>
              <w:t>(8)</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December 30, 2020</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15, 2021</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2021:</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47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January 26, 2021</w:t>
            </w:r>
            <w:r>
              <w:rPr>
                <w:rFonts w:ascii="Times New Roman" w:cs="Times New Roman" w:eastAsia="Times New Roman" w:hAnsi="Times New Roman"/>
                <w:sz w:val="29"/>
                <w:szCs w:val="29"/>
                <w:color w:val="auto"/>
                <w:vertAlign w:val="superscript"/>
              </w:rPr>
              <w:t>(9)</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February 5, 2021</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2021</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r>
        <w:trPr>
          <w:trHeight w:val="257"/>
        </w:trPr>
        <w:tc>
          <w:tcPr>
            <w:tcW w:w="47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March 8, 2021</w:t>
            </w:r>
            <w:r>
              <w:rPr>
                <w:rFonts w:ascii="Times New Roman" w:cs="Times New Roman" w:eastAsia="Times New Roman" w:hAnsi="Times New Roman"/>
                <w:sz w:val="29"/>
                <w:szCs w:val="29"/>
                <w:color w:val="auto"/>
                <w:vertAlign w:val="superscript"/>
              </w:rPr>
              <w:t>(10)</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30, 2021</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April 15, 2021</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r>
        <w:trPr>
          <w:trHeight w:val="257"/>
        </w:trPr>
        <w:tc>
          <w:tcPr>
            <w:tcW w:w="47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May 4, 2021</w:t>
            </w:r>
            <w:r>
              <w:rPr>
                <w:rFonts w:ascii="Times New Roman" w:cs="Times New Roman" w:eastAsia="Times New Roman" w:hAnsi="Times New Roman"/>
                <w:sz w:val="29"/>
                <w:szCs w:val="29"/>
                <w:color w:val="auto"/>
                <w:vertAlign w:val="superscript"/>
              </w:rPr>
              <w:t>(11)</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May 18, 2021</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2021</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r>
      <w:tr>
        <w:trPr>
          <w:trHeight w:val="257"/>
        </w:trPr>
        <w:tc>
          <w:tcPr>
            <w:tcW w:w="47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August 3, 2021</w:t>
            </w:r>
            <w:r>
              <w:rPr>
                <w:rFonts w:ascii="Times New Roman" w:cs="Times New Roman" w:eastAsia="Times New Roman" w:hAnsi="Times New Roman"/>
                <w:sz w:val="29"/>
                <w:szCs w:val="29"/>
                <w:color w:val="auto"/>
                <w:vertAlign w:val="superscript"/>
              </w:rPr>
              <w:t>(12)</w:t>
            </w:r>
          </w:p>
        </w:tc>
        <w:tc>
          <w:tcPr>
            <w:tcW w:w="22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August 18, 2021</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30, 2021</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56"/>
        </w:trPr>
        <w:tc>
          <w:tcPr>
            <w:tcW w:w="47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November 2, 2021</w:t>
            </w:r>
            <w:r>
              <w:rPr>
                <w:rFonts w:ascii="Times New Roman" w:cs="Times New Roman" w:eastAsia="Times New Roman" w:hAnsi="Times New Roman"/>
                <w:sz w:val="29"/>
                <w:szCs w:val="29"/>
                <w:color w:val="auto"/>
                <w:vertAlign w:val="superscript"/>
              </w:rPr>
              <w:t>(13)</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November 17, 2021</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30, 2021</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r>
      <w:tr>
        <w:trPr>
          <w:trHeight w:val="256"/>
        </w:trPr>
        <w:tc>
          <w:tcPr>
            <w:tcW w:w="47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December 20, 2021</w:t>
            </w:r>
            <w:r>
              <w:rPr>
                <w:rFonts w:ascii="Times New Roman" w:cs="Times New Roman" w:eastAsia="Times New Roman" w:hAnsi="Times New Roman"/>
                <w:sz w:val="29"/>
                <w:szCs w:val="29"/>
                <w:color w:val="auto"/>
                <w:vertAlign w:val="superscript"/>
              </w:rPr>
              <w:t>(14)</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December 31, 2021</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14, 2022</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0.75</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47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March 8, 2022</w:t>
            </w:r>
            <w:r>
              <w:rPr>
                <w:rFonts w:ascii="Times New Roman" w:cs="Times New Roman" w:eastAsia="Times New Roman" w:hAnsi="Times New Roman"/>
                <w:sz w:val="29"/>
                <w:szCs w:val="29"/>
                <w:color w:val="auto"/>
                <w:vertAlign w:val="superscript"/>
              </w:rPr>
              <w:t>(15)</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25, 2022</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April 15, 2022</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r>
      <w:tr>
        <w:trPr>
          <w:trHeight w:val="216"/>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47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July 3, 2025</w:t>
            </w:r>
            <w:r>
              <w:rPr>
                <w:rFonts w:ascii="Times New Roman" w:cs="Times New Roman" w:eastAsia="Times New Roman" w:hAnsi="Times New Roman"/>
                <w:sz w:val="29"/>
                <w:szCs w:val="29"/>
                <w:color w:val="auto"/>
                <w:vertAlign w:val="superscript"/>
              </w:rPr>
              <w:t>(16)</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July 21,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July 31, 2025</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r>
        <w:trPr>
          <w:trHeight w:val="270"/>
        </w:trPr>
        <w:tc>
          <w:tcPr>
            <w:tcW w:w="4740" w:type="dxa"/>
            <w:vAlign w:val="bottom"/>
            <w:gridSpan w:val="2"/>
          </w:tcPr>
          <w:p>
            <w:pPr>
              <w:ind w:left="180"/>
              <w:spacing w:after="0" w:line="270" w:lineRule="exact"/>
              <w:rPr>
                <w:sz w:val="20"/>
                <w:szCs w:val="20"/>
                <w:color w:val="auto"/>
              </w:rPr>
            </w:pPr>
            <w:r>
              <w:rPr>
                <w:rFonts w:ascii="Times New Roman" w:cs="Times New Roman" w:eastAsia="Times New Roman" w:hAnsi="Times New Roman"/>
                <w:sz w:val="18"/>
                <w:szCs w:val="18"/>
                <w:color w:val="auto"/>
              </w:rPr>
              <w:t>November 3, 2025</w:t>
            </w:r>
            <w:r>
              <w:rPr>
                <w:rFonts w:ascii="Times New Roman" w:cs="Times New Roman" w:eastAsia="Times New Roman" w:hAnsi="Times New Roman"/>
                <w:sz w:val="29"/>
                <w:szCs w:val="29"/>
                <w:color w:val="auto"/>
                <w:vertAlign w:val="superscript"/>
              </w:rPr>
              <w:t>(17)</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November 21,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5, 2025</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r>
        <w:trPr>
          <w:trHeight w:val="223"/>
        </w:trPr>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both"/>
        <w:ind w:left="380" w:hanging="372"/>
        <w:spacing w:after="0" w:line="253"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5" w:lineRule="exact"/>
        <w:rPr>
          <w:rFonts w:ascii="Times New Roman" w:cs="Times New Roman" w:eastAsia="Times New Roman" w:hAnsi="Times New Roman"/>
          <w:sz w:val="18"/>
          <w:szCs w:val="18"/>
          <w:color w:val="auto"/>
        </w:rPr>
      </w:pPr>
    </w:p>
    <w:p>
      <w:pPr>
        <w:ind w:left="380" w:hanging="372"/>
        <w:spacing w:after="0" w:line="250"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distribution of $887,240 on August 24, 2016, $820,753 represented a distribution from realized gains, and $66,487 represented a return of capital.</w:t>
      </w:r>
    </w:p>
    <w:p>
      <w:pPr>
        <w:ind w:left="380" w:hanging="372"/>
        <w:spacing w:after="0" w:line="250"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$3,512,849 distribution paid on December 12, 2019 represented a distribution from realized gains. None of the distribution represented a return of capital.</w:t>
      </w:r>
    </w:p>
    <w:p>
      <w:pPr>
        <w:ind w:left="380" w:right="20" w:hanging="372"/>
        <w:spacing w:after="0" w:line="250"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$2,107,709 distribution paid on January 15, 2020 represented a distribution from realized gains. None of the distribution represented a return of capital.</w:t>
      </w:r>
    </w:p>
    <w:p>
      <w:pPr>
        <w:ind w:left="380" w:hanging="372"/>
        <w:spacing w:after="0" w:line="250"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$2,516,452 distribution paid on August 25, 2020 represented a distribution from realized gains. None of the distribution represented a return of capital.</w:t>
      </w:r>
    </w:p>
    <w:p>
      <w:pPr>
        <w:ind w:left="380" w:hanging="372"/>
        <w:spacing w:after="0" w:line="250"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$5,071,326 distribution paid on October 20, 2020 represented a distribution from realized gains. None of the distribution represented a return of capital.</w:t>
      </w:r>
    </w:p>
    <w:p>
      <w:pPr>
        <w:ind w:left="380" w:right="20" w:hanging="372"/>
        <w:spacing w:after="0" w:line="250"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$4,978,504 distribution paid on November 30, 2020 represented a distribution from realized gains. None of the distribution represented a return of capital.</w:t>
      </w:r>
    </w:p>
    <w:p>
      <w:pPr>
        <w:ind w:left="380" w:right="20" w:hanging="372"/>
        <w:spacing w:after="0" w:line="260"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$4,381,084 distribution paid on January 15, 2021 represented a distribution from realized gains. None of the distribution represented a return of capital.</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380" w:hanging="372"/>
        <w:spacing w:after="0" w:line="261"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$4,981,131 distribution paid on February 19, 2021 represented a distribution from realized gains. None of the distribution represented a return of capital.</w:t>
      </w:r>
    </w:p>
    <w:p>
      <w:pPr>
        <w:ind w:left="380" w:right="20" w:hanging="372"/>
        <w:spacing w:after="0" w:line="250"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$6,051,304 distribution paid on April 15, 2021 represented a distribution from realized gains. None of the distribution represented a return of capital.</w:t>
      </w:r>
    </w:p>
    <w:p>
      <w:pPr>
        <w:jc w:val="both"/>
        <w:ind w:left="380" w:hanging="372"/>
        <w:spacing w:after="0" w:line="250"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2,335,527 shares of common stock issued in lieu of cash, or approximately 9.6% of our outstanding shares prior to the distribution, as well as cash of $29,987,589. The number of shares of common stock comprising the stock portion was calculated based on a price of $13.07 per share, which equaled the average of the volume weighted-average trading price per share of our common stock on May 12, 13, and 14, 2021. None of the $2.50 per share distribution represented a return of capital.</w:t>
      </w:r>
    </w:p>
    <w:p>
      <w:pPr>
        <w:spacing w:after="0" w:line="2" w:lineRule="exact"/>
        <w:rPr>
          <w:rFonts w:ascii="Times New Roman" w:cs="Times New Roman" w:eastAsia="Times New Roman" w:hAnsi="Times New Roman"/>
          <w:sz w:val="18"/>
          <w:szCs w:val="18"/>
          <w:color w:val="auto"/>
        </w:rPr>
      </w:pPr>
    </w:p>
    <w:p>
      <w:pPr>
        <w:jc w:val="both"/>
        <w:ind w:left="380" w:hanging="372"/>
        <w:spacing w:after="0" w:line="250"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2,225,193 shares of common stock issued in lieu of cash, or approximately 8.4% of our outstanding shares prior to the distribution, as well as cash of $29,599,164. The number of shares of common stock comprising the stock portion was calculated based on a price of $13.55 per share, which equaled the average of the volume weighted-average trading price per share of our common stock on August 11, 12, and 13, 2021. None of the $2.25 per share distribution represented a return of capital.</w:t>
      </w:r>
    </w:p>
    <w:p>
      <w:pPr>
        <w:spacing w:after="0" w:line="2" w:lineRule="exact"/>
        <w:rPr>
          <w:rFonts w:ascii="Times New Roman" w:cs="Times New Roman" w:eastAsia="Times New Roman" w:hAnsi="Times New Roman"/>
          <w:sz w:val="18"/>
          <w:szCs w:val="18"/>
          <w:color w:val="auto"/>
        </w:rPr>
      </w:pPr>
    </w:p>
    <w:p>
      <w:pPr>
        <w:jc w:val="both"/>
        <w:ind w:left="380" w:hanging="372"/>
        <w:spacing w:after="0" w:line="250"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2,170,807 shares of common stock issued in lieu of cash, or approximately 7.5% of our outstanding shares prior to the distribution, as well as cash of $28,494,812. The number of shares of common stock comprising the stock portion was calculated based on a price of $13.39 per share, which equaled the average of the volume weighted-average trading price per share of our common stock on November 11, 12, and 13, 2021. None of the $2.00 per share distribution represented a return of capital.</w:t>
      </w:r>
    </w:p>
    <w:p>
      <w:pPr>
        <w:spacing w:after="0" w:line="2" w:lineRule="exact"/>
        <w:rPr>
          <w:rFonts w:ascii="Times New Roman" w:cs="Times New Roman" w:eastAsia="Times New Roman" w:hAnsi="Times New Roman"/>
          <w:sz w:val="18"/>
          <w:szCs w:val="18"/>
          <w:color w:val="auto"/>
        </w:rPr>
      </w:pPr>
    </w:p>
    <w:p>
      <w:pPr>
        <w:ind w:left="380" w:hanging="372"/>
        <w:spacing w:after="0" w:line="250"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$23,338,915 distribution paid on January 14, 2022 represented a distribution from realized gains. None of the distribution represented a return of capital.</w:t>
      </w:r>
    </w:p>
    <w:p>
      <w:pPr>
        <w:ind w:left="380" w:right="20" w:hanging="372"/>
        <w:spacing w:after="0" w:line="250"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$3,441,824 distribution paid on April 15, 2022 represented a distribution from realized gains. None of the distribution represented a return of capital.</w:t>
      </w:r>
    </w:p>
    <w:p>
      <w:pPr>
        <w:ind w:left="380" w:hanging="372"/>
        <w:spacing w:after="0" w:line="250"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$5,972,027 distribution paid on July 31, 2025 represented a distribution from realized gains. None of the distribution represented a return of capital.</w:t>
      </w:r>
    </w:p>
    <w:p>
      <w:pPr>
        <w:ind w:left="380" w:hanging="372"/>
        <w:spacing w:after="0" w:line="260"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$6,281,422 distribution paid on December 5, 2025 represented a distribution from realized gains. None of the distribution represented a return of capital.</w:t>
      </w:r>
    </w:p>
    <w:p>
      <w:pPr>
        <w:spacing w:after="0" w:line="1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intend to focus on making equity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current intention is to make any future distributions out of assets legally available therefrom in the form of additional shares of our common stock under our dividend reinvestment plan (“DRIP”), except in the case of stockholders who elect to receive dividends and/or long-term capital gains distributions in cash. Under the DRIP, if a stockholder owns shares of common stock registered in its own name, the stockholder will have all cash distributions (net of any applicable withholding) automatically reinvested in additional shares of common stock unless the stockholder opts out of our DRIP by delivering a written notice to our dividend paying agent prior to the record date of the next dividend or distribution. Any distributions reinvested under the plan will nevertheless be treated as received by the U.S. stockholder for U.S. federal income tax purposes, although no cash distribution has been made. As a result, if a stockholder does not elect to opt out of the DRIP, it will be required to pay applicable federal, state and local taxes on any reinvested dividends even though such stockholder will not receive a corresponding cash distribution. Stockholders that hold shares in the name of a broker or financial intermediary should contact the broker or financial intermediary regarding any election to receive distributions in cash.</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 long as we qualify as a RIC, we generally will not be subject to U.S. federal and state income taxes on any ordinary income or capital gains that we distribute at least annually to our stockholders as dividends. To the extent all our ordinary income and capital gains are timely distributed to our stockholders as dividends, any tax liability related to income earned by the RIC will represent obligations of our investors and will not be reflected in our Condensed Consolidated Financial Statements. See “Note 2—Significant Accounting Policies—</w:t>
      </w:r>
      <w:r>
        <w:rPr>
          <w:rFonts w:ascii="Times New Roman" w:cs="Times New Roman" w:eastAsia="Times New Roman" w:hAnsi="Times New Roman"/>
          <w:sz w:val="18"/>
          <w:szCs w:val="18"/>
          <w:i w:val="1"/>
          <w:iCs w:val="1"/>
          <w:color w:val="auto"/>
        </w:rPr>
        <w:t>U.S. Federal and State Income Taxes</w:t>
      </w:r>
      <w:r>
        <w:rPr>
          <w:rFonts w:ascii="Times New Roman" w:cs="Times New Roman" w:eastAsia="Times New Roman" w:hAnsi="Times New Roman"/>
          <w:sz w:val="18"/>
          <w:szCs w:val="18"/>
          <w:color w:val="auto"/>
        </w:rPr>
        <w:t>” and “Note 9— Income Taxes” to our Condensed Consolidated Financial Statements as of March 31, 2026 for more information. The Taxable Subsidiaries included in our Condensed Consolidated Financial Statements are subject to U.S. federal income tax imposed at corporate rates on their income, regardless of whether we are taxed as a RIC. The Taxable Subsidiaries are not consolidated for U.S. federal income tax purposes and may generate income tax expenses as a result of their ownership of the portfolio companies. Such income tax expenses and deferred taxes, if any, will be reflected in our Condensed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Policies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Condensed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2—Significant Accounting Policies” to our Condensed Consolidated Financial Statements as of March 31, 2026 for further detail regarding our critical accounting policies and recently issued or adopted accounting pronouncements.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Related-Party Transactions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3—Related-Party Arrangements” to our Condensed Consolidated Financial Statements as of March 31, 2026 for more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Activity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Please refer to “Note 12—Subsequent Events” to our Condensed Consolidated Financial Statements as of March 31, 2026 for details regarding activity in our investment portfolio from April 1, 2026 through May 5, 2026.</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Externalization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2, 2026, our Board of Directors, including all of its independent directors, unanimously approved a proposal to transition us from an internally managed BDC to an externally managed structure (the “Externalization”) and approved the related investment advisory agreement (the “Advisory Agreement”) with Neostellar Advisors LLC (the “Adviser”), an entity jointly owned by certain of our current employees and Magnetar Holdings LLC (“Magnetar”), pursuant to which the Adviser would be appointed as our investment adviser. Entry into the Advisory Agreement effectuating the Externalization is subject to approval by our stockholders. If our stockholders do not approve the Advisory Agreement, we will continue to operate as an internally managed BDC. We are not being sold, and if the Externalization is consummated, our stockholders immediately prior to the Externalization will be our stockholders immediately following the Externalization and will hold the same number of shares of our common stock as they held prior to the Externalization.</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Key terms of the Externalization include: (i) no incentive fee payable to the Adviser on realized gains attributable to our existing portfolio; (ii) expected annual expense savings of approximately 0.77% of average total assets compared to the current internal management structure; (iii) a $20 million capital commitment by Magnetar to invest in us, the form of which will depend on certain factors; (iv) a base management fee of 1.75% of our gross assets, which our Board of Directors determined to be competitive with fees charged by comparable BDCs and below the median fee charged by private market venture and technology funds; and (v) management continuity, with our current investment team, including Mark D. Klein and Allison Green, continuing in their current capacities, but as employees of the Adviser rather than us following the Externalization. Upon effectiveness of the Advisory Agreement, we also will enter into an administration agreement (the “Administration Agreement”) with Neostellar Administrative Services LLC, an affiliate of the Adviser (the “Administrator”), pursuant to which the Administrator will provide, or oversee the provision of, administrative services necessary for our operations, subject to our reimbursement of the Administrator’s costs and expenses, including our allocable portion of overhead.</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Externalization, on April 2, 2026, our Compensation Committee approved (a) a grant of 350,000 restricted shares (with any aggregate income tax liability to be paid by us) to Mark D. Klein; (b) a grant of 60,000 restricted shares (with any aggregate income tax liability to be paid by us) to Allison Green; (c) a cash bonus of $850,000 to Mark D. Klein; and (d) a cash bonus of $500,000 to Allison Green. The foregoing compensation will be paid only if the Advisory Agreement is approved by our stockholders.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the Externalization and its impact on stockholders, the Advisory Agreement, the Administration Agreement, Magnetar and the compensation of management relating to the Externalization, please refer to “Note 12—Subsequent Events” to our Condensed Consolidated Financial Statements as of March 31, 2026 and to the Current Report on Form 8-K we filed on April 7,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ectPr>
          <w:pgSz w:w="11900" w:h="16838" w:orient="portrait"/>
          <w:cols w:equalWidth="0" w:num="1">
            <w:col w:w="11240"/>
          </w:cols>
          <w:pgMar w:left="320" w:top="229" w:right="339" w:bottom="933"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933"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Risk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investments may not have a readily available market quotation, as such term is defined in Rule 2a-5 under the 1940 Act,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In addition, if we were required to liquidate a portfolio investment in a forced or liquidation sale, we may realize amounts that are different from the amounts presented and such differences could be material.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 As of March 31, 2026, all of our debt investments and outstanding borrowings bore fixed rates of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Evaluation of Disclosure Controls and Procedures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March 31, 2026, our management,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for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that occurred during the quarter ended March 31, 2026 that have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number of significant risks. In addition to the other information contained in this report, you should carefully consider the factors discussed in our annual report on Form 10-K for the fiscal year ended December 31, 2025, filed with the SEC on March 11, 2026, which could materially affect our business, financial condition and/or operating results. Although the risks described in our annual report on Form 10-K for the fiscal year ended December 31, 2025 represent the principal risks associated with an investment in us, they are not the only risks we face. Additional risks and uncertainties not currently known to us, or that we currently deem to be immaterial, might materially and adversely affect our business, financial condition and/or operating results. There have been no material changes to the risk factors discussed in “Item 1A. Risk Factors” of Part I of our annual report on Form 10-K for the fiscal year ended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did not sell any equity securities during the period covered in this report that were not registered under the Securities Act of 1933,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r>
        <w:rPr>
          <w:rFonts w:ascii="Times New Roman" w:cs="Times New Roman" w:eastAsia="Times New Roman" w:hAnsi="Times New Roman"/>
          <w:sz w:val="29"/>
          <w:szCs w:val="29"/>
          <w:b w:val="1"/>
          <w:bCs w:val="1"/>
          <w:color w:val="auto"/>
          <w:vertAlign w:val="superscript"/>
        </w:rPr>
        <w:t>(1)</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relating to our purchases of our common stock during the three months ended March 31, 2026 is as follows:</w:t>
      </w:r>
    </w:p>
    <w:p>
      <w:pPr>
        <w:sectPr>
          <w:pgSz w:w="11900" w:h="16838" w:orient="portrait"/>
          <w:cols w:equalWidth="0" w:num="1">
            <w:col w:w="11240"/>
          </w:cols>
          <w:pgMar w:left="320" w:top="229"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through January 31, 2026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 through February 28, 2026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through March 31,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7830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Shares that</w:t>
            </w:r>
          </w:p>
        </w:tc>
      </w:tr>
      <w:tr>
        <w:trPr>
          <w:trHeight w:val="216"/>
        </w:trPr>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May</w:t>
            </w:r>
          </w:p>
        </w:tc>
      </w:tr>
      <w:tr>
        <w:trPr>
          <w:trHeight w:val="216"/>
        </w:trPr>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3"/>
              </w:rPr>
              <w:t>Yet Be</w:t>
            </w:r>
          </w:p>
        </w:tc>
      </w:tr>
      <w:tr>
        <w:trPr>
          <w:trHeight w:val="216"/>
        </w:trPr>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Purchased as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Under the</w:t>
            </w:r>
          </w:p>
        </w:tc>
      </w:tr>
      <w:tr>
        <w:trPr>
          <w:trHeight w:val="216"/>
        </w:trPr>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Share</w:t>
            </w:r>
          </w:p>
        </w:tc>
      </w:tr>
      <w:tr>
        <w:trPr>
          <w:trHeight w:val="216"/>
        </w:trPr>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Repurchase</w:t>
            </w:r>
          </w:p>
        </w:tc>
      </w:tr>
      <w:tr>
        <w:trPr>
          <w:trHeight w:val="238"/>
        </w:trPr>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Program</w:t>
            </w:r>
          </w:p>
        </w:tc>
      </w:tr>
      <w:tr>
        <w:trPr>
          <w:trHeight w:val="191"/>
        </w:trPr>
        <w:tc>
          <w:tcPr>
            <w:tcW w:w="1260" w:type="dxa"/>
            <w:vAlign w:val="bottom"/>
            <w:tcBorders>
              <w:top w:val="single" w:sz="8" w:color="auto"/>
            </w:tcBorders>
          </w:tcPr>
          <w:p>
            <w:pPr>
              <w:ind w:left="108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ind w:left="92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spacing w:after="0"/>
              <w:rPr>
                <w:sz w:val="16"/>
                <w:szCs w:val="16"/>
                <w:color w:val="auto"/>
              </w:rPr>
            </w:pPr>
          </w:p>
        </w:tc>
        <w:tc>
          <w:tcPr>
            <w:tcW w:w="1240" w:type="dxa"/>
            <w:vAlign w:val="bottom"/>
            <w:tcBorders>
              <w:top w:val="single" w:sz="8" w:color="auto"/>
            </w:tcBorders>
          </w:tcPr>
          <w:p>
            <w:pPr>
              <w:ind w:left="106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25,000,000</w:t>
            </w:r>
          </w:p>
        </w:tc>
        <w:tc>
          <w:tcPr>
            <w:tcW w:w="20" w:type="dxa"/>
            <w:vAlign w:val="bottom"/>
          </w:tcPr>
          <w:p>
            <w:pPr>
              <w:spacing w:after="0"/>
              <w:rPr>
                <w:sz w:val="16"/>
                <w:szCs w:val="16"/>
                <w:color w:val="auto"/>
              </w:rPr>
            </w:pPr>
          </w:p>
        </w:tc>
      </w:tr>
      <w:tr>
        <w:trPr>
          <w:trHeight w:val="216"/>
        </w:trPr>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25,000,000</w:t>
            </w:r>
          </w:p>
        </w:tc>
      </w:tr>
      <w:tr>
        <w:trPr>
          <w:trHeight w:val="248"/>
        </w:trPr>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25,000,000</w:t>
            </w:r>
          </w:p>
        </w:tc>
      </w:tr>
      <w:tr>
        <w:trPr>
          <w:trHeight w:val="223"/>
        </w:trPr>
        <w:tc>
          <w:tcPr>
            <w:tcW w:w="126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-325120</wp:posOffset>
            </wp:positionV>
            <wp:extent cx="7132320"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-607695</wp:posOffset>
            </wp:positionV>
            <wp:extent cx="7132320"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20" w:space="720"/>
            <w:col w:w="6400"/>
          </w:cols>
          <w:pgMar w:left="320" w:top="229" w:right="339" w:bottom="0" w:gutter="0" w:footer="0" w:header="0"/>
          <w:type w:val="continuous"/>
        </w:sectPr>
      </w:pPr>
    </w:p>
    <w:p>
      <w:pPr>
        <w:spacing w:after="0" w:line="25" w:lineRule="exact"/>
        <w:rPr>
          <w:sz w:val="20"/>
          <w:szCs w:val="20"/>
          <w:color w:val="auto"/>
        </w:rPr>
      </w:pPr>
    </w:p>
    <w:p>
      <w:pPr>
        <w:jc w:val="both"/>
        <w:ind w:left="340" w:hanging="332"/>
        <w:spacing w:after="0" w:line="254"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29, 2025, our Board of Directors approved an extension of, and an increase in the amount of shares of our common stock that may be repurchased under, the Share Repurchase Program until the earlier of (i) October 31, 2026 or (ii) the repurchase of $64.3 million in aggregate amount of our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three months ended March 31, 2026, we did not repurchase shares of common stock under the Share Repurchase Program. As of March 31, 2026, the dollar value of shares that remained available to be purchased under the Share Repurchase Program was approximately $25.0 million. For more information on the Share Repurchase Program, see “Note 5—Common Stock” to our Condensed Consolidated Financial Statements as of March 31,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580" w:hanging="248"/>
        <w:spacing w:after="0"/>
        <w:tabs>
          <w:tab w:leader="none" w:pos="5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jc w:val="both"/>
        <w:ind w:firstLine="332"/>
        <w:spacing w:after="0" w:line="266" w:lineRule="auto"/>
        <w:tabs>
          <w:tab w:leader="none" w:pos="56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covered by this Quarterly Report on Form 10-Q, no director or officer of the Company has entered into any (i) contract, instruction or written plan for the purchase or sale of securities of the registrant intended to satisfy the affirmative defense conditions of Rule 10b5-1(c) under the Exchange Act or (ii) any non-Rule 10b5-1 trading arrangement.</w:t>
      </w:r>
    </w:p>
    <w:p>
      <w:pPr>
        <w:sectPr>
          <w:pgSz w:w="11900" w:h="16838" w:orient="portrait"/>
          <w:cols w:equalWidth="0" w:num="1">
            <w:col w:w="11240"/>
          </w:cols>
          <w:pgMar w:left="320" w:top="229" w:right="339" w:bottom="0" w:gutter="0" w:footer="0" w:header="0"/>
          <w:type w:val="continuous"/>
        </w:sectPr>
      </w:pPr>
    </w:p>
    <w:bookmarkStart w:id="63" w:name="page64"/>
    <w:bookmarkEnd w:id="63"/>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adopted insider trading policies and procedures governing the purchase, sale, and disposition of the Company’s securities by officers and directors of the Company that are reasonably designed to promote compliance with insider trading laws, rules and regulations.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exhibits are filed as part of this report or hereby incorporated by reference to exhibits previously filed with the SEC:</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8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3.1</w:t>
            </w:r>
          </w:p>
        </w:tc>
        <w:tc>
          <w:tcPr>
            <w:tcW w:w="2940" w:type="dxa"/>
            <w:vAlign w:val="bottom"/>
            <w:gridSpan w:val="12"/>
            <w:vMerge w:val="restart"/>
          </w:tcPr>
          <w:p>
            <w:pPr>
              <w:spacing w:after="0"/>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Articles of Amendment and Restatement</w:t>
              </w:r>
            </w:hyperlink>
          </w:p>
        </w:tc>
        <w:tc>
          <w:tcPr>
            <w:tcW w:w="16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5"/>
                <w:szCs w:val="15"/>
                <w:color w:val="0000EE"/>
                <w:w w:val="79"/>
              </w:rPr>
              <w:t>(1)</w:t>
            </w:r>
          </w:p>
        </w:tc>
        <w:tc>
          <w:tcPr>
            <w:tcW w:w="2200" w:type="dxa"/>
            <w:vAlign w:val="bottom"/>
            <w:vMerge w:val="restart"/>
          </w:tcPr>
          <w:p>
            <w:pPr>
              <w:spacing w:after="0"/>
              <w:rPr>
                <w:sz w:val="16"/>
                <w:szCs w:val="16"/>
                <w:color w:val="auto"/>
              </w:rPr>
            </w:pPr>
          </w:p>
        </w:tc>
        <w:tc>
          <w:tcPr>
            <w:tcW w:w="180" w:type="dxa"/>
            <w:vAlign w:val="bottom"/>
            <w:vMerge w:val="restart"/>
          </w:tcPr>
          <w:p>
            <w:pPr>
              <w:spacing w:after="0"/>
              <w:rPr>
                <w:sz w:val="16"/>
                <w:szCs w:val="16"/>
                <w:color w:val="auto"/>
              </w:rPr>
            </w:pPr>
          </w:p>
        </w:tc>
        <w:tc>
          <w:tcPr>
            <w:tcW w:w="174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860" w:type="dxa"/>
            <w:vAlign w:val="bottom"/>
            <w:vMerge w:val="restart"/>
          </w:tcPr>
          <w:p>
            <w:pPr>
              <w:spacing w:after="0"/>
              <w:rPr>
                <w:sz w:val="16"/>
                <w:szCs w:val="16"/>
                <w:color w:val="auto"/>
              </w:rPr>
            </w:pPr>
          </w:p>
        </w:tc>
        <w:tc>
          <w:tcPr>
            <w:tcW w:w="18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156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800" w:type="dxa"/>
            <w:vAlign w:val="bottom"/>
            <w:vMerge w:val="continue"/>
          </w:tcPr>
          <w:p>
            <w:pPr>
              <w:spacing w:after="0"/>
              <w:rPr>
                <w:sz w:val="4"/>
                <w:szCs w:val="4"/>
                <w:color w:val="auto"/>
              </w:rPr>
            </w:pPr>
          </w:p>
        </w:tc>
        <w:tc>
          <w:tcPr>
            <w:tcW w:w="2940" w:type="dxa"/>
            <w:vAlign w:val="bottom"/>
            <w:tcBorders>
              <w:bottom w:val="single" w:sz="8" w:color="0000EE"/>
            </w:tcBorders>
            <w:gridSpan w:val="12"/>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5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8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3.2</w:t>
            </w:r>
          </w:p>
        </w:tc>
        <w:tc>
          <w:tcPr>
            <w:tcW w:w="1700" w:type="dxa"/>
            <w:vAlign w:val="bottom"/>
            <w:gridSpan w:val="2"/>
            <w:vMerge w:val="restart"/>
          </w:tcPr>
          <w:p>
            <w:pPr>
              <w:spacing w:after="0"/>
              <w:rPr>
                <w:rFonts w:ascii="Times New Roman" w:cs="Times New Roman" w:eastAsia="Times New Roman" w:hAnsi="Times New Roman"/>
                <w:sz w:val="18"/>
                <w:szCs w:val="18"/>
                <w:color w:val="0000EE"/>
                <w:w w:val="98"/>
              </w:rPr>
            </w:pPr>
            <w:hyperlink r:id="rId125">
              <w:r>
                <w:rPr>
                  <w:rFonts w:ascii="Times New Roman" w:cs="Times New Roman" w:eastAsia="Times New Roman" w:hAnsi="Times New Roman"/>
                  <w:sz w:val="18"/>
                  <w:szCs w:val="18"/>
                  <w:color w:val="0000EE"/>
                  <w:w w:val="98"/>
                </w:rPr>
                <w:t>Articles of Amendment</w:t>
              </w:r>
            </w:hyperlink>
          </w:p>
        </w:tc>
        <w:tc>
          <w:tcPr>
            <w:tcW w:w="160" w:type="dxa"/>
            <w:vAlign w:val="bottom"/>
            <w:tcBorders>
              <w:bottom w:val="single" w:sz="8" w:color="0000EE"/>
            </w:tcBorders>
            <w:gridSpan w:val="4"/>
          </w:tcPr>
          <w:p>
            <w:pPr>
              <w:jc w:val="right"/>
              <w:spacing w:after="0" w:line="156" w:lineRule="exact"/>
              <w:rPr>
                <w:rFonts w:ascii="Times New Roman" w:cs="Times New Roman" w:eastAsia="Times New Roman" w:hAnsi="Times New Roman"/>
                <w:sz w:val="15"/>
                <w:szCs w:val="15"/>
                <w:color w:val="0000EE"/>
                <w:w w:val="79"/>
              </w:rPr>
            </w:pPr>
            <w:hyperlink r:id="rId125">
              <w:r>
                <w:rPr>
                  <w:rFonts w:ascii="Times New Roman" w:cs="Times New Roman" w:eastAsia="Times New Roman" w:hAnsi="Times New Roman"/>
                  <w:sz w:val="15"/>
                  <w:szCs w:val="15"/>
                  <w:color w:val="0000EE"/>
                  <w:w w:val="79"/>
                </w:rPr>
                <w:t>(2)</w:t>
              </w:r>
            </w:hyperlink>
          </w:p>
        </w:tc>
        <w:tc>
          <w:tcPr>
            <w:tcW w:w="100" w:type="dxa"/>
            <w:vAlign w:val="bottom"/>
            <w:vMerge w:val="restart"/>
          </w:tcPr>
          <w:p>
            <w:pPr>
              <w:spacing w:after="0"/>
              <w:rPr>
                <w:sz w:val="14"/>
                <w:szCs w:val="14"/>
                <w:color w:val="auto"/>
              </w:rPr>
            </w:pPr>
          </w:p>
        </w:tc>
        <w:tc>
          <w:tcPr>
            <w:tcW w:w="7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20" w:type="dxa"/>
            <w:vAlign w:val="bottom"/>
            <w:gridSpan w:val="2"/>
            <w:vMerge w:val="restart"/>
          </w:tcPr>
          <w:p>
            <w:pPr>
              <w:spacing w:after="0"/>
              <w:rPr>
                <w:sz w:val="14"/>
                <w:szCs w:val="14"/>
                <w:color w:val="auto"/>
              </w:rPr>
            </w:pPr>
          </w:p>
        </w:tc>
        <w:tc>
          <w:tcPr>
            <w:tcW w:w="2300" w:type="dxa"/>
            <w:vAlign w:val="bottom"/>
            <w:gridSpan w:val="2"/>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174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860" w:type="dxa"/>
            <w:vAlign w:val="bottom"/>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5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00" w:type="dxa"/>
            <w:vAlign w:val="bottom"/>
            <w:vMerge w:val="continue"/>
          </w:tcPr>
          <w:p>
            <w:pPr>
              <w:spacing w:after="0"/>
              <w:rPr>
                <w:sz w:val="4"/>
                <w:szCs w:val="4"/>
                <w:color w:val="auto"/>
              </w:rPr>
            </w:pPr>
          </w:p>
        </w:tc>
        <w:tc>
          <w:tcPr>
            <w:tcW w:w="1700" w:type="dxa"/>
            <w:vAlign w:val="bottom"/>
            <w:tcBorders>
              <w:bottom w:val="single" w:sz="8" w:color="0000EE"/>
            </w:tcBorders>
            <w:gridSpan w:val="2"/>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230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5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8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3.3</w:t>
            </w:r>
          </w:p>
        </w:tc>
        <w:tc>
          <w:tcPr>
            <w:tcW w:w="1700" w:type="dxa"/>
            <w:vAlign w:val="bottom"/>
            <w:gridSpan w:val="2"/>
            <w:vMerge w:val="restart"/>
          </w:tcPr>
          <w:p>
            <w:pPr>
              <w:spacing w:after="0"/>
              <w:rPr>
                <w:rFonts w:ascii="Times New Roman" w:cs="Times New Roman" w:eastAsia="Times New Roman" w:hAnsi="Times New Roman"/>
                <w:sz w:val="18"/>
                <w:szCs w:val="18"/>
                <w:color w:val="0000EE"/>
                <w:w w:val="98"/>
              </w:rPr>
            </w:pPr>
            <w:hyperlink r:id="rId126">
              <w:r>
                <w:rPr>
                  <w:rFonts w:ascii="Times New Roman" w:cs="Times New Roman" w:eastAsia="Times New Roman" w:hAnsi="Times New Roman"/>
                  <w:sz w:val="18"/>
                  <w:szCs w:val="18"/>
                  <w:color w:val="0000EE"/>
                  <w:w w:val="98"/>
                </w:rPr>
                <w:t>Articles of Amendment</w:t>
              </w:r>
            </w:hyperlink>
          </w:p>
        </w:tc>
        <w:tc>
          <w:tcPr>
            <w:tcW w:w="160" w:type="dxa"/>
            <w:vAlign w:val="bottom"/>
            <w:tcBorders>
              <w:bottom w:val="single" w:sz="8" w:color="0000EE"/>
            </w:tcBorders>
            <w:gridSpan w:val="4"/>
          </w:tcPr>
          <w:p>
            <w:pPr>
              <w:jc w:val="right"/>
              <w:spacing w:after="0" w:line="156" w:lineRule="exact"/>
              <w:rPr>
                <w:rFonts w:ascii="Times New Roman" w:cs="Times New Roman" w:eastAsia="Times New Roman" w:hAnsi="Times New Roman"/>
                <w:sz w:val="15"/>
                <w:szCs w:val="15"/>
                <w:color w:val="0000EE"/>
                <w:w w:val="79"/>
              </w:rPr>
            </w:pPr>
            <w:hyperlink r:id="rId126">
              <w:r>
                <w:rPr>
                  <w:rFonts w:ascii="Times New Roman" w:cs="Times New Roman" w:eastAsia="Times New Roman" w:hAnsi="Times New Roman"/>
                  <w:sz w:val="15"/>
                  <w:szCs w:val="15"/>
                  <w:color w:val="0000EE"/>
                  <w:w w:val="79"/>
                </w:rPr>
                <w:t>(3)</w:t>
              </w:r>
            </w:hyperlink>
          </w:p>
        </w:tc>
        <w:tc>
          <w:tcPr>
            <w:tcW w:w="100" w:type="dxa"/>
            <w:vAlign w:val="bottom"/>
            <w:vMerge w:val="restart"/>
          </w:tcPr>
          <w:p>
            <w:pPr>
              <w:spacing w:after="0"/>
              <w:rPr>
                <w:sz w:val="14"/>
                <w:szCs w:val="14"/>
                <w:color w:val="auto"/>
              </w:rPr>
            </w:pPr>
          </w:p>
        </w:tc>
        <w:tc>
          <w:tcPr>
            <w:tcW w:w="7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20" w:type="dxa"/>
            <w:vAlign w:val="bottom"/>
            <w:gridSpan w:val="2"/>
            <w:vMerge w:val="restart"/>
          </w:tcPr>
          <w:p>
            <w:pPr>
              <w:spacing w:after="0"/>
              <w:rPr>
                <w:sz w:val="14"/>
                <w:szCs w:val="14"/>
                <w:color w:val="auto"/>
              </w:rPr>
            </w:pPr>
          </w:p>
        </w:tc>
        <w:tc>
          <w:tcPr>
            <w:tcW w:w="2300" w:type="dxa"/>
            <w:vAlign w:val="bottom"/>
            <w:gridSpan w:val="2"/>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174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860" w:type="dxa"/>
            <w:vAlign w:val="bottom"/>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5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00" w:type="dxa"/>
            <w:vAlign w:val="bottom"/>
            <w:vMerge w:val="continue"/>
          </w:tcPr>
          <w:p>
            <w:pPr>
              <w:spacing w:after="0"/>
              <w:rPr>
                <w:sz w:val="4"/>
                <w:szCs w:val="4"/>
                <w:color w:val="auto"/>
              </w:rPr>
            </w:pPr>
          </w:p>
        </w:tc>
        <w:tc>
          <w:tcPr>
            <w:tcW w:w="1700" w:type="dxa"/>
            <w:vAlign w:val="bottom"/>
            <w:tcBorders>
              <w:bottom w:val="single" w:sz="8" w:color="0000EE"/>
            </w:tcBorders>
            <w:gridSpan w:val="2"/>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230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5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8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3.4</w:t>
            </w:r>
          </w:p>
        </w:tc>
        <w:tc>
          <w:tcPr>
            <w:tcW w:w="1700" w:type="dxa"/>
            <w:vAlign w:val="bottom"/>
            <w:gridSpan w:val="2"/>
            <w:vMerge w:val="restart"/>
          </w:tcPr>
          <w:p>
            <w:pPr>
              <w:spacing w:after="0"/>
              <w:rPr>
                <w:rFonts w:ascii="Times New Roman" w:cs="Times New Roman" w:eastAsia="Times New Roman" w:hAnsi="Times New Roman"/>
                <w:sz w:val="18"/>
                <w:szCs w:val="18"/>
                <w:color w:val="0000EE"/>
                <w:w w:val="98"/>
              </w:rPr>
            </w:pPr>
            <w:hyperlink r:id="rId127">
              <w:r>
                <w:rPr>
                  <w:rFonts w:ascii="Times New Roman" w:cs="Times New Roman" w:eastAsia="Times New Roman" w:hAnsi="Times New Roman"/>
                  <w:sz w:val="18"/>
                  <w:szCs w:val="18"/>
                  <w:color w:val="0000EE"/>
                  <w:w w:val="98"/>
                </w:rPr>
                <w:t>Articles of Amendment</w:t>
              </w:r>
            </w:hyperlink>
          </w:p>
        </w:tc>
        <w:tc>
          <w:tcPr>
            <w:tcW w:w="160" w:type="dxa"/>
            <w:vAlign w:val="bottom"/>
            <w:tcBorders>
              <w:bottom w:val="single" w:sz="8" w:color="0000EE"/>
            </w:tcBorders>
            <w:gridSpan w:val="4"/>
          </w:tcPr>
          <w:p>
            <w:pPr>
              <w:jc w:val="right"/>
              <w:spacing w:after="0" w:line="156" w:lineRule="exact"/>
              <w:rPr>
                <w:rFonts w:ascii="Times New Roman" w:cs="Times New Roman" w:eastAsia="Times New Roman" w:hAnsi="Times New Roman"/>
                <w:sz w:val="15"/>
                <w:szCs w:val="15"/>
                <w:color w:val="0000EE"/>
                <w:w w:val="79"/>
              </w:rPr>
            </w:pPr>
            <w:hyperlink r:id="rId127">
              <w:r>
                <w:rPr>
                  <w:rFonts w:ascii="Times New Roman" w:cs="Times New Roman" w:eastAsia="Times New Roman" w:hAnsi="Times New Roman"/>
                  <w:sz w:val="15"/>
                  <w:szCs w:val="15"/>
                  <w:color w:val="0000EE"/>
                  <w:w w:val="79"/>
                </w:rPr>
                <w:t>(4)</w:t>
              </w:r>
            </w:hyperlink>
          </w:p>
        </w:tc>
        <w:tc>
          <w:tcPr>
            <w:tcW w:w="100" w:type="dxa"/>
            <w:vAlign w:val="bottom"/>
            <w:vMerge w:val="restart"/>
          </w:tcPr>
          <w:p>
            <w:pPr>
              <w:spacing w:after="0"/>
              <w:rPr>
                <w:sz w:val="14"/>
                <w:szCs w:val="14"/>
                <w:color w:val="auto"/>
              </w:rPr>
            </w:pPr>
          </w:p>
        </w:tc>
        <w:tc>
          <w:tcPr>
            <w:tcW w:w="7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20" w:type="dxa"/>
            <w:vAlign w:val="bottom"/>
            <w:gridSpan w:val="2"/>
            <w:vMerge w:val="restart"/>
          </w:tcPr>
          <w:p>
            <w:pPr>
              <w:spacing w:after="0"/>
              <w:rPr>
                <w:sz w:val="14"/>
                <w:szCs w:val="14"/>
                <w:color w:val="auto"/>
              </w:rPr>
            </w:pPr>
          </w:p>
        </w:tc>
        <w:tc>
          <w:tcPr>
            <w:tcW w:w="2300" w:type="dxa"/>
            <w:vAlign w:val="bottom"/>
            <w:gridSpan w:val="2"/>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174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860" w:type="dxa"/>
            <w:vAlign w:val="bottom"/>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5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00" w:type="dxa"/>
            <w:vAlign w:val="bottom"/>
            <w:vMerge w:val="continue"/>
          </w:tcPr>
          <w:p>
            <w:pPr>
              <w:spacing w:after="0"/>
              <w:rPr>
                <w:sz w:val="4"/>
                <w:szCs w:val="4"/>
                <w:color w:val="auto"/>
              </w:rPr>
            </w:pPr>
          </w:p>
        </w:tc>
        <w:tc>
          <w:tcPr>
            <w:tcW w:w="1700" w:type="dxa"/>
            <w:vAlign w:val="bottom"/>
            <w:tcBorders>
              <w:bottom w:val="single" w:sz="8" w:color="0000EE"/>
            </w:tcBorders>
            <w:gridSpan w:val="2"/>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230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5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8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3.5</w:t>
            </w:r>
          </w:p>
        </w:tc>
        <w:tc>
          <w:tcPr>
            <w:tcW w:w="2820" w:type="dxa"/>
            <w:vAlign w:val="bottom"/>
            <w:gridSpan w:val="10"/>
            <w:vMerge w:val="restart"/>
          </w:tcPr>
          <w:p>
            <w:pPr>
              <w:spacing w:after="0"/>
              <w:rPr>
                <w:rFonts w:ascii="Times New Roman" w:cs="Times New Roman" w:eastAsia="Times New Roman" w:hAnsi="Times New Roman"/>
                <w:sz w:val="18"/>
                <w:szCs w:val="18"/>
                <w:color w:val="0000EE"/>
                <w:w w:val="98"/>
              </w:rPr>
            </w:pPr>
            <w:hyperlink r:id="rId128">
              <w:r>
                <w:rPr>
                  <w:rFonts w:ascii="Times New Roman" w:cs="Times New Roman" w:eastAsia="Times New Roman" w:hAnsi="Times New Roman"/>
                  <w:sz w:val="18"/>
                  <w:szCs w:val="18"/>
                  <w:color w:val="0000EE"/>
                  <w:w w:val="98"/>
                </w:rPr>
                <w:t>Second Amended and Restated Bylaws</w:t>
              </w:r>
            </w:hyperlink>
          </w:p>
        </w:tc>
        <w:tc>
          <w:tcPr>
            <w:tcW w:w="180" w:type="dxa"/>
            <w:vAlign w:val="bottom"/>
            <w:tcBorders>
              <w:bottom w:val="single" w:sz="8" w:color="0000EE"/>
            </w:tcBorders>
            <w:gridSpan w:val="3"/>
          </w:tcPr>
          <w:p>
            <w:pPr>
              <w:jc w:val="right"/>
              <w:spacing w:after="0" w:line="149" w:lineRule="exact"/>
              <w:rPr>
                <w:sz w:val="20"/>
                <w:szCs w:val="20"/>
                <w:color w:val="auto"/>
              </w:rPr>
            </w:pPr>
            <w:r>
              <w:rPr>
                <w:rFonts w:ascii="Times New Roman" w:cs="Times New Roman" w:eastAsia="Times New Roman" w:hAnsi="Times New Roman"/>
                <w:sz w:val="15"/>
                <w:szCs w:val="15"/>
                <w:color w:val="0000EE"/>
                <w:w w:val="91"/>
              </w:rPr>
              <w:t>(4)</w:t>
            </w:r>
          </w:p>
        </w:tc>
        <w:tc>
          <w:tcPr>
            <w:tcW w:w="2300" w:type="dxa"/>
            <w:vAlign w:val="bottom"/>
            <w:gridSpan w:val="2"/>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174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860" w:type="dxa"/>
            <w:vAlign w:val="bottom"/>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5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800" w:type="dxa"/>
            <w:vAlign w:val="bottom"/>
            <w:vMerge w:val="continue"/>
          </w:tcPr>
          <w:p>
            <w:pPr>
              <w:spacing w:after="0"/>
              <w:rPr>
                <w:sz w:val="4"/>
                <w:szCs w:val="4"/>
                <w:color w:val="auto"/>
              </w:rPr>
            </w:pPr>
          </w:p>
        </w:tc>
        <w:tc>
          <w:tcPr>
            <w:tcW w:w="2820" w:type="dxa"/>
            <w:vAlign w:val="bottom"/>
            <w:tcBorders>
              <w:bottom w:val="single" w:sz="8" w:color="0000EE"/>
            </w:tcBorders>
            <w:gridSpan w:val="10"/>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gridSpan w:val="2"/>
          </w:tcPr>
          <w:p>
            <w:pPr>
              <w:spacing w:after="0"/>
              <w:rPr>
                <w:sz w:val="4"/>
                <w:szCs w:val="4"/>
                <w:color w:val="auto"/>
              </w:rPr>
            </w:pPr>
          </w:p>
        </w:tc>
        <w:tc>
          <w:tcPr>
            <w:tcW w:w="230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5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8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4.1</w:t>
            </w:r>
          </w:p>
        </w:tc>
        <w:tc>
          <w:tcPr>
            <w:tcW w:w="8440" w:type="dxa"/>
            <w:vAlign w:val="bottom"/>
            <w:gridSpan w:val="21"/>
            <w:vMerge w:val="restart"/>
          </w:tcPr>
          <w:p>
            <w:pPr>
              <w:spacing w:after="0"/>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Base Indenture, dated March 28, 2018, by and between the Registrant and U.S. Bank National Association, as trustee</w:t>
              </w:r>
            </w:hyperlink>
          </w:p>
        </w:tc>
        <w:tc>
          <w:tcPr>
            <w:tcW w:w="160" w:type="dxa"/>
            <w:vAlign w:val="bottom"/>
            <w:tcBorders>
              <w:bottom w:val="single" w:sz="8" w:color="0000EE"/>
            </w:tcBorders>
            <w:gridSpan w:val="2"/>
          </w:tcPr>
          <w:p>
            <w:pPr>
              <w:jc w:val="right"/>
              <w:spacing w:after="0" w:line="149" w:lineRule="exact"/>
              <w:rPr>
                <w:sz w:val="20"/>
                <w:szCs w:val="20"/>
                <w:color w:val="auto"/>
              </w:rPr>
            </w:pPr>
            <w:r>
              <w:rPr>
                <w:rFonts w:ascii="Times New Roman" w:cs="Times New Roman" w:eastAsia="Times New Roman" w:hAnsi="Times New Roman"/>
                <w:sz w:val="15"/>
                <w:szCs w:val="15"/>
                <w:color w:val="0000EE"/>
                <w:w w:val="79"/>
              </w:rPr>
              <w:t>(5)</w:t>
            </w:r>
          </w:p>
        </w:tc>
        <w:tc>
          <w:tcPr>
            <w:tcW w:w="10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5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800" w:type="dxa"/>
            <w:vAlign w:val="bottom"/>
            <w:vMerge w:val="continue"/>
          </w:tcPr>
          <w:p>
            <w:pPr>
              <w:spacing w:after="0"/>
              <w:rPr>
                <w:sz w:val="4"/>
                <w:szCs w:val="4"/>
                <w:color w:val="auto"/>
              </w:rPr>
            </w:pPr>
          </w:p>
        </w:tc>
        <w:tc>
          <w:tcPr>
            <w:tcW w:w="8440" w:type="dxa"/>
            <w:vAlign w:val="bottom"/>
            <w:tcBorders>
              <w:bottom w:val="single" w:sz="8" w:color="0000EE"/>
            </w:tcBorders>
            <w:gridSpan w:val="21"/>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5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03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Second Supplemental Indenture, dated December 17, 2021, relating to the 6.00% Notes due 2026, by and between the Company and U.S.</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2700" w:type="dxa"/>
            <w:vAlign w:val="bottom"/>
            <w:gridSpan w:val="8"/>
            <w:vMerge w:val="restart"/>
          </w:tcPr>
          <w:p>
            <w:pPr>
              <w:spacing w:after="0"/>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Bank National Association, as trustee</w:t>
              </w:r>
            </w:hyperlink>
          </w:p>
        </w:tc>
        <w:tc>
          <w:tcPr>
            <w:tcW w:w="180" w:type="dxa"/>
            <w:vAlign w:val="bottom"/>
            <w:tcBorders>
              <w:bottom w:val="single" w:sz="8" w:color="0000EE"/>
            </w:tcBorders>
            <w:gridSpan w:val="3"/>
          </w:tcPr>
          <w:p>
            <w:pPr>
              <w:jc w:val="right"/>
              <w:spacing w:after="0" w:line="156" w:lineRule="exact"/>
              <w:rPr>
                <w:rFonts w:ascii="Times New Roman" w:cs="Times New Roman" w:eastAsia="Times New Roman" w:hAnsi="Times New Roman"/>
                <w:sz w:val="15"/>
                <w:szCs w:val="15"/>
                <w:color w:val="0000EE"/>
                <w:w w:val="91"/>
              </w:rPr>
            </w:pPr>
            <w:hyperlink r:id="rId130">
              <w:r>
                <w:rPr>
                  <w:rFonts w:ascii="Times New Roman" w:cs="Times New Roman" w:eastAsia="Times New Roman" w:hAnsi="Times New Roman"/>
                  <w:sz w:val="15"/>
                  <w:szCs w:val="15"/>
                  <w:color w:val="0000EE"/>
                  <w:w w:val="91"/>
                </w:rPr>
                <w:t>(6)</w:t>
              </w:r>
            </w:hyperlink>
          </w:p>
        </w:tc>
        <w:tc>
          <w:tcPr>
            <w:tcW w:w="2420" w:type="dxa"/>
            <w:vAlign w:val="bottom"/>
            <w:gridSpan w:val="4"/>
            <w:vMerge w:val="restart"/>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860" w:type="dxa"/>
            <w:vAlign w:val="bottom"/>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400" w:type="dxa"/>
            <w:vAlign w:val="bottom"/>
            <w:gridSpan w:val="4"/>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5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8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4.3</w:t>
            </w:r>
          </w:p>
        </w:tc>
        <w:tc>
          <w:tcPr>
            <w:tcW w:w="2700" w:type="dxa"/>
            <w:vAlign w:val="bottom"/>
            <w:tcBorders>
              <w:bottom w:val="single" w:sz="8" w:color="0000EE"/>
            </w:tcBorders>
            <w:gridSpan w:val="8"/>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60" w:type="dxa"/>
            <w:vAlign w:val="bottom"/>
            <w:gridSpan w:val="2"/>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EE"/>
                <w:w w:val="91"/>
              </w:rPr>
              <w:t>(6)</w:t>
            </w:r>
          </w:p>
        </w:tc>
        <w:tc>
          <w:tcPr>
            <w:tcW w:w="17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400" w:type="dxa"/>
            <w:vAlign w:val="bottom"/>
            <w:gridSpan w:val="4"/>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5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800" w:type="dxa"/>
            <w:vAlign w:val="bottom"/>
            <w:vMerge w:val="continue"/>
          </w:tcPr>
          <w:p>
            <w:pPr>
              <w:spacing w:after="0"/>
              <w:rPr>
                <w:sz w:val="14"/>
                <w:szCs w:val="14"/>
                <w:color w:val="auto"/>
              </w:rPr>
            </w:pPr>
          </w:p>
        </w:tc>
        <w:tc>
          <w:tcPr>
            <w:tcW w:w="5300" w:type="dxa"/>
            <w:vAlign w:val="bottom"/>
            <w:gridSpan w:val="15"/>
            <w:vMerge w:val="restart"/>
          </w:tcPr>
          <w:p>
            <w:pPr>
              <w:spacing w:after="0"/>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Form of 6.00% Notes due 2026 (incorporated by reference to Exhibit 4.2)</w:t>
              </w:r>
            </w:hyperlink>
          </w:p>
        </w:tc>
        <w:tc>
          <w:tcPr>
            <w:tcW w:w="180" w:type="dxa"/>
            <w:vAlign w:val="bottom"/>
            <w:tcBorders>
              <w:bottom w:val="single" w:sz="8" w:color="0000EE"/>
            </w:tcBorders>
            <w:vMerge w:val="continue"/>
          </w:tcPr>
          <w:p>
            <w:pPr>
              <w:spacing w:after="0"/>
              <w:rPr>
                <w:sz w:val="14"/>
                <w:szCs w:val="14"/>
                <w:color w:val="auto"/>
              </w:rPr>
            </w:pPr>
          </w:p>
        </w:tc>
        <w:tc>
          <w:tcPr>
            <w:tcW w:w="174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860" w:type="dxa"/>
            <w:vAlign w:val="bottom"/>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400" w:type="dxa"/>
            <w:vAlign w:val="bottom"/>
            <w:gridSpan w:val="4"/>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5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800" w:type="dxa"/>
            <w:vAlign w:val="bottom"/>
            <w:vMerge w:val="continue"/>
          </w:tcPr>
          <w:p>
            <w:pPr>
              <w:spacing w:after="0"/>
              <w:rPr>
                <w:sz w:val="4"/>
                <w:szCs w:val="4"/>
                <w:color w:val="auto"/>
              </w:rPr>
            </w:pPr>
          </w:p>
        </w:tc>
        <w:tc>
          <w:tcPr>
            <w:tcW w:w="5300" w:type="dxa"/>
            <w:vAlign w:val="bottom"/>
            <w:tcBorders>
              <w:bottom w:val="single" w:sz="8" w:color="0000EE"/>
            </w:tcBorders>
            <w:gridSpan w:val="15"/>
            <w:vMerge w:val="continue"/>
          </w:tcPr>
          <w:p>
            <w:pPr>
              <w:spacing w:after="0"/>
              <w:rPr>
                <w:sz w:val="4"/>
                <w:szCs w:val="4"/>
                <w:color w:val="auto"/>
              </w:rPr>
            </w:pPr>
          </w:p>
        </w:tc>
        <w:tc>
          <w:tcPr>
            <w:tcW w:w="18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400" w:type="dxa"/>
            <w:vAlign w:val="bottom"/>
            <w:gridSpan w:val="4"/>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5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8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4.4</w:t>
            </w:r>
          </w:p>
        </w:tc>
        <w:tc>
          <w:tcPr>
            <w:tcW w:w="1780" w:type="dxa"/>
            <w:vAlign w:val="bottom"/>
            <w:gridSpan w:val="4"/>
            <w:vMerge w:val="restart"/>
          </w:tcPr>
          <w:p>
            <w:pPr>
              <w:spacing w:after="0"/>
              <w:rPr>
                <w:rFonts w:ascii="Times New Roman" w:cs="Times New Roman" w:eastAsia="Times New Roman" w:hAnsi="Times New Roman"/>
                <w:sz w:val="18"/>
                <w:szCs w:val="18"/>
                <w:color w:val="0000EE"/>
                <w:w w:val="98"/>
              </w:rPr>
            </w:pPr>
            <w:hyperlink r:id="rId132">
              <w:r>
                <w:rPr>
                  <w:rFonts w:ascii="Times New Roman" w:cs="Times New Roman" w:eastAsia="Times New Roman" w:hAnsi="Times New Roman"/>
                  <w:sz w:val="18"/>
                  <w:szCs w:val="18"/>
                  <w:color w:val="0000EE"/>
                  <w:w w:val="98"/>
                </w:rPr>
                <w:t>Description of Securities</w:t>
              </w:r>
            </w:hyperlink>
          </w:p>
        </w:tc>
        <w:tc>
          <w:tcPr>
            <w:tcW w:w="180" w:type="dxa"/>
            <w:vAlign w:val="bottom"/>
            <w:tcBorders>
              <w:bottom w:val="single" w:sz="8" w:color="0000EE"/>
            </w:tcBorders>
            <w:gridSpan w:val="3"/>
          </w:tcPr>
          <w:p>
            <w:pPr>
              <w:jc w:val="right"/>
              <w:spacing w:after="0" w:line="156" w:lineRule="exact"/>
              <w:rPr>
                <w:sz w:val="20"/>
                <w:szCs w:val="20"/>
                <w:color w:val="auto"/>
              </w:rPr>
            </w:pPr>
            <w:r>
              <w:rPr>
                <w:rFonts w:ascii="Times New Roman" w:cs="Times New Roman" w:eastAsia="Times New Roman" w:hAnsi="Times New Roman"/>
                <w:sz w:val="15"/>
                <w:szCs w:val="15"/>
                <w:color w:val="0000EE"/>
                <w:w w:val="91"/>
              </w:rPr>
              <w:t>(7)</w:t>
            </w:r>
          </w:p>
        </w:tc>
        <w:tc>
          <w:tcPr>
            <w:tcW w:w="5260" w:type="dxa"/>
            <w:vAlign w:val="bottom"/>
            <w:gridSpan w:val="10"/>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860" w:type="dxa"/>
            <w:vAlign w:val="bottom"/>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400" w:type="dxa"/>
            <w:vAlign w:val="bottom"/>
            <w:gridSpan w:val="4"/>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5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00" w:type="dxa"/>
            <w:vAlign w:val="bottom"/>
            <w:vMerge w:val="continue"/>
          </w:tcPr>
          <w:p>
            <w:pPr>
              <w:spacing w:after="0"/>
              <w:rPr>
                <w:sz w:val="4"/>
                <w:szCs w:val="4"/>
                <w:color w:val="auto"/>
              </w:rPr>
            </w:pPr>
          </w:p>
        </w:tc>
        <w:tc>
          <w:tcPr>
            <w:tcW w:w="1780" w:type="dxa"/>
            <w:vAlign w:val="bottom"/>
            <w:tcBorders>
              <w:bottom w:val="single" w:sz="8" w:color="0000EE"/>
            </w:tcBorders>
            <w:gridSpan w:val="4"/>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60" w:type="dxa"/>
            <w:vAlign w:val="bottom"/>
            <w:gridSpan w:val="2"/>
          </w:tcPr>
          <w:p>
            <w:pPr>
              <w:spacing w:after="0"/>
              <w:rPr>
                <w:sz w:val="4"/>
                <w:szCs w:val="4"/>
                <w:color w:val="auto"/>
              </w:rPr>
            </w:pPr>
          </w:p>
        </w:tc>
        <w:tc>
          <w:tcPr>
            <w:tcW w:w="5260" w:type="dxa"/>
            <w:vAlign w:val="bottom"/>
            <w:gridSpan w:val="10"/>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400" w:type="dxa"/>
            <w:vAlign w:val="bottom"/>
            <w:gridSpan w:val="4"/>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5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8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10.1</w:t>
            </w:r>
          </w:p>
        </w:tc>
        <w:tc>
          <w:tcPr>
            <w:tcW w:w="8120" w:type="dxa"/>
            <w:vAlign w:val="bottom"/>
            <w:gridSpan w:val="19"/>
            <w:vMerge w:val="restart"/>
          </w:tcPr>
          <w:p>
            <w:pPr>
              <w:spacing w:after="0"/>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Notes Purchase Agreement, dated August 6, 2024, by and between the Registrant and the purchaser party thereto</w:t>
              </w:r>
            </w:hyperlink>
          </w:p>
        </w:tc>
        <w:tc>
          <w:tcPr>
            <w:tcW w:w="180" w:type="dxa"/>
            <w:vAlign w:val="bottom"/>
            <w:tcBorders>
              <w:bottom w:val="single" w:sz="8" w:color="0000EE"/>
            </w:tcBorders>
          </w:tcPr>
          <w:p>
            <w:pPr>
              <w:jc w:val="right"/>
              <w:spacing w:after="0" w:line="149" w:lineRule="exact"/>
              <w:rPr>
                <w:sz w:val="20"/>
                <w:szCs w:val="20"/>
                <w:color w:val="auto"/>
              </w:rPr>
            </w:pPr>
            <w:r>
              <w:rPr>
                <w:rFonts w:ascii="Times New Roman" w:cs="Times New Roman" w:eastAsia="Times New Roman" w:hAnsi="Times New Roman"/>
                <w:sz w:val="15"/>
                <w:szCs w:val="15"/>
                <w:color w:val="0000EE"/>
                <w:w w:val="91"/>
              </w:rPr>
              <w:t>(8)</w:t>
            </w:r>
          </w:p>
        </w:tc>
        <w:tc>
          <w:tcPr>
            <w:tcW w:w="400" w:type="dxa"/>
            <w:vAlign w:val="bottom"/>
            <w:gridSpan w:val="4"/>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5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800" w:type="dxa"/>
            <w:vAlign w:val="bottom"/>
            <w:vMerge w:val="continue"/>
          </w:tcPr>
          <w:p>
            <w:pPr>
              <w:spacing w:after="0"/>
              <w:rPr>
                <w:sz w:val="4"/>
                <w:szCs w:val="4"/>
                <w:color w:val="auto"/>
              </w:rPr>
            </w:pPr>
          </w:p>
        </w:tc>
        <w:tc>
          <w:tcPr>
            <w:tcW w:w="8120" w:type="dxa"/>
            <w:vAlign w:val="bottom"/>
            <w:tcBorders>
              <w:bottom w:val="single" w:sz="8" w:color="0000EE"/>
            </w:tcBorders>
            <w:gridSpan w:val="19"/>
            <w:vMerge w:val="continue"/>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gridSpan w:val="4"/>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5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320" w:type="dxa"/>
            <w:vAlign w:val="bottom"/>
            <w:gridSpan w:val="27"/>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Amended and Restated Notes Purchase Agreement, dated December 12, 2025, by and between the Registrant and the purchaser party thereto</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60" w:type="dxa"/>
            <w:vAlign w:val="bottom"/>
            <w:tcBorders>
              <w:top w:val="single" w:sz="8" w:color="0000EE"/>
              <w:bottom w:val="single" w:sz="8" w:color="0000EE"/>
            </w:tcBorders>
          </w:tcPr>
          <w:p>
            <w:pPr>
              <w:spacing w:after="0" w:line="169" w:lineRule="exact"/>
              <w:rPr>
                <w:rFonts w:ascii="Times New Roman" w:cs="Times New Roman" w:eastAsia="Times New Roman" w:hAnsi="Times New Roman"/>
                <w:sz w:val="15"/>
                <w:szCs w:val="15"/>
                <w:color w:val="0000EE"/>
                <w:w w:val="79"/>
              </w:rPr>
            </w:pPr>
            <w:hyperlink r:id="rId134">
              <w:r>
                <w:rPr>
                  <w:rFonts w:ascii="Times New Roman" w:cs="Times New Roman" w:eastAsia="Times New Roman" w:hAnsi="Times New Roman"/>
                  <w:sz w:val="15"/>
                  <w:szCs w:val="15"/>
                  <w:color w:val="0000EE"/>
                  <w:w w:val="79"/>
                </w:rPr>
                <w:t>(9)</w:t>
              </w:r>
            </w:hyperlink>
          </w:p>
        </w:tc>
        <w:tc>
          <w:tcPr>
            <w:tcW w:w="15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20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7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6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56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31.1</w:t>
            </w:r>
          </w:p>
        </w:tc>
        <w:tc>
          <w:tcPr>
            <w:tcW w:w="103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Rule 13a-14(a) of the Securities Exchange Act of 1934, as amended*</w:t>
            </w:r>
          </w:p>
        </w:tc>
        <w:tc>
          <w:tcPr>
            <w:tcW w:w="0" w:type="dxa"/>
            <w:vAlign w:val="bottom"/>
          </w:tcPr>
          <w:p>
            <w:pPr>
              <w:spacing w:after="0"/>
              <w:rPr>
                <w:sz w:val="1"/>
                <w:szCs w:val="1"/>
                <w:color w:val="auto"/>
              </w:rPr>
            </w:pPr>
          </w:p>
        </w:tc>
      </w:tr>
      <w:tr>
        <w:trPr>
          <w:trHeight w:val="196"/>
        </w:trPr>
        <w:tc>
          <w:tcPr>
            <w:tcW w:w="8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8700" w:type="dxa"/>
            <w:vAlign w:val="bottom"/>
            <w:tcBorders>
              <w:top w:val="single" w:sz="8" w:color="0000EE"/>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Rule 13a-14(a) of the Securities Exchange Act of 1934, as amended*</w:t>
            </w:r>
          </w:p>
        </w:tc>
        <w:tc>
          <w:tcPr>
            <w:tcW w:w="40" w:type="dxa"/>
            <w:vAlign w:val="bottom"/>
            <w:tcBorders>
              <w:top w:val="single" w:sz="8" w:color="0000EE"/>
            </w:tcBorders>
          </w:tcPr>
          <w:p>
            <w:pPr>
              <w:spacing w:after="0"/>
              <w:rPr>
                <w:sz w:val="17"/>
                <w:szCs w:val="17"/>
                <w:color w:val="auto"/>
              </w:rPr>
            </w:pPr>
          </w:p>
        </w:tc>
        <w:tc>
          <w:tcPr>
            <w:tcW w:w="15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196"/>
        </w:trPr>
        <w:tc>
          <w:tcPr>
            <w:tcW w:w="8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722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906 of the Sarbanes-Oxley Act of 2002*</w:t>
            </w:r>
          </w:p>
        </w:tc>
        <w:tc>
          <w:tcPr>
            <w:tcW w:w="40" w:type="dxa"/>
            <w:vAlign w:val="bottom"/>
            <w:tcBorders>
              <w:top w:val="single" w:sz="8" w:color="0000EE"/>
            </w:tcBorders>
          </w:tcPr>
          <w:p>
            <w:pPr>
              <w:spacing w:after="0"/>
              <w:rPr>
                <w:sz w:val="17"/>
                <w:szCs w:val="17"/>
                <w:color w:val="auto"/>
              </w:rPr>
            </w:pPr>
          </w:p>
        </w:tc>
        <w:tc>
          <w:tcPr>
            <w:tcW w:w="30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101.INS</w:t>
            </w:r>
          </w:p>
        </w:tc>
        <w:tc>
          <w:tcPr>
            <w:tcW w:w="1032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16"/>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101.SCH</w:t>
            </w:r>
          </w:p>
        </w:tc>
        <w:tc>
          <w:tcPr>
            <w:tcW w:w="1032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101.CAL</w:t>
            </w:r>
          </w:p>
        </w:tc>
        <w:tc>
          <w:tcPr>
            <w:tcW w:w="1032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101.DEF</w:t>
            </w:r>
          </w:p>
        </w:tc>
        <w:tc>
          <w:tcPr>
            <w:tcW w:w="1032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101.LAB</w:t>
            </w:r>
          </w:p>
        </w:tc>
        <w:tc>
          <w:tcPr>
            <w:tcW w:w="1032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6"/>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101.PRE</w:t>
            </w:r>
          </w:p>
        </w:tc>
        <w:tc>
          <w:tcPr>
            <w:tcW w:w="1032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320"/>
        <w:spacing w:after="0"/>
        <w:rPr>
          <w:sz w:val="20"/>
          <w:szCs w:val="20"/>
          <w:color w:val="auto"/>
        </w:rPr>
      </w:pPr>
      <w:r>
        <w:rPr>
          <w:rFonts w:ascii="Times New Roman" w:cs="Times New Roman" w:eastAsia="Times New Roman" w:hAnsi="Times New Roman"/>
          <w:sz w:val="18"/>
          <w:szCs w:val="18"/>
          <w:color w:val="auto"/>
        </w:rPr>
        <w:t>104    Cover Page Interactive Data File (formatted as Inline XBRL and contained in Exhibit 101)</w:t>
      </w:r>
    </w:p>
    <w:p>
      <w:pPr>
        <w:spacing w:after="0" w:line="232" w:lineRule="exact"/>
        <w:rPr>
          <w:sz w:val="20"/>
          <w:szCs w:val="20"/>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Pre-Effective Amendment No. 2 to the Registrant’s Registration Statement on Form N-2 (File No. 333-171578), filed on March 30, 2011, and incorporated by reference herein.</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June 1, 2011,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August 1, 2019,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June 16, 2020, and incorporated by reference herein.</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Registration Statement on Form N-2 (File No. 333-239681), filed on July 2, 2020,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December 17, 2021,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Annual Report on Form 10-K (File No. 814-00852) filed on March 11, 2022, and incorporated by reference herein.</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Exhibit 10.19 in connection with the Registrant’s Quarterly Report on Form 10-Q (File No. 814-00852), filed on August 8, 2024,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Exhibit 10.20 in connection with the Registrant’s Annual Report on Form 10-K (File No. 814-00852) filed on March 11, 2026, and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-3605530</wp:posOffset>
            </wp:positionV>
            <wp:extent cx="17830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42"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1240"/>
          </w:cols>
          <w:pgMar w:left="320" w:top="229"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SURO CAPITAL CORP.</w:t>
      </w:r>
    </w:p>
    <w:p>
      <w:pPr>
        <w:spacing w:after="0" w:line="227" w:lineRule="exact"/>
        <w:rPr>
          <w:sz w:val="20"/>
          <w:szCs w:val="20"/>
          <w:color w:val="auto"/>
        </w:rPr>
      </w:pPr>
    </w:p>
    <w:p>
      <w:pPr>
        <w:spacing w:after="0"/>
        <w:tabs>
          <w:tab w:leader="none" w:pos="560" w:val="left"/>
          <w:tab w:leader="none" w:pos="5620" w:val="left"/>
        </w:tabs>
        <w:rPr>
          <w:sz w:val="20"/>
          <w:szCs w:val="20"/>
          <w:color w:val="auto"/>
        </w:rPr>
      </w:pPr>
      <w:r>
        <w:rPr>
          <w:rFonts w:ascii="Times New Roman" w:cs="Times New Roman" w:eastAsia="Times New Roman" w:hAnsi="Times New Roman"/>
          <w:sz w:val="18"/>
          <w:szCs w:val="18"/>
          <w:color w:val="auto"/>
        </w:rPr>
        <w:t>Date:</w:t>
        <w:tab/>
        <w:t>May 6, 2026</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Mark D. Klein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spacing w:after="0"/>
        <w:tabs>
          <w:tab w:leader="none" w:pos="560" w:val="left"/>
          <w:tab w:leader="none" w:pos="5620" w:val="left"/>
        </w:tabs>
        <w:rPr>
          <w:sz w:val="20"/>
          <w:szCs w:val="20"/>
          <w:color w:val="auto"/>
        </w:rPr>
      </w:pPr>
      <w:r>
        <w:rPr>
          <w:rFonts w:ascii="Times New Roman" w:cs="Times New Roman" w:eastAsia="Times New Roman" w:hAnsi="Times New Roman"/>
          <w:sz w:val="18"/>
          <w:szCs w:val="18"/>
          <w:color w:val="auto"/>
        </w:rPr>
        <w:t>Date:</w:t>
        <w:tab/>
        <w:t>May 6, 2026</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Allison Green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Treasurer, and Corporate Secretary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of SuRo Capital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D. Klein, certify that:</w:t>
      </w:r>
    </w:p>
    <w:p>
      <w:pPr>
        <w:spacing w:after="0" w:line="225"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SuRo Capital Corp.;</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6th day of May,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18415</wp:posOffset>
            </wp:positionV>
            <wp:extent cx="33515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Mark D. Klein</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of SuRo Capital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Allison Green, certify that:</w:t>
      </w:r>
    </w:p>
    <w:p>
      <w:pPr>
        <w:spacing w:after="0" w:line="225"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SuRo Capital Corp.;</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6th day of May,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18415</wp:posOffset>
            </wp:positionV>
            <wp:extent cx="33515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Allison Green</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three months ended March 31, 2026 (the “Report”) of SuRo Capital Corp. (the “Registrant”), as filed with the Securities and Exchange Commission on the date hereof, I, Mark D. Klein, the Chief Executive Officer of the Registrant, hereby certify, to the best of my knowledge, that:</w:t>
      </w:r>
    </w:p>
    <w:p>
      <w:pPr>
        <w:spacing w:after="0" w:line="176"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Mark D. Klein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three months ended March 31, 2026 (the “Report”) of SuRo Capital Corp. (the “Registrant”), as filed with the Securities and Exchange Commission on the date hereof, I, Allison Green, the Chief Financial Officer of the Registrant, hereby certify, to the best of my knowledge, that:</w:t>
      </w:r>
    </w:p>
    <w:p>
      <w:pPr>
        <w:spacing w:after="0" w:line="176"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Allison Green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1)"/>
      <w:numFmt w:val="decimal"/>
      <w:start w:val="10"/>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1)"/>
      <w:numFmt w:val="decimal"/>
      <w:start w:val="9"/>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1)"/>
      <w:numFmt w:val="decimal"/>
      <w:start w:val="3"/>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decimal"/>
      <w:start w:val="9"/>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24" Type="http://schemas.openxmlformats.org/officeDocument/2006/relationships/hyperlink" Target="https://www.sec.gov/Archives/edgar/data/1509470/000113379611000069/k216228_ex99-2a.htm" TargetMode="External"/><Relationship Id="rId125" Type="http://schemas.openxmlformats.org/officeDocument/2006/relationships/hyperlink" Target="https://www.sec.gov/Archives/edgar/data/1509470/000114420411033389/v224342_ex3-1.htm" TargetMode="External"/><Relationship Id="rId126" Type="http://schemas.openxmlformats.org/officeDocument/2006/relationships/hyperlink" Target="https://www.sec.gov/Archives/edgar/data/1509470/000114420419037014/tv526412_ex3-1.htm" TargetMode="External"/><Relationship Id="rId127" Type="http://schemas.openxmlformats.org/officeDocument/2006/relationships/hyperlink" Target="https://www.sec.gov/Archives/edgar/data/1509470/000110465920073783/tm2022743d1_ex3-1.htm" TargetMode="External"/><Relationship Id="rId128" Type="http://schemas.openxmlformats.org/officeDocument/2006/relationships/hyperlink" Target="https://www.sec.gov/Archives/edgar/data/1509470/000110465920073783/tm2022743d1_ex3-2.htm" TargetMode="External"/><Relationship Id="rId129" Type="http://schemas.openxmlformats.org/officeDocument/2006/relationships/hyperlink" Target="https://www.sec.gov/Archives/edgar/data/1509470/000110465920080689/tm2023838d1_ex-d3.htm" TargetMode="External"/><Relationship Id="rId130" Type="http://schemas.openxmlformats.org/officeDocument/2006/relationships/hyperlink" Target="https://www.sec.gov/Archives/edgar/data/1509470/000110465921150924/tm2135610d1_ex4-2.htm" TargetMode="External"/><Relationship Id="rId131" Type="http://schemas.openxmlformats.org/officeDocument/2006/relationships/hyperlink" Target="https://www.sec.gov/Archives/edgar/data/1509470/000110465921150924/tm2135610d1_ex4-2.htm#S1" TargetMode="External"/><Relationship Id="rId132" Type="http://schemas.openxmlformats.org/officeDocument/2006/relationships/hyperlink" Target="https://www.sec.gov/Archives/edgar/data/1509470/000162828022005867/surocapital-form10xkex45.htm" TargetMode="External"/><Relationship Id="rId133" Type="http://schemas.openxmlformats.org/officeDocument/2006/relationships/hyperlink" Target="https://www.sec.gov/Archives/edgar/data/1509470/000149315224030665/ex10-1.htm" TargetMode="External"/><Relationship Id="rId134" Type="http://schemas.openxmlformats.org/officeDocument/2006/relationships/hyperlink" Target="https://www.sec.gov/Archives/edgar/data/1509470/000149315226009641/ex1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2026-05-06T08:27:38Z</dcterms:created>
  <dcterms:modified xsi:type="dcterms:W3CDTF">2026-05-06T08:27:38Z</dcterms:modified>
</cp:coreProperties>
</file>