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360680</wp:posOffset>
            </wp:positionV>
            <wp:extent cx="4081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1120" w:hanging="685"/>
        <w:spacing w:after="0"/>
        <w:tabs>
          <w:tab w:leader="none" w:pos="11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9"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4081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151" w:lineRule="exact"/>
        <w:rPr>
          <w:sz w:val="24"/>
          <w:szCs w:val="24"/>
          <w:color w:val="auto"/>
        </w:rPr>
      </w:pPr>
    </w:p>
    <w:p>
      <w:pPr>
        <w:ind w:left="1120" w:hanging="685"/>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7"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080" w:type="dxa"/>
        <w:tblCellMar>
          <w:top w:w="0" w:type="dxa"/>
          <w:left w:w="0" w:type="dxa"/>
          <w:bottom w:w="0" w:type="dxa"/>
          <w:right w:w="0" w:type="dxa"/>
        </w:tblCellMar>
      </w:tblPr>
      <w:tr>
        <w:trPr>
          <w:trHeight w:val="421"/>
        </w:trPr>
        <w:tc>
          <w:tcPr>
            <w:tcW w:w="2320" w:type="dxa"/>
            <w:vAlign w:val="bottom"/>
          </w:tcPr>
          <w:p>
            <w:pPr>
              <w:spacing w:after="0"/>
              <w:rPr>
                <w:sz w:val="24"/>
                <w:szCs w:val="24"/>
                <w:color w:val="auto"/>
              </w:rPr>
            </w:pPr>
          </w:p>
        </w:tc>
        <w:tc>
          <w:tcPr>
            <w:tcW w:w="4480" w:type="dxa"/>
            <w:vAlign w:val="bottom"/>
            <w:gridSpan w:val="3"/>
          </w:tcPr>
          <w:p>
            <w:pPr>
              <w:jc w:val="center"/>
              <w:ind w:right="1668"/>
              <w:spacing w:after="0"/>
              <w:rPr>
                <w:sz w:val="20"/>
                <w:szCs w:val="20"/>
                <w:color w:val="auto"/>
              </w:rPr>
            </w:pPr>
            <w:r>
              <w:rPr>
                <w:rFonts w:ascii="Arial" w:cs="Arial" w:eastAsia="Arial" w:hAnsi="Arial"/>
                <w:sz w:val="32"/>
                <w:szCs w:val="32"/>
                <w:b w:val="1"/>
                <w:bCs w:val="1"/>
                <w:color w:val="auto"/>
                <w:w w:val="96"/>
              </w:rPr>
              <w:t>GSV Capital Corp.</w:t>
            </w:r>
          </w:p>
        </w:tc>
      </w:tr>
      <w:tr>
        <w:trPr>
          <w:trHeight w:val="257"/>
        </w:trPr>
        <w:tc>
          <w:tcPr>
            <w:tcW w:w="6800" w:type="dxa"/>
            <w:vAlign w:val="bottom"/>
            <w:gridSpan w:val="4"/>
          </w:tcPr>
          <w:p>
            <w:pPr>
              <w:ind w:left="2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03"/>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481"/>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4480" w:type="dxa"/>
            <w:vAlign w:val="bottom"/>
            <w:gridSpan w:val="3"/>
          </w:tcPr>
          <w:p>
            <w:pPr>
              <w:jc w:val="right"/>
              <w:ind w:right="528"/>
              <w:spacing w:after="0"/>
              <w:rPr>
                <w:sz w:val="20"/>
                <w:szCs w:val="20"/>
                <w:color w:val="auto"/>
              </w:rPr>
            </w:pPr>
            <w:r>
              <w:rPr>
                <w:rFonts w:ascii="Arial" w:cs="Arial" w:eastAsia="Arial" w:hAnsi="Arial"/>
                <w:sz w:val="18"/>
                <w:szCs w:val="18"/>
                <w:b w:val="1"/>
                <w:bCs w:val="1"/>
                <w:color w:val="auto"/>
              </w:rPr>
              <w:t>27-4443543</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(State of incorporation)</w:t>
            </w:r>
          </w:p>
        </w:tc>
        <w:tc>
          <w:tcPr>
            <w:tcW w:w="160" w:type="dxa"/>
            <w:vAlign w:val="bottom"/>
          </w:tcPr>
          <w:p>
            <w:pPr>
              <w:spacing w:after="0"/>
              <w:rPr>
                <w:sz w:val="15"/>
                <w:szCs w:val="15"/>
                <w:color w:val="auto"/>
              </w:rPr>
            </w:pPr>
          </w:p>
        </w:tc>
        <w:tc>
          <w:tcPr>
            <w:tcW w:w="4320" w:type="dxa"/>
            <w:vAlign w:val="bottom"/>
            <w:gridSpan w:val="2"/>
          </w:tcPr>
          <w:p>
            <w:pPr>
              <w:jc w:val="center"/>
              <w:ind w:left="2168"/>
              <w:spacing w:after="0"/>
              <w:rPr>
                <w:sz w:val="20"/>
                <w:szCs w:val="20"/>
                <w:color w:val="auto"/>
              </w:rPr>
            </w:pPr>
            <w:r>
              <w:rPr>
                <w:rFonts w:ascii="Arial" w:cs="Arial" w:eastAsia="Arial" w:hAnsi="Arial"/>
                <w:sz w:val="14"/>
                <w:szCs w:val="14"/>
                <w:color w:val="auto"/>
                <w:w w:val="96"/>
              </w:rPr>
              <w:t>(I.R.S. Employer Identification No.)</w:t>
            </w:r>
          </w:p>
        </w:tc>
      </w:tr>
      <w:tr>
        <w:trPr>
          <w:trHeight w:val="277"/>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2925 Woodside Road</w:t>
            </w: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Woodside, CA</w:t>
            </w:r>
          </w:p>
        </w:tc>
        <w:tc>
          <w:tcPr>
            <w:tcW w:w="4480" w:type="dxa"/>
            <w:vAlign w:val="bottom"/>
            <w:gridSpan w:val="3"/>
          </w:tcPr>
          <w:p>
            <w:pPr>
              <w:jc w:val="right"/>
              <w:ind w:right="748"/>
              <w:spacing w:after="0"/>
              <w:rPr>
                <w:sz w:val="20"/>
                <w:szCs w:val="20"/>
                <w:color w:val="auto"/>
              </w:rPr>
            </w:pPr>
            <w:r>
              <w:rPr>
                <w:rFonts w:ascii="Arial" w:cs="Arial" w:eastAsia="Arial" w:hAnsi="Arial"/>
                <w:sz w:val="18"/>
                <w:szCs w:val="18"/>
                <w:b w:val="1"/>
                <w:bCs w:val="1"/>
                <w:color w:val="auto"/>
              </w:rPr>
              <w:t>94062</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00" w:type="dxa"/>
            <w:vAlign w:val="bottom"/>
          </w:tcPr>
          <w:p>
            <w:pPr>
              <w:jc w:val="center"/>
              <w:ind w:right="108"/>
              <w:spacing w:after="0"/>
              <w:rPr>
                <w:sz w:val="20"/>
                <w:szCs w:val="20"/>
                <w:color w:val="auto"/>
              </w:rPr>
            </w:pPr>
            <w:r>
              <w:rPr>
                <w:rFonts w:ascii="Arial" w:cs="Arial" w:eastAsia="Arial" w:hAnsi="Arial"/>
                <w:sz w:val="14"/>
                <w:szCs w:val="14"/>
                <w:color w:val="auto"/>
                <w:w w:val="96"/>
              </w:rPr>
              <w:t>(Zip Code)</w:t>
            </w:r>
          </w:p>
        </w:tc>
      </w:tr>
      <w:tr>
        <w:trPr>
          <w:trHeight w:val="417"/>
        </w:trPr>
        <w:tc>
          <w:tcPr>
            <w:tcW w:w="2320" w:type="dxa"/>
            <w:vAlign w:val="bottom"/>
          </w:tcPr>
          <w:p>
            <w:pPr>
              <w:spacing w:after="0"/>
              <w:rPr>
                <w:sz w:val="24"/>
                <w:szCs w:val="24"/>
                <w:color w:val="auto"/>
              </w:rPr>
            </w:pPr>
          </w:p>
        </w:tc>
        <w:tc>
          <w:tcPr>
            <w:tcW w:w="258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(650) 235-4769</w:t>
            </w:r>
          </w:p>
        </w:tc>
        <w:tc>
          <w:tcPr>
            <w:tcW w:w="19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-985520</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-694055</wp:posOffset>
            </wp:positionV>
            <wp:extent cx="574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8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201295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40" w:right="639" w:firstLine="270"/>
        <w:spacing w:after="0" w:line="28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57" w:lineRule="exact"/>
        <w:rPr>
          <w:sz w:val="24"/>
          <w:szCs w:val="24"/>
          <w:color w:val="auto"/>
        </w:rPr>
      </w:pPr>
    </w:p>
    <w:p>
      <w:pPr>
        <w:ind w:left="40" w:right="59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o No o</w:t>
      </w:r>
    </w:p>
    <w:p>
      <w:pPr>
        <w:spacing w:after="0" w:line="39" w:lineRule="exact"/>
        <w:rPr>
          <w:sz w:val="24"/>
          <w:szCs w:val="24"/>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5282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42" w:lineRule="exact"/>
        <w:rPr>
          <w:sz w:val="24"/>
          <w:szCs w:val="24"/>
          <w:color w:val="auto"/>
        </w:rPr>
      </w:pPr>
    </w:p>
    <w:p>
      <w:pPr>
        <w:sectPr>
          <w:pgSz w:w="11900" w:h="16838" w:orient="portrait"/>
          <w:cols w:equalWidth="0" w:num="2">
            <w:col w:w="3520" w:space="720"/>
            <w:col w:w="5839"/>
          </w:cols>
          <w:pgMar w:left="380" w:top="1440" w:right="1440" w:bottom="1440" w:gutter="0" w:footer="0" w:header="0"/>
          <w:type w:val="continuous"/>
        </w:sectPr>
      </w:pPr>
    </w:p>
    <w:p>
      <w:pPr>
        <w:ind w:left="320" w:right="779"/>
        <w:spacing w:after="0" w:line="48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Act).Yes o No x The issuer had 22,181,003 shares of common stock, $0.01 par value per share, outstanding as of November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666750</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-83185</wp:posOffset>
            </wp:positionV>
            <wp:extent cx="6071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-57150</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GSV CAPITAL CORP.</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7680" w:type="dxa"/>
            <w:vAlign w:val="bottom"/>
            <w:gridSpan w:val="42"/>
            <w:shd w:val="clear" w:color="auto" w:fill="CCEEFF"/>
          </w:tcPr>
          <w:p>
            <w:pPr>
              <w:ind w:left="20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7680" w:type="dxa"/>
            <w:vAlign w:val="bottom"/>
            <w:gridSpan w:val="42"/>
          </w:tcPr>
          <w:p>
            <w:pPr>
              <w:ind w:left="2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Condensed Consolidated Financial Statements (Unaudited)</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600" w:type="dxa"/>
            <w:vAlign w:val="bottom"/>
            <w:tcBorders>
              <w:bottom w:val="single" w:sz="8" w:color="0000EE"/>
            </w:tcBorders>
            <w:gridSpan w:val="38"/>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Assets and Liabilities as of September 30, 2016 and</w:t>
              </w:r>
            </w:hyperlink>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760" w:type="dxa"/>
            <w:vAlign w:val="bottom"/>
            <w:gridSpan w:val="39"/>
            <w:shd w:val="clear" w:color="auto" w:fill="CCEEFF"/>
          </w:tcPr>
          <w:p>
            <w:pPr>
              <w:ind w:left="1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31, 2015</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9"/>
          </w:tcPr>
          <w:p>
            <w:pPr>
              <w:spacing w:after="0" w:line="17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Statements of Operations for the three and nine months ended</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Borders>
              <w:top w:val="single" w:sz="8" w:color="0000EE"/>
            </w:tcBorders>
            <w:gridSpan w:val="34"/>
          </w:tcPr>
          <w:p>
            <w:pPr>
              <w:ind w:left="18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2016 and 2015</w:t>
              </w:r>
            </w:hyperlink>
          </w:p>
        </w:tc>
        <w:tc>
          <w:tcPr>
            <w:tcW w:w="480" w:type="dxa"/>
            <w:vAlign w:val="bottom"/>
            <w:gridSpan w:val="5"/>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420" w:type="dxa"/>
            <w:vAlign w:val="bottom"/>
            <w:tcBorders>
              <w:bottom w:val="single" w:sz="8" w:color="0000EE"/>
            </w:tcBorders>
            <w:gridSpan w:val="35"/>
            <w:shd w:val="clear" w:color="auto" w:fill="CCEEFF"/>
          </w:tcPr>
          <w:p>
            <w:pPr>
              <w:spacing w:after="0" w:line="17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Changes in Net Assets for the nine months ended</w:t>
              </w:r>
            </w:hyperlink>
          </w:p>
        </w:tc>
        <w:tc>
          <w:tcPr>
            <w:tcW w:w="340" w:type="dxa"/>
            <w:vAlign w:val="bottom"/>
            <w:tcBorders>
              <w:bottom w:val="single" w:sz="8" w:color="CCEEFF"/>
            </w:tcBorders>
            <w:gridSpan w:val="4"/>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760" w:type="dxa"/>
            <w:vAlign w:val="bottom"/>
            <w:gridSpan w:val="39"/>
            <w:shd w:val="clear" w:color="auto" w:fill="CCEEFF"/>
          </w:tcPr>
          <w:p>
            <w:pPr>
              <w:ind w:left="18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September 30, 2016 and 2015</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9"/>
          </w:tcPr>
          <w:p>
            <w:pPr>
              <w:spacing w:after="0" w:line="17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Condensed Consolidated Statements of Cash Flows for the nine months ended September</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40" w:type="dxa"/>
            <w:vAlign w:val="bottom"/>
            <w:tcBorders>
              <w:top w:val="single" w:sz="8" w:color="0000EE"/>
            </w:tcBorders>
            <w:gridSpan w:val="36"/>
          </w:tcPr>
          <w:p>
            <w:pPr>
              <w:ind w:left="18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30, 2016 and 2015</w:t>
              </w:r>
            </w:hyperlink>
          </w:p>
        </w:tc>
        <w:tc>
          <w:tcPr>
            <w:tcW w:w="320" w:type="dxa"/>
            <w:vAlign w:val="bottom"/>
            <w:gridSpan w:val="3"/>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9"/>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Condensed Consolidated Schedule of Investments as of September 30, 2016</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80" w:type="dxa"/>
            <w:vAlign w:val="bottom"/>
            <w:gridSpan w:val="31"/>
          </w:tcPr>
          <w:p>
            <w:pPr>
              <w:spacing w:after="0" w:line="17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Condensed Consolidated Schedule of Investments as of December 31, 2015</w:t>
              </w:r>
            </w:hyperlink>
          </w:p>
        </w:tc>
        <w:tc>
          <w:tcPr>
            <w:tcW w:w="1280" w:type="dxa"/>
            <w:vAlign w:val="bottom"/>
            <w:gridSpan w:val="8"/>
          </w:tcPr>
          <w:p>
            <w:pPr>
              <w:spacing w:after="0"/>
              <w:rPr>
                <w:sz w:val="15"/>
                <w:szCs w:val="15"/>
                <w:color w:val="auto"/>
              </w:rPr>
            </w:pPr>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9"/>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Notes to Condensed Consolidated Financial Statements as of September 30, 2016</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60" w:type="dxa"/>
            <w:vAlign w:val="bottom"/>
            <w:gridSpan w:val="32"/>
          </w:tcPr>
          <w:p>
            <w:pPr>
              <w:ind w:left="18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Note 1 — Nature of Operations and Significant Accounting Policies</w:t>
              </w:r>
            </w:hyperlink>
          </w:p>
        </w:tc>
        <w:tc>
          <w:tcPr>
            <w:tcW w:w="900" w:type="dxa"/>
            <w:vAlign w:val="bottom"/>
            <w:gridSpan w:val="7"/>
          </w:tcPr>
          <w:p>
            <w:pPr>
              <w:spacing w:after="0"/>
              <w:rPr>
                <w:sz w:val="15"/>
                <w:szCs w:val="15"/>
                <w:color w:val="auto"/>
              </w:rPr>
            </w:pPr>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9"/>
            <w:shd w:val="clear" w:color="auto" w:fill="CCEEFF"/>
          </w:tcPr>
          <w:p>
            <w:pPr>
              <w:ind w:left="18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Note 2 — Related-Party Arrangements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9"/>
          </w:tcPr>
          <w:p>
            <w:pPr>
              <w:ind w:left="1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Note 3 — Investments at Fair Value</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9"/>
            <w:shd w:val="clear" w:color="auto" w:fill="CCEEFF"/>
          </w:tcPr>
          <w:p>
            <w:pPr>
              <w:ind w:left="18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Note 4 — Equity Offerings and Related Expenses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9"/>
          </w:tcPr>
          <w:p>
            <w:pPr>
              <w:ind w:left="18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Note 5 — Net Increase/(Decrease) in Net Assets Resulting from Operations per</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20" w:type="dxa"/>
            <w:vAlign w:val="bottom"/>
            <w:tcBorders>
              <w:top w:val="single" w:sz="8" w:color="0000EE"/>
            </w:tcBorders>
            <w:gridSpan w:val="32"/>
          </w:tcPr>
          <w:p>
            <w:pPr>
              <w:ind w:left="18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Common Share — Basic and Diluted</w:t>
              </w:r>
            </w:hyperlink>
          </w:p>
        </w:tc>
        <w:tc>
          <w:tcPr>
            <w:tcW w:w="860" w:type="dxa"/>
            <w:vAlign w:val="bottom"/>
            <w:gridSpan w:val="6"/>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9"/>
            <w:shd w:val="clear" w:color="auto" w:fill="CCEEFF"/>
          </w:tcPr>
          <w:p>
            <w:pPr>
              <w:ind w:left="1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Note 6 — Commitments and Contingencies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9"/>
          </w:tcPr>
          <w:p>
            <w:pPr>
              <w:ind w:left="1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Note 7 — Financial Highlights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9"/>
            <w:shd w:val="clear" w:color="auto" w:fill="CCEEFF"/>
          </w:tcPr>
          <w:p>
            <w:pPr>
              <w:ind w:left="1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Note 8 — Income Taxes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9"/>
          </w:tcPr>
          <w:p>
            <w:pPr>
              <w:ind w:left="1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Note 9 — Long-Term Liabilities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9"/>
            <w:shd w:val="clear" w:color="auto" w:fill="CCEEFF"/>
          </w:tcPr>
          <w:p>
            <w:pPr>
              <w:ind w:left="18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Note 10 — Subsequent Events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42"/>
          </w:tcPr>
          <w:p>
            <w:pPr>
              <w:ind w:left="200"/>
              <w:spacing w:after="0" w:line="176"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Item 2.   Management’s Discussion and Analysis of Financial Condition and Results of Operations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9"/>
            <w:shd w:val="clear" w:color="auto" w:fill="CCEEFF"/>
          </w:tcPr>
          <w:p>
            <w:pPr>
              <w:ind w:left="1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Forward-Looking Statements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9"/>
          </w:tcPr>
          <w:p>
            <w:pPr>
              <w:ind w:left="1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Overview</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8"/>
            <w:shd w:val="clear" w:color="auto" w:fill="CCEEFF"/>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Investments — (Portfolio Activity)</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9"/>
          </w:tcPr>
          <w:p>
            <w:pPr>
              <w:ind w:left="1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Results of Operations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9"/>
            <w:shd w:val="clear" w:color="auto" w:fill="CCEEFF"/>
          </w:tcPr>
          <w:p>
            <w:pPr>
              <w:ind w:left="18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Liquidity and Capital Resources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8"/>
          </w:tcPr>
          <w:p>
            <w:pPr>
              <w:ind w:left="18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Equity Issuances and Debt Capital Activities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8"/>
            <w:shd w:val="clear" w:color="auto" w:fill="CCEEFF"/>
          </w:tcPr>
          <w:p>
            <w:pPr>
              <w:ind w:left="1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Contractual Obligations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8"/>
          </w:tcPr>
          <w:p>
            <w:pPr>
              <w:ind w:left="1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Off-Balance Sheet Arrangements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8"/>
            <w:shd w:val="clear" w:color="auto" w:fill="CCEEFF"/>
          </w:tcPr>
          <w:p>
            <w:pPr>
              <w:ind w:left="1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Distributions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8"/>
          </w:tcPr>
          <w:p>
            <w:pPr>
              <w:ind w:left="1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Borrowings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9"/>
            <w:shd w:val="clear" w:color="auto" w:fill="CCEEFF"/>
          </w:tcPr>
          <w:p>
            <w:pPr>
              <w:ind w:left="1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Related-Party Transactions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9"/>
          </w:tcPr>
          <w:p>
            <w:pPr>
              <w:ind w:left="18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Critical Accounting Policies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9"/>
            <w:shd w:val="clear" w:color="auto" w:fill="CCEEFF"/>
          </w:tcPr>
          <w:p>
            <w:pPr>
              <w:ind w:left="18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Recent Developments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42"/>
          </w:tcPr>
          <w:p>
            <w:pPr>
              <w:ind w:left="2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3.   Quantitative and Qualitative Disclosures About Market Risk</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42"/>
            <w:shd w:val="clear" w:color="auto" w:fill="CCEEFF"/>
          </w:tcPr>
          <w:p>
            <w:pPr>
              <w:ind w:left="2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4.   Controls and Procedures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7680" w:type="dxa"/>
            <w:vAlign w:val="bottom"/>
            <w:gridSpan w:val="20"/>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5"/>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PAGE</w:t>
            </w:r>
          </w:p>
        </w:tc>
      </w:tr>
      <w:tr>
        <w:trPr>
          <w:trHeight w:val="169"/>
        </w:trPr>
        <w:tc>
          <w:tcPr>
            <w:tcW w:w="20" w:type="dxa"/>
            <w:vAlign w:val="bottom"/>
            <w:shd w:val="clear" w:color="auto" w:fill="CCEEFF"/>
          </w:tcPr>
          <w:p>
            <w:pPr>
              <w:spacing w:after="0"/>
              <w:rPr>
                <w:sz w:val="14"/>
                <w:szCs w:val="14"/>
                <w:color w:val="auto"/>
              </w:rPr>
            </w:pPr>
          </w:p>
        </w:tc>
        <w:tc>
          <w:tcPr>
            <w:tcW w:w="7660" w:type="dxa"/>
            <w:vAlign w:val="bottom"/>
            <w:gridSpan w:val="19"/>
            <w:shd w:val="clear" w:color="auto" w:fill="CCEEFF"/>
          </w:tcPr>
          <w:p>
            <w:pPr>
              <w:ind w:left="180"/>
              <w:spacing w:after="0" w:line="170"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II.OTHER INFORMATION</w:t>
              </w:r>
            </w:hyperlink>
          </w:p>
        </w:tc>
        <w:tc>
          <w:tcPr>
            <w:tcW w:w="540" w:type="dxa"/>
            <w:vAlign w:val="bottom"/>
            <w:gridSpan w:val="3"/>
            <w:shd w:val="clear" w:color="auto" w:fill="CCEEFF"/>
          </w:tcPr>
          <w:p>
            <w:pPr>
              <w:jc w:val="right"/>
              <w:ind w:right="100"/>
              <w:spacing w:after="0" w:line="170"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gridSpan w:val="4"/>
          </w:tcPr>
          <w:p>
            <w:pPr>
              <w:ind w:left="1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1.</w:t>
              </w:r>
            </w:hyperlink>
          </w:p>
        </w:tc>
        <w:tc>
          <w:tcPr>
            <w:tcW w:w="6780" w:type="dxa"/>
            <w:vAlign w:val="bottom"/>
            <w:gridSpan w:val="15"/>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80" w:type="dxa"/>
            <w:vAlign w:val="bottom"/>
            <w:gridSpan w:val="4"/>
            <w:shd w:val="clear" w:color="auto" w:fill="CCEEFF"/>
          </w:tcPr>
          <w:p>
            <w:pPr>
              <w:ind w:left="1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1A.</w:t>
              </w:r>
            </w:hyperlink>
          </w:p>
        </w:tc>
        <w:tc>
          <w:tcPr>
            <w:tcW w:w="678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gridSpan w:val="4"/>
          </w:tcPr>
          <w:p>
            <w:pPr>
              <w:ind w:left="1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2.</w:t>
              </w:r>
            </w:hyperlink>
          </w:p>
        </w:tc>
        <w:tc>
          <w:tcPr>
            <w:tcW w:w="6780" w:type="dxa"/>
            <w:vAlign w:val="bottom"/>
            <w:gridSpan w:val="15"/>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80" w:type="dxa"/>
            <w:vAlign w:val="bottom"/>
            <w:gridSpan w:val="4"/>
            <w:shd w:val="clear" w:color="auto" w:fill="CCEEFF"/>
          </w:tcPr>
          <w:p>
            <w:pPr>
              <w:ind w:left="1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3.</w:t>
              </w:r>
            </w:hyperlink>
          </w:p>
        </w:tc>
        <w:tc>
          <w:tcPr>
            <w:tcW w:w="678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Defaults Upon Senior Securities</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gridSpan w:val="4"/>
          </w:tcPr>
          <w:p>
            <w:pPr>
              <w:ind w:left="1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4.</w:t>
              </w:r>
            </w:hyperlink>
          </w:p>
        </w:tc>
        <w:tc>
          <w:tcPr>
            <w:tcW w:w="6780" w:type="dxa"/>
            <w:vAlign w:val="bottom"/>
            <w:gridSpan w:val="15"/>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Mine Safety Disclosure</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80" w:type="dxa"/>
            <w:vAlign w:val="bottom"/>
            <w:gridSpan w:val="4"/>
            <w:shd w:val="clear" w:color="auto" w:fill="CCEEFF"/>
          </w:tcPr>
          <w:p>
            <w:pPr>
              <w:ind w:left="18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5.</w:t>
              </w:r>
            </w:hyperlink>
          </w:p>
        </w:tc>
        <w:tc>
          <w:tcPr>
            <w:tcW w:w="678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gridSpan w:val="4"/>
          </w:tcPr>
          <w:p>
            <w:pPr>
              <w:ind w:left="18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6.</w:t>
              </w:r>
            </w:hyperlink>
          </w:p>
        </w:tc>
        <w:tc>
          <w:tcPr>
            <w:tcW w:w="6780" w:type="dxa"/>
            <w:vAlign w:val="bottom"/>
            <w:gridSpan w:val="15"/>
          </w:tcPr>
          <w:p>
            <w:pPr>
              <w:ind w:left="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(Schedules 12-14) — Schedules of Investments in and Advances to Affiliates as of</w:t>
              </w:r>
            </w:hyperlink>
          </w:p>
        </w:tc>
        <w:tc>
          <w:tcPr>
            <w:tcW w:w="8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60" w:type="dxa"/>
            <w:vAlign w:val="bottom"/>
            <w:gridSpan w:val="14"/>
            <w:shd w:val="clear" w:color="auto" w:fill="CCEEFF"/>
          </w:tcPr>
          <w:p>
            <w:pPr>
              <w:ind w:left="18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September 30, 2016 (unaudited) and December 31, 2015</w:t>
              </w:r>
            </w:hyperlink>
          </w:p>
        </w:tc>
        <w:tc>
          <w:tcPr>
            <w:tcW w:w="540" w:type="dxa"/>
            <w:vAlign w:val="bottom"/>
            <w:gridSpan w:val="3"/>
            <w:shd w:val="clear" w:color="auto" w:fill="CCEEFF"/>
          </w:tcPr>
          <w:p>
            <w:pPr>
              <w:jc w:val="right"/>
              <w:ind w:right="10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color w:val="0000EE"/>
                <w:w w:val="85"/>
              </w:rPr>
            </w:pPr>
            <w:hyperlink w:anchor="page73">
              <w:r>
                <w:rPr>
                  <w:rFonts w:ascii="Arial" w:cs="Arial" w:eastAsia="Arial" w:hAnsi="Arial"/>
                  <w:sz w:val="18"/>
                  <w:szCs w:val="18"/>
                  <w:color w:val="0000EE"/>
                  <w:w w:val="85"/>
                </w:rPr>
                <w:t>Signatures</w:t>
              </w:r>
            </w:hyperlink>
          </w:p>
        </w:tc>
        <w:tc>
          <w:tcPr>
            <w:tcW w:w="6000" w:type="dxa"/>
            <w:vAlign w:val="bottom"/>
            <w:gridSpan w:val="10"/>
          </w:tcPr>
          <w:p>
            <w:pPr>
              <w:spacing w:after="0"/>
              <w:rPr>
                <w:sz w:val="15"/>
                <w:szCs w:val="15"/>
                <w:color w:val="auto"/>
              </w:rPr>
            </w:pPr>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-1706245</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3" w:name="page4"/>
    <w:bookmarkEnd w:id="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STATEMENTS OF ASSETS AND LIABILITIES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590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w w:val="95"/>
              </w:rPr>
              <w:t>Investments in controlled securities (cost of $22,832,672 and $21,830,392,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67"/>
        </w:trPr>
        <w:tc>
          <w:tcPr>
            <w:tcW w:w="5900" w:type="dxa"/>
            <w:vAlign w:val="bottom"/>
            <w:shd w:val="clear" w:color="auto" w:fill="CCEEFF"/>
          </w:tcPr>
          <w:p>
            <w:pPr>
              <w:ind w:left="380"/>
              <w:spacing w:after="0" w:line="266" w:lineRule="exact"/>
              <w:rPr>
                <w:sz w:val="20"/>
                <w:szCs w:val="20"/>
                <w:color w:val="auto"/>
              </w:rPr>
            </w:pPr>
            <w:r>
              <w:rPr>
                <w:rFonts w:ascii="Arial" w:cs="Arial" w:eastAsia="Arial" w:hAnsi="Arial"/>
                <w:sz w:val="18"/>
                <w:szCs w:val="18"/>
                <w:color w:val="auto"/>
              </w:rPr>
              <w:t>respectively)</w:t>
            </w:r>
            <w:r>
              <w:rPr>
                <w:rFonts w:ascii="Arial" w:cs="Arial" w:eastAsia="Arial" w:hAnsi="Arial"/>
                <w:sz w:val="30"/>
                <w:szCs w:val="30"/>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22,050,846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22,871,790</w:t>
            </w:r>
          </w:p>
        </w:tc>
      </w:tr>
      <w:tr>
        <w:trPr>
          <w:trHeight w:val="205"/>
        </w:trPr>
        <w:tc>
          <w:tcPr>
            <w:tcW w:w="5900" w:type="dxa"/>
            <w:vAlign w:val="bottom"/>
          </w:tcPr>
          <w:p>
            <w:pPr>
              <w:ind w:left="200"/>
              <w:spacing w:after="0" w:line="206" w:lineRule="exact"/>
              <w:rPr>
                <w:sz w:val="20"/>
                <w:szCs w:val="20"/>
                <w:color w:val="auto"/>
              </w:rPr>
            </w:pPr>
            <w:r>
              <w:rPr>
                <w:rFonts w:ascii="Arial" w:cs="Arial" w:eastAsia="Arial" w:hAnsi="Arial"/>
                <w:sz w:val="18"/>
                <w:szCs w:val="18"/>
                <w:color w:val="auto"/>
                <w:w w:val="97"/>
              </w:rPr>
              <w:t>Investments in affiliated securities (cost of $73,984,911 and $73,942,123,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7"/>
        </w:trPr>
        <w:tc>
          <w:tcPr>
            <w:tcW w:w="5900" w:type="dxa"/>
            <w:vAlign w:val="bottom"/>
          </w:tcPr>
          <w:p>
            <w:pPr>
              <w:ind w:left="380"/>
              <w:spacing w:after="0" w:line="266" w:lineRule="exact"/>
              <w:rPr>
                <w:sz w:val="20"/>
                <w:szCs w:val="20"/>
                <w:color w:val="auto"/>
              </w:rPr>
            </w:pPr>
            <w:r>
              <w:rPr>
                <w:rFonts w:ascii="Arial" w:cs="Arial" w:eastAsia="Arial" w:hAnsi="Arial"/>
                <w:sz w:val="18"/>
                <w:szCs w:val="18"/>
                <w:color w:val="auto"/>
              </w:rPr>
              <w:t>respectively)</w:t>
            </w:r>
            <w:r>
              <w:rPr>
                <w:rFonts w:ascii="Arial" w:cs="Arial" w:eastAsia="Arial" w:hAnsi="Arial"/>
                <w:sz w:val="30"/>
                <w:szCs w:val="30"/>
                <w:color w:val="auto"/>
                <w:vertAlign w:val="superscript"/>
              </w:rPr>
              <w:t>(1)</w:t>
            </w:r>
          </w:p>
        </w:tc>
        <w:tc>
          <w:tcPr>
            <w:tcW w:w="10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64,121,729</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66,075,585</w:t>
            </w:r>
          </w:p>
        </w:tc>
      </w:tr>
      <w:tr>
        <w:trPr>
          <w:trHeight w:val="202"/>
        </w:trPr>
        <w:tc>
          <w:tcPr>
            <w:tcW w:w="5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Investments in non-controlled/non-affiliated securities (cost of $181,608,512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$197,577,328, respectively)</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212,097,381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260,861,392</w:t>
            </w:r>
          </w:p>
        </w:tc>
      </w:tr>
      <w:tr>
        <w:trPr>
          <w:trHeight w:val="202"/>
        </w:trPr>
        <w:tc>
          <w:tcPr>
            <w:tcW w:w="5900" w:type="dxa"/>
            <w:vAlign w:val="bottom"/>
          </w:tcPr>
          <w:p>
            <w:pPr>
              <w:ind w:left="200"/>
              <w:spacing w:after="0" w:line="201" w:lineRule="exact"/>
              <w:rPr>
                <w:sz w:val="20"/>
                <w:szCs w:val="20"/>
                <w:color w:val="auto"/>
              </w:rPr>
            </w:pPr>
            <w:r>
              <w:rPr>
                <w:rFonts w:ascii="Arial" w:cs="Arial" w:eastAsia="Arial" w:hAnsi="Arial"/>
                <w:sz w:val="18"/>
                <w:szCs w:val="18"/>
                <w:color w:val="auto"/>
              </w:rPr>
              <w:t>Investments in treasury bill (cost of $29,999,935 and $29,999,968,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90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29,999,935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30,000,000</w:t>
            </w:r>
          </w:p>
        </w:tc>
      </w:tr>
      <w:tr>
        <w:trPr>
          <w:trHeight w:val="205"/>
        </w:trPr>
        <w:tc>
          <w:tcPr>
            <w:tcW w:w="590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Investments owned and pledged (amortized cost of $0 and $3,675,192,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67"/>
        </w:trPr>
        <w:tc>
          <w:tcPr>
            <w:tcW w:w="5900" w:type="dxa"/>
            <w:vAlign w:val="bottom"/>
            <w:shd w:val="clear" w:color="auto" w:fill="CCEEFF"/>
          </w:tcPr>
          <w:p>
            <w:pPr>
              <w:ind w:left="380"/>
              <w:spacing w:after="0" w:line="266" w:lineRule="exact"/>
              <w:rPr>
                <w:sz w:val="20"/>
                <w:szCs w:val="20"/>
                <w:color w:val="auto"/>
              </w:rPr>
            </w:pPr>
            <w:r>
              <w:rPr>
                <w:rFonts w:ascii="Arial" w:cs="Arial" w:eastAsia="Arial" w:hAnsi="Arial"/>
                <w:sz w:val="18"/>
                <w:szCs w:val="18"/>
                <w:color w:val="auto"/>
              </w:rPr>
              <w:t>respectively)</w:t>
            </w:r>
            <w:r>
              <w:rPr>
                <w:rFonts w:ascii="Arial" w:cs="Arial" w:eastAsia="Arial" w:hAnsi="Arial"/>
                <w:sz w:val="30"/>
                <w:szCs w:val="30"/>
                <w:color w:val="auto"/>
                <w:vertAlign w:val="superscript"/>
              </w:rPr>
              <w:t>(2)</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3,676,693</w:t>
            </w:r>
          </w:p>
        </w:tc>
      </w:tr>
      <w:tr>
        <w:trPr>
          <w:trHeight w:val="195"/>
        </w:trPr>
        <w:tc>
          <w:tcPr>
            <w:tcW w:w="590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rPr>
              <w:t>Total Investments (cost of $308,426,030 and $327,025,003,</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230"/>
        </w:trPr>
        <w:tc>
          <w:tcPr>
            <w:tcW w:w="590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328,269,891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383,485,460</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11,445,113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13,349,877</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115,431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52,931</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7"/>
        </w:trPr>
        <w:tc>
          <w:tcPr>
            <w:tcW w:w="5900" w:type="dxa"/>
            <w:vAlign w:val="bottom"/>
          </w:tcPr>
          <w:p>
            <w:pPr>
              <w:ind w:left="200"/>
              <w:spacing w:after="0" w:line="256" w:lineRule="exact"/>
              <w:rPr>
                <w:sz w:val="20"/>
                <w:szCs w:val="20"/>
                <w:color w:val="auto"/>
              </w:rPr>
            </w:pPr>
            <w:r>
              <w:rPr>
                <w:rFonts w:ascii="Arial" w:cs="Arial" w:eastAsia="Arial" w:hAnsi="Arial"/>
                <w:sz w:val="18"/>
                <w:szCs w:val="18"/>
                <w:color w:val="auto"/>
              </w:rPr>
              <w:t>GSV Asset Management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77,021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220,770</w:t>
            </w:r>
          </w:p>
        </w:tc>
      </w:tr>
      <w:tr>
        <w:trPr>
          <w:trHeight w:val="257"/>
        </w:trPr>
        <w:tc>
          <w:tcPr>
            <w:tcW w:w="59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Portfolio companies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56,371</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Interest and dividends receivable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222,361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97,183</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227,826</w:t>
            </w:r>
          </w:p>
        </w:tc>
      </w:tr>
      <w:tr>
        <w:trPr>
          <w:trHeight w:val="257"/>
        </w:trPr>
        <w:tc>
          <w:tcPr>
            <w:tcW w:w="5900" w:type="dxa"/>
            <w:vAlign w:val="bottom"/>
          </w:tcPr>
          <w:p>
            <w:pPr>
              <w:ind w:left="20"/>
              <w:spacing w:after="0" w:line="256" w:lineRule="exact"/>
              <w:rPr>
                <w:sz w:val="20"/>
                <w:szCs w:val="20"/>
                <w:color w:val="auto"/>
              </w:rPr>
            </w:pPr>
            <w:r>
              <w:rPr>
                <w:rFonts w:ascii="Arial" w:cs="Arial" w:eastAsia="Arial" w:hAnsi="Arial"/>
                <w:sz w:val="18"/>
                <w:szCs w:val="18"/>
                <w:color w:val="auto"/>
              </w:rPr>
              <w:t>Deferred financing costs</w:t>
            </w:r>
            <w:r>
              <w:rPr>
                <w:rFonts w:ascii="Arial" w:cs="Arial" w:eastAsia="Arial" w:hAnsi="Arial"/>
                <w:sz w:val="29"/>
                <w:szCs w:val="29"/>
                <w:color w:val="auto"/>
                <w:vertAlign w:val="superscript"/>
              </w:rPr>
              <w:t>(3)</w:t>
            </w: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356,268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352,653</w:t>
            </w:r>
          </w:p>
        </w:tc>
        <w:tc>
          <w:tcPr>
            <w:tcW w:w="60" w:type="dxa"/>
            <w:vAlign w:val="bottom"/>
          </w:tcPr>
          <w:p>
            <w:pPr>
              <w:spacing w:after="0"/>
              <w:rPr>
                <w:sz w:val="22"/>
                <w:szCs w:val="22"/>
                <w:color w:val="auto"/>
              </w:rPr>
            </w:pPr>
          </w:p>
        </w:tc>
      </w:tr>
      <w:tr>
        <w:trPr>
          <w:trHeight w:val="210"/>
        </w:trPr>
        <w:tc>
          <w:tcPr>
            <w:tcW w:w="59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340,802,002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397,843,071</w:t>
            </w:r>
          </w:p>
        </w:tc>
      </w:tr>
      <w:tr>
        <w:trPr>
          <w:trHeight w:val="210"/>
        </w:trPr>
        <w:tc>
          <w:tcPr>
            <w:tcW w:w="59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7"/>
        </w:trPr>
        <w:tc>
          <w:tcPr>
            <w:tcW w:w="5900" w:type="dxa"/>
            <w:vAlign w:val="bottom"/>
          </w:tcPr>
          <w:p>
            <w:pPr>
              <w:ind w:left="200"/>
              <w:spacing w:after="0" w:line="256" w:lineRule="exact"/>
              <w:rPr>
                <w:sz w:val="20"/>
                <w:szCs w:val="20"/>
                <w:color w:val="auto"/>
              </w:rPr>
            </w:pPr>
            <w:r>
              <w:rPr>
                <w:rFonts w:ascii="Arial" w:cs="Arial" w:eastAsia="Arial" w:hAnsi="Arial"/>
                <w:sz w:val="18"/>
                <w:szCs w:val="18"/>
                <w:color w:val="auto"/>
              </w:rPr>
              <w:t>GSV Asset Management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895,932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5,047,429</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105,587</w:t>
            </w:r>
          </w:p>
        </w:tc>
      </w:tr>
      <w:tr>
        <w:trPr>
          <w:trHeight w:val="257"/>
        </w:trPr>
        <w:tc>
          <w:tcPr>
            <w:tcW w:w="5900" w:type="dxa"/>
            <w:vAlign w:val="bottom"/>
          </w:tcPr>
          <w:p>
            <w:pPr>
              <w:ind w:left="20"/>
              <w:spacing w:after="0" w:line="256" w:lineRule="exact"/>
              <w:rPr>
                <w:sz w:val="20"/>
                <w:szCs w:val="20"/>
                <w:color w:val="auto"/>
              </w:rPr>
            </w:pPr>
            <w:r>
              <w:rPr>
                <w:rFonts w:ascii="Arial" w:cs="Arial" w:eastAsia="Arial" w:hAnsi="Arial"/>
                <w:sz w:val="18"/>
                <w:szCs w:val="18"/>
                <w:color w:val="auto"/>
              </w:rPr>
              <w:t>Accrued incentive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9,509,476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17,314,565</w:t>
            </w:r>
          </w:p>
        </w:tc>
      </w:tr>
      <w:tr>
        <w:trPr>
          <w:trHeight w:val="257"/>
        </w:trPr>
        <w:tc>
          <w:tcPr>
            <w:tcW w:w="59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Accrued management fees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541,988</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683,423</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150,938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1,056,563</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26,499,909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26,499,357</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11,924,845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12,476,155</w:t>
            </w:r>
          </w:p>
        </w:tc>
      </w:tr>
      <w:tr>
        <w:trPr>
          <w:trHeight w:val="257"/>
        </w:trPr>
        <w:tc>
          <w:tcPr>
            <w:tcW w:w="5900" w:type="dxa"/>
            <w:vAlign w:val="bottom"/>
            <w:tcBorders>
              <w:bottom w:val="single" w:sz="8" w:color="CCEEFF"/>
            </w:tcBorders>
            <w:shd w:val="clear" w:color="auto" w:fill="CCEEFF"/>
          </w:tcPr>
          <w:p>
            <w:pPr>
              <w:ind w:left="20"/>
              <w:spacing w:after="0" w:line="256" w:lineRule="exact"/>
              <w:rPr>
                <w:sz w:val="20"/>
                <w:szCs w:val="20"/>
                <w:color w:val="auto"/>
              </w:rPr>
            </w:pPr>
            <w:r>
              <w:rPr>
                <w:rFonts w:ascii="Arial" w:cs="Arial" w:eastAsia="Arial" w:hAnsi="Arial"/>
                <w:sz w:val="18"/>
                <w:szCs w:val="18"/>
                <w:color w:val="auto"/>
              </w:rPr>
              <w:t>Convertible Senior Notes payable 5.25% due September 15, 2018</w:t>
            </w:r>
            <w:r>
              <w:rPr>
                <w:rFonts w:ascii="Arial" w:cs="Arial" w:eastAsia="Arial" w:hAnsi="Arial"/>
                <w:sz w:val="29"/>
                <w:szCs w:val="29"/>
                <w:color w:val="auto"/>
                <w:vertAlign w:val="superscript"/>
              </w:rPr>
              <w:t>(2)(3)</w:t>
            </w: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67,294,938</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66,649,047</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10"/>
        </w:trPr>
        <w:tc>
          <w:tcPr>
            <w:tcW w:w="5900" w:type="dxa"/>
            <w:vAlign w:val="bottom"/>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117,182,265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129,832,126</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(Notes 6 and 9)</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223,619,737</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268,010,945</w:t>
            </w:r>
          </w:p>
        </w:tc>
      </w:tr>
      <w:tr>
        <w:trPr>
          <w:trHeight w:val="21"/>
        </w:trPr>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-3549650</wp:posOffset>
            </wp:positionV>
            <wp:extent cx="5213985"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-1946275</wp:posOffset>
            </wp:positionV>
            <wp:extent cx="52139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-462280</wp:posOffset>
            </wp:positionV>
            <wp:extent cx="521398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ASSETS AND LIABILITIES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96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r>
      <w:tr>
        <w:trPr>
          <w:trHeight w:val="210"/>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8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Common stock, par value $0.01 per share (100,000,000 authorized;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ind w:left="180"/>
              <w:spacing w:after="0"/>
              <w:rPr>
                <w:sz w:val="20"/>
                <w:szCs w:val="20"/>
                <w:color w:val="auto"/>
              </w:rPr>
            </w:pPr>
            <w:r>
              <w:rPr>
                <w:rFonts w:ascii="Arial" w:cs="Arial" w:eastAsia="Arial" w:hAnsi="Arial"/>
                <w:sz w:val="18"/>
                <w:szCs w:val="18"/>
                <w:color w:val="auto"/>
              </w:rPr>
              <w:t>22,181,003 issued and outstanding,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221,810</w:t>
            </w:r>
          </w:p>
        </w:tc>
        <w:tc>
          <w:tcPr>
            <w:tcW w:w="12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221,810</w:t>
            </w: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Paid-in capital in excess of par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237,757,527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237,757,527</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Accumulated net investment loss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(21,760,725)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(16,634,037)</w:t>
            </w: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net realized gains (losses) on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(517,892)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2,681,342</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Accumulated net unrealized appreciation of investments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7,919,017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43,984,303</w:t>
            </w:r>
          </w:p>
        </w:tc>
        <w:tc>
          <w:tcPr>
            <w:tcW w:w="1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20"/>
                <w:szCs w:val="20"/>
                <w:color w:val="auto"/>
              </w:rPr>
            </w:pPr>
          </w:p>
        </w:tc>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223,619,737</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268,010,945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-385445</wp:posOffset>
            </wp:positionV>
            <wp:extent cx="521398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balance is a related-party transaction. Refer to “Note 2 — Related-Party Arrangements” for more detail.</w:t>
      </w:r>
    </w:p>
    <w:p>
      <w:pPr>
        <w:spacing w:after="0" w:line="117" w:lineRule="exact"/>
        <w:rPr>
          <w:rFonts w:ascii="Arial" w:cs="Arial" w:eastAsia="Arial" w:hAnsi="Arial"/>
          <w:sz w:val="18"/>
          <w:szCs w:val="18"/>
          <w:color w:val="auto"/>
        </w:rPr>
      </w:pPr>
    </w:p>
    <w:p>
      <w:pPr>
        <w:ind w:left="300" w:right="579" w:hanging="272"/>
        <w:spacing w:after="0" w:line="297" w:lineRule="auto"/>
        <w:tabs>
          <w:tab w:leader="none" w:pos="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Convertible Senior Notes have a face value of $69,000,000. Refer to “Note 9 — Long-Term Liabilities” for a reconciliation of the carrying value to the face value. In accordance with the terms of the Company’s Convertible Senior Notes payable, the Company deposited $10,867,500 in an escrow account with U.S. Bank N.A., the trustee. These funds were used to purchase six U.S. Treasury Strips with an original cost of $10,845,236. As of September 30, 2016, all of the government securities purchased had matured and the proceeds were used by the trustee in accordance with the terms of the escrow agreement.</w:t>
      </w:r>
    </w:p>
    <w:p>
      <w:pPr>
        <w:spacing w:after="0" w:line="50" w:lineRule="exact"/>
        <w:rPr>
          <w:rFonts w:ascii="Arial" w:cs="Arial" w:eastAsia="Arial" w:hAnsi="Arial"/>
          <w:sz w:val="16"/>
          <w:szCs w:val="16"/>
          <w:color w:val="auto"/>
        </w:rPr>
      </w:pPr>
    </w:p>
    <w:p>
      <w:pPr>
        <w:ind w:left="300" w:right="619" w:hanging="272"/>
        <w:spacing w:after="0" w:line="255"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Deferred debt issuance costs of $1,947,572 related to the Company’s issuance of the Convertible Senior Notes payable were previously classified as “Deferred financing costs” as of December 31, 2015. In accordance with FASB ASU 2015-03, this balance has been retrospectively reclassified as a direct deduction from the Convertible Senior Notes on the Condensed Consolidated Statements of Assets and Liabilities at September 30, 2016. Refer to “Note 1 — Nature of Operations and Significant Accounting Policies — Recently Adopted Accounting Standards,” as well as “Note 9 — Long-Term Liabilities” for further detail.</w:t>
      </w:r>
    </w:p>
    <w:p>
      <w:pPr>
        <w:spacing w:after="0" w:line="200" w:lineRule="exact"/>
        <w:rPr>
          <w:sz w:val="20"/>
          <w:szCs w:val="20"/>
          <w:color w:val="auto"/>
        </w:rPr>
      </w:pPr>
    </w:p>
    <w:p>
      <w:pPr>
        <w:spacing w:after="0" w:line="317"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39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INVESTMENT INCOME</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9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920" w:type="dxa"/>
            <w:vAlign w:val="bottom"/>
            <w:gridSpan w:val="2"/>
            <w:shd w:val="clear" w:color="auto" w:fill="CCEEFF"/>
          </w:tcPr>
          <w:p>
            <w:pPr>
              <w:ind w:left="180"/>
              <w:spacing w:after="0" w:line="246" w:lineRule="exact"/>
              <w:rPr>
                <w:sz w:val="20"/>
                <w:szCs w:val="20"/>
                <w:color w:val="auto"/>
              </w:rPr>
            </w:pPr>
            <w:r>
              <w:rPr>
                <w:rFonts w:ascii="Arial" w:cs="Arial" w:eastAsia="Arial" w:hAnsi="Arial"/>
                <w:sz w:val="16"/>
                <w:szCs w:val="16"/>
                <w:color w:val="auto"/>
              </w:rPr>
              <w:t>Interest income from controlled securities</w:t>
            </w:r>
            <w:r>
              <w:rPr>
                <w:rFonts w:ascii="Arial" w:cs="Arial" w:eastAsia="Arial" w:hAnsi="Arial"/>
                <w:sz w:val="27"/>
                <w:szCs w:val="27"/>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00" w:type="dxa"/>
            <w:vAlign w:val="bottom"/>
            <w:tcBorders>
              <w:left w:val="single" w:sz="8" w:color="CCEEFF"/>
            </w:tcBorders>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43,417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color w:val="auto"/>
              </w:rPr>
              <w:t>Interest income/(reversal of interest accrual) from</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920" w:type="dxa"/>
            <w:vAlign w:val="bottom"/>
            <w:gridSpan w:val="2"/>
          </w:tcPr>
          <w:p>
            <w:pPr>
              <w:ind w:left="360"/>
              <w:spacing w:after="0" w:line="254" w:lineRule="exact"/>
              <w:rPr>
                <w:sz w:val="20"/>
                <w:szCs w:val="20"/>
                <w:color w:val="auto"/>
              </w:rPr>
            </w:pPr>
            <w:r>
              <w:rPr>
                <w:rFonts w:ascii="Arial" w:cs="Arial" w:eastAsia="Arial" w:hAnsi="Arial"/>
                <w:sz w:val="16"/>
                <w:szCs w:val="16"/>
                <w:color w:val="auto"/>
              </w:rPr>
              <w:t>affiliated securities</w:t>
            </w:r>
            <w:r>
              <w:rPr>
                <w:rFonts w:ascii="Arial" w:cs="Arial" w:eastAsia="Arial" w:hAnsi="Arial"/>
                <w:sz w:val="27"/>
                <w:szCs w:val="27"/>
                <w:color w:val="auto"/>
                <w:vertAlign w:val="superscript"/>
              </w:rPr>
              <w:t>(1)</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61,145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31,992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79,858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152,388</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 from non-controlled/non-affiliated</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securities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11,906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23,109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color w:val="auto"/>
              </w:rPr>
              <w:t>Dividend income from non-controlled/non-affiliated</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gridSpan w:val="2"/>
          </w:tcPr>
          <w:p>
            <w:pPr>
              <w:ind w:left="360"/>
              <w:spacing w:after="0"/>
              <w:rPr>
                <w:sz w:val="20"/>
                <w:szCs w:val="20"/>
                <w:color w:val="auto"/>
              </w:rPr>
            </w:pPr>
            <w:r>
              <w:rPr>
                <w:rFonts w:ascii="Arial" w:cs="Arial" w:eastAsia="Arial" w:hAnsi="Arial"/>
                <w:sz w:val="16"/>
                <w:szCs w:val="16"/>
                <w:color w:val="auto"/>
              </w:rPr>
              <w:t>securities</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46,781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 Income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86,648</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39,363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135,181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222,278</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OPERATING EXPENSES</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920" w:type="dxa"/>
            <w:vAlign w:val="bottom"/>
            <w:gridSpan w:val="2"/>
            <w:shd w:val="clear" w:color="auto" w:fill="CCEEFF"/>
          </w:tcPr>
          <w:p>
            <w:pPr>
              <w:ind w:left="180"/>
              <w:spacing w:after="0" w:line="242" w:lineRule="exact"/>
              <w:rPr>
                <w:sz w:val="20"/>
                <w:szCs w:val="20"/>
                <w:color w:val="auto"/>
              </w:rPr>
            </w:pPr>
            <w:r>
              <w:rPr>
                <w:rFonts w:ascii="Arial" w:cs="Arial" w:eastAsia="Arial" w:hAnsi="Arial"/>
                <w:sz w:val="16"/>
                <w:szCs w:val="16"/>
                <w:color w:val="auto"/>
              </w:rPr>
              <w:t>Management fees</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1,625,963</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2,063,017</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5,324,186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5,994,530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color w:val="auto"/>
              </w:rPr>
              <w:t>Incentive fees/(Reversal of incentive fee</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920" w:type="dxa"/>
            <w:vAlign w:val="bottom"/>
            <w:gridSpan w:val="2"/>
          </w:tcPr>
          <w:p>
            <w:pPr>
              <w:ind w:left="360"/>
              <w:spacing w:after="0" w:line="254" w:lineRule="exact"/>
              <w:rPr>
                <w:sz w:val="20"/>
                <w:szCs w:val="20"/>
                <w:color w:val="auto"/>
              </w:rPr>
            </w:pPr>
            <w:r>
              <w:rPr>
                <w:rFonts w:ascii="Arial" w:cs="Arial" w:eastAsia="Arial" w:hAnsi="Arial"/>
                <w:sz w:val="16"/>
                <w:szCs w:val="16"/>
                <w:color w:val="auto"/>
              </w:rPr>
              <w:t>accrual)</w:t>
            </w:r>
            <w:r>
              <w:rPr>
                <w:rFonts w:ascii="Arial" w:cs="Arial" w:eastAsia="Arial" w:hAnsi="Arial"/>
                <w:sz w:val="27"/>
                <w:szCs w:val="27"/>
                <w:color w:val="auto"/>
                <w:vertAlign w:val="superscript"/>
              </w:rPr>
              <w:t>(1)</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220,719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1,062,535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(7,805,089)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10,839,602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920" w:type="dxa"/>
            <w:vAlign w:val="bottom"/>
            <w:gridSpan w:val="2"/>
            <w:shd w:val="clear" w:color="auto" w:fill="CCEEFF"/>
          </w:tcPr>
          <w:p>
            <w:pPr>
              <w:ind w:left="180"/>
              <w:spacing w:after="0" w:line="242" w:lineRule="exact"/>
              <w:rPr>
                <w:sz w:val="20"/>
                <w:szCs w:val="20"/>
                <w:color w:val="auto"/>
              </w:rPr>
            </w:pPr>
            <w:r>
              <w:rPr>
                <w:rFonts w:ascii="Arial" w:cs="Arial" w:eastAsia="Arial" w:hAnsi="Arial"/>
                <w:sz w:val="16"/>
                <w:szCs w:val="16"/>
                <w:color w:val="auto"/>
              </w:rPr>
              <w:t>Costs incurred under administration agreement</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627,444</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598,456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1,926,085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2,185,888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color w:val="auto"/>
              </w:rPr>
              <w:t>Directors’ fees</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86,250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94,620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258,750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287,426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Professional fees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416,353</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265,429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1,441,856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1,001,401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1,189,736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1,183,833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3,557,225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3,781,419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852,970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852,970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color w:val="auto"/>
              </w:rPr>
              <w:t>Other expenses</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141,838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118,417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558,856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382,895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6"/>
              </w:rPr>
              <w:t>Gain on fair value adjustment for embedded derivative</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4,308,303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6,239,277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5,261,869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25,325,131</w:t>
            </w:r>
          </w:p>
        </w:tc>
        <w:tc>
          <w:tcPr>
            <w:tcW w:w="0" w:type="dxa"/>
            <w:vAlign w:val="bottom"/>
          </w:tcPr>
          <w:p>
            <w:pPr>
              <w:spacing w:after="0"/>
              <w:rPr>
                <w:sz w:val="1"/>
                <w:szCs w:val="1"/>
                <w:color w:val="auto"/>
              </w:rPr>
            </w:pPr>
          </w:p>
        </w:tc>
      </w:tr>
      <w:tr>
        <w:trPr>
          <w:trHeight w:val="243"/>
        </w:trPr>
        <w:tc>
          <w:tcPr>
            <w:tcW w:w="394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b w:val="1"/>
                <w:bCs w:val="1"/>
                <w:color w:val="auto"/>
              </w:rPr>
              <w:t>Provision for taxes on net investment loss</w:t>
            </w:r>
            <w:r>
              <w:rPr>
                <w:rFonts w:ascii="Arial" w:cs="Arial" w:eastAsia="Arial" w:hAnsi="Arial"/>
                <w:sz w:val="27"/>
                <w:szCs w:val="27"/>
                <w:b w:val="1"/>
                <w:bCs w:val="1"/>
                <w:color w:val="auto"/>
                <w:vertAlign w:val="superscript"/>
              </w:rPr>
              <w:t>(3)</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8"/>
              </w:rPr>
              <w:t>(26,583,935)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(18,865,865)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Investment Loss</w:t>
            </w: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(4,221,655)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88"/>
              </w:rPr>
              <w:t>(32,783,849)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(5,126,688)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(43,968,718)</w:t>
            </w:r>
          </w:p>
        </w:tc>
        <w:tc>
          <w:tcPr>
            <w:tcW w:w="0" w:type="dxa"/>
            <w:vAlign w:val="bottom"/>
          </w:tcPr>
          <w:p>
            <w:pPr>
              <w:spacing w:after="0"/>
              <w:rPr>
                <w:sz w:val="1"/>
                <w:szCs w:val="1"/>
                <w:color w:val="auto"/>
              </w:rPr>
            </w:pPr>
          </w:p>
        </w:tc>
      </w:tr>
      <w:tr>
        <w:trPr>
          <w:trHeight w:val="196"/>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Realized Gains/(Losses):</w:t>
            </w: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color w:val="auto"/>
              </w:rPr>
              <w:t>From affiliated securities</w:t>
            </w: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88"/>
              </w:rPr>
              <w:t>(10,170,567)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(10,161,030)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From non-controlled/non-affiliated securities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2,658,715</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37,460,383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(2,311,994)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64,305,863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Realized Gains/(Losses) on investments</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2,658,715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27,289,816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(2,311,994)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54,144,833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gridSpan w:val="3"/>
            <w:shd w:val="clear" w:color="auto" w:fill="CCEEFF"/>
          </w:tcPr>
          <w:p>
            <w:pPr>
              <w:ind w:left="20"/>
              <w:spacing w:after="0" w:line="236" w:lineRule="exact"/>
              <w:rPr>
                <w:sz w:val="20"/>
                <w:szCs w:val="20"/>
                <w:color w:val="auto"/>
              </w:rPr>
            </w:pPr>
            <w:r>
              <w:rPr>
                <w:rFonts w:ascii="Arial" w:cs="Arial" w:eastAsia="Arial" w:hAnsi="Arial"/>
                <w:sz w:val="16"/>
                <w:szCs w:val="16"/>
                <w:b w:val="1"/>
                <w:bCs w:val="1"/>
                <w:color w:val="auto"/>
                <w:w w:val="93"/>
              </w:rPr>
              <w:t>Benefit from taxes on realized gains on investments</w:t>
            </w:r>
            <w:r>
              <w:rPr>
                <w:rFonts w:ascii="Arial" w:cs="Arial" w:eastAsia="Arial" w:hAnsi="Arial"/>
                <w:sz w:val="27"/>
                <w:szCs w:val="27"/>
                <w:b w:val="1"/>
                <w:bCs w:val="1"/>
                <w:color w:val="auto"/>
                <w:w w:val="93"/>
                <w:vertAlign w:val="superscript"/>
              </w:rPr>
              <w:t>(3)</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11,307,706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342,802</w:t>
            </w:r>
          </w:p>
        </w:tc>
        <w:tc>
          <w:tcPr>
            <w:tcW w:w="0" w:type="dxa"/>
            <w:vAlign w:val="bottom"/>
          </w:tcPr>
          <w:p>
            <w:pPr>
              <w:spacing w:after="0"/>
              <w:rPr>
                <w:sz w:val="1"/>
                <w:szCs w:val="1"/>
                <w:color w:val="auto"/>
              </w:rPr>
            </w:pPr>
          </w:p>
        </w:tc>
      </w:tr>
      <w:tr>
        <w:trPr>
          <w:trHeight w:val="182"/>
        </w:trPr>
        <w:tc>
          <w:tcPr>
            <w:tcW w:w="3940" w:type="dxa"/>
            <w:vAlign w:val="bottom"/>
            <w:tcBorders>
              <w:top w:val="single" w:sz="8" w:color="CCEEFF"/>
            </w:tcBorders>
            <w:gridSpan w:val="3"/>
          </w:tcPr>
          <w:p>
            <w:pPr>
              <w:ind w:left="20"/>
              <w:spacing w:after="0" w:line="182" w:lineRule="exact"/>
              <w:rPr>
                <w:sz w:val="20"/>
                <w:szCs w:val="20"/>
                <w:color w:val="auto"/>
              </w:rPr>
            </w:pPr>
            <w:r>
              <w:rPr>
                <w:rFonts w:ascii="Arial" w:cs="Arial" w:eastAsia="Arial" w:hAnsi="Arial"/>
                <w:sz w:val="16"/>
                <w:szCs w:val="16"/>
                <w:b w:val="1"/>
                <w:bCs w:val="1"/>
                <w:color w:val="auto"/>
              </w:rPr>
              <w:t>Net Change in Unrealized Appreciation/</w:t>
            </w: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(Depreciation) of Investments: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From controlled securities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(1,616,568)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719,143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(1,823,224)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685,571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color w:val="auto"/>
              </w:rPr>
              <w:t>From affiliated securities</w:t>
            </w: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(584,077)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5,124,897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(6,951,895)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4,467,809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From non-controlled/non-affiliated securities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938,936</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8"/>
              </w:rPr>
              <w:t>(27,825,708)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0"/>
              </w:rPr>
              <w:t>(27,841,477)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(5,095,366)</w:t>
            </w:r>
          </w:p>
        </w:tc>
        <w:tc>
          <w:tcPr>
            <w:tcW w:w="0" w:type="dxa"/>
            <w:vAlign w:val="bottom"/>
          </w:tcPr>
          <w:p>
            <w:pPr>
              <w:spacing w:after="0"/>
              <w:rPr>
                <w:sz w:val="1"/>
                <w:szCs w:val="1"/>
                <w:color w:val="auto"/>
              </w:rPr>
            </w:pPr>
          </w:p>
        </w:tc>
      </w:tr>
      <w:tr>
        <w:trPr>
          <w:trHeight w:val="182"/>
        </w:trPr>
        <w:tc>
          <w:tcPr>
            <w:tcW w:w="3940" w:type="dxa"/>
            <w:vAlign w:val="bottom"/>
            <w:tcBorders>
              <w:top w:val="single" w:sz="8" w:color="CCEEFF"/>
            </w:tcBorders>
            <w:gridSpan w:val="3"/>
          </w:tcPr>
          <w:p>
            <w:pPr>
              <w:ind w:left="20"/>
              <w:spacing w:after="0" w:line="182" w:lineRule="exact"/>
              <w:rPr>
                <w:sz w:val="20"/>
                <w:szCs w:val="20"/>
                <w:color w:val="auto"/>
              </w:rPr>
            </w:pPr>
            <w:r>
              <w:rPr>
                <w:rFonts w:ascii="Arial" w:cs="Arial" w:eastAsia="Arial" w:hAnsi="Arial"/>
                <w:sz w:val="16"/>
                <w:szCs w:val="16"/>
                <w:b w:val="1"/>
                <w:bCs w:val="1"/>
                <w:color w:val="auto"/>
              </w:rPr>
              <w:t>Total Change in Unrealized Appreciation/</w:t>
            </w: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(Depreciation) of investments</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(1,261,709)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88"/>
              </w:rPr>
              <w:t>(21,981,668)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(36,616,596)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58,014</w:t>
            </w:r>
          </w:p>
        </w:tc>
        <w:tc>
          <w:tcPr>
            <w:tcW w:w="0" w:type="dxa"/>
            <w:vAlign w:val="bottom"/>
          </w:tcPr>
          <w:p>
            <w:pPr>
              <w:spacing w:after="0"/>
              <w:rPr>
                <w:sz w:val="1"/>
                <w:szCs w:val="1"/>
                <w:color w:val="auto"/>
              </w:rPr>
            </w:pPr>
          </w:p>
        </w:tc>
      </w:tr>
      <w:tr>
        <w:trPr>
          <w:trHeight w:val="186"/>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Benefit from taxes on unrealized</w:t>
            </w: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3920" w:type="dxa"/>
            <w:vAlign w:val="bottom"/>
            <w:gridSpan w:val="2"/>
            <w:shd w:val="clear" w:color="auto" w:fill="CCEEFF"/>
          </w:tcPr>
          <w:p>
            <w:pPr>
              <w:ind w:left="180"/>
              <w:spacing w:after="0" w:line="255" w:lineRule="exact"/>
              <w:rPr>
                <w:sz w:val="20"/>
                <w:szCs w:val="20"/>
                <w:color w:val="auto"/>
              </w:rPr>
            </w:pPr>
            <w:r>
              <w:rPr>
                <w:rFonts w:ascii="Arial" w:cs="Arial" w:eastAsia="Arial" w:hAnsi="Arial"/>
                <w:sz w:val="16"/>
                <w:szCs w:val="16"/>
                <w:b w:val="1"/>
                <w:bCs w:val="1"/>
                <w:color w:val="auto"/>
              </w:rPr>
              <w:t>appreciation/depreciation of investments</w:t>
            </w:r>
            <w:r>
              <w:rPr>
                <w:rFonts w:ascii="Arial" w:cs="Arial" w:eastAsia="Arial" w:hAnsi="Arial"/>
                <w:sz w:val="27"/>
                <w:szCs w:val="27"/>
                <w:b w:val="1"/>
                <w:bCs w:val="1"/>
                <w:color w:val="auto"/>
                <w:vertAlign w:val="superscript"/>
              </w:rPr>
              <w:t>(3)</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551,310</w:t>
            </w:r>
          </w:p>
        </w:tc>
        <w:tc>
          <w:tcPr>
            <w:tcW w:w="100" w:type="dxa"/>
            <w:vAlign w:val="bottom"/>
            <w:tcBorders>
              <w:lef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25,020,686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551,310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16,021,883</w:t>
            </w:r>
          </w:p>
        </w:tc>
        <w:tc>
          <w:tcPr>
            <w:tcW w:w="0" w:type="dxa"/>
            <w:vAlign w:val="bottom"/>
          </w:tcPr>
          <w:p>
            <w:pPr>
              <w:spacing w:after="0"/>
              <w:rPr>
                <w:sz w:val="1"/>
                <w:szCs w:val="1"/>
                <w:color w:val="auto"/>
              </w:rPr>
            </w:pPr>
          </w:p>
        </w:tc>
      </w:tr>
      <w:tr>
        <w:trPr>
          <w:trHeight w:val="182"/>
        </w:trPr>
        <w:tc>
          <w:tcPr>
            <w:tcW w:w="3940" w:type="dxa"/>
            <w:vAlign w:val="bottom"/>
            <w:tcBorders>
              <w:top w:val="single" w:sz="8" w:color="CCEEFF"/>
            </w:tcBorders>
            <w:gridSpan w:val="3"/>
          </w:tcPr>
          <w:p>
            <w:pPr>
              <w:ind w:left="20"/>
              <w:spacing w:after="0" w:line="182" w:lineRule="exact"/>
              <w:rPr>
                <w:sz w:val="20"/>
                <w:szCs w:val="20"/>
                <w:color w:val="auto"/>
              </w:rPr>
            </w:pPr>
            <w:r>
              <w:rPr>
                <w:rFonts w:ascii="Arial" w:cs="Arial" w:eastAsia="Arial" w:hAnsi="Arial"/>
                <w:sz w:val="16"/>
                <w:szCs w:val="16"/>
                <w:b w:val="1"/>
                <w:bCs w:val="1"/>
                <w:color w:val="auto"/>
                <w:w w:val="96"/>
              </w:rPr>
              <w:t>Net Increase/(Decrease) in Net Assets Resulting from</w:t>
            </w: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gridSpan w:val="2"/>
          </w:tcPr>
          <w:p>
            <w:pPr>
              <w:ind w:left="180"/>
              <w:spacing w:after="0"/>
              <w:rPr>
                <w:sz w:val="20"/>
                <w:szCs w:val="20"/>
                <w:color w:val="auto"/>
              </w:rPr>
            </w:pPr>
            <w:r>
              <w:rPr>
                <w:rFonts w:ascii="Arial" w:cs="Arial" w:eastAsia="Arial" w:hAnsi="Arial"/>
                <w:sz w:val="16"/>
                <w:szCs w:val="16"/>
                <w:b w:val="1"/>
                <w:bCs w:val="1"/>
                <w:color w:val="auto"/>
              </w:rPr>
              <w:t>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(2,273,339)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8,852,691</w:t>
            </w:r>
          </w:p>
        </w:tc>
        <w:tc>
          <w:tcPr>
            <w:tcW w:w="2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(43,503,968)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26,598,814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940" w:type="dxa"/>
            <w:vAlign w:val="bottom"/>
            <w:gridSpan w:val="3"/>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w w:val="96"/>
              </w:rPr>
              <w:t>Net Increase/(Decrease) in Net Assets Resulting from</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Operations per Common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360"/>
              <w:spacing w:after="0"/>
              <w:rPr>
                <w:sz w:val="20"/>
                <w:szCs w:val="20"/>
                <w:color w:val="auto"/>
              </w:rPr>
            </w:pPr>
            <w:r>
              <w:rPr>
                <w:rFonts w:ascii="Arial" w:cs="Arial" w:eastAsia="Arial" w:hAnsi="Arial"/>
                <w:sz w:val="16"/>
                <w:szCs w:val="16"/>
                <w:b w:val="1"/>
                <w:bCs w:val="1"/>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(0.10)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0.45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(1.96)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920" w:type="dxa"/>
            <w:vAlign w:val="bottom"/>
            <w:gridSpan w:val="2"/>
            <w:shd w:val="clear" w:color="auto" w:fill="CCEEFF"/>
          </w:tcPr>
          <w:p>
            <w:pPr>
              <w:ind w:left="360"/>
              <w:spacing w:after="0" w:line="236" w:lineRule="exact"/>
              <w:rPr>
                <w:sz w:val="20"/>
                <w:szCs w:val="20"/>
                <w:color w:val="auto"/>
              </w:rPr>
            </w:pPr>
            <w:r>
              <w:rPr>
                <w:rFonts w:ascii="Arial" w:cs="Arial" w:eastAsia="Arial" w:hAnsi="Arial"/>
                <w:sz w:val="16"/>
                <w:szCs w:val="16"/>
                <w:b w:val="1"/>
                <w:bCs w:val="1"/>
                <w:color w:val="auto"/>
              </w:rPr>
              <w:t>Diluted</w:t>
            </w:r>
            <w:r>
              <w:rPr>
                <w:rFonts w:ascii="Arial" w:cs="Arial" w:eastAsia="Arial" w:hAnsi="Arial"/>
                <w:sz w:val="27"/>
                <w:szCs w:val="27"/>
                <w:b w:val="1"/>
                <w:bCs w:val="1"/>
                <w:color w:val="auto"/>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Basic</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22,181,003</w:t>
            </w:r>
          </w:p>
        </w:tc>
        <w:tc>
          <w:tcPr>
            <w:tcW w:w="10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19,320,100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22,181,003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19,320,100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gridSpan w:val="2"/>
          </w:tcPr>
          <w:p>
            <w:pPr>
              <w:ind w:left="360"/>
              <w:spacing w:after="0" w:line="236" w:lineRule="exact"/>
              <w:rPr>
                <w:sz w:val="20"/>
                <w:szCs w:val="20"/>
                <w:color w:val="auto"/>
              </w:rPr>
            </w:pPr>
            <w:r>
              <w:rPr>
                <w:rFonts w:ascii="Arial" w:cs="Arial" w:eastAsia="Arial" w:hAnsi="Arial"/>
                <w:sz w:val="16"/>
                <w:szCs w:val="16"/>
                <w:b w:val="1"/>
                <w:bCs w:val="1"/>
                <w:color w:val="auto"/>
              </w:rPr>
              <w:t>Diluted</w:t>
            </w:r>
            <w:r>
              <w:rPr>
                <w:rFonts w:ascii="Arial" w:cs="Arial" w:eastAsia="Arial" w:hAnsi="Arial"/>
                <w:sz w:val="27"/>
                <w:szCs w:val="27"/>
                <w:b w:val="1"/>
                <w:bCs w:val="1"/>
                <w:color w:val="auto"/>
                <w:vertAlign w:val="superscript"/>
              </w:rPr>
              <w:t>(2)</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22,181,003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23,564,228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22,181,003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23,564,228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-5401945</wp:posOffset>
            </wp:positionV>
            <wp:extent cx="52139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-3901440</wp:posOffset>
            </wp:positionV>
            <wp:extent cx="52139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-3609975</wp:posOffset>
            </wp:positionV>
            <wp:extent cx="521398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-3077845</wp:posOffset>
            </wp:positionV>
            <wp:extent cx="521398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-2778125</wp:posOffset>
            </wp:positionV>
            <wp:extent cx="5213985" cy="266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266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-2125980</wp:posOffset>
            </wp:positionV>
            <wp:extent cx="5213985"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-1568450</wp:posOffset>
            </wp:positionV>
            <wp:extent cx="5213985"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3003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521398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-402590</wp:posOffset>
            </wp:positionV>
            <wp:extent cx="5213985"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3985" cy="222885"/>
                    </a:xfrm>
                    <a:prstGeom prst="rect">
                      <a:avLst/>
                    </a:prstGeom>
                    <a:noFill/>
                  </pic:spPr>
                </pic:pic>
              </a:graphicData>
            </a:graphic>
          </wp:anchor>
        </w:drawing>
      </w:r>
    </w:p>
    <w:p>
      <w:pPr>
        <w:spacing w:after="0" w:line="236" w:lineRule="exact"/>
        <w:rPr>
          <w:sz w:val="20"/>
          <w:szCs w:val="20"/>
          <w:color w:val="auto"/>
        </w:rPr>
      </w:pPr>
    </w:p>
    <w:p>
      <w:pPr>
        <w:ind w:left="2200" w:right="1959" w:hanging="2172"/>
        <w:spacing w:after="0" w:line="995" w:lineRule="auto"/>
        <w:tabs>
          <w:tab w:leader="none" w:pos="30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This balance is a related-party transaction. Refer to “Note 2 — Related-Party Arrangements” for more detail. </w:t>
      </w:r>
      <w:r>
        <w:rPr>
          <w:rFonts w:ascii="Arial" w:cs="Arial" w:eastAsia="Arial" w:hAnsi="Arial"/>
          <w:sz w:val="16"/>
          <w:szCs w:val="16"/>
          <w:i w:val="1"/>
          <w:iCs w:val="1"/>
          <w:color w:val="auto"/>
        </w:rPr>
        <w:t>See accompanying notes to condensed consolidated financial statements.</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058"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OPERATIONS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80" w:right="539" w:hanging="272"/>
        <w:spacing w:after="0" w:line="279" w:lineRule="auto"/>
        <w:tabs>
          <w:tab w:leader="none" w:pos="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three and nine months ended September 30, 2016, 5,710,212 potentially dilutive common shares were excluded from the weighted-average common shares outstanding for diluted net decrease in net assets resulting from operations per common share because the effect of these shares would have been anti-dilutive. Refer to “Note 5 — Net Increase/(Decrease) in Net Assets Resulting from Operations per Common Share — Basic and Diluted” for further detail.</w:t>
      </w:r>
    </w:p>
    <w:p>
      <w:pPr>
        <w:spacing w:after="0" w:line="63" w:lineRule="exact"/>
        <w:rPr>
          <w:rFonts w:ascii="Arial" w:cs="Arial" w:eastAsia="Arial" w:hAnsi="Arial"/>
          <w:sz w:val="17"/>
          <w:szCs w:val="17"/>
          <w:color w:val="auto"/>
        </w:rPr>
      </w:pPr>
    </w:p>
    <w:p>
      <w:pPr>
        <w:ind w:left="280" w:right="639" w:hanging="272"/>
        <w:spacing w:after="0" w:line="293" w:lineRule="auto"/>
        <w:tabs>
          <w:tab w:leader="none" w:pos="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Due to the Company’s change in tax status to a regulated investment company (“RIC”) from a C Corporation, the associated accrued benefits and provisions from previous periods were reversed, resulting in a provision for net investment loss, a benefit from net realized gains, and a benefit from unrealized appreciation of investments for the three and nine months ended September 30, 2015. Refer to “Note 1 — Nature of Operations and Significant Accounting Policies — Summary of Significant Accounting Policies — U.S. Federal and State Income Taxes,” “Note 8 — Income Taxes” and “Item 2. Management’s Discussion and Analysis of Financial Condition and Results of Operations — Results of Operations” for further detail.</w:t>
      </w:r>
    </w:p>
    <w:p>
      <w:pPr>
        <w:spacing w:after="0" w:line="200" w:lineRule="exact"/>
        <w:rPr>
          <w:sz w:val="20"/>
          <w:szCs w:val="20"/>
          <w:color w:val="auto"/>
        </w:rPr>
      </w:pPr>
    </w:p>
    <w:p>
      <w:pPr>
        <w:spacing w:after="0" w:line="289"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968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Nine months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5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592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5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4"/>
                <w:szCs w:val="14"/>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Increase/(Decrease) in Net Assets Resulting from Operations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Net investment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(5,126,688)</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(43,968,718)</w:t>
            </w: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realized gains/(losses) on investments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(2,311,994)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54,144,833</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Benefit from taxes on realized gains on investments</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342,802</w:t>
            </w: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unrealized appreciation/(depreciation) of investments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(36,616,596)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58,014</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Benefit from taxes on unrealized Appreciation/depreciation of investments</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551,310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16,021,883</w:t>
            </w:r>
          </w:p>
        </w:tc>
      </w:tr>
      <w:tr>
        <w:trPr>
          <w:trHeight w:val="20"/>
        </w:trPr>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Increase/(Decrease) in Net Assets Resulting from Operations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(43,503,968)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26,598,814</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Distributions from realized gains</w:t>
            </w:r>
          </w:p>
        </w:tc>
        <w:tc>
          <w:tcPr>
            <w:tcW w:w="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(887,240)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Increase/(Decrease) in Net Assets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(44,391,208)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26,598,814</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Net assets at beginning of period</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268,010,945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285,903,673</w:t>
            </w:r>
          </w:p>
        </w:tc>
      </w:tr>
      <w:tr>
        <w:trPr>
          <w:trHeight w:val="20"/>
        </w:trPr>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223,619,737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312,502,487</w:t>
            </w:r>
          </w:p>
        </w:tc>
      </w:tr>
      <w:tr>
        <w:trPr>
          <w:trHeight w:val="196"/>
        </w:trPr>
        <w:tc>
          <w:tcPr>
            <w:tcW w:w="59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Capital Share Activity</w:t>
            </w: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Shares outstanding at beginning of period</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22,181,003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19,320,100</w:t>
            </w:r>
          </w:p>
        </w:tc>
      </w:tr>
      <w:tr>
        <w:trPr>
          <w:trHeight w:val="20"/>
        </w:trPr>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Shares Outstanding at End of Period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22,181,003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19,320,100</w:t>
            </w:r>
          </w:p>
        </w:tc>
      </w:tr>
      <w:tr>
        <w:trPr>
          <w:trHeight w:val="20"/>
        </w:trPr>
        <w:tc>
          <w:tcPr>
            <w:tcW w:w="5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-591185</wp:posOffset>
            </wp:positionV>
            <wp:extent cx="521398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Nine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4"/>
                <w:szCs w:val="14"/>
                <w:color w:val="auto"/>
              </w:rPr>
            </w:pPr>
          </w:p>
        </w:tc>
      </w:tr>
      <w:tr>
        <w:trPr>
          <w:trHeight w:val="196"/>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Net increase/(decrease)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(43,503,968)</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26,598,814</w:t>
            </w:r>
          </w:p>
        </w:tc>
      </w:tr>
      <w:tr>
        <w:trPr>
          <w:trHeight w:val="19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5"/>
              </w:rPr>
              <w:t>Adjustments to reconcile net increase/(decrease) in net assets resulting from operations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 net cash provided by/(used in)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Net realized (gains)/losses on investments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2,311,994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(54,144,833)</w:t>
            </w: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change in unrealized depreciation/(appreciation) of investments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36,616,596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(58,014)</w:t>
            </w: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Gain on fair value adjustment for embedded derivative</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tax liability</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(551,310)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2,501,181</w:t>
            </w: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Amortization of discount on Convertible Senior Notes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645,891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637,869</w:t>
            </w: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deferred financing costs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165,999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90,424</w:t>
            </w: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Amortization of fixed income security premiums and discounts</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(9,808)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(58,030)</w:t>
            </w: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Change in restricted cash</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(62,500)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(4,042)</w:t>
            </w: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Non-cash dividend income</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(46,781)</w:t>
            </w: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investments in:</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tcPr>
          <w:p>
            <w:pPr>
              <w:ind w:left="360"/>
              <w:spacing w:after="0"/>
              <w:rPr>
                <w:sz w:val="20"/>
                <w:szCs w:val="20"/>
                <w:color w:val="auto"/>
              </w:rPr>
            </w:pPr>
            <w:r>
              <w:rPr>
                <w:rFonts w:ascii="Arial" w:cs="Arial" w:eastAsia="Arial" w:hAnsi="Arial"/>
                <w:sz w:val="16"/>
                <w:szCs w:val="16"/>
                <w:color w:val="auto"/>
              </w:rPr>
              <w:t>Portfolio investments</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(13,019,822)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(17,146,659)</w:t>
            </w: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United States treasury bills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(89,999,458)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(225,015,507)</w:t>
            </w: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Proceeds from sales or maturity of investments in:</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Portfolio investments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25,631,067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92,641,645</w:t>
            </w:r>
          </w:p>
        </w:tc>
      </w:tr>
      <w:tr>
        <w:trPr>
          <w:trHeight w:val="203"/>
        </w:trPr>
        <w:tc>
          <w:tcPr>
            <w:tcW w:w="20" w:type="dxa"/>
            <w:vAlign w:val="bottom"/>
          </w:tcPr>
          <w:p>
            <w:pPr>
              <w:spacing w:after="0"/>
              <w:rPr>
                <w:sz w:val="17"/>
                <w:szCs w:val="17"/>
                <w:color w:val="auto"/>
              </w:rPr>
            </w:pPr>
          </w:p>
        </w:tc>
        <w:tc>
          <w:tcPr>
            <w:tcW w:w="5940" w:type="dxa"/>
            <w:vAlign w:val="bottom"/>
            <w:gridSpan w:val="2"/>
          </w:tcPr>
          <w:p>
            <w:pPr>
              <w:ind w:left="360"/>
              <w:spacing w:after="0"/>
              <w:rPr>
                <w:sz w:val="20"/>
                <w:szCs w:val="20"/>
                <w:color w:val="auto"/>
              </w:rPr>
            </w:pPr>
            <w:r>
              <w:rPr>
                <w:rFonts w:ascii="Arial" w:cs="Arial" w:eastAsia="Arial" w:hAnsi="Arial"/>
                <w:sz w:val="16"/>
                <w:szCs w:val="16"/>
                <w:color w:val="auto"/>
              </w:rPr>
              <w:t>United States treasury bills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3,685,000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3,639,000</w:t>
            </w: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United States treasury strips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90,000,000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300,000,000</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20" w:type="dxa"/>
            <w:vAlign w:val="bottom"/>
            <w:shd w:val="clear" w:color="auto" w:fill="CCEEFF"/>
          </w:tcPr>
          <w:p>
            <w:pPr>
              <w:spacing w:after="0"/>
              <w:rPr>
                <w:sz w:val="21"/>
                <w:szCs w:val="21"/>
                <w:color w:val="auto"/>
              </w:rPr>
            </w:pPr>
          </w:p>
        </w:tc>
        <w:tc>
          <w:tcPr>
            <w:tcW w:w="5940" w:type="dxa"/>
            <w:vAlign w:val="bottom"/>
            <w:gridSpan w:val="2"/>
            <w:shd w:val="clear" w:color="auto" w:fill="CCEEFF"/>
          </w:tcPr>
          <w:p>
            <w:pPr>
              <w:ind w:left="180"/>
              <w:spacing w:after="0" w:line="242" w:lineRule="exact"/>
              <w:rPr>
                <w:sz w:val="20"/>
                <w:szCs w:val="20"/>
                <w:color w:val="auto"/>
              </w:rPr>
            </w:pPr>
            <w:r>
              <w:rPr>
                <w:rFonts w:ascii="Arial" w:cs="Arial" w:eastAsia="Arial" w:hAnsi="Arial"/>
                <w:sz w:val="16"/>
                <w:szCs w:val="16"/>
                <w:color w:val="auto"/>
              </w:rPr>
              <w:t>Due from GSV Asset Management</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143,749</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(647)</w:t>
            </w:r>
          </w:p>
        </w:tc>
      </w:tr>
      <w:tr>
        <w:trPr>
          <w:trHeight w:val="243"/>
        </w:trPr>
        <w:tc>
          <w:tcPr>
            <w:tcW w:w="20" w:type="dxa"/>
            <w:vAlign w:val="bottom"/>
          </w:tcPr>
          <w:p>
            <w:pPr>
              <w:spacing w:after="0"/>
              <w:rPr>
                <w:sz w:val="21"/>
                <w:szCs w:val="21"/>
                <w:color w:val="auto"/>
              </w:rPr>
            </w:pPr>
          </w:p>
        </w:tc>
        <w:tc>
          <w:tcPr>
            <w:tcW w:w="5940" w:type="dxa"/>
            <w:vAlign w:val="bottom"/>
            <w:gridSpan w:val="2"/>
          </w:tcPr>
          <w:p>
            <w:pPr>
              <w:ind w:left="180"/>
              <w:spacing w:after="0" w:line="242" w:lineRule="exact"/>
              <w:rPr>
                <w:sz w:val="20"/>
                <w:szCs w:val="20"/>
                <w:color w:val="auto"/>
              </w:rPr>
            </w:pPr>
            <w:r>
              <w:rPr>
                <w:rFonts w:ascii="Arial" w:cs="Arial" w:eastAsia="Arial" w:hAnsi="Arial"/>
                <w:sz w:val="16"/>
                <w:szCs w:val="16"/>
                <w:color w:val="auto"/>
              </w:rPr>
              <w:t>Due from portfolio companies</w:t>
            </w:r>
            <w:r>
              <w:rPr>
                <w:rFonts w:ascii="Arial" w:cs="Arial" w:eastAsia="Arial" w:hAnsi="Arial"/>
                <w:sz w:val="27"/>
                <w:szCs w:val="27"/>
                <w:color w:val="auto"/>
                <w:vertAlign w:val="superscript"/>
              </w:rPr>
              <w:t>(1)</w:t>
            </w:r>
          </w:p>
        </w:tc>
        <w:tc>
          <w:tcPr>
            <w:tcW w:w="1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55,692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24,985</w:t>
            </w: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Prepaid expenses and other assets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(87,412)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249,941</w:t>
            </w: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Interest and dividends receivable</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(125,178)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(102,076)</w:t>
            </w:r>
          </w:p>
        </w:tc>
      </w:tr>
      <w:tr>
        <w:trPr>
          <w:trHeight w:val="243"/>
        </w:trPr>
        <w:tc>
          <w:tcPr>
            <w:tcW w:w="20" w:type="dxa"/>
            <w:vAlign w:val="bottom"/>
            <w:shd w:val="clear" w:color="auto" w:fill="CCEEFF"/>
          </w:tcPr>
          <w:p>
            <w:pPr>
              <w:spacing w:after="0"/>
              <w:rPr>
                <w:sz w:val="21"/>
                <w:szCs w:val="21"/>
                <w:color w:val="auto"/>
              </w:rPr>
            </w:pPr>
          </w:p>
        </w:tc>
        <w:tc>
          <w:tcPr>
            <w:tcW w:w="5940" w:type="dxa"/>
            <w:vAlign w:val="bottom"/>
            <w:gridSpan w:val="2"/>
            <w:shd w:val="clear" w:color="auto" w:fill="CCEEFF"/>
          </w:tcPr>
          <w:p>
            <w:pPr>
              <w:ind w:left="180"/>
              <w:spacing w:after="0" w:line="242" w:lineRule="exact"/>
              <w:rPr>
                <w:sz w:val="20"/>
                <w:szCs w:val="20"/>
                <w:color w:val="auto"/>
              </w:rPr>
            </w:pPr>
            <w:r>
              <w:rPr>
                <w:rFonts w:ascii="Arial" w:cs="Arial" w:eastAsia="Arial" w:hAnsi="Arial"/>
                <w:sz w:val="16"/>
                <w:szCs w:val="16"/>
                <w:color w:val="auto"/>
              </w:rPr>
              <w:t>Due to GSV Asset Management</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(4,151,497)</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(3,416)</w:t>
            </w: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Payable for securities purchased</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(68,001,096)</w:t>
            </w: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258,652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(225,087)</w:t>
            </w:r>
          </w:p>
        </w:tc>
      </w:tr>
      <w:tr>
        <w:trPr>
          <w:trHeight w:val="243"/>
        </w:trPr>
        <w:tc>
          <w:tcPr>
            <w:tcW w:w="20" w:type="dxa"/>
            <w:vAlign w:val="bottom"/>
          </w:tcPr>
          <w:p>
            <w:pPr>
              <w:spacing w:after="0"/>
              <w:rPr>
                <w:sz w:val="21"/>
                <w:szCs w:val="21"/>
                <w:color w:val="auto"/>
              </w:rPr>
            </w:pPr>
          </w:p>
        </w:tc>
        <w:tc>
          <w:tcPr>
            <w:tcW w:w="5940" w:type="dxa"/>
            <w:vAlign w:val="bottom"/>
            <w:gridSpan w:val="2"/>
          </w:tcPr>
          <w:p>
            <w:pPr>
              <w:ind w:left="180"/>
              <w:spacing w:after="0" w:line="242" w:lineRule="exact"/>
              <w:rPr>
                <w:sz w:val="20"/>
                <w:szCs w:val="20"/>
                <w:color w:val="auto"/>
              </w:rPr>
            </w:pPr>
            <w:r>
              <w:rPr>
                <w:rFonts w:ascii="Arial" w:cs="Arial" w:eastAsia="Arial" w:hAnsi="Arial"/>
                <w:sz w:val="16"/>
                <w:szCs w:val="16"/>
                <w:color w:val="auto"/>
              </w:rPr>
              <w:t>Accrued incentive fees</w:t>
            </w:r>
            <w:r>
              <w:rPr>
                <w:rFonts w:ascii="Arial" w:cs="Arial" w:eastAsia="Arial" w:hAnsi="Arial"/>
                <w:sz w:val="27"/>
                <w:szCs w:val="27"/>
                <w:color w:val="auto"/>
                <w:vertAlign w:val="superscript"/>
              </w:rPr>
              <w:t>(1)</w:t>
            </w:r>
          </w:p>
        </w:tc>
        <w:tc>
          <w:tcPr>
            <w:tcW w:w="10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(7,805,089)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10,839,602</w:t>
            </w:r>
          </w:p>
        </w:tc>
      </w:tr>
      <w:tr>
        <w:trPr>
          <w:trHeight w:val="243"/>
        </w:trPr>
        <w:tc>
          <w:tcPr>
            <w:tcW w:w="20" w:type="dxa"/>
            <w:vAlign w:val="bottom"/>
            <w:shd w:val="clear" w:color="auto" w:fill="CCEEFF"/>
          </w:tcPr>
          <w:p>
            <w:pPr>
              <w:spacing w:after="0"/>
              <w:rPr>
                <w:sz w:val="21"/>
                <w:szCs w:val="21"/>
                <w:color w:val="auto"/>
              </w:rPr>
            </w:pPr>
          </w:p>
        </w:tc>
        <w:tc>
          <w:tcPr>
            <w:tcW w:w="5940" w:type="dxa"/>
            <w:vAlign w:val="bottom"/>
            <w:gridSpan w:val="2"/>
            <w:shd w:val="clear" w:color="auto" w:fill="CCEEFF"/>
          </w:tcPr>
          <w:p>
            <w:pPr>
              <w:ind w:left="180"/>
              <w:spacing w:after="0" w:line="242" w:lineRule="exact"/>
              <w:rPr>
                <w:sz w:val="20"/>
                <w:szCs w:val="20"/>
                <w:color w:val="auto"/>
              </w:rPr>
            </w:pPr>
            <w:r>
              <w:rPr>
                <w:rFonts w:ascii="Arial" w:cs="Arial" w:eastAsia="Arial" w:hAnsi="Arial"/>
                <w:sz w:val="16"/>
                <w:szCs w:val="16"/>
                <w:color w:val="auto"/>
              </w:rPr>
              <w:t>Accrued management fees</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(141,435)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46,396</w:t>
            </w: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Accrued interest payable</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(905,625)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(988,520)</w:t>
            </w: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Current taxes payable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(102,932)</w:t>
            </w:r>
          </w:p>
        </w:tc>
      </w:tr>
      <w:tr>
        <w:trPr>
          <w:trHeight w:val="20"/>
        </w:trPr>
        <w:tc>
          <w:tcPr>
            <w:tcW w:w="2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tcPr>
          <w:p>
            <w:pPr>
              <w:ind w:left="360"/>
              <w:spacing w:after="0"/>
              <w:rPr>
                <w:sz w:val="20"/>
                <w:szCs w:val="20"/>
                <w:color w:val="auto"/>
              </w:rPr>
            </w:pPr>
            <w:r>
              <w:rPr>
                <w:rFonts w:ascii="Arial" w:cs="Arial" w:eastAsia="Arial" w:hAnsi="Arial"/>
                <w:sz w:val="16"/>
                <w:szCs w:val="16"/>
                <w:b w:val="1"/>
                <w:bCs w:val="1"/>
                <w:color w:val="auto"/>
              </w:rPr>
              <w:t>Net Cash Provided by/(Used in) Operating Activities</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(847,910)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71,371,217</w:t>
            </w:r>
          </w:p>
        </w:tc>
      </w:tr>
      <w:tr>
        <w:trPr>
          <w:trHeight w:val="196"/>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Borrowings under Credit Facility</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3,500,000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6,000,000</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Repayments under Credit Facility</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(3,500,000)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(24,000,000)</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Deferred offering costs</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(169,614)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Distributions from realized gains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(887,240)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tcPr>
          <w:p>
            <w:pPr>
              <w:ind w:left="360"/>
              <w:spacing w:after="0"/>
              <w:rPr>
                <w:sz w:val="20"/>
                <w:szCs w:val="20"/>
                <w:color w:val="auto"/>
              </w:rPr>
            </w:pPr>
            <w:r>
              <w:rPr>
                <w:rFonts w:ascii="Arial" w:cs="Arial" w:eastAsia="Arial" w:hAnsi="Arial"/>
                <w:sz w:val="16"/>
                <w:szCs w:val="16"/>
                <w:b w:val="1"/>
                <w:bCs w:val="1"/>
                <w:color w:val="auto"/>
              </w:rPr>
              <w:t>Net Cash Used in Financing Activities</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(1,056,854)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(18,000,000)</w:t>
            </w: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Increase/(Decrease) in Cash</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(1,904,764)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53,371,217</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Cash at Beginning of period</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13,349,877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3,472,880</w:t>
            </w: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Cash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11,445,113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56,844,097</w:t>
            </w:r>
          </w:p>
        </w:tc>
      </w:tr>
      <w:tr>
        <w:trPr>
          <w:trHeight w:val="196"/>
        </w:trPr>
        <w:tc>
          <w:tcPr>
            <w:tcW w:w="596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3,650,961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4,769,939</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Taxes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852,970</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Non-Cash Operating Items: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62"/>
        </w:trPr>
        <w:tc>
          <w:tcPr>
            <w:tcW w:w="596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Transactions in Portfolio Company Investments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310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Preferred shares converted to common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1,436,404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Convertible notes converted to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74,380</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Convertible notes converted to preferred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295,801</w:t>
            </w:r>
          </w:p>
        </w:tc>
      </w:tr>
      <w:tr>
        <w:trPr>
          <w:trHeight w:val="206"/>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Structured notes converted to convertible notes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609,683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-2522855</wp:posOffset>
            </wp:positionV>
            <wp:extent cx="521398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-1734185</wp:posOffset>
            </wp:positionV>
            <wp:extent cx="52139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-1193800</wp:posOffset>
            </wp:positionV>
            <wp:extent cx="521398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168910</wp:posOffset>
            </wp:positionV>
            <wp:extent cx="617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200" w:right="1959" w:hanging="2172"/>
        <w:spacing w:after="0" w:line="995" w:lineRule="auto"/>
        <w:tabs>
          <w:tab w:leader="none" w:pos="30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This balance is a related-party transaction. Refer to “Note 2 — Related-Party Arrangements” for more detail. </w:t>
      </w:r>
      <w:r>
        <w:rPr>
          <w:rFonts w:ascii="Arial" w:cs="Arial" w:eastAsia="Arial" w:hAnsi="Arial"/>
          <w:sz w:val="16"/>
          <w:szCs w:val="16"/>
          <w:i w:val="1"/>
          <w:iCs w:val="1"/>
          <w:color w:val="auto"/>
        </w:rPr>
        <w:t>See accompanying notes to condensed consolidated financial statements.</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451" w:gutter="0" w:footer="0" w:header="0"/>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6"/>
              </w:rPr>
              <w:t>Fair Value</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Palantir Technologies,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8"/>
              </w:rPr>
              <w:t>Palo Alto,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6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G</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Data Analysis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326,797</w:t>
            </w:r>
          </w:p>
        </w:tc>
        <w:tc>
          <w:tcPr>
            <w:tcW w:w="2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1,008,968</w:t>
            </w:r>
          </w:p>
        </w:tc>
        <w:tc>
          <w:tcPr>
            <w:tcW w:w="2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2,304,277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1.03%</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16,189,935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40,710,849</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18.21%</w:t>
            </w:r>
          </w:p>
        </w:tc>
      </w:tr>
      <w:tr>
        <w:trPr>
          <w:trHeight w:val="20"/>
        </w:trPr>
        <w:tc>
          <w:tcPr>
            <w:tcW w:w="66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6"/>
              </w:rPr>
              <w:t>17,198,903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w w:val="96"/>
              </w:rPr>
              <w:t>43,015,126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19.24%</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Dropbox,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6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Cloud Computing Services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552,486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5,015,773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7,195,109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3.22%</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8,641,153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9,897,596</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4.43%</w:t>
            </w:r>
          </w:p>
        </w:tc>
      </w:tr>
      <w:tr>
        <w:trPr>
          <w:trHeight w:val="20"/>
        </w:trPr>
        <w:tc>
          <w:tcPr>
            <w:tcW w:w="66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6"/>
              </w:rPr>
              <w:t>13,656,926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w w:val="96"/>
              </w:rPr>
              <w:t>17,092,705</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7.65%</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Spotify Technology S.A. **</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Stockholm, Sweden</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6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On-Demand Music</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0"/>
              </w:rPr>
              <w:t>Streaming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13,599,572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6"/>
              </w:rPr>
              <w:t>16,210,657</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7.25%</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Coursera,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6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2,961,399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6"/>
              </w:rPr>
              <w:t>14,519,519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w w:val="96"/>
              </w:rPr>
              <w:t>14,435,486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6.46%</w:t>
            </w: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PayNearMe, Inc.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6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Cash Payment Network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5,480,348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6"/>
              </w:rPr>
              <w:t>14,000,398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w w:val="96"/>
              </w:rPr>
              <w:t>13,974,887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6.25%</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JAMF Holdings,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Minneapolis, MN</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6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Mobile Device Management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73,440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9,999,928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w w:val="96"/>
              </w:rPr>
              <w:t>12,429,978</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5.56%</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General Assembly Space,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New York, NY</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6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126,552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2,999,978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6,191,265</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2.77%</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133,213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2,999,983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6,180,284</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2.76%</w:t>
            </w:r>
          </w:p>
        </w:tc>
      </w:tr>
      <w:tr>
        <w:trPr>
          <w:trHeight w:val="20"/>
        </w:trPr>
        <w:tc>
          <w:tcPr>
            <w:tcW w:w="66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5,999,961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w w:val="96"/>
              </w:rPr>
              <w:t>12,371,549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5.53%</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Ozy Media,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6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 Note 5%</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8"/>
              </w:rPr>
              <w:t>Digital Media</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2580" w:type="dxa"/>
            <w:vAlign w:val="bottom"/>
            <w:gridSpan w:val="9"/>
          </w:tcPr>
          <w:p>
            <w:pPr>
              <w:ind w:left="200"/>
              <w:spacing w:after="0"/>
              <w:rPr>
                <w:sz w:val="20"/>
                <w:szCs w:val="20"/>
                <w:color w:val="auto"/>
              </w:rPr>
            </w:pPr>
            <w:r>
              <w:rPr>
                <w:rFonts w:ascii="Arial" w:cs="Arial" w:eastAsia="Arial" w:hAnsi="Arial"/>
                <w:sz w:val="14"/>
                <w:szCs w:val="14"/>
                <w:color w:val="auto"/>
              </w:rPr>
              <w:t>Due 2/28/2018***</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5"/>
              </w:rPr>
              <w:t>Platform</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2,000,000</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0.89%</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922,509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4,999,999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4,657,211</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1,090,909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3,000,200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3,879,542</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1.73%</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1,521,045</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0.69%</w:t>
            </w:r>
          </w:p>
        </w:tc>
      </w:tr>
      <w:tr>
        <w:trPr>
          <w:trHeight w:val="20"/>
        </w:trPr>
        <w:tc>
          <w:tcPr>
            <w:tcW w:w="66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6"/>
              </w:rPr>
              <w:t>10,500,199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w w:val="96"/>
              </w:rPr>
              <w:t>12,057,798</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5.39%</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Declara,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6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 Note 6%</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2580" w:type="dxa"/>
            <w:vAlign w:val="bottom"/>
            <w:gridSpan w:val="9"/>
          </w:tcPr>
          <w:p>
            <w:pPr>
              <w:ind w:left="200"/>
              <w:spacing w:after="0"/>
              <w:rPr>
                <w:sz w:val="20"/>
                <w:szCs w:val="20"/>
                <w:color w:val="auto"/>
              </w:rPr>
            </w:pPr>
            <w:r>
              <w:rPr>
                <w:rFonts w:ascii="Arial" w:cs="Arial" w:eastAsia="Arial" w:hAnsi="Arial"/>
                <w:sz w:val="14"/>
                <w:szCs w:val="14"/>
                <w:color w:val="auto"/>
              </w:rPr>
              <w:t>Due 12/30/2016***</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8"/>
              </w:rPr>
              <w:t>Palo Alto, CA</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2,000,000</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0.89%</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Social Cognitive Learning</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10,716,390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4.47%</w:t>
            </w:r>
          </w:p>
        </w:tc>
      </w:tr>
      <w:tr>
        <w:trPr>
          <w:trHeight w:val="20"/>
        </w:trPr>
        <w:tc>
          <w:tcPr>
            <w:tcW w:w="66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6"/>
              </w:rPr>
              <w:t>11,999,999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w w:val="96"/>
              </w:rPr>
              <w:t>11,999,999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5.36%</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Curious.com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Menlo Park, CA</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6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Online Education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3,407,834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6"/>
              </w:rPr>
              <w:t>12,000,006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w w:val="96"/>
              </w:rPr>
              <w:t>11,336,432</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5.07%</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Lytro,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6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7"/>
              </w:rPr>
              <w:t>Light Field Imaging Platform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159,160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502,081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500,001</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0.22%</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3,378,379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10,400,238</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4.65%</w:t>
            </w:r>
          </w:p>
        </w:tc>
      </w:tr>
      <w:tr>
        <w:trPr>
          <w:trHeight w:val="20"/>
        </w:trPr>
        <w:tc>
          <w:tcPr>
            <w:tcW w:w="66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6"/>
              </w:rPr>
              <w:t>10,502,083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w w:val="96"/>
              </w:rPr>
              <w:t>10,900,239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4.87%</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Avenues Global Holdings, LLC</w:t>
            </w:r>
            <w:r>
              <w:rPr>
                <w:rFonts w:ascii="Arial" w:cs="Arial" w:eastAsia="Arial" w:hAnsi="Arial"/>
                <w:sz w:val="19"/>
                <w:szCs w:val="19"/>
                <w:b w:val="1"/>
                <w:bCs w:val="1"/>
                <w:color w:val="auto"/>
                <w:vertAlign w:val="superscript"/>
              </w:rPr>
              <w:t>(4)</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New York, NY</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6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Junior Preferred Stock</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Globally-focused Private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82"/>
        </w:trPr>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School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4"/>
              </w:rPr>
              <w:t>10,014,270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10,151,854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6"/>
              </w:rPr>
              <w:t>10,847,868</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-3919220</wp:posOffset>
            </wp:positionV>
            <wp:extent cx="5213985" cy="111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-3524885</wp:posOffset>
            </wp:positionV>
            <wp:extent cx="5213985" cy="111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-2255520</wp:posOffset>
            </wp:positionV>
            <wp:extent cx="5213985" cy="111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-1552575</wp:posOffset>
            </wp:positionV>
            <wp:extent cx="5213985" cy="111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-1038225</wp:posOffset>
            </wp:positionV>
            <wp:extent cx="5213985" cy="111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-429260</wp:posOffset>
            </wp:positionV>
            <wp:extent cx="5213985" cy="111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 w:name="page11"/>
    <w:bookmarkEnd w:id="1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69"/>
        </w:trPr>
        <w:tc>
          <w:tcPr>
            <w:tcW w:w="2580" w:type="dxa"/>
            <w:vAlign w:val="bottom"/>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StormWind, LLC</w:t>
            </w:r>
            <w:r>
              <w:rPr>
                <w:rFonts w:ascii="Arial" w:cs="Arial" w:eastAsia="Arial" w:hAnsi="Arial"/>
                <w:sz w:val="19"/>
                <w:szCs w:val="19"/>
                <w:b w:val="1"/>
                <w:bCs w:val="1"/>
                <w:color w:val="auto"/>
                <w:vertAlign w:val="superscript"/>
              </w:rPr>
              <w:t>(2)(6)</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Scottsdale, AZ</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Interactive Learning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2,779,134</w:t>
            </w:r>
          </w:p>
        </w:tc>
        <w:tc>
          <w:tcPr>
            <w:tcW w:w="2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4,000,787</w:t>
            </w:r>
          </w:p>
        </w:tc>
        <w:tc>
          <w:tcPr>
            <w:tcW w:w="26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4,650,838</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2.08%</w:t>
            </w: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3,279,629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2,019,687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4,470,403</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366,666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499,796</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0.22%</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6,130,474</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9,621,037</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4.30%</w:t>
            </w: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highlight w:val="white"/>
                <w:w w:val="93"/>
              </w:rPr>
              <w:t>Beamreach Solar, Inc. (f/k/a Solexel,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rPr>
              <w:t>Milpitas, CA</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Solar Power</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1,613,413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2,419,751</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1,532,742</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0.69%</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5,300,158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11,598,648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7,337,470</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3.28%</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14,018,399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8,870,212</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3.97%</w:t>
            </w: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SugarCRM,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5"/>
              </w:rPr>
              <w:t>Cupertino, CA</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Customer Relationship</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373,134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1,500,522</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2,802,236</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1.26%</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4"/>
              </w:rPr>
              <w:t>Manager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1,524,799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5,476,502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5,779,577</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2.58%</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6,977,024</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8,581,813</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3.84%</w:t>
            </w: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Chegg,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0"/>
              </w:rPr>
              <w:t>Santa Clara, CA</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Online Education Services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1,182,792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14,022,863</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8,385,995</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3.75%</w:t>
            </w:r>
          </w:p>
        </w:tc>
      </w:tr>
      <w:tr>
        <w:trPr>
          <w:trHeight w:val="176"/>
        </w:trPr>
        <w:tc>
          <w:tcPr>
            <w:tcW w:w="2580" w:type="dxa"/>
            <w:vAlign w:val="bottom"/>
            <w:gridSpan w:val="9"/>
          </w:tcPr>
          <w:p>
            <w:pPr>
              <w:ind w:left="20"/>
              <w:spacing w:after="0" w:line="176" w:lineRule="exact"/>
              <w:rPr>
                <w:sz w:val="20"/>
                <w:szCs w:val="20"/>
                <w:color w:val="auto"/>
              </w:rPr>
            </w:pPr>
            <w:r>
              <w:rPr>
                <w:rFonts w:ascii="Arial" w:cs="Arial" w:eastAsia="Arial" w:hAnsi="Arial"/>
                <w:sz w:val="13"/>
                <w:szCs w:val="13"/>
                <w:b w:val="1"/>
                <w:bCs w:val="1"/>
                <w:color w:val="auto"/>
              </w:rPr>
              <w:t>NestGSV, Inc. (d/b/a GSV Labs, Inc.)</w:t>
            </w:r>
            <w:r>
              <w:rPr>
                <w:rFonts w:ascii="Arial" w:cs="Arial" w:eastAsia="Arial" w:hAnsi="Arial"/>
                <w:sz w:val="20"/>
                <w:szCs w:val="20"/>
                <w:b w:val="1"/>
                <w:bCs w:val="1"/>
                <w:color w:val="auto"/>
                <w:vertAlign w:val="superscript"/>
              </w:rPr>
              <w:t>(2)</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Redwood City, CA</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3"/>
        </w:trPr>
        <w:tc>
          <w:tcPr>
            <w:tcW w:w="258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 8%</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5"/>
              </w:rPr>
              <w:t>Global Innovation</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Due 7/31/2017***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Platform</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427,900</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427,900</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0.19%</w:t>
            </w: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Promissory Note 10%</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Due 11/23/2016***</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500,000</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0.22%</w:t>
            </w: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3,720,424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4,904,498</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4,487,614</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1,561,625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2,005,730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1,573,681</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0.70%</w:t>
            </w: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450,001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605,500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271,398</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0.13%</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1,021,778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454,237</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0.20%</w:t>
            </w: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4"/>
              </w:rPr>
              <w:t>Preferred warrants, Series C – $1.33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Price, Expiration Date 4/4/2019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31,875</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0.01%</w:t>
            </w:r>
          </w:p>
        </w:tc>
      </w:tr>
      <w:tr>
        <w:trPr>
          <w:trHeight w:val="130"/>
        </w:trPr>
        <w:tc>
          <w:tcPr>
            <w:tcW w:w="25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Preferred warrants, Series D – $1.33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Price, Expiration Date 10/6/2019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155,000</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0.08%</w:t>
            </w: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4"/>
              </w:rPr>
              <w:t>Preferred warrants, Series D – $1.33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Price, Expiration Date 7/18/2021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74,380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77,500</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0.03%</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9,540,786</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7,979,205</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3.57%</w:t>
            </w: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Lyft,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On-Demand Transportation</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128,563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2,503,585</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3,274,366</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1.46%</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89"/>
              </w:rPr>
              <w:t>Services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176,266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1,792,749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4,230,384</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1.89%</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4,296,334</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7,504,750</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3.35%</w:t>
            </w: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Dataminr,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7"/>
              </w:rPr>
              <w:t>Social Media Analytics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301,369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1,100,909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1,570,337</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0.70%</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904,977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2,063,356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4,715,545</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2.11%</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3,164,265</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6,285,882</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2.81%</w:t>
            </w: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Course Hero,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4"/>
              </w:rPr>
              <w:t>Redwood City, CA</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5,000,001</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5,697,273</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2.55%</w:t>
            </w:r>
          </w:p>
        </w:tc>
      </w:tr>
      <w:tr>
        <w:trPr>
          <w:trHeight w:val="135"/>
        </w:trPr>
        <w:tc>
          <w:tcPr>
            <w:tcW w:w="25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Enjoy Technology,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7"/>
              </w:rPr>
              <w:t>Menlo Park, CA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On-Demand Commerce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1,681,520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4,000,280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1.79%</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879,198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1,002,440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1,439,400</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0.64%</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5,002,720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5,439,400</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2.43%</w:t>
            </w:r>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1635760</wp:posOffset>
            </wp:positionH>
            <wp:positionV relativeFrom="paragraph">
              <wp:posOffset>-4004310</wp:posOffset>
            </wp:positionV>
            <wp:extent cx="35845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-3609975</wp:posOffset>
            </wp:positionV>
            <wp:extent cx="5213985" cy="102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-3215005</wp:posOffset>
            </wp:positionV>
            <wp:extent cx="5213985"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-1379855</wp:posOffset>
            </wp:positionV>
            <wp:extent cx="5213985"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-985520</wp:posOffset>
            </wp:positionV>
            <wp:extent cx="5213985"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-591185</wp:posOffset>
            </wp:positionV>
            <wp:extent cx="5213985"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2016</w:t>
      </w: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21"/>
        </w:trPr>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9"/>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6"/>
              </w:rPr>
              <w:t>Fair Value</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Knewton,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rPr>
              <w:t>New York, NY</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Online Education</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375,985</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4,999,999</w:t>
            </w:r>
          </w:p>
        </w:tc>
        <w:tc>
          <w:tcPr>
            <w:tcW w:w="2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4,953,723</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2.22%</w:t>
            </w: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(1)(5)</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rPr>
              <w:t>New York, NY</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Globally-focused Private</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3,000,000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1.34%</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School</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1,577,097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0.67%</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4,577,097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4,500,000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2.01%</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SPBRX, INC. (f/k/a GSV Sustainability</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9"/>
        </w:trPr>
        <w:tc>
          <w:tcPr>
            <w:tcW w:w="2440" w:type="dxa"/>
            <w:vAlign w:val="bottom"/>
            <w:tcBorders>
              <w:top w:val="single" w:sz="8" w:color="auto"/>
              <w:left w:val="single" w:sz="8" w:color="CCEEFF"/>
            </w:tcBorders>
            <w:gridSpan w:val="8"/>
            <w:shd w:val="clear" w:color="auto" w:fill="CCEEFF"/>
          </w:tcPr>
          <w:p>
            <w:pPr>
              <w:ind w:left="200"/>
              <w:spacing w:after="0" w:line="169" w:lineRule="exact"/>
              <w:rPr>
                <w:sz w:val="20"/>
                <w:szCs w:val="20"/>
                <w:color w:val="auto"/>
              </w:rPr>
            </w:pPr>
            <w:r>
              <w:rPr>
                <w:rFonts w:ascii="Arial" w:cs="Arial" w:eastAsia="Arial" w:hAnsi="Arial"/>
                <w:sz w:val="12"/>
                <w:szCs w:val="12"/>
                <w:b w:val="1"/>
                <w:bCs w:val="1"/>
                <w:color w:val="auto"/>
              </w:rPr>
              <w:t>Partners, Inc.)</w:t>
            </w:r>
            <w:r>
              <w:rPr>
                <w:rFonts w:ascii="Arial" w:cs="Arial" w:eastAsia="Arial" w:hAnsi="Arial"/>
                <w:sz w:val="19"/>
                <w:szCs w:val="19"/>
                <w:b w:val="1"/>
                <w:bCs w:val="1"/>
                <w:color w:val="auto"/>
                <w:vertAlign w:val="superscript"/>
              </w:rPr>
              <w:t>(2)</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CCEEFF"/>
            </w:tcBorders>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3"/>
              </w:rPr>
              <w:t>Woodside, CA</w:t>
            </w: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2"/>
              </w:rPr>
              <w:t>Clean Technology</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4"/>
              </w:rPr>
              <w:t>14,300,000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7,151,412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4,450,604</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1.99%</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7,161,412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4,450,604</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1.99%</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Parchment,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2"/>
              </w:rPr>
              <w:t>Scottsdale, AZ</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2"/>
              </w:rPr>
              <w:t>E-Transcript Exchange</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3,200,512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4,000,982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4,000,000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1.79%</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Snap, Inc. (f/k/a Snapchat,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w w:val="97"/>
              </w:rPr>
              <w:t>Venice,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F</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Social Communication</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130,208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4,002,270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3,999,990</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1.79%</w:t>
            </w: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CUX, Inc. (d/b/a CorpU)</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3"/>
              </w:rPr>
              <w:t>Philadelphia, PA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56"/>
        </w:trPr>
        <w:tc>
          <w:tcPr>
            <w:tcW w:w="2580" w:type="dxa"/>
            <w:vAlign w:val="bottom"/>
            <w:gridSpan w:val="9"/>
          </w:tcPr>
          <w:p>
            <w:pPr>
              <w:ind w:left="20"/>
              <w:spacing w:after="0" w:line="155" w:lineRule="exact"/>
              <w:rPr>
                <w:sz w:val="20"/>
                <w:szCs w:val="20"/>
                <w:color w:val="auto"/>
              </w:rPr>
            </w:pPr>
            <w:r>
              <w:rPr>
                <w:rFonts w:ascii="Arial" w:cs="Arial" w:eastAsia="Arial" w:hAnsi="Arial"/>
                <w:sz w:val="14"/>
                <w:szCs w:val="14"/>
                <w:color w:val="auto"/>
              </w:rPr>
              <w:t>Senior Subordinated Convertible</w:t>
            </w:r>
          </w:p>
        </w:tc>
        <w:tc>
          <w:tcPr>
            <w:tcW w:w="100" w:type="dxa"/>
            <w:vAlign w:val="bottom"/>
          </w:tcPr>
          <w:p>
            <w:pPr>
              <w:spacing w:after="0"/>
              <w:rPr>
                <w:sz w:val="13"/>
                <w:szCs w:val="13"/>
                <w:color w:val="auto"/>
              </w:rPr>
            </w:pPr>
          </w:p>
        </w:tc>
        <w:tc>
          <w:tcPr>
            <w:tcW w:w="2080" w:type="dxa"/>
            <w:vAlign w:val="bottom"/>
            <w:gridSpan w:val="3"/>
          </w:tcPr>
          <w:p>
            <w:pPr>
              <w:jc w:val="center"/>
              <w:ind w:right="200"/>
              <w:spacing w:after="0" w:line="155" w:lineRule="exact"/>
              <w:rPr>
                <w:sz w:val="20"/>
                <w:szCs w:val="20"/>
                <w:color w:val="auto"/>
              </w:rPr>
            </w:pPr>
            <w:r>
              <w:rPr>
                <w:rFonts w:ascii="Arial" w:cs="Arial" w:eastAsia="Arial" w:hAnsi="Arial"/>
                <w:sz w:val="14"/>
                <w:szCs w:val="14"/>
                <w:color w:val="auto"/>
                <w:w w:val="93"/>
              </w:rPr>
              <w:t>Corporate Education</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26"/>
        </w:trPr>
        <w:tc>
          <w:tcPr>
            <w:tcW w:w="2580" w:type="dxa"/>
            <w:vAlign w:val="bottom"/>
            <w:gridSpan w:val="9"/>
          </w:tcPr>
          <w:p>
            <w:pPr>
              <w:ind w:left="200"/>
              <w:spacing w:after="0" w:line="127" w:lineRule="exact"/>
              <w:rPr>
                <w:sz w:val="20"/>
                <w:szCs w:val="20"/>
                <w:color w:val="auto"/>
              </w:rPr>
            </w:pPr>
            <w:r>
              <w:rPr>
                <w:rFonts w:ascii="Arial" w:cs="Arial" w:eastAsia="Arial" w:hAnsi="Arial"/>
                <w:sz w:val="14"/>
                <w:szCs w:val="14"/>
                <w:color w:val="auto"/>
              </w:rPr>
              <w:t>Promissory Note 8%, Due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98"/>
        </w:trPr>
        <w:tc>
          <w:tcPr>
            <w:tcW w:w="1340" w:type="dxa"/>
            <w:vAlign w:val="bottom"/>
            <w:gridSpan w:val="5"/>
          </w:tcPr>
          <w:p>
            <w:pPr>
              <w:ind w:left="200"/>
              <w:spacing w:after="0" w:line="198" w:lineRule="exact"/>
              <w:rPr>
                <w:sz w:val="20"/>
                <w:szCs w:val="20"/>
                <w:color w:val="auto"/>
              </w:rPr>
            </w:pPr>
            <w:r>
              <w:rPr>
                <w:rFonts w:ascii="Arial" w:cs="Arial" w:eastAsia="Arial" w:hAnsi="Arial"/>
                <w:sz w:val="14"/>
                <w:szCs w:val="14"/>
                <w:color w:val="auto"/>
              </w:rPr>
              <w:t>11/26/2018***</w:t>
            </w:r>
            <w:r>
              <w:rPr>
                <w:rFonts w:ascii="Arial" w:cs="Arial" w:eastAsia="Arial" w:hAnsi="Arial"/>
                <w:sz w:val="22"/>
                <w:szCs w:val="22"/>
                <w:color w:val="auto"/>
                <w:vertAlign w:val="superscript"/>
              </w:rPr>
              <w:t>(8)</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1,080,000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1,080,000</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0.48%</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778,607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775,861</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0.35%</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Convertible 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2,006,077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1,913,484</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0.86%</w:t>
            </w:r>
          </w:p>
        </w:tc>
      </w:tr>
      <w:tr>
        <w:trPr>
          <w:trHeight w:val="130"/>
        </w:trPr>
        <w:tc>
          <w:tcPr>
            <w:tcW w:w="2580" w:type="dxa"/>
            <w:vAlign w:val="bottom"/>
            <w:tcBorders>
              <w:left w:val="single" w:sz="8" w:color="CCEEFF"/>
            </w:tcBorders>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$4.59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9"/>
            <w:shd w:val="clear" w:color="auto" w:fill="CCEEFF"/>
          </w:tcPr>
          <w:p>
            <w:pPr>
              <w:ind w:left="200"/>
              <w:spacing w:after="0"/>
              <w:rPr>
                <w:sz w:val="20"/>
                <w:szCs w:val="20"/>
                <w:color w:val="auto"/>
              </w:rPr>
            </w:pPr>
            <w:r>
              <w:rPr>
                <w:rFonts w:ascii="Arial" w:cs="Arial" w:eastAsia="Arial" w:hAnsi="Arial"/>
                <w:sz w:val="14"/>
                <w:szCs w:val="14"/>
                <w:color w:val="auto"/>
              </w:rPr>
              <w:t>Expiration Date 2/25/2018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3,888</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3,864,684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3,773,233</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1.69%</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DogVacay,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5"/>
              </w:rPr>
              <w:t>Santa Monica,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B-1</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88"/>
              </w:rPr>
              <w:t>Peer-to-Peer Pet Services</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514,562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2,506,119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2,500,771</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1.12%</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SharesPost,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w w:val="94"/>
              </w:rPr>
              <w:t>San Bruno,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Online Marketplace Finance</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1,771,653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2,259,716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2,249,999</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1.01%</w:t>
            </w:r>
          </w:p>
        </w:tc>
      </w:tr>
      <w:tr>
        <w:trPr>
          <w:trHeight w:val="130"/>
        </w:trPr>
        <w:tc>
          <w:tcPr>
            <w:tcW w:w="2580" w:type="dxa"/>
            <w:vAlign w:val="bottom"/>
            <w:tcBorders>
              <w:left w:val="single" w:sz="8" w:color="CCEEFF"/>
            </w:tcBorders>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$0.13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9"/>
            <w:shd w:val="clear" w:color="auto" w:fill="CCEEFF"/>
          </w:tcPr>
          <w:p>
            <w:pPr>
              <w:ind w:left="200"/>
              <w:spacing w:after="0"/>
              <w:rPr>
                <w:sz w:val="20"/>
                <w:szCs w:val="20"/>
                <w:color w:val="auto"/>
              </w:rPr>
            </w:pPr>
            <w:r>
              <w:rPr>
                <w:rFonts w:ascii="Arial" w:cs="Arial" w:eastAsia="Arial" w:hAnsi="Arial"/>
                <w:sz w:val="14"/>
                <w:szCs w:val="14"/>
                <w:color w:val="auto"/>
              </w:rPr>
              <w:t>Expiration Date 6/15/2018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770,934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23,128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77,093</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0.03%</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2,282,844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2,327,092</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1.04%</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Maven Research,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Knowledge Networks</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318,979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2,000,447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1,999,998</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0.89%</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217,206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249,691</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0.12%</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2,217,653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2,249,689</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1.01%</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Clever,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2"/>
              </w:rPr>
              <w:t>Education Software</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2,000,601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2,000,001</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0.89%</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DreamBox Learning,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w w:val="95"/>
              </w:rPr>
              <w:t>Bellevue, WA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2"/>
              </w:rPr>
              <w:t>Education Technology</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7,159,221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1,502,362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1,108,717</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0.50%</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758,017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554,358</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0.24%</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2,260,379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1,663,075</w:t>
            </w:r>
          </w:p>
        </w:tc>
        <w:tc>
          <w:tcPr>
            <w:tcW w:w="7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0.74%</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Fullbridge,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8"/>
              </w:rPr>
              <w:t>Cambridge, MA</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56"/>
        </w:trPr>
        <w:tc>
          <w:tcPr>
            <w:tcW w:w="2580" w:type="dxa"/>
            <w:vAlign w:val="bottom"/>
            <w:gridSpan w:val="9"/>
          </w:tcPr>
          <w:p>
            <w:pPr>
              <w:ind w:left="20"/>
              <w:spacing w:after="0" w:line="155" w:lineRule="exact"/>
              <w:rPr>
                <w:sz w:val="20"/>
                <w:szCs w:val="20"/>
                <w:color w:val="auto"/>
              </w:rPr>
            </w:pPr>
            <w:r>
              <w:rPr>
                <w:rFonts w:ascii="Arial" w:cs="Arial" w:eastAsia="Arial" w:hAnsi="Arial"/>
                <w:sz w:val="14"/>
                <w:szCs w:val="14"/>
                <w:color w:val="auto"/>
              </w:rPr>
              <w:t>Convertible Promissory Note 10% Due</w:t>
            </w:r>
          </w:p>
        </w:tc>
        <w:tc>
          <w:tcPr>
            <w:tcW w:w="100" w:type="dxa"/>
            <w:vAlign w:val="bottom"/>
          </w:tcPr>
          <w:p>
            <w:pPr>
              <w:spacing w:after="0"/>
              <w:rPr>
                <w:sz w:val="13"/>
                <w:szCs w:val="13"/>
                <w:color w:val="auto"/>
              </w:rPr>
            </w:pPr>
          </w:p>
        </w:tc>
        <w:tc>
          <w:tcPr>
            <w:tcW w:w="2080" w:type="dxa"/>
            <w:vAlign w:val="bottom"/>
            <w:gridSpan w:val="3"/>
          </w:tcPr>
          <w:p>
            <w:pPr>
              <w:jc w:val="center"/>
              <w:ind w:right="200"/>
              <w:spacing w:after="0" w:line="155" w:lineRule="exact"/>
              <w:rPr>
                <w:sz w:val="20"/>
                <w:szCs w:val="20"/>
                <w:color w:val="auto"/>
              </w:rPr>
            </w:pPr>
            <w:r>
              <w:rPr>
                <w:rFonts w:ascii="Arial" w:cs="Arial" w:eastAsia="Arial" w:hAnsi="Arial"/>
                <w:sz w:val="14"/>
                <w:szCs w:val="14"/>
                <w:color w:val="auto"/>
                <w:w w:val="91"/>
              </w:rPr>
              <w:t>Business Education</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6"/>
        </w:trPr>
        <w:tc>
          <w:tcPr>
            <w:tcW w:w="1000" w:type="dxa"/>
            <w:vAlign w:val="bottom"/>
            <w:gridSpan w:val="3"/>
          </w:tcPr>
          <w:p>
            <w:pPr>
              <w:ind w:left="200"/>
              <w:spacing w:after="0" w:line="176" w:lineRule="exact"/>
              <w:rPr>
                <w:sz w:val="20"/>
                <w:szCs w:val="20"/>
                <w:color w:val="auto"/>
              </w:rPr>
            </w:pPr>
            <w:r>
              <w:rPr>
                <w:rFonts w:ascii="Arial" w:cs="Arial" w:eastAsia="Arial" w:hAnsi="Arial"/>
                <w:sz w:val="13"/>
                <w:szCs w:val="13"/>
                <w:color w:val="auto"/>
              </w:rPr>
              <w:t>3/2/2016</w:t>
            </w:r>
            <w:r>
              <w:rPr>
                <w:rFonts w:ascii="Arial" w:cs="Arial" w:eastAsia="Arial" w:hAnsi="Arial"/>
                <w:sz w:val="20"/>
                <w:szCs w:val="20"/>
                <w:color w:val="auto"/>
                <w:vertAlign w:val="superscript"/>
              </w:rPr>
              <w:t>(3)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1,030,507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1,021,263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354,075</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0.16%</w:t>
            </w:r>
          </w:p>
        </w:tc>
      </w:tr>
      <w:tr>
        <w:trPr>
          <w:trHeight w:val="140"/>
        </w:trPr>
        <w:tc>
          <w:tcPr>
            <w:tcW w:w="2580" w:type="dxa"/>
            <w:vAlign w:val="bottom"/>
            <w:tcBorders>
              <w:left w:val="single" w:sz="8" w:color="CCEEFF"/>
            </w:tcBorders>
            <w:gridSpan w:val="9"/>
            <w:shd w:val="clear" w:color="auto" w:fill="CCEEFF"/>
          </w:tcPr>
          <w:p>
            <w:pPr>
              <w:ind w:left="20"/>
              <w:spacing w:after="0" w:line="140" w:lineRule="exact"/>
              <w:rPr>
                <w:sz w:val="20"/>
                <w:szCs w:val="20"/>
                <w:color w:val="auto"/>
              </w:rPr>
            </w:pPr>
            <w:r>
              <w:rPr>
                <w:rFonts w:ascii="Arial" w:cs="Arial" w:eastAsia="Arial" w:hAnsi="Arial"/>
                <w:sz w:val="14"/>
                <w:szCs w:val="14"/>
                <w:color w:val="auto"/>
              </w:rPr>
              <w:t>Convertible Promissory Note 10% Due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98"/>
        </w:trPr>
        <w:tc>
          <w:tcPr>
            <w:tcW w:w="1000" w:type="dxa"/>
            <w:vAlign w:val="bottom"/>
            <w:tcBorders>
              <w:left w:val="single" w:sz="8" w:color="CCEEFF"/>
              <w:right w:val="single" w:sz="8" w:color="CCEEFF"/>
            </w:tcBorders>
            <w:gridSpan w:val="3"/>
            <w:shd w:val="clear" w:color="auto" w:fill="CCEEFF"/>
          </w:tcPr>
          <w:p>
            <w:pPr>
              <w:ind w:left="200"/>
              <w:spacing w:after="0" w:line="198" w:lineRule="exact"/>
              <w:rPr>
                <w:sz w:val="20"/>
                <w:szCs w:val="20"/>
                <w:color w:val="auto"/>
              </w:rPr>
            </w:pPr>
            <w:r>
              <w:rPr>
                <w:rFonts w:ascii="Arial" w:cs="Arial" w:eastAsia="Arial" w:hAnsi="Arial"/>
                <w:sz w:val="14"/>
                <w:szCs w:val="14"/>
                <w:color w:val="auto"/>
                <w:w w:val="94"/>
              </w:rPr>
              <w:t>3/14/2017</w:t>
            </w:r>
            <w:r>
              <w:rPr>
                <w:rFonts w:ascii="Arial" w:cs="Arial" w:eastAsia="Arial" w:hAnsi="Arial"/>
                <w:sz w:val="22"/>
                <w:szCs w:val="22"/>
                <w:color w:val="auto"/>
                <w:w w:val="94"/>
                <w:vertAlign w:val="superscript"/>
              </w:rPr>
              <w:t>(3)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935,849</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-4150360</wp:posOffset>
            </wp:positionV>
            <wp:extent cx="5213985" cy="111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-3635375</wp:posOffset>
            </wp:positionV>
            <wp:extent cx="5213985" cy="111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-2340610</wp:posOffset>
            </wp:positionV>
            <wp:extent cx="5213985"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-1663065</wp:posOffset>
            </wp:positionV>
            <wp:extent cx="5213985" cy="111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-1242695</wp:posOffset>
            </wp:positionV>
            <wp:extent cx="5213985"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-659765</wp:posOffset>
            </wp:positionV>
            <wp:extent cx="5213985" cy="111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2016</w:t>
      </w: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9"/>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1,655,167</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2,957,062</w:t>
            </w:r>
          </w:p>
        </w:tc>
        <w:tc>
          <w:tcPr>
            <w:tcW w:w="260" w:type="dxa"/>
            <w:vAlign w:val="bottom"/>
            <w:tcBorders>
              <w:left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1,728,724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3,193,444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Expiration Date 3/2/2020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283,106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35,767</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Arial" w:cs="Arial" w:eastAsia="Arial" w:hAnsi="Arial"/>
                <w:sz w:val="14"/>
                <w:szCs w:val="14"/>
                <w:color w:val="auto"/>
              </w:rPr>
              <w:t>Expiration Date 3/22/2020</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186,170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23,521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Expiration Date 5/16/2019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192,308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24,296</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Arial" w:cs="Arial" w:eastAsia="Arial" w:hAnsi="Arial"/>
                <w:sz w:val="14"/>
                <w:szCs w:val="14"/>
                <w:color w:val="auto"/>
              </w:rPr>
              <w:t>Expiration Date 4/3/2019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412,088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52,063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Expiration Date 10/10/2018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82,418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10,412</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Arial" w:cs="Arial" w:eastAsia="Arial" w:hAnsi="Arial"/>
                <w:sz w:val="14"/>
                <w:szCs w:val="14"/>
                <w:color w:val="auto"/>
              </w:rPr>
              <w:t>Expiration Date 12/11/2018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82,418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10,413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Expiration Date 2/18/2019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714,286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90,242</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0"/>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8,418,483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1,289,924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169"/>
        </w:trPr>
        <w:tc>
          <w:tcPr>
            <w:tcW w:w="2580" w:type="dxa"/>
            <w:vAlign w:val="bottom"/>
            <w:gridSpan w:val="11"/>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Strategic Data Command, LLC</w:t>
            </w:r>
            <w:r>
              <w:rPr>
                <w:rFonts w:ascii="Arial" w:cs="Arial" w:eastAsia="Arial" w:hAnsi="Arial"/>
                <w:sz w:val="19"/>
                <w:szCs w:val="19"/>
                <w:b w:val="1"/>
                <w:bCs w:val="1"/>
                <w:color w:val="auto"/>
                <w:vertAlign w:val="superscript"/>
              </w:rPr>
              <w:t>(1)(7)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6"/>
              </w:rPr>
              <w:t>Big Data Consulting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2,400,000</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989,277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1,167,550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176"/>
        </w:trPr>
        <w:tc>
          <w:tcPr>
            <w:tcW w:w="2580" w:type="dxa"/>
            <w:vAlign w:val="bottom"/>
            <w:gridSpan w:val="11"/>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EdSurge, Inc.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Burlingame, CA</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Education Media Platform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378,788</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501,360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527,942</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494,365</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500,801</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546,708</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0"/>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1,002,161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1,074,650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29"/>
        </w:trPr>
        <w:tc>
          <w:tcPr>
            <w:tcW w:w="25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Tynker (f/k/a Neuron Fuel,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Computer Software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534,162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309,310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937,653</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135"/>
        </w:trPr>
        <w:tc>
          <w:tcPr>
            <w:tcW w:w="25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Aspiration Partners,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Marina Del Rey,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1"/>
              </w:rPr>
              <w:t>Financial Services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18,009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1,001,815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797,651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35"/>
        </w:trPr>
        <w:tc>
          <w:tcPr>
            <w:tcW w:w="25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gridSpan w:val="8"/>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(d/b/a S3i))</w:t>
            </w:r>
            <w:r>
              <w:rPr>
                <w:rFonts w:ascii="Arial" w:cs="Arial" w:eastAsia="Arial" w:hAnsi="Arial"/>
                <w:sz w:val="19"/>
                <w:szCs w:val="19"/>
                <w:b w:val="1"/>
                <w:bCs w:val="1"/>
                <w:color w:val="auto"/>
                <w:vertAlign w:val="superscript"/>
              </w:rPr>
              <w:t>(1)</w:t>
            </w: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tcPr>
          <w:p>
            <w:pPr>
              <w:ind w:left="20"/>
              <w:spacing w:after="0" w:line="142" w:lineRule="exact"/>
              <w:rPr>
                <w:sz w:val="20"/>
                <w:szCs w:val="20"/>
                <w:color w:val="auto"/>
              </w:rPr>
            </w:pPr>
            <w:r>
              <w:rPr>
                <w:rFonts w:ascii="Arial" w:cs="Arial" w:eastAsia="Arial" w:hAnsi="Arial"/>
                <w:sz w:val="14"/>
                <w:szCs w:val="14"/>
                <w:color w:val="auto"/>
                <w:w w:val="98"/>
              </w:rPr>
              <w:t>Promissory Note 12%, Due 11/17/2016***</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Sports Analytics</w:t>
            </w:r>
          </w:p>
        </w:tc>
        <w:tc>
          <w:tcPr>
            <w:tcW w:w="2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25,000</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26,544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26,544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9"/>
        </w:trPr>
        <w:tc>
          <w:tcPr>
            <w:tcW w:w="25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1,864,495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1,777,576</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671,023</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30"/>
        </w:trPr>
        <w:tc>
          <w:tcPr>
            <w:tcW w:w="25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Arial" w:cs="Arial" w:eastAsia="Arial" w:hAnsi="Arial"/>
                <w:sz w:val="14"/>
                <w:szCs w:val="14"/>
                <w:color w:val="auto"/>
              </w:rPr>
              <w:t>Expiration Date 11/18/2022</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5,360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Expiration Date 8/29/2021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175,815</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Arial" w:cs="Arial" w:eastAsia="Arial" w:hAnsi="Arial"/>
                <w:sz w:val="14"/>
                <w:szCs w:val="14"/>
                <w:color w:val="auto"/>
              </w:rPr>
              <w:t>Expiration Date 6/26/2021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38,594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Expiration Date 9/30/2020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160,806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0"/>
          </w:tcPr>
          <w:p>
            <w:pPr>
              <w:ind w:left="180"/>
              <w:spacing w:after="0"/>
              <w:rPr>
                <w:sz w:val="20"/>
                <w:szCs w:val="20"/>
                <w:color w:val="auto"/>
              </w:rPr>
            </w:pPr>
            <w:r>
              <w:rPr>
                <w:rFonts w:ascii="Arial" w:cs="Arial" w:eastAsia="Arial" w:hAnsi="Arial"/>
                <w:sz w:val="14"/>
                <w:szCs w:val="14"/>
                <w:color w:val="auto"/>
              </w:rPr>
              <w:t>Expiration Date 11/21/2017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31,354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0"/>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1,836,050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697,567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11"/>
          </w:tcPr>
          <w:p>
            <w:pPr>
              <w:ind w:left="20"/>
              <w:spacing w:after="0" w:line="129" w:lineRule="exact"/>
              <w:rPr>
                <w:sz w:val="20"/>
                <w:szCs w:val="20"/>
                <w:color w:val="auto"/>
              </w:rPr>
            </w:pPr>
            <w:r>
              <w:rPr>
                <w:rFonts w:ascii="Arial" w:cs="Arial" w:eastAsia="Arial" w:hAnsi="Arial"/>
                <w:sz w:val="14"/>
                <w:szCs w:val="14"/>
                <w:b w:val="1"/>
                <w:bCs w:val="1"/>
                <w:color w:val="auto"/>
              </w:rPr>
              <w:t>4C Insights (f/k/a The Echo Systems</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color w:val="auto"/>
                <w:w w:val="95"/>
              </w:rPr>
              <w:t>Chicago, IL</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auto"/>
            </w:tcBorders>
            <w:gridSpan w:val="9"/>
          </w:tcPr>
          <w:p>
            <w:pPr>
              <w:ind w:left="180"/>
              <w:spacing w:after="0" w:line="129" w:lineRule="exact"/>
              <w:rPr>
                <w:sz w:val="20"/>
                <w:szCs w:val="20"/>
                <w:color w:val="auto"/>
              </w:rPr>
            </w:pPr>
            <w:r>
              <w:rPr>
                <w:rFonts w:ascii="Arial" w:cs="Arial" w:eastAsia="Arial" w:hAnsi="Arial"/>
                <w:sz w:val="14"/>
                <w:szCs w:val="14"/>
                <w:b w:val="1"/>
                <w:bCs w:val="1"/>
                <w:color w:val="auto"/>
              </w:rPr>
              <w:t>Corp.)</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Borders>
              <w:top w:val="single" w:sz="8" w:color="CCEEFF"/>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Data Platform</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436,219</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1,436,404</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529,131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76"/>
        </w:trPr>
        <w:tc>
          <w:tcPr>
            <w:tcW w:w="2580" w:type="dxa"/>
            <w:vAlign w:val="bottom"/>
            <w:gridSpan w:val="11"/>
          </w:tcPr>
          <w:p>
            <w:pPr>
              <w:ind w:left="20"/>
              <w:spacing w:after="0" w:line="176" w:lineRule="exact"/>
              <w:rPr>
                <w:sz w:val="20"/>
                <w:szCs w:val="20"/>
                <w:color w:val="auto"/>
              </w:rPr>
            </w:pPr>
            <w:r>
              <w:rPr>
                <w:rFonts w:ascii="Arial" w:cs="Arial" w:eastAsia="Arial" w:hAnsi="Arial"/>
                <w:sz w:val="13"/>
                <w:szCs w:val="13"/>
                <w:b w:val="1"/>
                <w:bCs w:val="1"/>
                <w:color w:val="auto"/>
              </w:rPr>
              <w:t>Cricket Media (f/k/a ePals Inc.)</w:t>
            </w:r>
            <w:r>
              <w:rPr>
                <w:rFonts w:ascii="Arial" w:cs="Arial" w:eastAsia="Arial" w:hAnsi="Arial"/>
                <w:sz w:val="20"/>
                <w:szCs w:val="20"/>
                <w:b w:val="1"/>
                <w:bCs w:val="1"/>
                <w:color w:val="auto"/>
                <w:vertAlign w:val="superscript"/>
              </w:rPr>
              <w:t>(10)</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Herndon, VA</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133,333</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2,448,959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141,866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35"/>
        </w:trPr>
        <w:tc>
          <w:tcPr>
            <w:tcW w:w="25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Upwork Global Inc. (f/k/a Odesk</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7"/>
              </w:rPr>
              <w:t>Mountain View, CA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Borders>
              <w:top w:val="single" w:sz="8" w:color="auto"/>
            </w:tcBorders>
            <w:gridSpan w:val="7"/>
          </w:tcPr>
          <w:p>
            <w:pPr>
              <w:ind w:left="180"/>
              <w:spacing w:after="0" w:line="129" w:lineRule="exact"/>
              <w:rPr>
                <w:sz w:val="20"/>
                <w:szCs w:val="20"/>
                <w:color w:val="auto"/>
              </w:rPr>
            </w:pPr>
            <w:r>
              <w:rPr>
                <w:rFonts w:ascii="Arial" w:cs="Arial" w:eastAsia="Arial" w:hAnsi="Arial"/>
                <w:sz w:val="14"/>
                <w:szCs w:val="14"/>
                <w:b w:val="1"/>
                <w:bCs w:val="1"/>
                <w:color w:val="auto"/>
              </w:rPr>
              <w:t>Corporation)</w:t>
            </w:r>
          </w:p>
        </w:tc>
        <w:tc>
          <w:tcPr>
            <w:tcW w:w="54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Online Workplace Platform</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25,159</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183,269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119,505</w:t>
            </w:r>
          </w:p>
        </w:tc>
        <w:tc>
          <w:tcPr>
            <w:tcW w:w="840" w:type="dxa"/>
            <w:vAlign w:val="bottom"/>
            <w:tcBorders>
              <w:left w:val="single" w:sz="8" w:color="CCEEFF"/>
            </w:tcBorders>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-3361055</wp:posOffset>
            </wp:positionV>
            <wp:extent cx="5213985" cy="111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-2726690</wp:posOffset>
            </wp:positionV>
            <wp:extent cx="5213985" cy="111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-788035</wp:posOffset>
            </wp:positionV>
            <wp:extent cx="5213985" cy="197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19748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2016</w:t>
      </w: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21"/>
        </w:trPr>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70"/>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Earlyshares.com,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180"/>
              <w:spacing w:after="0" w:line="129" w:lineRule="exact"/>
              <w:rPr>
                <w:sz w:val="20"/>
                <w:szCs w:val="20"/>
                <w:color w:val="auto"/>
              </w:rPr>
            </w:pPr>
            <w:r>
              <w:rPr>
                <w:rFonts w:ascii="Arial" w:cs="Arial" w:eastAsia="Arial" w:hAnsi="Arial"/>
                <w:sz w:val="14"/>
                <w:szCs w:val="14"/>
                <w:color w:val="auto"/>
              </w:rPr>
              <w:t>Miami, FL</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56"/>
        </w:trPr>
        <w:tc>
          <w:tcPr>
            <w:tcW w:w="2580" w:type="dxa"/>
            <w:vAlign w:val="bottom"/>
            <w:gridSpan w:val="9"/>
          </w:tcPr>
          <w:p>
            <w:pPr>
              <w:ind w:left="20"/>
              <w:spacing w:after="0" w:line="155" w:lineRule="exact"/>
              <w:rPr>
                <w:sz w:val="20"/>
                <w:szCs w:val="20"/>
                <w:color w:val="auto"/>
              </w:rPr>
            </w:pPr>
            <w:r>
              <w:rPr>
                <w:rFonts w:ascii="Arial" w:cs="Arial" w:eastAsia="Arial" w:hAnsi="Arial"/>
                <w:sz w:val="14"/>
                <w:szCs w:val="14"/>
                <w:color w:val="auto"/>
              </w:rPr>
              <w:t>Convertible Promissory Note 5%,</w:t>
            </w:r>
          </w:p>
        </w:tc>
        <w:tc>
          <w:tcPr>
            <w:tcW w:w="100" w:type="dxa"/>
            <w:vAlign w:val="bottom"/>
          </w:tcPr>
          <w:p>
            <w:pPr>
              <w:spacing w:after="0"/>
              <w:rPr>
                <w:sz w:val="13"/>
                <w:szCs w:val="13"/>
                <w:color w:val="auto"/>
              </w:rPr>
            </w:pPr>
          </w:p>
        </w:tc>
        <w:tc>
          <w:tcPr>
            <w:tcW w:w="2080" w:type="dxa"/>
            <w:vAlign w:val="bottom"/>
            <w:gridSpan w:val="3"/>
          </w:tcPr>
          <w:p>
            <w:pPr>
              <w:jc w:val="center"/>
              <w:ind w:right="180"/>
              <w:spacing w:after="0" w:line="155" w:lineRule="exact"/>
              <w:rPr>
                <w:sz w:val="20"/>
                <w:szCs w:val="20"/>
                <w:color w:val="auto"/>
              </w:rPr>
            </w:pPr>
            <w:r>
              <w:rPr>
                <w:rFonts w:ascii="Arial" w:cs="Arial" w:eastAsia="Arial" w:hAnsi="Arial"/>
                <w:sz w:val="14"/>
                <w:szCs w:val="14"/>
                <w:color w:val="auto"/>
                <w:w w:val="97"/>
              </w:rPr>
              <w:t>Equity Crowdfunding</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6"/>
        </w:trPr>
        <w:tc>
          <w:tcPr>
            <w:tcW w:w="2580" w:type="dxa"/>
            <w:vAlign w:val="bottom"/>
            <w:gridSpan w:val="9"/>
          </w:tcPr>
          <w:p>
            <w:pPr>
              <w:ind w:left="200"/>
              <w:spacing w:after="0" w:line="176" w:lineRule="exact"/>
              <w:rPr>
                <w:sz w:val="20"/>
                <w:szCs w:val="20"/>
                <w:color w:val="auto"/>
              </w:rPr>
            </w:pPr>
            <w:r>
              <w:rPr>
                <w:rFonts w:ascii="Arial" w:cs="Arial" w:eastAsia="Arial" w:hAnsi="Arial"/>
                <w:sz w:val="13"/>
                <w:szCs w:val="13"/>
                <w:color w:val="auto"/>
              </w:rPr>
              <w:t>Due 2/26/2017 ***</w:t>
            </w:r>
            <w:r>
              <w:rPr>
                <w:rFonts w:ascii="Arial" w:cs="Arial" w:eastAsia="Arial" w:hAnsi="Arial"/>
                <w:sz w:val="20"/>
                <w:szCs w:val="20"/>
                <w:color w:val="auto"/>
                <w:vertAlign w:val="superscript"/>
              </w:rPr>
              <w:t>(9)</w:t>
            </w:r>
          </w:p>
        </w:tc>
        <w:tc>
          <w:tcPr>
            <w:tcW w:w="218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50,000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50,840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50,840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0.02%</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165,715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261,598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312,438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50,840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0.02%</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w w:val="98"/>
              </w:rPr>
              <w:t>Orchestra One, Inc. (f/k/a Learnist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0"/>
                <w:szCs w:val="10"/>
                <w:color w:val="auto"/>
              </w:rPr>
            </w:pPr>
          </w:p>
        </w:tc>
        <w:tc>
          <w:tcPr>
            <w:tcW w:w="208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3"/>
              </w:rPr>
              <w:t>Consumer Health</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7"/>
        </w:trPr>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Technology</w:t>
            </w:r>
          </w:p>
        </w:tc>
        <w:tc>
          <w:tcPr>
            <w:tcW w:w="740" w:type="dxa"/>
            <w:vAlign w:val="bottom"/>
          </w:tcPr>
          <w:p>
            <w:pPr>
              <w:jc w:val="right"/>
              <w:spacing w:after="0"/>
              <w:rPr>
                <w:sz w:val="20"/>
                <w:szCs w:val="20"/>
                <w:color w:val="auto"/>
              </w:rPr>
            </w:pPr>
            <w:r>
              <w:rPr>
                <w:rFonts w:ascii="Arial" w:cs="Arial" w:eastAsia="Arial" w:hAnsi="Arial"/>
                <w:sz w:val="14"/>
                <w:szCs w:val="14"/>
                <w:color w:val="auto"/>
              </w:rPr>
              <w:t>57,026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4,959,614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4,361</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AliphCom, Inc. (d/b/a Jawbone)</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3"/>
              </w:rPr>
              <w:t>Smart Device Company</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793,152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2,789</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AlwaysOn, Inc.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3"/>
              </w:rPr>
              <w:t>Woodside, CA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Social Media</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4,465,925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876,023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1,066,626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1,027,391</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9"/>
              </w:rPr>
              <w:t>Preferred warrants Series A, $1.00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580" w:type="dxa"/>
            <w:vAlign w:val="bottom"/>
            <w:gridSpan w:val="9"/>
          </w:tcPr>
          <w:p>
            <w:pPr>
              <w:ind w:left="200"/>
              <w:spacing w:after="0"/>
              <w:rPr>
                <w:sz w:val="20"/>
                <w:szCs w:val="20"/>
                <w:color w:val="auto"/>
              </w:rPr>
            </w:pPr>
            <w:r>
              <w:rPr>
                <w:rFonts w:ascii="Arial" w:cs="Arial" w:eastAsia="Arial" w:hAnsi="Arial"/>
                <w:sz w:val="14"/>
                <w:szCs w:val="14"/>
                <w:color w:val="auto"/>
              </w:rPr>
              <w:t>Price, Expiration Date 1/9/2017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109,375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tcBorders>
              <w:left w:val="single" w:sz="8" w:color="CCEEFF"/>
            </w:tcBorders>
            <w:gridSpan w:val="9"/>
            <w:shd w:val="clear" w:color="auto" w:fill="CCEEFF"/>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1,903,414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Global Education Learning (Holdings)</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r>
      <w:tr>
        <w:trPr>
          <w:trHeight w:val="169"/>
        </w:trPr>
        <w:tc>
          <w:tcPr>
            <w:tcW w:w="2380" w:type="dxa"/>
            <w:vAlign w:val="bottom"/>
            <w:tcBorders>
              <w:top w:val="single" w:sz="8" w:color="auto"/>
            </w:tcBorders>
            <w:gridSpan w:val="7"/>
          </w:tcPr>
          <w:p>
            <w:pPr>
              <w:ind w:left="200"/>
              <w:spacing w:after="0" w:line="169" w:lineRule="exact"/>
              <w:rPr>
                <w:sz w:val="20"/>
                <w:szCs w:val="20"/>
                <w:color w:val="auto"/>
              </w:rPr>
            </w:pPr>
            <w:r>
              <w:rPr>
                <w:rFonts w:ascii="Arial" w:cs="Arial" w:eastAsia="Arial" w:hAnsi="Arial"/>
                <w:sz w:val="12"/>
                <w:szCs w:val="12"/>
                <w:b w:val="1"/>
                <w:bCs w:val="1"/>
                <w:color w:val="auto"/>
              </w:rPr>
              <w:t>Ltd.</w:t>
            </w:r>
            <w:r>
              <w:rPr>
                <w:rFonts w:ascii="Arial" w:cs="Arial" w:eastAsia="Arial" w:hAnsi="Arial"/>
                <w:sz w:val="19"/>
                <w:szCs w:val="19"/>
                <w:b w:val="1"/>
                <w:bCs w:val="1"/>
                <w:color w:val="auto"/>
                <w:vertAlign w:val="superscript"/>
              </w:rPr>
              <w:t>(1)</w:t>
            </w:r>
            <w:r>
              <w:rPr>
                <w:rFonts w:ascii="Arial" w:cs="Arial" w:eastAsia="Arial" w:hAnsi="Arial"/>
                <w:sz w:val="12"/>
                <w:szCs w:val="12"/>
                <w:b w:val="1"/>
                <w:bCs w:val="1"/>
                <w:color w:val="auto"/>
              </w:rPr>
              <w:t>**</w:t>
            </w:r>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200"/>
              <w:spacing w:after="0"/>
              <w:rPr>
                <w:sz w:val="20"/>
                <w:szCs w:val="20"/>
                <w:color w:val="auto"/>
              </w:rPr>
            </w:pPr>
            <w:r>
              <w:rPr>
                <w:rFonts w:ascii="Arial" w:cs="Arial" w:eastAsia="Arial" w:hAnsi="Arial"/>
                <w:sz w:val="14"/>
                <w:szCs w:val="14"/>
                <w:color w:val="auto"/>
                <w:w w:val="97"/>
              </w:rPr>
              <w:t>Hong Kong</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tcBorders>
              <w:left w:val="single" w:sz="8" w:color="CCEEFF"/>
            </w:tcBorders>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180"/>
              <w:spacing w:after="0" w:line="142" w:lineRule="exact"/>
              <w:rPr>
                <w:sz w:val="20"/>
                <w:szCs w:val="20"/>
                <w:color w:val="auto"/>
              </w:rPr>
            </w:pPr>
            <w:r>
              <w:rPr>
                <w:rFonts w:ascii="Arial" w:cs="Arial" w:eastAsia="Arial" w:hAnsi="Arial"/>
                <w:sz w:val="14"/>
                <w:szCs w:val="14"/>
                <w:color w:val="auto"/>
                <w:w w:val="93"/>
              </w:rPr>
              <w:t>Education Technology</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2,126,475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675,495</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b w:val="1"/>
                <w:bCs w:val="1"/>
                <w:color w:val="auto"/>
              </w:rPr>
              <w:t>Total Portfolio Investments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278,426,095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298,269,956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133.38%</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U.S. Treasury</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U.S. Treasury Bill, 0%,</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7"/>
        </w:trPr>
        <w:tc>
          <w:tcPr>
            <w:tcW w:w="2580" w:type="dxa"/>
            <w:vAlign w:val="bottom"/>
            <w:gridSpan w:val="9"/>
          </w:tcPr>
          <w:p>
            <w:pPr>
              <w:ind w:left="200"/>
              <w:spacing w:after="0"/>
              <w:rPr>
                <w:sz w:val="20"/>
                <w:szCs w:val="20"/>
                <w:color w:val="auto"/>
              </w:rPr>
            </w:pPr>
            <w:r>
              <w:rPr>
                <w:rFonts w:ascii="Arial" w:cs="Arial" w:eastAsia="Arial" w:hAnsi="Arial"/>
                <w:sz w:val="14"/>
                <w:szCs w:val="14"/>
                <w:color w:val="auto"/>
              </w:rPr>
              <w:t>due 10/6/2016***</w:t>
            </w:r>
          </w:p>
        </w:tc>
        <w:tc>
          <w:tcPr>
            <w:tcW w:w="218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30,000,000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29,999,935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29,999,935</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13.42%</w:t>
            </w:r>
          </w:p>
        </w:tc>
      </w:tr>
      <w:tr>
        <w:trPr>
          <w:trHeight w:val="20"/>
        </w:trPr>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2580" w:type="dxa"/>
            <w:vAlign w:val="bottom"/>
            <w:tcBorders>
              <w:left w:val="single" w:sz="8" w:color="CCEEFF"/>
            </w:tcBorders>
            <w:gridSpan w:val="9"/>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308,426,030</w:t>
            </w:r>
          </w:p>
        </w:tc>
        <w:tc>
          <w:tcPr>
            <w:tcW w:w="24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328,269,891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146.80%</w:t>
            </w:r>
          </w:p>
        </w:tc>
      </w:tr>
      <w:tr>
        <w:trPr>
          <w:trHeight w:val="264"/>
        </w:trPr>
        <w:tc>
          <w:tcPr>
            <w:tcW w:w="200" w:type="dxa"/>
            <w:vAlign w:val="bottom"/>
            <w:tcBorders>
              <w:top w:val="single" w:sz="8" w:color="CCEEFF"/>
              <w:bottom w:val="single" w:sz="8" w:color="auto"/>
            </w:tcBorders>
          </w:tcPr>
          <w:p>
            <w:pPr>
              <w:spacing w:after="0"/>
              <w:rPr>
                <w:sz w:val="22"/>
                <w:szCs w:val="22"/>
                <w:color w:val="auto"/>
              </w:rPr>
            </w:pPr>
          </w:p>
        </w:tc>
        <w:tc>
          <w:tcPr>
            <w:tcW w:w="260" w:type="dxa"/>
            <w:vAlign w:val="bottom"/>
            <w:tcBorders>
              <w:top w:val="single" w:sz="8" w:color="CCEEFF"/>
              <w:bottom w:val="single" w:sz="8" w:color="auto"/>
            </w:tcBorders>
          </w:tcPr>
          <w:p>
            <w:pPr>
              <w:spacing w:after="0"/>
              <w:rPr>
                <w:sz w:val="22"/>
                <w:szCs w:val="22"/>
                <w:color w:val="auto"/>
              </w:rPr>
            </w:pPr>
          </w:p>
        </w:tc>
        <w:tc>
          <w:tcPr>
            <w:tcW w:w="400" w:type="dxa"/>
            <w:vAlign w:val="bottom"/>
            <w:tcBorders>
              <w:top w:val="single" w:sz="8" w:color="CCEEFF"/>
              <w:bottom w:val="single" w:sz="8" w:color="auto"/>
            </w:tcBorders>
          </w:tcPr>
          <w:p>
            <w:pPr>
              <w:spacing w:after="0"/>
              <w:rPr>
                <w:sz w:val="22"/>
                <w:szCs w:val="22"/>
                <w:color w:val="auto"/>
              </w:rPr>
            </w:pPr>
          </w:p>
        </w:tc>
        <w:tc>
          <w:tcPr>
            <w:tcW w:w="140" w:type="dxa"/>
            <w:vAlign w:val="bottom"/>
            <w:tcBorders>
              <w:top w:val="single" w:sz="8" w:color="CCEEFF"/>
              <w:bottom w:val="single" w:sz="8" w:color="auto"/>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8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-2211705</wp:posOffset>
            </wp:positionV>
            <wp:extent cx="5213985" cy="111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-1028700</wp:posOffset>
            </wp:positionV>
            <wp:extent cx="5213985"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2228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-711200</wp:posOffset>
            </wp:positionV>
            <wp:extent cx="5213985" cy="111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739" w:hanging="272"/>
        <w:spacing w:after="0" w:line="259"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 All investments are pledged as collateral, unless otherwise noted, to the Credit Facility. The Company’s officers and staff may serve on the board of directors of the Company’s portfolio investments.</w:t>
      </w:r>
    </w:p>
    <w:p>
      <w:pPr>
        <w:spacing w:after="0" w:line="79" w:lineRule="exact"/>
        <w:rPr>
          <w:sz w:val="20"/>
          <w:szCs w:val="20"/>
          <w:color w:val="auto"/>
        </w:rPr>
      </w:pPr>
    </w:p>
    <w:p>
      <w:pPr>
        <w:jc w:val="both"/>
        <w:ind w:left="300" w:right="879" w:hanging="272"/>
        <w:spacing w:after="0" w:line="264"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 Of GSV Capital Corp.’s total portfolio, 7.5% of its total investments are non-qualifying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99" w:hanging="272"/>
        <w:spacing w:after="0" w:line="286" w:lineRule="auto"/>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as amended.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ind w:left="300" w:right="599" w:hanging="272"/>
        <w:spacing w:after="0" w:line="312" w:lineRule="auto"/>
        <w:tabs>
          <w:tab w:leader="none" w:pos="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as amended. A company is deemed to be a “Controlled Company” of GSV Capital Corp. if GSV Capital Corp. owns more than 25% of the voting securities of such company.</w:t>
      </w:r>
    </w:p>
    <w:p>
      <w:pPr>
        <w:spacing w:after="0" w:line="38" w:lineRule="exact"/>
        <w:rPr>
          <w:rFonts w:ascii="Arial" w:cs="Arial" w:eastAsia="Arial" w:hAnsi="Arial"/>
          <w:sz w:val="16"/>
          <w:szCs w:val="16"/>
          <w:color w:val="auto"/>
        </w:rPr>
      </w:pPr>
    </w:p>
    <w:p>
      <w:pPr>
        <w:ind w:left="300" w:hanging="27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were on non-accrual status as of September 30, 2016.</w:t>
      </w:r>
    </w:p>
    <w:p>
      <w:pPr>
        <w:spacing w:after="0" w:line="117" w:lineRule="exact"/>
        <w:rPr>
          <w:rFonts w:ascii="Arial" w:cs="Arial" w:eastAsia="Arial" w:hAnsi="Arial"/>
          <w:sz w:val="18"/>
          <w:szCs w:val="18"/>
          <w:color w:val="auto"/>
        </w:rPr>
      </w:pPr>
    </w:p>
    <w:p>
      <w:pPr>
        <w:ind w:left="300" w:right="959" w:hanging="272"/>
        <w:spacing w:after="0" w:line="277"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w:t>
      </w:r>
    </w:p>
    <w:p>
      <w:pPr>
        <w:spacing w:after="0" w:line="62" w:lineRule="exact"/>
        <w:rPr>
          <w:rFonts w:ascii="Arial" w:cs="Arial" w:eastAsia="Arial" w:hAnsi="Arial"/>
          <w:sz w:val="18"/>
          <w:szCs w:val="18"/>
          <w:color w:val="auto"/>
        </w:rPr>
      </w:pPr>
    </w:p>
    <w:p>
      <w:pPr>
        <w:jc w:val="both"/>
        <w:ind w:left="300" w:right="559" w:hanging="272"/>
        <w:spacing w:after="0" w:line="264"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ind w:left="280" w:right="759"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739" w:hanging="272"/>
        <w:spacing w:after="0" w:line="264"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CUX, Inc. (d/b/a CorpU), or (b) the maturity of the note (November 26, 2018). Interest began compounding annually on November 26, 2015.</w:t>
      </w:r>
    </w:p>
    <w:p>
      <w:pPr>
        <w:spacing w:after="0" w:line="73" w:lineRule="exact"/>
        <w:rPr>
          <w:rFonts w:ascii="Arial" w:cs="Arial" w:eastAsia="Arial" w:hAnsi="Arial"/>
          <w:sz w:val="18"/>
          <w:szCs w:val="18"/>
          <w:color w:val="auto"/>
        </w:rPr>
      </w:pPr>
    </w:p>
    <w:p>
      <w:pPr>
        <w:ind w:left="280" w:right="739" w:hanging="272"/>
        <w:spacing w:after="0" w:line="264"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Earlyshares.com, Inc., or (b) the maturity of the note (February 26, 2017). Interest began compounding annually on February 26,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(10)On June 6, 2016, Cricket Media (f/k/a ePals Inc.) declared a 10:1 reverse split of its common shares.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10"/>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Palantir Technologies,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6"/>
              </w:rPr>
              <w:t>Palo Alto,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G</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Data Analysis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326,797</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1,008,968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3,018,787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16,189,935</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53,334,461</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17,198,903</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56,353,248</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21.03%</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Dropbox,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Online Storage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552,486</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5,015,773</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9,359,241</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760,000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8,641,153</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12,872,947</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13,656,926</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22,232,188</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Twitter,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Social Communication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800,600</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14,271,866</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18,525,884</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Spotify Technology S.A.**</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Stockholm, Sweden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Music Streaming Service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9,541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13,599,572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16,219,700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Coursera,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2,961,399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14,519,519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14,435,486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Beamreach Solar, Inc.</w:t>
            </w:r>
          </w:p>
        </w:tc>
        <w:tc>
          <w:tcPr>
            <w:tcW w:w="100" w:type="dxa"/>
            <w:vAlign w:val="bottom"/>
            <w:shd w:val="clear" w:color="auto" w:fill="CCEEFF"/>
          </w:tcPr>
          <w:p>
            <w:pPr>
              <w:spacing w:after="0"/>
              <w:rPr>
                <w:sz w:val="11"/>
                <w:szCs w:val="11"/>
                <w:color w:val="auto"/>
              </w:rPr>
            </w:pP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Milpitas,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60" w:type="dxa"/>
            <w:vAlign w:val="bottom"/>
            <w:tcBorders>
              <w:top w:val="single" w:sz="8" w:color="auto"/>
              <w:left w:val="single" w:sz="8" w:color="CCEEFF"/>
              <w:right w:val="single" w:sz="8" w:color="CCEEFF"/>
            </w:tcBorders>
            <w:gridSpan w:val="5"/>
            <w:shd w:val="clear" w:color="auto" w:fill="CCEEFF"/>
          </w:tcPr>
          <w:p>
            <w:pPr>
              <w:ind w:left="200"/>
              <w:spacing w:after="0" w:line="129" w:lineRule="exact"/>
              <w:rPr>
                <w:sz w:val="20"/>
                <w:szCs w:val="20"/>
                <w:color w:val="auto"/>
              </w:rPr>
            </w:pPr>
            <w:r>
              <w:rPr>
                <w:rFonts w:ascii="Arial" w:cs="Arial" w:eastAsia="Arial" w:hAnsi="Arial"/>
                <w:sz w:val="14"/>
                <w:szCs w:val="14"/>
                <w:b w:val="1"/>
                <w:bCs w:val="1"/>
                <w:color w:val="auto"/>
                <w:w w:val="91"/>
              </w:rPr>
              <w:t>(f/k/a Solexel. Inc.)</w:t>
            </w:r>
          </w:p>
        </w:tc>
        <w:tc>
          <w:tcPr>
            <w:tcW w:w="480" w:type="dxa"/>
            <w:vAlign w:val="bottom"/>
            <w:tcBorders>
              <w:top w:val="single" w:sz="8" w:color="CCEEFF"/>
            </w:tcBorders>
            <w:gridSpan w:val="3"/>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vMerge w:val="continue"/>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Solar Power</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1,613,413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2,419,751</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2,420,120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5,300,158</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11,598,648</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11,607,346</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14,018,399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14,027,466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tcBorders>
            <w:gridSpan w:val="10"/>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PayNearMe,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Cash Payment Network</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5,480,348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14,000,398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13,974,887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Lyft,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1"/>
              </w:rPr>
              <w:t>Peer to Peer Ridesharing</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128,563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2,503,585</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2,976,876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493,490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5,003,631</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10,992,490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7,507,216</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13,969,366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tcBorders>
            <w:gridSpan w:val="10"/>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Declara, Inc.</w:t>
            </w:r>
            <w:r>
              <w:rPr>
                <w:rFonts w:ascii="Arial" w:cs="Arial" w:eastAsia="Arial" w:hAnsi="Arial"/>
                <w:sz w:val="19"/>
                <w:szCs w:val="19"/>
                <w:b w:val="1"/>
                <w:bCs w:val="1"/>
                <w:color w:val="auto"/>
                <w:vertAlign w:val="superscript"/>
              </w:rPr>
              <w:t>(1)(12)</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10"/>
          </w:tcPr>
          <w:p>
            <w:pPr>
              <w:ind w:left="20"/>
              <w:spacing w:after="0" w:line="123" w:lineRule="exact"/>
              <w:rPr>
                <w:sz w:val="20"/>
                <w:szCs w:val="20"/>
                <w:color w:val="auto"/>
              </w:rPr>
            </w:pPr>
            <w:r>
              <w:rPr>
                <w:rFonts w:ascii="Arial" w:cs="Arial" w:eastAsia="Arial" w:hAnsi="Arial"/>
                <w:sz w:val="14"/>
                <w:szCs w:val="14"/>
                <w:color w:val="auto"/>
              </w:rPr>
              <w:t>Convertible Promissory Note 6%</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80" w:type="dxa"/>
            <w:vAlign w:val="bottom"/>
            <w:gridSpan w:val="10"/>
          </w:tcPr>
          <w:p>
            <w:pPr>
              <w:ind w:left="200"/>
              <w:spacing w:after="0"/>
              <w:rPr>
                <w:sz w:val="20"/>
                <w:szCs w:val="20"/>
                <w:color w:val="auto"/>
              </w:rPr>
            </w:pPr>
            <w:r>
              <w:rPr>
                <w:rFonts w:ascii="Arial" w:cs="Arial" w:eastAsia="Arial" w:hAnsi="Arial"/>
                <w:sz w:val="14"/>
                <w:szCs w:val="14"/>
                <w:color w:val="auto"/>
              </w:rPr>
              <w:t>Due 12/30/2016***</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6"/>
              </w:rPr>
              <w:t>Palo Alto, CA</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2,000,000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Social Cognitive Learning</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10,716,390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11,999,999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11,999,999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General Assembly Space,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126,552</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2,999,978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5,765,799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133,213</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2,999,983</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5,755,573</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5,999,961</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11,521,372</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29"/>
        </w:trPr>
        <w:tc>
          <w:tcPr>
            <w:tcW w:w="2580" w:type="dxa"/>
            <w:vAlign w:val="bottom"/>
            <w:tcBorders>
              <w:left w:val="single" w:sz="8" w:color="CCEEFF"/>
            </w:tcBorders>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Dataminr,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7"/>
              </w:rPr>
              <w:t>Social Media Analytics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301,369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1,100,909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2,845,044</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580" w:type="dxa"/>
            <w:vAlign w:val="bottom"/>
            <w:tcBorders>
              <w:left w:val="single" w:sz="8" w:color="CCEEFF"/>
            </w:tcBorders>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904,977</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2,063,356</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8,543,345</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3,164,265</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11,388,389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69"/>
        </w:trPr>
        <w:tc>
          <w:tcPr>
            <w:tcW w:w="2580" w:type="dxa"/>
            <w:vAlign w:val="bottom"/>
            <w:tcBorders>
              <w:left w:val="single" w:sz="8" w:color="CCEEFF"/>
            </w:tcBorders>
            <w:gridSpan w:val="10"/>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Avenues Global Holdings, LLC</w:t>
            </w:r>
            <w:r>
              <w:rPr>
                <w:rFonts w:ascii="Arial" w:cs="Arial" w:eastAsia="Arial" w:hAnsi="Arial"/>
                <w:sz w:val="19"/>
                <w:szCs w:val="19"/>
                <w:b w:val="1"/>
                <w:bCs w:val="1"/>
                <w:color w:val="auto"/>
                <w:vertAlign w:val="superscript"/>
              </w:rPr>
              <w:t>(3)</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10"/>
          </w:tcPr>
          <w:p>
            <w:pPr>
              <w:ind w:left="20"/>
              <w:spacing w:after="0" w:line="123" w:lineRule="exact"/>
              <w:rPr>
                <w:sz w:val="20"/>
                <w:szCs w:val="20"/>
                <w:color w:val="auto"/>
              </w:rPr>
            </w:pPr>
            <w:r>
              <w:rPr>
                <w:rFonts w:ascii="Arial" w:cs="Arial" w:eastAsia="Arial" w:hAnsi="Arial"/>
                <w:sz w:val="14"/>
                <w:szCs w:val="14"/>
                <w:color w:val="auto"/>
              </w:rPr>
              <w:t>Preferred shares, Junior Preferred Stock</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Globally-focused Private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School</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10,014,270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10,151,857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11,015,633</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35"/>
        </w:trPr>
        <w:tc>
          <w:tcPr>
            <w:tcW w:w="2580" w:type="dxa"/>
            <w:vAlign w:val="bottom"/>
            <w:tcBorders>
              <w:left w:val="single" w:sz="8" w:color="CCEEFF"/>
            </w:tcBorders>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JAMF Holdings,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9"/>
              </w:rPr>
              <w:t>Minneapolis, MN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80" w:type="dxa"/>
            <w:vAlign w:val="bottom"/>
            <w:gridSpan w:val="10"/>
          </w:tcPr>
          <w:p>
            <w:pPr>
              <w:ind w:left="20"/>
              <w:spacing w:after="0"/>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Mobile Device Management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73,440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9,999,928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10,722,799</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-3991610</wp:posOffset>
            </wp:positionV>
            <wp:extent cx="5213985" cy="1117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-3596640</wp:posOffset>
            </wp:positionV>
            <wp:extent cx="5213985" cy="1117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-2541905</wp:posOffset>
            </wp:positionV>
            <wp:extent cx="5213985" cy="1117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-1932940</wp:posOffset>
            </wp:positionV>
            <wp:extent cx="5213985" cy="1117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-1418590</wp:posOffset>
            </wp:positionV>
            <wp:extent cx="5213985" cy="111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-1024255</wp:posOffset>
            </wp:positionV>
            <wp:extent cx="5213985" cy="1117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-629920</wp:posOffset>
            </wp:positionV>
            <wp:extent cx="5213985" cy="1117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 w:name="page17"/>
    <w:bookmarkEnd w:id="1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69"/>
        </w:trPr>
        <w:tc>
          <w:tcPr>
            <w:tcW w:w="2580" w:type="dxa"/>
            <w:vAlign w:val="bottom"/>
            <w:gridSpan w:val="8"/>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Ozy Media,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7"/>
              </w:rPr>
              <w:t>Mountain View, CA</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2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Daily News and</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922,509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4,999,999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4,690,178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1.75%</w:t>
            </w: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7"/>
              </w:rPr>
              <w:t>Information Site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1,090,909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3,000,200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3,907,004</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1,531,812</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0.57%</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7"/>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8,500,199</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10,128,994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3.78%</w:t>
            </w:r>
          </w:p>
        </w:tc>
      </w:tr>
      <w:tr>
        <w:trPr>
          <w:trHeight w:val="169"/>
        </w:trPr>
        <w:tc>
          <w:tcPr>
            <w:tcW w:w="2580" w:type="dxa"/>
            <w:vAlign w:val="bottom"/>
            <w:tcBorders>
              <w:top w:val="single" w:sz="8" w:color="CCEEFF"/>
            </w:tcBorders>
            <w:gridSpan w:val="8"/>
          </w:tcPr>
          <w:p>
            <w:pPr>
              <w:ind w:left="20"/>
              <w:spacing w:after="0" w:line="169" w:lineRule="exact"/>
              <w:rPr>
                <w:sz w:val="20"/>
                <w:szCs w:val="20"/>
                <w:color w:val="auto"/>
              </w:rPr>
            </w:pPr>
            <w:r>
              <w:rPr>
                <w:rFonts w:ascii="Arial" w:cs="Arial" w:eastAsia="Arial" w:hAnsi="Arial"/>
                <w:sz w:val="12"/>
                <w:szCs w:val="12"/>
                <w:b w:val="1"/>
                <w:bCs w:val="1"/>
                <w:color w:val="auto"/>
              </w:rPr>
              <w:t>Curious.com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2080" w:type="dxa"/>
            <w:vAlign w:val="bottom"/>
            <w:tcBorders>
              <w:top w:val="single" w:sz="8" w:color="CCEEFF"/>
            </w:tcBorders>
            <w:gridSpan w:val="3"/>
          </w:tcPr>
          <w:p>
            <w:pPr>
              <w:jc w:val="center"/>
              <w:ind w:right="200"/>
              <w:spacing w:after="0"/>
              <w:rPr>
                <w:sz w:val="20"/>
                <w:szCs w:val="20"/>
                <w:color w:val="auto"/>
              </w:rPr>
            </w:pPr>
            <w:r>
              <w:rPr>
                <w:rFonts w:ascii="Arial" w:cs="Arial" w:eastAsia="Arial" w:hAnsi="Arial"/>
                <w:sz w:val="14"/>
                <w:szCs w:val="14"/>
                <w:color w:val="auto"/>
                <w:w w:val="97"/>
              </w:rPr>
              <w:t>Menlo Park, CA</w:t>
            </w: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3"/>
              </w:rPr>
              <w:t>Online Education</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2,839,861</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10,000,003</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9,996,311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3.73%</w:t>
            </w:r>
          </w:p>
        </w:tc>
      </w:tr>
      <w:tr>
        <w:trPr>
          <w:trHeight w:val="135"/>
        </w:trPr>
        <w:tc>
          <w:tcPr>
            <w:tcW w:w="2580" w:type="dxa"/>
            <w:vAlign w:val="bottom"/>
            <w:gridSpan w:val="8"/>
          </w:tcPr>
          <w:p>
            <w:pPr>
              <w:ind w:left="20"/>
              <w:spacing w:after="0" w:line="135" w:lineRule="exact"/>
              <w:rPr>
                <w:sz w:val="20"/>
                <w:szCs w:val="20"/>
                <w:color w:val="auto"/>
              </w:rPr>
            </w:pPr>
            <w:r>
              <w:rPr>
                <w:rFonts w:ascii="Arial" w:cs="Arial" w:eastAsia="Arial" w:hAnsi="Arial"/>
                <w:sz w:val="14"/>
                <w:szCs w:val="14"/>
                <w:b w:val="1"/>
                <w:bCs w:val="1"/>
                <w:color w:val="auto"/>
              </w:rPr>
              <w:t>SugarCRM, Inc.</w:t>
            </w:r>
          </w:p>
        </w:tc>
        <w:tc>
          <w:tcPr>
            <w:tcW w:w="100" w:type="dxa"/>
            <w:vAlign w:val="bottom"/>
          </w:tcPr>
          <w:p>
            <w:pPr>
              <w:spacing w:after="0"/>
              <w:rPr>
                <w:sz w:val="11"/>
                <w:szCs w:val="11"/>
                <w:color w:val="auto"/>
              </w:rPr>
            </w:pPr>
          </w:p>
        </w:tc>
        <w:tc>
          <w:tcPr>
            <w:tcW w:w="2080" w:type="dxa"/>
            <w:vAlign w:val="bottom"/>
            <w:gridSpan w:val="3"/>
          </w:tcPr>
          <w:p>
            <w:pPr>
              <w:jc w:val="center"/>
              <w:ind w:right="200"/>
              <w:spacing w:after="0" w:line="135" w:lineRule="exact"/>
              <w:rPr>
                <w:sz w:val="20"/>
                <w:szCs w:val="20"/>
                <w:color w:val="auto"/>
              </w:rPr>
            </w:pPr>
            <w:r>
              <w:rPr>
                <w:rFonts w:ascii="Arial" w:cs="Arial" w:eastAsia="Arial" w:hAnsi="Arial"/>
                <w:sz w:val="14"/>
                <w:szCs w:val="14"/>
                <w:color w:val="auto"/>
                <w:w w:val="95"/>
              </w:rPr>
              <w:t>Cupertino, CA</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3"/>
              </w:rPr>
              <w:t>Customer Relationship</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373,134</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1,500,522</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2,152,983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0.80%</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Manager</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1,524,799</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5,476,502</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7,830,323</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2.92%</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7"/>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6,977,024</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9,983,306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3.72%</w:t>
            </w:r>
          </w:p>
        </w:tc>
      </w:tr>
      <w:tr>
        <w:trPr>
          <w:trHeight w:val="169"/>
        </w:trPr>
        <w:tc>
          <w:tcPr>
            <w:tcW w:w="2580" w:type="dxa"/>
            <w:vAlign w:val="bottom"/>
            <w:tcBorders>
              <w:top w:val="single" w:sz="8" w:color="CCEEFF"/>
            </w:tcBorders>
            <w:gridSpan w:val="8"/>
          </w:tcPr>
          <w:p>
            <w:pPr>
              <w:ind w:left="20"/>
              <w:spacing w:after="0" w:line="169" w:lineRule="exact"/>
              <w:rPr>
                <w:sz w:val="20"/>
                <w:szCs w:val="20"/>
                <w:color w:val="auto"/>
              </w:rPr>
            </w:pPr>
            <w:r>
              <w:rPr>
                <w:rFonts w:ascii="Arial" w:cs="Arial" w:eastAsia="Arial" w:hAnsi="Arial"/>
                <w:sz w:val="12"/>
                <w:szCs w:val="12"/>
                <w:b w:val="1"/>
                <w:bCs w:val="1"/>
                <w:color w:val="auto"/>
              </w:rPr>
              <w:t>StormWind, LLC</w:t>
            </w:r>
            <w:r>
              <w:rPr>
                <w:rFonts w:ascii="Arial" w:cs="Arial" w:eastAsia="Arial" w:hAnsi="Arial"/>
                <w:sz w:val="19"/>
                <w:szCs w:val="19"/>
                <w:b w:val="1"/>
                <w:bCs w:val="1"/>
                <w:color w:val="auto"/>
                <w:vertAlign w:val="superscript"/>
              </w:rPr>
              <w:t>(2)(5)</w:t>
            </w:r>
          </w:p>
        </w:tc>
        <w:tc>
          <w:tcPr>
            <w:tcW w:w="100" w:type="dxa"/>
            <w:vAlign w:val="bottom"/>
            <w:tcBorders>
              <w:top w:val="single" w:sz="8" w:color="CCEEFF"/>
            </w:tcBorders>
          </w:tcPr>
          <w:p>
            <w:pPr>
              <w:spacing w:after="0"/>
              <w:rPr>
                <w:sz w:val="14"/>
                <w:szCs w:val="14"/>
                <w:color w:val="auto"/>
              </w:rPr>
            </w:pPr>
          </w:p>
        </w:tc>
        <w:tc>
          <w:tcPr>
            <w:tcW w:w="2080" w:type="dxa"/>
            <w:vAlign w:val="bottom"/>
            <w:tcBorders>
              <w:top w:val="single" w:sz="8" w:color="CCEEFF"/>
            </w:tcBorders>
            <w:gridSpan w:val="3"/>
          </w:tcPr>
          <w:p>
            <w:pPr>
              <w:jc w:val="center"/>
              <w:ind w:right="200"/>
              <w:spacing w:after="0"/>
              <w:rPr>
                <w:sz w:val="20"/>
                <w:szCs w:val="20"/>
                <w:color w:val="auto"/>
              </w:rPr>
            </w:pPr>
            <w:r>
              <w:rPr>
                <w:rFonts w:ascii="Arial" w:cs="Arial" w:eastAsia="Arial" w:hAnsi="Arial"/>
                <w:sz w:val="14"/>
                <w:szCs w:val="14"/>
                <w:color w:val="auto"/>
                <w:w w:val="92"/>
              </w:rPr>
              <w:t>Scottsdale, AZ</w:t>
            </w: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4"/>
              </w:rPr>
              <w:t>Interactive Learning</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2,779,134</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4,000,787</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4,599,718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1.72%</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3,279,629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2,019,687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4,633,228</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1.73%</w:t>
            </w: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366,666</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518,000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0.19%</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7"/>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6,130,474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9,750,946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3.64%</w:t>
            </w:r>
          </w:p>
        </w:tc>
      </w:tr>
      <w:tr>
        <w:trPr>
          <w:trHeight w:val="129"/>
        </w:trPr>
        <w:tc>
          <w:tcPr>
            <w:tcW w:w="2580" w:type="dxa"/>
            <w:vAlign w:val="bottom"/>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Chegg,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0"/>
              </w:rPr>
              <w:t>Santa Clara,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Textbook Rental</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1,182,792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14,022,863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7,960,190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2.97%</w:t>
            </w:r>
          </w:p>
        </w:tc>
      </w:tr>
      <w:tr>
        <w:trPr>
          <w:trHeight w:val="135"/>
        </w:trPr>
        <w:tc>
          <w:tcPr>
            <w:tcW w:w="2580" w:type="dxa"/>
            <w:vAlign w:val="bottom"/>
            <w:gridSpan w:val="8"/>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Lytro,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w w:val="97"/>
              </w:rPr>
              <w:t>Mountain View,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C-1</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Consumer Electronics</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2,533,784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7,500,001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7,500,001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2.80%</w:t>
            </w:r>
          </w:p>
        </w:tc>
      </w:tr>
      <w:tr>
        <w:trPr>
          <w:trHeight w:val="176"/>
        </w:trPr>
        <w:tc>
          <w:tcPr>
            <w:tcW w:w="258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NestGSV, Inc. (d/b/a GSV Labs, Inc.)</w:t>
            </w:r>
            <w:r>
              <w:rPr>
                <w:rFonts w:ascii="Arial" w:cs="Arial" w:eastAsia="Arial" w:hAnsi="Arial"/>
                <w:sz w:val="20"/>
                <w:szCs w:val="20"/>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Redwood City, CA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5"/>
              </w:rPr>
              <w:t>Incubator</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3,720,424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4,904,498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4,960,565</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1.85%</w:t>
            </w: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1,561,625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2,005,730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1,733,404</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0.65%</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605,500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0.00%</w:t>
            </w: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1,021,778</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8"/>
          </w:tcPr>
          <w:p>
            <w:pPr>
              <w:ind w:left="20"/>
              <w:spacing w:after="0" w:line="130" w:lineRule="exact"/>
              <w:rPr>
                <w:sz w:val="20"/>
                <w:szCs w:val="20"/>
                <w:color w:val="auto"/>
              </w:rPr>
            </w:pPr>
            <w:r>
              <w:rPr>
                <w:rFonts w:ascii="Arial" w:cs="Arial" w:eastAsia="Arial" w:hAnsi="Arial"/>
                <w:sz w:val="14"/>
                <w:szCs w:val="14"/>
                <w:color w:val="auto"/>
                <w:w w:val="94"/>
              </w:rPr>
              <w:t>Preferred warrants, Series D – $1.33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7"/>
          </w:tcPr>
          <w:p>
            <w:pPr>
              <w:ind w:left="180"/>
              <w:spacing w:after="0"/>
              <w:rPr>
                <w:sz w:val="20"/>
                <w:szCs w:val="20"/>
                <w:color w:val="auto"/>
              </w:rPr>
            </w:pPr>
            <w:r>
              <w:rPr>
                <w:rFonts w:ascii="Arial" w:cs="Arial" w:eastAsia="Arial" w:hAnsi="Arial"/>
                <w:sz w:val="14"/>
                <w:szCs w:val="14"/>
                <w:color w:val="auto"/>
              </w:rPr>
              <w:t>Price, Expiration Date 10/6/2019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145,000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0.05%</w:t>
            </w: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8"/>
          </w:tcPr>
          <w:p>
            <w:pPr>
              <w:ind w:left="20"/>
              <w:spacing w:after="0" w:line="130" w:lineRule="exact"/>
              <w:rPr>
                <w:sz w:val="20"/>
                <w:szCs w:val="20"/>
                <w:color w:val="auto"/>
              </w:rPr>
            </w:pPr>
            <w:r>
              <w:rPr>
                <w:rFonts w:ascii="Arial" w:cs="Arial" w:eastAsia="Arial" w:hAnsi="Arial"/>
                <w:sz w:val="14"/>
                <w:szCs w:val="14"/>
                <w:color w:val="auto"/>
                <w:w w:val="94"/>
              </w:rPr>
              <w:t>Preferred warrants, Series C – $1.33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7"/>
          </w:tcPr>
          <w:p>
            <w:pPr>
              <w:ind w:left="180"/>
              <w:spacing w:after="0"/>
              <w:rPr>
                <w:sz w:val="20"/>
                <w:szCs w:val="20"/>
                <w:color w:val="auto"/>
              </w:rPr>
            </w:pPr>
            <w:r>
              <w:rPr>
                <w:rFonts w:ascii="Arial" w:cs="Arial" w:eastAsia="Arial" w:hAnsi="Arial"/>
                <w:sz w:val="14"/>
                <w:szCs w:val="14"/>
                <w:color w:val="auto"/>
              </w:rPr>
              <w:t>Price, Expiration Date 4/9/2019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31,875</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0.01%</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7"/>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8,538,506</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6,870,844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2.56%</w:t>
            </w:r>
          </w:p>
        </w:tc>
      </w:tr>
      <w:tr>
        <w:trPr>
          <w:trHeight w:val="129"/>
        </w:trPr>
        <w:tc>
          <w:tcPr>
            <w:tcW w:w="2580" w:type="dxa"/>
            <w:vAlign w:val="bottom"/>
            <w:tcBorders>
              <w:top w:val="single" w:sz="8" w:color="CCEEFF"/>
            </w:tcBorders>
            <w:gridSpan w:val="8"/>
          </w:tcPr>
          <w:p>
            <w:pPr>
              <w:ind w:left="20"/>
              <w:spacing w:after="0" w:line="129" w:lineRule="exact"/>
              <w:rPr>
                <w:sz w:val="20"/>
                <w:szCs w:val="20"/>
                <w:color w:val="auto"/>
              </w:rPr>
            </w:pPr>
            <w:r>
              <w:rPr>
                <w:rFonts w:ascii="Arial" w:cs="Arial" w:eastAsia="Arial" w:hAnsi="Arial"/>
                <w:sz w:val="14"/>
                <w:szCs w:val="14"/>
                <w:b w:val="1"/>
                <w:bCs w:val="1"/>
                <w:color w:val="auto"/>
              </w:rPr>
              <w:t>SPBRX, INC. (f/k/a GSV Sustainability</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2420" w:type="dxa"/>
            <w:vAlign w:val="bottom"/>
            <w:tcBorders>
              <w:top w:val="single" w:sz="8" w:color="auto"/>
            </w:tcBorders>
            <w:gridSpan w:val="6"/>
          </w:tcPr>
          <w:p>
            <w:pPr>
              <w:ind w:left="180"/>
              <w:spacing w:after="0" w:line="169" w:lineRule="exact"/>
              <w:rPr>
                <w:sz w:val="20"/>
                <w:szCs w:val="20"/>
                <w:color w:val="auto"/>
              </w:rPr>
            </w:pPr>
            <w:r>
              <w:rPr>
                <w:rFonts w:ascii="Arial" w:cs="Arial" w:eastAsia="Arial" w:hAnsi="Arial"/>
                <w:sz w:val="12"/>
                <w:szCs w:val="12"/>
                <w:b w:val="1"/>
                <w:bCs w:val="1"/>
                <w:color w:val="auto"/>
              </w:rPr>
              <w:t>Partners, Inc.)</w:t>
            </w:r>
            <w:r>
              <w:rPr>
                <w:rFonts w:ascii="Arial" w:cs="Arial" w:eastAsia="Arial" w:hAnsi="Arial"/>
                <w:sz w:val="19"/>
                <w:szCs w:val="19"/>
                <w:b w:val="1"/>
                <w:bCs w:val="1"/>
                <w:color w:val="auto"/>
                <w:vertAlign w:val="superscript"/>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Woodside, CA</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2"/>
              </w:rPr>
              <w:t>Clean Technology</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14,300,000</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7,151,412</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6,250,000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2.33%</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0.00%</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7"/>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7,161,412</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6,250,000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2.33%</w:t>
            </w:r>
          </w:p>
        </w:tc>
      </w:tr>
      <w:tr>
        <w:trPr>
          <w:trHeight w:val="169"/>
        </w:trPr>
        <w:tc>
          <w:tcPr>
            <w:tcW w:w="2580" w:type="dxa"/>
            <w:vAlign w:val="bottom"/>
            <w:tcBorders>
              <w:top w:val="single" w:sz="8" w:color="CCEEFF"/>
            </w:tcBorders>
            <w:gridSpan w:val="8"/>
          </w:tcPr>
          <w:p>
            <w:pPr>
              <w:ind w:left="20"/>
              <w:spacing w:after="0" w:line="169" w:lineRule="exact"/>
              <w:rPr>
                <w:sz w:val="20"/>
                <w:szCs w:val="20"/>
                <w:color w:val="auto"/>
              </w:rPr>
            </w:pPr>
            <w:r>
              <w:rPr>
                <w:rFonts w:ascii="Arial" w:cs="Arial" w:eastAsia="Arial" w:hAnsi="Arial"/>
                <w:sz w:val="12"/>
                <w:szCs w:val="12"/>
                <w:b w:val="1"/>
                <w:bCs w:val="1"/>
                <w:color w:val="auto"/>
              </w:rPr>
              <w:t>Fullbridge,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2080" w:type="dxa"/>
            <w:vAlign w:val="bottom"/>
            <w:tcBorders>
              <w:top w:val="single" w:sz="8" w:color="CCEEFF"/>
            </w:tcBorders>
            <w:gridSpan w:val="3"/>
          </w:tcPr>
          <w:p>
            <w:pPr>
              <w:jc w:val="center"/>
              <w:ind w:right="200"/>
              <w:spacing w:after="0"/>
              <w:rPr>
                <w:sz w:val="20"/>
                <w:szCs w:val="20"/>
                <w:color w:val="auto"/>
              </w:rPr>
            </w:pPr>
            <w:r>
              <w:rPr>
                <w:rFonts w:ascii="Arial" w:cs="Arial" w:eastAsia="Arial" w:hAnsi="Arial"/>
                <w:sz w:val="14"/>
                <w:szCs w:val="14"/>
                <w:color w:val="auto"/>
                <w:w w:val="98"/>
              </w:rPr>
              <w:t>Cambridge, MA</w:t>
            </w: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23"/>
        </w:trPr>
        <w:tc>
          <w:tcPr>
            <w:tcW w:w="2580" w:type="dxa"/>
            <w:vAlign w:val="bottom"/>
            <w:gridSpan w:val="8"/>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 10% Due</w:t>
            </w:r>
          </w:p>
        </w:tc>
        <w:tc>
          <w:tcPr>
            <w:tcW w:w="100" w:type="dxa"/>
            <w:vAlign w:val="bottom"/>
            <w:shd w:val="clear" w:color="auto" w:fill="CCEEFF"/>
          </w:tcPr>
          <w:p>
            <w:pPr>
              <w:spacing w:after="0"/>
              <w:rPr>
                <w:sz w:val="10"/>
                <w:szCs w:val="10"/>
                <w:color w:val="auto"/>
              </w:rPr>
            </w:pPr>
          </w:p>
        </w:tc>
        <w:tc>
          <w:tcPr>
            <w:tcW w:w="2080" w:type="dxa"/>
            <w:vAlign w:val="bottom"/>
            <w:gridSpan w:val="3"/>
            <w:shd w:val="clear" w:color="auto" w:fill="CCEEFF"/>
          </w:tcPr>
          <w:p>
            <w:pPr>
              <w:jc w:val="center"/>
              <w:ind w:right="200"/>
              <w:spacing w:after="0" w:line="123" w:lineRule="exact"/>
              <w:rPr>
                <w:sz w:val="20"/>
                <w:szCs w:val="20"/>
                <w:color w:val="auto"/>
              </w:rPr>
            </w:pPr>
            <w:r>
              <w:rPr>
                <w:rFonts w:ascii="Arial" w:cs="Arial" w:eastAsia="Arial" w:hAnsi="Arial"/>
                <w:sz w:val="14"/>
                <w:szCs w:val="14"/>
                <w:color w:val="auto"/>
                <w:w w:val="91"/>
              </w:rPr>
              <w:t>Business Education</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67"/>
        </w:trPr>
        <w:tc>
          <w:tcPr>
            <w:tcW w:w="9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3/2/2016***</w:t>
            </w:r>
          </w:p>
        </w:tc>
        <w:tc>
          <w:tcPr>
            <w:tcW w:w="80" w:type="dxa"/>
            <w:vAlign w:val="bottom"/>
            <w:tcBorders>
              <w:left w:val="single" w:sz="8" w:color="CCEEFF"/>
            </w:tcBorders>
            <w:shd w:val="clear" w:color="auto" w:fill="CCEEFF"/>
          </w:tcPr>
          <w:p>
            <w:pPr>
              <w:spacing w:after="0"/>
              <w:rPr>
                <w:sz w:val="14"/>
                <w:szCs w:val="14"/>
                <w:color w:val="auto"/>
              </w:rPr>
            </w:pPr>
          </w:p>
        </w:tc>
        <w:tc>
          <w:tcPr>
            <w:tcW w:w="126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1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1,030,507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1,020,859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1,020,859</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0.39%</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1,655,167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2,956,022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3,111,714</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1.16%</w:t>
            </w:r>
          </w:p>
        </w:tc>
      </w:tr>
      <w:tr>
        <w:trPr>
          <w:trHeight w:val="149"/>
        </w:trPr>
        <w:tc>
          <w:tcPr>
            <w:tcW w:w="2580" w:type="dxa"/>
            <w:vAlign w:val="bottom"/>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1,728,724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3,193,444</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1,625,001</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0.61%</w:t>
            </w:r>
          </w:p>
        </w:tc>
      </w:tr>
      <w:tr>
        <w:trPr>
          <w:trHeight w:val="130"/>
        </w:trPr>
        <w:tc>
          <w:tcPr>
            <w:tcW w:w="2580" w:type="dxa"/>
            <w:vAlign w:val="bottom"/>
            <w:gridSpan w:val="8"/>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7"/>
          </w:tcPr>
          <w:p>
            <w:pPr>
              <w:ind w:left="180"/>
              <w:spacing w:after="0"/>
              <w:rPr>
                <w:sz w:val="20"/>
                <w:szCs w:val="20"/>
                <w:color w:val="auto"/>
              </w:rPr>
            </w:pPr>
            <w:r>
              <w:rPr>
                <w:rFonts w:ascii="Arial" w:cs="Arial" w:eastAsia="Arial" w:hAnsi="Arial"/>
                <w:sz w:val="14"/>
                <w:szCs w:val="14"/>
                <w:color w:val="auto"/>
              </w:rPr>
              <w:t>Expiration Date 3/2/2020</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283,106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35,767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2,831</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7"/>
            <w:shd w:val="clear" w:color="auto" w:fill="CCEEFF"/>
          </w:tcPr>
          <w:p>
            <w:pPr>
              <w:ind w:left="180"/>
              <w:spacing w:after="0"/>
              <w:rPr>
                <w:sz w:val="20"/>
                <w:szCs w:val="20"/>
                <w:color w:val="auto"/>
              </w:rPr>
            </w:pPr>
            <w:r>
              <w:rPr>
                <w:rFonts w:ascii="Arial" w:cs="Arial" w:eastAsia="Arial" w:hAnsi="Arial"/>
                <w:sz w:val="14"/>
                <w:szCs w:val="14"/>
                <w:color w:val="auto"/>
              </w:rPr>
              <w:t>Expiration Date 3/22/2020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23,521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8"/>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82"/>
        </w:trPr>
        <w:tc>
          <w:tcPr>
            <w:tcW w:w="20" w:type="dxa"/>
            <w:vAlign w:val="bottom"/>
          </w:tcPr>
          <w:p>
            <w:pPr>
              <w:spacing w:after="0"/>
              <w:rPr>
                <w:sz w:val="15"/>
                <w:szCs w:val="15"/>
                <w:color w:val="auto"/>
              </w:rPr>
            </w:pPr>
          </w:p>
        </w:tc>
        <w:tc>
          <w:tcPr>
            <w:tcW w:w="2560" w:type="dxa"/>
            <w:vAlign w:val="bottom"/>
            <w:gridSpan w:val="7"/>
          </w:tcPr>
          <w:p>
            <w:pPr>
              <w:ind w:left="180"/>
              <w:spacing w:after="0"/>
              <w:rPr>
                <w:sz w:val="20"/>
                <w:szCs w:val="20"/>
                <w:color w:val="auto"/>
              </w:rPr>
            </w:pPr>
            <w:r>
              <w:rPr>
                <w:rFonts w:ascii="Arial" w:cs="Arial" w:eastAsia="Arial" w:hAnsi="Arial"/>
                <w:sz w:val="14"/>
                <w:szCs w:val="14"/>
                <w:color w:val="auto"/>
              </w:rPr>
              <w:t>Expiration Date 5/16/2019</w:t>
            </w: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192,308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24,296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1,923</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-4177030</wp:posOffset>
            </wp:positionV>
            <wp:extent cx="5213985"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-3568065</wp:posOffset>
            </wp:positionV>
            <wp:extent cx="521398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-3155950</wp:posOffset>
            </wp:positionV>
            <wp:extent cx="5213985" cy="1117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-1595120</wp:posOffset>
            </wp:positionV>
            <wp:extent cx="5213985" cy="222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3985" cy="2228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-1080770</wp:posOffset>
            </wp:positionV>
            <wp:extent cx="521398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 w:name="page18"/>
    <w:bookmarkEnd w:id="1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9"/>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gridSpan w:val="9"/>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20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Headquarters/Industry</w:t>
            </w:r>
          </w:p>
        </w:tc>
        <w:tc>
          <w:tcPr>
            <w:tcW w:w="740" w:type="dxa"/>
            <w:vAlign w:val="bottom"/>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23"/>
        </w:trPr>
        <w:tc>
          <w:tcPr>
            <w:tcW w:w="2580" w:type="dxa"/>
            <w:vAlign w:val="bottom"/>
            <w:tcBorders>
              <w:top w:val="single" w:sz="8" w:color="auto"/>
            </w:tcBorders>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0"/>
                <w:szCs w:val="10"/>
                <w:color w:val="auto"/>
              </w:rPr>
            </w:pPr>
          </w:p>
        </w:tc>
        <w:tc>
          <w:tcPr>
            <w:tcW w:w="18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Expiration Date 4/3/2019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412,088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52,063</w:t>
            </w:r>
          </w:p>
        </w:tc>
        <w:tc>
          <w:tcPr>
            <w:tcW w:w="2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12/11/2018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82,418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824</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Expiration Date 10/10/2018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82,418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10,412</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2/18/2019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714,286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90,242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7,143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7,417,039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5,777,102</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2.16%</w:t>
            </w: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Enjoy Technology, Inc.</w:t>
            </w: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3"/>
          </w:tcPr>
          <w:p>
            <w:pPr>
              <w:jc w:val="center"/>
              <w:ind w:right="200"/>
              <w:spacing w:after="0" w:line="129" w:lineRule="exact"/>
              <w:rPr>
                <w:sz w:val="20"/>
                <w:szCs w:val="20"/>
                <w:color w:val="auto"/>
              </w:rPr>
            </w:pPr>
            <w:r>
              <w:rPr>
                <w:rFonts w:ascii="Arial" w:cs="Arial" w:eastAsia="Arial" w:hAnsi="Arial"/>
                <w:sz w:val="14"/>
                <w:szCs w:val="14"/>
                <w:color w:val="auto"/>
                <w:w w:val="97"/>
              </w:rPr>
              <w:t>Menlo Park, CA</w:t>
            </w: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2"/>
              </w:rPr>
              <w:t>Online Shopping</w:t>
            </w: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1,681,520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4,000,280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1.49%</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879,198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1,002,440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1,439,400</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0.54%</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5,002,720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5,439,400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2.03%</w:t>
            </w: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Course Hero, Inc.</w:t>
            </w: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3"/>
          </w:tcPr>
          <w:p>
            <w:pPr>
              <w:jc w:val="center"/>
              <w:ind w:right="200"/>
              <w:spacing w:after="0" w:line="129" w:lineRule="exact"/>
              <w:rPr>
                <w:sz w:val="20"/>
                <w:szCs w:val="20"/>
                <w:color w:val="auto"/>
              </w:rPr>
            </w:pPr>
            <w:r>
              <w:rPr>
                <w:rFonts w:ascii="Arial" w:cs="Arial" w:eastAsia="Arial" w:hAnsi="Arial"/>
                <w:sz w:val="14"/>
                <w:szCs w:val="14"/>
                <w:color w:val="auto"/>
                <w:w w:val="94"/>
              </w:rPr>
              <w:t>Redwood City, CA</w:t>
            </w: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3"/>
              </w:rPr>
              <w:t>Online Education</w:t>
            </w: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5,000,001</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1.87%</w:t>
            </w:r>
          </w:p>
        </w:tc>
      </w:tr>
      <w:tr>
        <w:trPr>
          <w:trHeight w:val="135"/>
        </w:trPr>
        <w:tc>
          <w:tcPr>
            <w:tcW w:w="25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Knewton, Inc.</w:t>
            </w:r>
          </w:p>
        </w:tc>
        <w:tc>
          <w:tcPr>
            <w:tcW w:w="100" w:type="dxa"/>
            <w:vAlign w:val="bottom"/>
          </w:tcPr>
          <w:p>
            <w:pPr>
              <w:spacing w:after="0"/>
              <w:rPr>
                <w:sz w:val="11"/>
                <w:szCs w:val="11"/>
                <w:color w:val="auto"/>
              </w:rPr>
            </w:pPr>
          </w:p>
        </w:tc>
        <w:tc>
          <w:tcPr>
            <w:tcW w:w="2080" w:type="dxa"/>
            <w:vAlign w:val="bottom"/>
            <w:gridSpan w:val="3"/>
          </w:tcPr>
          <w:p>
            <w:pPr>
              <w:jc w:val="center"/>
              <w:ind w:right="200"/>
              <w:spacing w:after="0" w:line="135" w:lineRule="exact"/>
              <w:rPr>
                <w:sz w:val="20"/>
                <w:szCs w:val="20"/>
                <w:color w:val="auto"/>
              </w:rPr>
            </w:pPr>
            <w:r>
              <w:rPr>
                <w:rFonts w:ascii="Arial" w:cs="Arial" w:eastAsia="Arial" w:hAnsi="Arial"/>
                <w:sz w:val="14"/>
                <w:szCs w:val="14"/>
                <w:color w:val="auto"/>
              </w:rPr>
              <w:t>New York, NY</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3"/>
              </w:rPr>
              <w:t>Online Education</w:t>
            </w: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375,985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4,999,999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4,954,086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1.85%</w:t>
            </w:r>
          </w:p>
        </w:tc>
      </w:tr>
      <w:tr>
        <w:trPr>
          <w:trHeight w:val="176"/>
        </w:trPr>
        <w:tc>
          <w:tcPr>
            <w:tcW w:w="2580" w:type="dxa"/>
            <w:vAlign w:val="bottom"/>
            <w:gridSpan w:val="9"/>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(1)(4)</w:t>
            </w:r>
          </w:p>
        </w:tc>
        <w:tc>
          <w:tcPr>
            <w:tcW w:w="100" w:type="dxa"/>
            <w:vAlign w:val="bottom"/>
          </w:tcPr>
          <w:p>
            <w:pPr>
              <w:spacing w:after="0"/>
              <w:rPr>
                <w:sz w:val="15"/>
                <w:szCs w:val="15"/>
                <w:color w:val="auto"/>
              </w:rPr>
            </w:pPr>
          </w:p>
        </w:tc>
        <w:tc>
          <w:tcPr>
            <w:tcW w:w="2080" w:type="dxa"/>
            <w:vAlign w:val="bottom"/>
            <w:gridSpan w:val="3"/>
          </w:tcPr>
          <w:p>
            <w:pPr>
              <w:jc w:val="center"/>
              <w:ind w:right="200"/>
              <w:spacing w:after="0"/>
              <w:rPr>
                <w:sz w:val="20"/>
                <w:szCs w:val="20"/>
                <w:color w:val="auto"/>
              </w:rPr>
            </w:pPr>
            <w:r>
              <w:rPr>
                <w:rFonts w:ascii="Arial" w:cs="Arial" w:eastAsia="Arial" w:hAnsi="Arial"/>
                <w:sz w:val="14"/>
                <w:szCs w:val="14"/>
                <w:color w:val="auto"/>
              </w:rPr>
              <w:t>New York, NY</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4"/>
              </w:rPr>
              <w:t>Globally-focused Private</w:t>
            </w: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1.12%</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School</w:t>
            </w: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229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1,577,097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0.56%</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4,577,097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1.68%</w:t>
            </w: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Parchment, Inc.</w:t>
            </w: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3"/>
          </w:tcPr>
          <w:p>
            <w:pPr>
              <w:jc w:val="center"/>
              <w:ind w:right="200"/>
              <w:spacing w:after="0" w:line="129" w:lineRule="exact"/>
              <w:rPr>
                <w:sz w:val="20"/>
                <w:szCs w:val="20"/>
                <w:color w:val="auto"/>
              </w:rPr>
            </w:pPr>
            <w:r>
              <w:rPr>
                <w:rFonts w:ascii="Arial" w:cs="Arial" w:eastAsia="Arial" w:hAnsi="Arial"/>
                <w:sz w:val="14"/>
                <w:szCs w:val="14"/>
                <w:color w:val="auto"/>
                <w:w w:val="92"/>
              </w:rPr>
              <w:t>Scottsdale, AZ</w:t>
            </w: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2"/>
              </w:rPr>
              <w:t>E-Transcript Exchange</w:t>
            </w: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3,200,512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4,000,982</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1.49%</w:t>
            </w:r>
          </w:p>
        </w:tc>
      </w:tr>
      <w:tr>
        <w:trPr>
          <w:trHeight w:val="176"/>
        </w:trPr>
        <w:tc>
          <w:tcPr>
            <w:tcW w:w="2580" w:type="dxa"/>
            <w:vAlign w:val="bottom"/>
            <w:gridSpan w:val="9"/>
          </w:tcPr>
          <w:p>
            <w:pPr>
              <w:ind w:left="20"/>
              <w:spacing w:after="0" w:line="176" w:lineRule="exact"/>
              <w:rPr>
                <w:sz w:val="20"/>
                <w:szCs w:val="20"/>
                <w:color w:val="auto"/>
              </w:rPr>
            </w:pPr>
            <w:r>
              <w:rPr>
                <w:rFonts w:ascii="Arial" w:cs="Arial" w:eastAsia="Arial" w:hAnsi="Arial"/>
                <w:sz w:val="13"/>
                <w:szCs w:val="13"/>
                <w:b w:val="1"/>
                <w:bCs w:val="1"/>
                <w:color w:val="auto"/>
              </w:rPr>
              <w:t>CUX, Inc. (d/b/a CorpU)</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20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Philadelphia, PA</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29"/>
        </w:trPr>
        <w:tc>
          <w:tcPr>
            <w:tcW w:w="2580" w:type="dxa"/>
            <w:vAlign w:val="bottom"/>
            <w:gridSpan w:val="9"/>
            <w:shd w:val="clear" w:color="auto" w:fill="CCEEFF"/>
          </w:tcPr>
          <w:p>
            <w:pPr>
              <w:ind w:left="20"/>
              <w:spacing w:after="0" w:line="129" w:lineRule="exact"/>
              <w:rPr>
                <w:sz w:val="20"/>
                <w:szCs w:val="20"/>
                <w:color w:val="auto"/>
              </w:rPr>
            </w:pPr>
            <w:r>
              <w:rPr>
                <w:rFonts w:ascii="Arial" w:cs="Arial" w:eastAsia="Arial" w:hAnsi="Arial"/>
                <w:sz w:val="14"/>
                <w:szCs w:val="14"/>
                <w:color w:val="auto"/>
              </w:rPr>
              <w:t>Senior Subordinated Convertible</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3"/>
              </w:rPr>
              <w:t>Corporate Education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3"/>
        </w:trPr>
        <w:tc>
          <w:tcPr>
            <w:tcW w:w="20" w:type="dxa"/>
            <w:vAlign w:val="bottom"/>
            <w:shd w:val="clear" w:color="auto" w:fill="CCEEFF"/>
          </w:tcPr>
          <w:p>
            <w:pPr>
              <w:spacing w:after="0"/>
              <w:rPr>
                <w:sz w:val="13"/>
                <w:szCs w:val="13"/>
                <w:color w:val="auto"/>
              </w:rPr>
            </w:pPr>
          </w:p>
        </w:tc>
        <w:tc>
          <w:tcPr>
            <w:tcW w:w="2560" w:type="dxa"/>
            <w:vAlign w:val="bottom"/>
            <w:gridSpan w:val="8"/>
            <w:shd w:val="clear" w:color="auto" w:fill="CCEEFF"/>
          </w:tcPr>
          <w:p>
            <w:pPr>
              <w:ind w:left="180"/>
              <w:spacing w:after="0" w:line="153" w:lineRule="exact"/>
              <w:rPr>
                <w:sz w:val="20"/>
                <w:szCs w:val="20"/>
                <w:color w:val="auto"/>
              </w:rPr>
            </w:pPr>
            <w:r>
              <w:rPr>
                <w:rFonts w:ascii="Arial" w:cs="Arial" w:eastAsia="Arial" w:hAnsi="Arial"/>
                <w:sz w:val="14"/>
                <w:szCs w:val="14"/>
                <w:color w:val="auto"/>
                <w:w w:val="95"/>
              </w:rPr>
              <w:t>Promissory Note 8% Due 11/26/2018***</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71"/>
        </w:trPr>
        <w:tc>
          <w:tcPr>
            <w:tcW w:w="8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(10)</w:t>
            </w:r>
          </w:p>
        </w:tc>
        <w:tc>
          <w:tcPr>
            <w:tcW w:w="1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1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1,080,000</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1,080,000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0.40%</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Convertible preferred shares, Series 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169,033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778,607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775,861</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0.29%</w:t>
            </w: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615,763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2,006,077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1,959,127</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0.73%</w:t>
            </w: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Preferred warrants, $4.59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2/25/2018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16,903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10,142</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3,864,684</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3,825,130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1.42%</w:t>
            </w: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Bloom Energy Corporation</w:t>
            </w:r>
          </w:p>
        </w:tc>
        <w:tc>
          <w:tcPr>
            <w:tcW w:w="100" w:type="dxa"/>
            <w:vAlign w:val="bottom"/>
            <w:tcBorders>
              <w:top w:val="single" w:sz="8" w:color="CCEEFF"/>
            </w:tcBorders>
          </w:tcPr>
          <w:p>
            <w:pPr>
              <w:spacing w:after="0"/>
              <w:rPr>
                <w:sz w:val="11"/>
                <w:szCs w:val="11"/>
                <w:color w:val="auto"/>
              </w:rPr>
            </w:pPr>
          </w:p>
        </w:tc>
        <w:tc>
          <w:tcPr>
            <w:tcW w:w="2080" w:type="dxa"/>
            <w:vAlign w:val="bottom"/>
            <w:tcBorders>
              <w:top w:val="single" w:sz="8" w:color="CCEEFF"/>
            </w:tcBorders>
            <w:gridSpan w:val="3"/>
          </w:tcPr>
          <w:p>
            <w:pPr>
              <w:jc w:val="center"/>
              <w:ind w:right="200"/>
              <w:spacing w:after="0" w:line="129" w:lineRule="exact"/>
              <w:rPr>
                <w:sz w:val="20"/>
                <w:szCs w:val="20"/>
                <w:color w:val="auto"/>
              </w:rPr>
            </w:pPr>
            <w:r>
              <w:rPr>
                <w:rFonts w:ascii="Arial" w:cs="Arial" w:eastAsia="Arial" w:hAnsi="Arial"/>
                <w:sz w:val="14"/>
                <w:szCs w:val="14"/>
                <w:color w:val="auto"/>
                <w:w w:val="94"/>
              </w:rPr>
              <w:t>Sunnyvale, CA</w:t>
            </w: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6"/>
              </w:rPr>
              <w:t>Fuel Cell Energy</w:t>
            </w: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201,589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3,855,601</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3,014,861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1.12%</w:t>
            </w:r>
          </w:p>
        </w:tc>
      </w:tr>
      <w:tr>
        <w:trPr>
          <w:trHeight w:val="135"/>
        </w:trPr>
        <w:tc>
          <w:tcPr>
            <w:tcW w:w="25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DogVacay, Inc.</w:t>
            </w:r>
          </w:p>
        </w:tc>
        <w:tc>
          <w:tcPr>
            <w:tcW w:w="100" w:type="dxa"/>
            <w:vAlign w:val="bottom"/>
          </w:tcPr>
          <w:p>
            <w:pPr>
              <w:spacing w:after="0"/>
              <w:rPr>
                <w:sz w:val="11"/>
                <w:szCs w:val="11"/>
                <w:color w:val="auto"/>
              </w:rPr>
            </w:pPr>
          </w:p>
        </w:tc>
        <w:tc>
          <w:tcPr>
            <w:tcW w:w="2080" w:type="dxa"/>
            <w:vAlign w:val="bottom"/>
            <w:gridSpan w:val="3"/>
          </w:tcPr>
          <w:p>
            <w:pPr>
              <w:jc w:val="center"/>
              <w:ind w:right="200"/>
              <w:spacing w:after="0" w:line="135" w:lineRule="exact"/>
              <w:rPr>
                <w:sz w:val="20"/>
                <w:szCs w:val="20"/>
                <w:color w:val="auto"/>
              </w:rPr>
            </w:pPr>
            <w:r>
              <w:rPr>
                <w:rFonts w:ascii="Arial" w:cs="Arial" w:eastAsia="Arial" w:hAnsi="Arial"/>
                <w:sz w:val="14"/>
                <w:szCs w:val="14"/>
                <w:color w:val="auto"/>
                <w:w w:val="95"/>
              </w:rPr>
              <w:t>Santa Monica, CA</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B-1</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3"/>
              </w:rPr>
              <w:t>Dog Boarding</w:t>
            </w: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514,562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2,506,119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2,500,771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0.93%</w:t>
            </w:r>
          </w:p>
        </w:tc>
      </w:tr>
      <w:tr>
        <w:trPr>
          <w:trHeight w:val="176"/>
        </w:trPr>
        <w:tc>
          <w:tcPr>
            <w:tcW w:w="2580" w:type="dxa"/>
            <w:vAlign w:val="bottom"/>
            <w:gridSpan w:val="9"/>
          </w:tcPr>
          <w:p>
            <w:pPr>
              <w:ind w:left="20"/>
              <w:spacing w:after="0" w:line="176" w:lineRule="exact"/>
              <w:rPr>
                <w:sz w:val="20"/>
                <w:szCs w:val="20"/>
                <w:color w:val="auto"/>
              </w:rPr>
            </w:pPr>
            <w:r>
              <w:rPr>
                <w:rFonts w:ascii="Arial" w:cs="Arial" w:eastAsia="Arial" w:hAnsi="Arial"/>
                <w:sz w:val="13"/>
                <w:szCs w:val="13"/>
                <w:b w:val="1"/>
                <w:bCs w:val="1"/>
                <w:color w:val="auto"/>
              </w:rPr>
              <w:t>SharesPost, Inc.</w:t>
            </w:r>
            <w:r>
              <w:rPr>
                <w:rFonts w:ascii="Arial" w:cs="Arial" w:eastAsia="Arial" w:hAnsi="Arial"/>
                <w:sz w:val="20"/>
                <w:szCs w:val="20"/>
                <w:b w:val="1"/>
                <w:bCs w:val="1"/>
                <w:color w:val="auto"/>
                <w:vertAlign w:val="superscript"/>
              </w:rPr>
              <w:t>(6)</w:t>
            </w:r>
          </w:p>
        </w:tc>
        <w:tc>
          <w:tcPr>
            <w:tcW w:w="100" w:type="dxa"/>
            <w:vAlign w:val="bottom"/>
          </w:tcPr>
          <w:p>
            <w:pPr>
              <w:spacing w:after="0"/>
              <w:rPr>
                <w:sz w:val="15"/>
                <w:szCs w:val="15"/>
                <w:color w:val="auto"/>
              </w:rPr>
            </w:pPr>
          </w:p>
        </w:tc>
        <w:tc>
          <w:tcPr>
            <w:tcW w:w="208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San Bruno, CA</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4"/>
              </w:rPr>
              <w:t>Online Marketplace Finance</w:t>
            </w: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1,771,653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2,259,716</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2,249,999</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0.84%</w:t>
            </w: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Common warrants, $0.13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Expiration Date 6/15/2018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770,934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23,128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177,315</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0.07%</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2,282,844</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2,427,314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0.91%</w:t>
            </w:r>
          </w:p>
        </w:tc>
      </w:tr>
      <w:tr>
        <w:trPr>
          <w:trHeight w:val="169"/>
        </w:trPr>
        <w:tc>
          <w:tcPr>
            <w:tcW w:w="2580" w:type="dxa"/>
            <w:vAlign w:val="bottom"/>
            <w:tcBorders>
              <w:top w:val="single" w:sz="8" w:color="CCEEFF"/>
            </w:tcBorders>
            <w:gridSpan w:val="9"/>
          </w:tcPr>
          <w:p>
            <w:pPr>
              <w:ind w:left="20"/>
              <w:spacing w:after="0" w:line="169" w:lineRule="exact"/>
              <w:rPr>
                <w:sz w:val="20"/>
                <w:szCs w:val="20"/>
                <w:color w:val="auto"/>
              </w:rPr>
            </w:pPr>
            <w:r>
              <w:rPr>
                <w:rFonts w:ascii="Arial" w:cs="Arial" w:eastAsia="Arial" w:hAnsi="Arial"/>
                <w:sz w:val="12"/>
                <w:szCs w:val="12"/>
                <w:b w:val="1"/>
                <w:bCs w:val="1"/>
                <w:color w:val="auto"/>
              </w:rPr>
              <w:t>Maven Research,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2080" w:type="dxa"/>
            <w:vAlign w:val="bottom"/>
            <w:tcBorders>
              <w:top w:val="single" w:sz="8" w:color="CCEEFF"/>
            </w:tcBorders>
            <w:gridSpan w:val="3"/>
          </w:tcPr>
          <w:p>
            <w:pPr>
              <w:jc w:val="center"/>
              <w:ind w:right="200"/>
              <w:spacing w:after="0"/>
              <w:rPr>
                <w:sz w:val="20"/>
                <w:szCs w:val="20"/>
                <w:color w:val="auto"/>
              </w:rPr>
            </w:pPr>
            <w:r>
              <w:rPr>
                <w:rFonts w:ascii="Arial" w:cs="Arial" w:eastAsia="Arial" w:hAnsi="Arial"/>
                <w:sz w:val="14"/>
                <w:szCs w:val="14"/>
                <w:color w:val="auto"/>
                <w:w w:val="92"/>
              </w:rPr>
              <w:t>San Francisco, CA</w:t>
            </w: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4"/>
              </w:rPr>
              <w:t>Knowledge Networks</w:t>
            </w: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318,979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2,000,447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1,999,998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0.75%</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49,505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217,206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249,691</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0.09%</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2,217,653</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2,249,689</w:t>
            </w:r>
          </w:p>
        </w:tc>
        <w:tc>
          <w:tcPr>
            <w:tcW w:w="840" w:type="dxa"/>
            <w:vAlign w:val="bottom"/>
            <w:tcBorders>
              <w:left w:val="single" w:sz="8" w:color="CCEEFF"/>
            </w:tcBorders>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0.84%</w:t>
            </w: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-3601085</wp:posOffset>
            </wp:positionV>
            <wp:extent cx="5213985"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-3206750</wp:posOffset>
            </wp:positionV>
            <wp:extent cx="5213985"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-2409190</wp:posOffset>
            </wp:positionV>
            <wp:extent cx="5213985"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-1320165</wp:posOffset>
            </wp:positionV>
            <wp:extent cx="5213985" cy="1028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-427990</wp:posOffset>
            </wp:positionV>
            <wp:extent cx="5213985"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 w:name="page19"/>
    <w:bookmarkEnd w:id="1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9"/>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13"/>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DreamBox Learning,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5"/>
              </w:rPr>
              <w:t>Bellevue, WA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Technology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7,159,221</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1,502,362</w:t>
            </w:r>
          </w:p>
        </w:tc>
        <w:tc>
          <w:tcPr>
            <w:tcW w:w="26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1,448,538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758,017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724,269</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2,260,379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2,172,807</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Clever,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Software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2,000,601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2,026,414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135"/>
        </w:trPr>
        <w:tc>
          <w:tcPr>
            <w:tcW w:w="2580" w:type="dxa"/>
            <w:vAlign w:val="bottom"/>
            <w:gridSpan w:val="1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gridSpan w:val="10"/>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(d/b/a S3i))</w:t>
            </w:r>
            <w:r>
              <w:rPr>
                <w:rFonts w:ascii="Arial" w:cs="Arial" w:eastAsia="Arial" w:hAnsi="Arial"/>
                <w:sz w:val="19"/>
                <w:szCs w:val="19"/>
                <w:b w:val="1"/>
                <w:bCs w:val="1"/>
                <w:color w:val="auto"/>
                <w:vertAlign w:val="superscript"/>
              </w:rPr>
              <w:t>(1)</w:t>
            </w: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w w:val="98"/>
              </w:rPr>
              <w:t>Promissory Note 12%, Due 11/18/2016***</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Sports Analytics</w:t>
            </w:r>
          </w:p>
        </w:tc>
        <w:tc>
          <w:tcPr>
            <w:tcW w:w="2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25,000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26,104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25,000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1,864,495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1,777,576</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1,156,175</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11/18/2022</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5,360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429</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Expiration Date 8/29/2021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175,815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14,065</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6/26/2021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38,594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3,088</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Expiration Date 9/30/2020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160,806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12,864</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11/21/2017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31,354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2"/>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1,835,610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1,266,621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3"/>
          </w:tcPr>
          <w:p>
            <w:pPr>
              <w:ind w:left="20"/>
              <w:spacing w:after="0" w:line="169" w:lineRule="exact"/>
              <w:rPr>
                <w:sz w:val="20"/>
                <w:szCs w:val="20"/>
                <w:color w:val="auto"/>
              </w:rPr>
            </w:pPr>
            <w:r>
              <w:rPr>
                <w:rFonts w:ascii="Arial" w:cs="Arial" w:eastAsia="Arial" w:hAnsi="Arial"/>
                <w:sz w:val="12"/>
                <w:szCs w:val="12"/>
                <w:b w:val="1"/>
                <w:bCs w:val="1"/>
                <w:color w:val="auto"/>
              </w:rPr>
              <w:t>EdSurge,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7"/>
              </w:rPr>
              <w:t>Burlingame, CA</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Education Media Platform</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375,909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500,960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49"/>
        </w:trPr>
        <w:tc>
          <w:tcPr>
            <w:tcW w:w="25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494,365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500,801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524,867</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2"/>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1,001,761</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1,024,867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3"/>
          </w:tcPr>
          <w:p>
            <w:pPr>
              <w:ind w:left="20"/>
              <w:spacing w:after="0" w:line="169" w:lineRule="exact"/>
              <w:rPr>
                <w:sz w:val="20"/>
                <w:szCs w:val="20"/>
                <w:color w:val="auto"/>
              </w:rPr>
            </w:pPr>
            <w:r>
              <w:rPr>
                <w:rFonts w:ascii="Arial" w:cs="Arial" w:eastAsia="Arial" w:hAnsi="Arial"/>
                <w:sz w:val="12"/>
                <w:szCs w:val="12"/>
                <w:b w:val="1"/>
                <w:bCs w:val="1"/>
                <w:color w:val="auto"/>
              </w:rPr>
              <w:t>Strategic Data Command, LLC</w:t>
            </w:r>
            <w:r>
              <w:rPr>
                <w:rFonts w:ascii="Arial" w:cs="Arial" w:eastAsia="Arial" w:hAnsi="Arial"/>
                <w:sz w:val="19"/>
                <w:szCs w:val="19"/>
                <w:b w:val="1"/>
                <w:bCs w:val="1"/>
                <w:color w:val="auto"/>
                <w:vertAlign w:val="superscript"/>
              </w:rPr>
              <w:t>(1)(7)(13)</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Software Development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2,400,000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989,277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1,001,650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Aspiration Partners,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6"/>
              </w:rPr>
              <w:t>Marina Del Rey, CA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Financial Services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18,009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1,001,815</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918,720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4C Insights (f/k/a The Echo Systems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5"/>
              </w:rPr>
              <w:t>Chicago, IL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auto"/>
            </w:tcBorders>
            <w:gridSpan w:val="11"/>
          </w:tcPr>
          <w:p>
            <w:pPr>
              <w:ind w:left="180"/>
              <w:spacing w:after="0" w:line="129" w:lineRule="exact"/>
              <w:rPr>
                <w:sz w:val="20"/>
                <w:szCs w:val="20"/>
                <w:color w:val="auto"/>
              </w:rPr>
            </w:pPr>
            <w:r>
              <w:rPr>
                <w:rFonts w:ascii="Arial" w:cs="Arial" w:eastAsia="Arial" w:hAnsi="Arial"/>
                <w:sz w:val="14"/>
                <w:szCs w:val="14"/>
                <w:b w:val="1"/>
                <w:bCs w:val="1"/>
                <w:color w:val="auto"/>
              </w:rPr>
              <w:t>Corp.)</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Data Platform</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512,365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1,436,404</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850,210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Tynker (f/k/a Neuron Fuel,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88"/>
              </w:rPr>
              <w:t>San Jose, CA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Computer Software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534,162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309,310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674,108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Arial" w:cs="Arial" w:eastAsia="Arial" w:hAnsi="Arial"/>
                <w:sz w:val="13"/>
                <w:szCs w:val="13"/>
                <w:b w:val="1"/>
                <w:bCs w:val="1"/>
                <w:color w:val="auto"/>
              </w:rPr>
              <w:t>Gilt Groupe Holdings, Inc.</w:t>
            </w:r>
            <w:r>
              <w:rPr>
                <w:rFonts w:ascii="Arial" w:cs="Arial" w:eastAsia="Arial" w:hAnsi="Arial"/>
                <w:sz w:val="20"/>
                <w:szCs w:val="20"/>
                <w:b w:val="1"/>
                <w:bCs w:val="1"/>
                <w:color w:val="auto"/>
                <w:vertAlign w:val="superscript"/>
              </w:rPr>
              <w:t>(15)</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e-Commerce Flash Sales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248,600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6,594,433</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539,387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Arial" w:cs="Arial" w:eastAsia="Arial" w:hAnsi="Arial"/>
                <w:sz w:val="13"/>
                <w:szCs w:val="13"/>
                <w:b w:val="1"/>
                <w:bCs w:val="1"/>
                <w:color w:val="auto"/>
              </w:rPr>
              <w:t>AlwaysOn, Inc.</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Media</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4,465,925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876,023</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133,978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9"/>
        </w:trPr>
        <w:tc>
          <w:tcPr>
            <w:tcW w:w="25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1,066,626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1,027,391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191,993</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 $1.00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price, Expiration Date 1/9/2017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109,375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1,903,414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325,971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Earlyshares.com,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Miami, FL</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gridSpan w:val="13"/>
          </w:tcPr>
          <w:p>
            <w:pPr>
              <w:ind w:left="20"/>
              <w:spacing w:after="0" w:line="155" w:lineRule="exact"/>
              <w:rPr>
                <w:sz w:val="20"/>
                <w:szCs w:val="20"/>
                <w:color w:val="auto"/>
              </w:rPr>
            </w:pPr>
            <w:r>
              <w:rPr>
                <w:rFonts w:ascii="Arial" w:cs="Arial" w:eastAsia="Arial" w:hAnsi="Arial"/>
                <w:sz w:val="14"/>
                <w:szCs w:val="14"/>
                <w:color w:val="auto"/>
              </w:rPr>
              <w:t>Convertible Promissory Note 5%,</w:t>
            </w:r>
          </w:p>
        </w:tc>
        <w:tc>
          <w:tcPr>
            <w:tcW w:w="100" w:type="dxa"/>
            <w:vAlign w:val="bottom"/>
          </w:tcPr>
          <w:p>
            <w:pPr>
              <w:spacing w:after="0"/>
              <w:rPr>
                <w:sz w:val="13"/>
                <w:szCs w:val="13"/>
                <w:color w:val="auto"/>
              </w:rPr>
            </w:pPr>
          </w:p>
        </w:tc>
        <w:tc>
          <w:tcPr>
            <w:tcW w:w="1840" w:type="dxa"/>
            <w:vAlign w:val="bottom"/>
          </w:tcPr>
          <w:p>
            <w:pPr>
              <w:jc w:val="center"/>
              <w:spacing w:after="0" w:line="155" w:lineRule="exact"/>
              <w:rPr>
                <w:sz w:val="20"/>
                <w:szCs w:val="20"/>
                <w:color w:val="auto"/>
              </w:rPr>
            </w:pPr>
            <w:r>
              <w:rPr>
                <w:rFonts w:ascii="Arial" w:cs="Arial" w:eastAsia="Arial" w:hAnsi="Arial"/>
                <w:sz w:val="14"/>
                <w:szCs w:val="14"/>
                <w:color w:val="auto"/>
                <w:w w:val="95"/>
              </w:rPr>
              <w:t>Equity Crowdfunding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60" w:type="dxa"/>
            <w:vAlign w:val="bottom"/>
            <w:gridSpan w:val="6"/>
          </w:tcPr>
          <w:p>
            <w:pPr>
              <w:ind w:left="200"/>
              <w:spacing w:after="0" w:line="176" w:lineRule="exact"/>
              <w:rPr>
                <w:sz w:val="20"/>
                <w:szCs w:val="20"/>
                <w:color w:val="auto"/>
              </w:rPr>
            </w:pPr>
            <w:r>
              <w:rPr>
                <w:rFonts w:ascii="Arial" w:cs="Arial" w:eastAsia="Arial" w:hAnsi="Arial"/>
                <w:sz w:val="13"/>
                <w:szCs w:val="13"/>
                <w:color w:val="auto"/>
                <w:w w:val="99"/>
              </w:rPr>
              <w:t>8/2/2016</w:t>
            </w:r>
            <w:r>
              <w:rPr>
                <w:rFonts w:ascii="Arial" w:cs="Arial" w:eastAsia="Arial" w:hAnsi="Arial"/>
                <w:sz w:val="20"/>
                <w:szCs w:val="20"/>
                <w:color w:val="auto"/>
                <w:w w:val="99"/>
                <w:vertAlign w:val="superscript"/>
              </w:rPr>
              <w:t>(11)</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50,840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165,715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261,598</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125,115</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312,438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175,115</w:t>
            </w:r>
          </w:p>
        </w:tc>
        <w:tc>
          <w:tcPr>
            <w:tcW w:w="840" w:type="dxa"/>
            <w:vAlign w:val="bottom"/>
            <w:gridSpan w:val="3"/>
          </w:tcPr>
          <w:p>
            <w:pPr>
              <w:jc w:val="right"/>
              <w:ind w:right="180"/>
              <w:spacing w:after="0" w:line="142"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-4390390</wp:posOffset>
            </wp:positionV>
            <wp:extent cx="5213985" cy="1117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-2640965</wp:posOffset>
            </wp:positionV>
            <wp:extent cx="5213985"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-2220595</wp:posOffset>
            </wp:positionV>
            <wp:extent cx="5213985"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-625475</wp:posOffset>
            </wp:positionV>
            <wp:extent cx="5213985" cy="1117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9" w:name="page20"/>
    <w:bookmarkEnd w:id="1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70"/>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10"/>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29"/>
        </w:trPr>
        <w:tc>
          <w:tcPr>
            <w:tcW w:w="26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AliphCom, Inc. (d/b/a Jawbone)</w:t>
            </w: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3"/>
              </w:rPr>
              <w:t>Smart Device Company</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150,000</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793,152</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130,910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Upwork Global Inc. (f/k/a Odesk</w:t>
            </w:r>
          </w:p>
        </w:tc>
        <w:tc>
          <w:tcPr>
            <w:tcW w:w="2080" w:type="dxa"/>
            <w:vAlign w:val="bottom"/>
            <w:gridSpan w:val="3"/>
            <w:vMerge w:val="restart"/>
            <w:shd w:val="clear" w:color="auto" w:fill="CCEEFF"/>
          </w:tcPr>
          <w:p>
            <w:pPr>
              <w:jc w:val="center"/>
              <w:ind w:right="180"/>
              <w:spacing w:after="0"/>
              <w:rPr>
                <w:sz w:val="20"/>
                <w:szCs w:val="20"/>
                <w:color w:val="auto"/>
              </w:rPr>
            </w:pPr>
            <w:r>
              <w:rPr>
                <w:rFonts w:ascii="Arial" w:cs="Arial" w:eastAsia="Arial" w:hAnsi="Arial"/>
                <w:sz w:val="14"/>
                <w:szCs w:val="14"/>
                <w:color w:val="auto"/>
                <w:w w:val="96"/>
              </w:rPr>
              <w:t>Redwood City,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2020" w:type="dxa"/>
            <w:vAlign w:val="bottom"/>
            <w:tcBorders>
              <w:top w:val="single" w:sz="8" w:color="auto"/>
              <w:right w:val="single" w:sz="8" w:color="CCEEFF"/>
            </w:tcBorders>
            <w:gridSpan w:val="6"/>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Corporation)</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gridSpan w:val="2"/>
            <w:shd w:val="clear" w:color="auto" w:fill="CCEEFF"/>
          </w:tcPr>
          <w:p>
            <w:pPr>
              <w:spacing w:after="0"/>
              <w:rPr>
                <w:sz w:val="11"/>
                <w:szCs w:val="11"/>
                <w:color w:val="auto"/>
              </w:rPr>
            </w:pPr>
          </w:p>
        </w:tc>
        <w:tc>
          <w:tcPr>
            <w:tcW w:w="2080" w:type="dxa"/>
            <w:vAlign w:val="bottom"/>
            <w:tcBorders>
              <w:top w:val="single" w:sz="8" w:color="CCEEFF"/>
            </w:tcBorders>
            <w:gridSpan w:val="3"/>
            <w:vMerge w:val="continue"/>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4"/>
              </w:rPr>
              <w:t>Online Workplace Platform</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25,159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183,269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114,964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76"/>
        </w:trPr>
        <w:tc>
          <w:tcPr>
            <w:tcW w:w="2680" w:type="dxa"/>
            <w:vAlign w:val="bottom"/>
            <w:gridSpan w:val="11"/>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Cricket Media (f/k/a ePals Inc.)**</w:t>
            </w:r>
            <w:r>
              <w:rPr>
                <w:rFonts w:ascii="Arial" w:cs="Arial" w:eastAsia="Arial" w:hAnsi="Arial"/>
                <w:sz w:val="20"/>
                <w:szCs w:val="20"/>
                <w:b w:val="1"/>
                <w:bCs w:val="1"/>
                <w:color w:val="auto"/>
                <w:vertAlign w:val="superscript"/>
              </w:rPr>
              <w:t>(8)</w:t>
            </w: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Herndon, VA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5"/>
              </w:rPr>
              <w:t>Online Education</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1,333,333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2,448,959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67,296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Orchestra One, Inc. (f/k/a Learnist Inc.)</w:t>
            </w:r>
          </w:p>
        </w:tc>
        <w:tc>
          <w:tcPr>
            <w:tcW w:w="2080" w:type="dxa"/>
            <w:vAlign w:val="bottom"/>
            <w:gridSpan w:val="3"/>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2"/>
                <w:szCs w:val="12"/>
                <w:b w:val="1"/>
                <w:bCs w:val="1"/>
                <w:color w:val="auto"/>
              </w:rPr>
              <w:t>(1)(14)</w:t>
            </w:r>
          </w:p>
        </w:tc>
        <w:tc>
          <w:tcPr>
            <w:tcW w:w="1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gridSpan w:val="3"/>
            <w:vMerge w:val="continue"/>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left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30" w:lineRule="exact"/>
              <w:rPr>
                <w:sz w:val="20"/>
                <w:szCs w:val="20"/>
                <w:color w:val="auto"/>
              </w:rPr>
            </w:pPr>
            <w:r>
              <w:rPr>
                <w:rFonts w:ascii="Arial" w:cs="Arial" w:eastAsia="Arial" w:hAnsi="Arial"/>
                <w:sz w:val="14"/>
                <w:szCs w:val="14"/>
                <w:color w:val="auto"/>
                <w:w w:val="93"/>
              </w:rPr>
              <w:t>Consumer Health</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Technology</w:t>
            </w:r>
          </w:p>
        </w:tc>
        <w:tc>
          <w:tcPr>
            <w:tcW w:w="740" w:type="dxa"/>
            <w:vAlign w:val="bottom"/>
          </w:tcPr>
          <w:p>
            <w:pPr>
              <w:jc w:val="right"/>
              <w:spacing w:after="0"/>
              <w:rPr>
                <w:sz w:val="20"/>
                <w:szCs w:val="20"/>
                <w:color w:val="auto"/>
              </w:rPr>
            </w:pPr>
            <w:r>
              <w:rPr>
                <w:rFonts w:ascii="Arial" w:cs="Arial" w:eastAsia="Arial" w:hAnsi="Arial"/>
                <w:sz w:val="14"/>
                <w:szCs w:val="14"/>
                <w:color w:val="auto"/>
              </w:rPr>
              <w:t>57,026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4,959,616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4,364</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Global Education Learning (Holdings)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gridSpan w:val="7"/>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Ltd.</w:t>
            </w:r>
            <w:r>
              <w:rPr>
                <w:rFonts w:ascii="Arial" w:cs="Arial" w:eastAsia="Arial" w:hAnsi="Arial"/>
                <w:sz w:val="19"/>
                <w:szCs w:val="19"/>
                <w:b w:val="1"/>
                <w:bCs w:val="1"/>
                <w:color w:val="auto"/>
                <w:vertAlign w:val="superscript"/>
              </w:rPr>
              <w:t>(1)</w:t>
            </w:r>
            <w:r>
              <w:rPr>
                <w:rFonts w:ascii="Arial" w:cs="Arial" w:eastAsia="Arial" w:hAnsi="Arial"/>
                <w:sz w:val="12"/>
                <w:szCs w:val="12"/>
                <w:b w:val="1"/>
                <w:bCs w:val="1"/>
                <w:color w:val="auto"/>
              </w:rPr>
              <w:t>**</w:t>
            </w:r>
          </w:p>
        </w:tc>
        <w:tc>
          <w:tcPr>
            <w:tcW w:w="300" w:type="dxa"/>
            <w:vAlign w:val="bottom"/>
            <w:tcBorders>
              <w:top w:val="single" w:sz="8" w:color="CCEEFF"/>
            </w:tcBorders>
            <w:gridSpan w:val="3"/>
            <w:shd w:val="clear" w:color="auto" w:fill="CCEEFF"/>
          </w:tcPr>
          <w:p>
            <w:pPr>
              <w:spacing w:after="0"/>
              <w:rPr>
                <w:sz w:val="14"/>
                <w:szCs w:val="14"/>
                <w:color w:val="auto"/>
              </w:rPr>
            </w:pPr>
          </w:p>
        </w:tc>
        <w:tc>
          <w:tcPr>
            <w:tcW w:w="2080" w:type="dxa"/>
            <w:vAlign w:val="bottom"/>
            <w:tcBorders>
              <w:top w:val="single" w:sz="8" w:color="CCEEFF"/>
            </w:tcBorders>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7"/>
              </w:rPr>
              <w:t>Hong Kong</w:t>
            </w: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3"/>
              </w:rPr>
              <w:t>Education Technology</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2,126,475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675,375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660" w:type="dxa"/>
            <w:vAlign w:val="bottom"/>
            <w:gridSpan w:val="10"/>
            <w:shd w:val="clear" w:color="auto" w:fill="CCEEFF"/>
          </w:tcPr>
          <w:p>
            <w:pPr>
              <w:ind w:left="180"/>
              <w:spacing w:after="0" w:line="142" w:lineRule="exact"/>
              <w:rPr>
                <w:sz w:val="20"/>
                <w:szCs w:val="20"/>
                <w:color w:val="auto"/>
              </w:rPr>
            </w:pPr>
            <w:r>
              <w:rPr>
                <w:rFonts w:ascii="Arial" w:cs="Arial" w:eastAsia="Arial" w:hAnsi="Arial"/>
                <w:sz w:val="14"/>
                <w:szCs w:val="14"/>
                <w:b w:val="1"/>
                <w:bCs w:val="1"/>
                <w:color w:val="auto"/>
              </w:rPr>
              <w:t>Total Portfolio Investments</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293,349,843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349,808,767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130.52%</w:t>
            </w:r>
          </w:p>
        </w:tc>
        <w:tc>
          <w:tcPr>
            <w:tcW w:w="0" w:type="dxa"/>
            <w:vAlign w:val="bottom"/>
          </w:tcPr>
          <w:p>
            <w:pPr>
              <w:spacing w:after="0"/>
              <w:rPr>
                <w:sz w:val="1"/>
                <w:szCs w:val="1"/>
                <w:color w:val="auto"/>
              </w:rPr>
            </w:pPr>
          </w:p>
        </w:tc>
      </w:tr>
      <w:tr>
        <w:trPr>
          <w:trHeight w:val="129"/>
        </w:trPr>
        <w:tc>
          <w:tcPr>
            <w:tcW w:w="2680" w:type="dxa"/>
            <w:vAlign w:val="bottom"/>
            <w:tcBorders>
              <w:top w:val="single" w:sz="8" w:color="CCEEFF"/>
            </w:tcBorders>
            <w:gridSpan w:val="11"/>
          </w:tcPr>
          <w:p>
            <w:pPr>
              <w:ind w:left="20"/>
              <w:spacing w:after="0" w:line="129" w:lineRule="exact"/>
              <w:rPr>
                <w:sz w:val="20"/>
                <w:szCs w:val="20"/>
                <w:color w:val="auto"/>
              </w:rPr>
            </w:pPr>
            <w:r>
              <w:rPr>
                <w:rFonts w:ascii="Arial" w:cs="Arial" w:eastAsia="Arial" w:hAnsi="Arial"/>
                <w:sz w:val="14"/>
                <w:szCs w:val="14"/>
                <w:b w:val="1"/>
                <w:bCs w:val="1"/>
                <w:color w:val="auto"/>
              </w:rPr>
              <w:t>U.S. Treasury</w:t>
            </w:r>
          </w:p>
        </w:tc>
        <w:tc>
          <w:tcPr>
            <w:tcW w:w="18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U.S. Treasury Bill, 0%, due 1/7/2016</w:t>
            </w:r>
          </w:p>
        </w:tc>
        <w:tc>
          <w:tcPr>
            <w:tcW w:w="20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30,000,000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29,999,968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30,000,000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176"/>
        </w:trPr>
        <w:tc>
          <w:tcPr>
            <w:tcW w:w="2680" w:type="dxa"/>
            <w:vAlign w:val="bottom"/>
            <w:gridSpan w:val="11"/>
          </w:tcPr>
          <w:p>
            <w:pPr>
              <w:ind w:left="20"/>
              <w:spacing w:after="0" w:line="176" w:lineRule="exact"/>
              <w:rPr>
                <w:sz w:val="20"/>
                <w:szCs w:val="20"/>
                <w:color w:val="auto"/>
              </w:rPr>
            </w:pPr>
            <w:r>
              <w:rPr>
                <w:rFonts w:ascii="Arial" w:cs="Arial" w:eastAsia="Arial" w:hAnsi="Arial"/>
                <w:sz w:val="13"/>
                <w:szCs w:val="13"/>
                <w:b w:val="1"/>
                <w:bCs w:val="1"/>
                <w:color w:val="auto"/>
              </w:rPr>
              <w:t>U.S. Treasury Strips</w:t>
            </w:r>
            <w:r>
              <w:rPr>
                <w:rFonts w:ascii="Arial" w:cs="Arial" w:eastAsia="Arial" w:hAnsi="Arial"/>
                <w:sz w:val="20"/>
                <w:szCs w:val="20"/>
                <w:b w:val="1"/>
                <w:bCs w:val="1"/>
                <w:color w:val="auto"/>
                <w:vertAlign w:val="superscript"/>
              </w:rPr>
              <w:t>(9)</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11"/>
            <w:shd w:val="clear" w:color="auto" w:fill="CCEEFF"/>
          </w:tcPr>
          <w:p>
            <w:pPr>
              <w:ind w:left="20"/>
              <w:spacing w:after="0" w:line="123"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6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due 8/15/2016</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1,842,412</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1,843,170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130"/>
        </w:trPr>
        <w:tc>
          <w:tcPr>
            <w:tcW w:w="2680" w:type="dxa"/>
            <w:vAlign w:val="bottom"/>
            <w:gridSpan w:val="11"/>
          </w:tcPr>
          <w:p>
            <w:pPr>
              <w:ind w:left="20"/>
              <w:spacing w:after="0" w:line="130"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gridSpan w:val="10"/>
          </w:tcPr>
          <w:p>
            <w:pPr>
              <w:ind w:left="180"/>
              <w:spacing w:after="0"/>
              <w:rPr>
                <w:sz w:val="20"/>
                <w:szCs w:val="20"/>
                <w:color w:val="auto"/>
              </w:rPr>
            </w:pPr>
            <w:r>
              <w:rPr>
                <w:rFonts w:ascii="Arial" w:cs="Arial" w:eastAsia="Arial" w:hAnsi="Arial"/>
                <w:sz w:val="14"/>
                <w:szCs w:val="14"/>
                <w:color w:val="auto"/>
              </w:rPr>
              <w:t>due 2/15/2016</w:t>
            </w:r>
          </w:p>
        </w:tc>
        <w:tc>
          <w:tcPr>
            <w:tcW w:w="20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1,834,000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1,832,780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1,833,523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660" w:type="dxa"/>
            <w:vAlign w:val="bottom"/>
            <w:gridSpan w:val="10"/>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3,675,192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3,676,693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327,025,003</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383,485,460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143.08%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-1114425</wp:posOffset>
            </wp:positionV>
            <wp:extent cx="5213985" cy="102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6" w:lineRule="exact"/>
        <w:rPr>
          <w:sz w:val="20"/>
          <w:szCs w:val="20"/>
          <w:color w:val="auto"/>
        </w:rPr>
      </w:pPr>
    </w:p>
    <w:p>
      <w:pPr>
        <w:ind w:left="300" w:right="739" w:hanging="272"/>
        <w:spacing w:after="0" w:line="259"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 All investments are pledged as collateral, unless otherwise noted, to the Credit Facility. The Company’s officers and staff may serve on the board of directors of the Company’s portfolio investments.</w:t>
      </w:r>
    </w:p>
    <w:p>
      <w:pPr>
        <w:spacing w:after="0" w:line="79" w:lineRule="exact"/>
        <w:rPr>
          <w:sz w:val="20"/>
          <w:szCs w:val="20"/>
          <w:color w:val="auto"/>
        </w:rPr>
      </w:pPr>
    </w:p>
    <w:p>
      <w:pPr>
        <w:ind w:left="300" w:right="939" w:hanging="272"/>
        <w:spacing w:after="0" w:line="277"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99" w:hanging="272"/>
        <w:spacing w:after="0" w:line="286"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as amended.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ind w:left="300" w:right="599" w:hanging="272"/>
        <w:spacing w:after="0" w:line="312"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as amended. A company is deemed to be a “Controlled Company” of GSV Capital Corp. if GSV Capital Corp. owns more than 25% of the voting securities of such company.</w:t>
      </w:r>
    </w:p>
    <w:p>
      <w:pPr>
        <w:spacing w:after="0" w:line="38" w:lineRule="exact"/>
        <w:rPr>
          <w:rFonts w:ascii="Arial" w:cs="Arial" w:eastAsia="Arial" w:hAnsi="Arial"/>
          <w:sz w:val="16"/>
          <w:szCs w:val="16"/>
          <w:color w:val="auto"/>
        </w:rPr>
      </w:pPr>
    </w:p>
    <w:p>
      <w:pPr>
        <w:ind w:left="300" w:right="959" w:hanging="272"/>
        <w:spacing w:after="0" w:line="27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w:t>
      </w:r>
    </w:p>
    <w:p>
      <w:pPr>
        <w:spacing w:after="0" w:line="62" w:lineRule="exact"/>
        <w:rPr>
          <w:rFonts w:ascii="Arial" w:cs="Arial" w:eastAsia="Arial" w:hAnsi="Arial"/>
          <w:sz w:val="18"/>
          <w:szCs w:val="18"/>
          <w:color w:val="auto"/>
        </w:rPr>
      </w:pPr>
    </w:p>
    <w:p>
      <w:pPr>
        <w:jc w:val="both"/>
        <w:ind w:left="300" w:right="559" w:hanging="272"/>
        <w:spacing w:after="0" w:line="264"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200" w:lineRule="exact"/>
        <w:rPr>
          <w:sz w:val="20"/>
          <w:szCs w:val="20"/>
          <w:color w:val="auto"/>
        </w:rPr>
      </w:pPr>
    </w:p>
    <w:p>
      <w:pPr>
        <w:spacing w:after="0" w:line="37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 owned subsidiary SPNPM Holdings, LLC.</w:t>
      </w:r>
    </w:p>
    <w:p>
      <w:pPr>
        <w:spacing w:after="0" w:line="128" w:lineRule="exact"/>
        <w:rPr>
          <w:rFonts w:ascii="Arial" w:cs="Arial" w:eastAsia="Arial" w:hAnsi="Arial"/>
          <w:sz w:val="17"/>
          <w:szCs w:val="17"/>
          <w:color w:val="auto"/>
        </w:rPr>
      </w:pPr>
    </w:p>
    <w:p>
      <w:pPr>
        <w:ind w:left="280" w:right="759" w:hanging="272"/>
        <w:spacing w:after="0" w:line="277"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759" w:hanging="272"/>
        <w:spacing w:after="0" w:line="279" w:lineRule="auto"/>
        <w:tabs>
          <w:tab w:leader="none" w:pos="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October 22, 2013, Cricket Media (f/k/a ePals Inc.), priced its initial public offering, selling 40,267,333 shares at a price of CAD $0.075 per share. At December 31, 2015, GSV Capital Corp. valued Cricket Media (f/k/a ePals Inc.), based on its December 31, 2015 closing price. As of May 4, 2016, Cricket Media (f/k/a ePals Inc.) was voluntarily delisted from the TSX Venture Exchange as part of a restructuring, after which Cricket Media became privately traded.</w:t>
      </w:r>
    </w:p>
    <w:p>
      <w:pPr>
        <w:spacing w:after="0" w:line="63" w:lineRule="exact"/>
        <w:rPr>
          <w:rFonts w:ascii="Arial" w:cs="Arial" w:eastAsia="Arial" w:hAnsi="Arial"/>
          <w:sz w:val="17"/>
          <w:szCs w:val="17"/>
          <w:color w:val="auto"/>
        </w:rPr>
      </w:pPr>
    </w:p>
    <w:p>
      <w:pPr>
        <w:ind w:left="280" w:right="599" w:hanging="272"/>
        <w:spacing w:after="0" w:line="291" w:lineRule="auto"/>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Refer to “Note 9 — Long Term Liabilities.” In accordance with the terms of the Company’s Convertible Senior Notes payable, the Company deposited $10,867,500 in an escrow account with U.S. Bank N.A., the trustee. These funds were used to purchase six U.S. Treasury Strips with an original cost of $10,845,236. As of December 31, 2015, four of the government securities purchased had matured and the proceeds were used by the trustee in accordance with the terms of the escrow agreement. At December 31, 2015, the remaining government securities are shown on the Condensed Consolidated Schedule of Investments with an amortized cost of $3,675,192. These securities do not represent collateral under the Credit Facility, as these securities are pledged exclusively for the repayment of interest under the Convertible Senior Notes.</w:t>
      </w:r>
    </w:p>
    <w:p>
      <w:pPr>
        <w:spacing w:after="0" w:line="59" w:lineRule="exact"/>
        <w:rPr>
          <w:rFonts w:ascii="Arial" w:cs="Arial" w:eastAsia="Arial" w:hAnsi="Arial"/>
          <w:sz w:val="16"/>
          <w:szCs w:val="16"/>
          <w:color w:val="auto"/>
        </w:rPr>
      </w:pPr>
    </w:p>
    <w:p>
      <w:pPr>
        <w:ind w:left="320" w:right="699" w:hanging="312"/>
        <w:spacing w:after="0" w:line="286"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Accrued interest is not payable until the earlier of (a) the closing of a subsequent equity offering by CUX, Inc. (d/b/a CorpU), or (b) the maturity of the note (November 26, 2018). Interest will compound annually beginning on November 26, 2015.</w:t>
      </w:r>
    </w:p>
    <w:p>
      <w:pPr>
        <w:spacing w:after="0" w:line="57" w:lineRule="exact"/>
        <w:rPr>
          <w:sz w:val="20"/>
          <w:szCs w:val="20"/>
          <w:color w:val="auto"/>
        </w:rPr>
      </w:pPr>
    </w:p>
    <w:p>
      <w:pPr>
        <w:jc w:val="both"/>
        <w:ind w:left="300" w:right="699" w:hanging="296"/>
        <w:spacing w:after="0" w:line="264" w:lineRule="auto"/>
        <w:rPr>
          <w:sz w:val="20"/>
          <w:szCs w:val="20"/>
          <w:color w:val="auto"/>
        </w:rPr>
      </w:pPr>
      <w:r>
        <w:rPr>
          <w:rFonts w:ascii="Arial" w:cs="Arial" w:eastAsia="Arial" w:hAnsi="Arial"/>
          <w:sz w:val="18"/>
          <w:szCs w:val="18"/>
          <w:color w:val="auto"/>
        </w:rPr>
        <w:t>(11)Interest will accrue daily on the unpaid principal balance of the note. Accrued interest is not payable until the earlier of (a) the closing of a subsequent equity offering by Earlyshares.com, Inc., or (b) the maturity of the note (August 2, 2016). Interest will compound annually beginning on February 26,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(12)On December 30, 2015, Declara, Inc. effected a 2:1 forward stock split on all its common and preferred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(13)On December 22, 2015, Strategic Data Command, LLC effected a 3:1 stock split on its common shares.</w:t>
      </w:r>
    </w:p>
    <w:p>
      <w:pPr>
        <w:spacing w:after="0" w:line="117" w:lineRule="exact"/>
        <w:rPr>
          <w:sz w:val="20"/>
          <w:szCs w:val="20"/>
          <w:color w:val="auto"/>
        </w:rPr>
      </w:pPr>
    </w:p>
    <w:p>
      <w:pPr>
        <w:ind w:left="320" w:right="699" w:hanging="310"/>
        <w:spacing w:after="0" w:line="264" w:lineRule="auto"/>
        <w:rPr>
          <w:sz w:val="20"/>
          <w:szCs w:val="20"/>
          <w:color w:val="auto"/>
        </w:rPr>
      </w:pPr>
      <w:r>
        <w:rPr>
          <w:rFonts w:ascii="Arial" w:cs="Arial" w:eastAsia="Arial" w:hAnsi="Arial"/>
          <w:sz w:val="18"/>
          <w:szCs w:val="18"/>
          <w:color w:val="auto"/>
        </w:rPr>
        <w:t>(14)On October 28, 2015, Orchestra One, Inc. (f/k/a Learnist Inc.) completed a change in business, recapitalization and series A-1 preferred stock financing. The Company elected to convert its existing preferred shares into common shares effective November 9, 2015.</w:t>
      </w:r>
    </w:p>
    <w:p>
      <w:pPr>
        <w:spacing w:after="0" w:line="73" w:lineRule="exact"/>
        <w:rPr>
          <w:sz w:val="20"/>
          <w:szCs w:val="20"/>
          <w:color w:val="auto"/>
        </w:rPr>
      </w:pPr>
    </w:p>
    <w:p>
      <w:pPr>
        <w:ind w:left="320" w:right="579" w:hanging="310"/>
        <w:spacing w:after="0" w:line="259" w:lineRule="auto"/>
        <w:rPr>
          <w:sz w:val="20"/>
          <w:szCs w:val="20"/>
          <w:color w:val="auto"/>
        </w:rPr>
      </w:pPr>
      <w:r>
        <w:rPr>
          <w:rFonts w:ascii="Arial" w:cs="Arial" w:eastAsia="Arial" w:hAnsi="Arial"/>
          <w:sz w:val="18"/>
          <w:szCs w:val="18"/>
          <w:color w:val="auto"/>
        </w:rPr>
        <w:t>(15)On January 6, 2016, Gilt Groupe Holdings, Inc. entered into an agreement and plan of merger with Lord and Taylor Acquisition, Inc. to acquire the outstanding Gilt Groupe Holdings, Inc. common stock for approximately $2.1697 per share less applicable costs of the transaction. These are estimates and are subject to change in connection with the final aggregate merger consideration.</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ind w:left="60" w:right="719" w:firstLine="270"/>
        <w:spacing w:after="0" w:line="297" w:lineRule="auto"/>
        <w:rPr>
          <w:sz w:val="20"/>
          <w:szCs w:val="20"/>
          <w:color w:val="auto"/>
        </w:rPr>
      </w:pPr>
      <w:r>
        <w:rPr>
          <w:rFonts w:ascii="Arial" w:cs="Arial" w:eastAsia="Arial" w:hAnsi="Arial"/>
          <w:sz w:val="16"/>
          <w:szCs w:val="16"/>
          <w:color w:val="auto"/>
        </w:rPr>
        <w:t>GSV Capital Corp. (the “Company” or “GSV Capital”) formed in September 2010 as a Maryland corporation is an externally managed, non-diversified closed-end management investment company. The Company has elected to be regulated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50" w:lineRule="exact"/>
        <w:rPr>
          <w:sz w:val="20"/>
          <w:szCs w:val="20"/>
          <w:color w:val="auto"/>
        </w:rPr>
      </w:pPr>
    </w:p>
    <w:p>
      <w:pPr>
        <w:jc w:val="both"/>
        <w:ind w:left="60" w:right="819" w:firstLine="270"/>
        <w:spacing w:after="0" w:line="264" w:lineRule="auto"/>
        <w:rPr>
          <w:sz w:val="20"/>
          <w:szCs w:val="20"/>
          <w:color w:val="auto"/>
        </w:rPr>
      </w:pPr>
      <w:r>
        <w:rPr>
          <w:rFonts w:ascii="Arial" w:cs="Arial" w:eastAsia="Arial" w:hAnsi="Arial"/>
          <w:sz w:val="18"/>
          <w:szCs w:val="18"/>
          <w:color w:val="auto"/>
        </w:rPr>
        <w:t>The Company’s date of inception was January 6, 2011, which is the date it commenced its development stage activities. The Company’s common stock is currently listed on the Nasdaq Capital Market under the symbol “GSVC”. The Company began its investment operations during the second quarter of 2011.</w:t>
      </w:r>
    </w:p>
    <w:p>
      <w:pPr>
        <w:spacing w:after="0" w:line="73" w:lineRule="exact"/>
        <w:rPr>
          <w:sz w:val="20"/>
          <w:szCs w:val="20"/>
          <w:color w:val="auto"/>
        </w:rPr>
      </w:pPr>
    </w:p>
    <w:p>
      <w:pPr>
        <w:ind w:left="60" w:right="719" w:firstLine="270"/>
        <w:spacing w:after="0" w:line="293" w:lineRule="auto"/>
        <w:rPr>
          <w:sz w:val="20"/>
          <w:szCs w:val="20"/>
          <w:color w:val="auto"/>
        </w:rPr>
      </w:pPr>
      <w:r>
        <w:rPr>
          <w:rFonts w:ascii="Arial" w:cs="Arial" w:eastAsia="Arial" w:hAnsi="Arial"/>
          <w:sz w:val="16"/>
          <w:szCs w:val="16"/>
          <w:color w:val="auto"/>
        </w:rPr>
        <w:t>The table below displays all the Company’s subsidiaries as of September 30, 2016, which, other than GSV Capital Lending, LLC (“GCL”), are collectively referred to as the “GSVC Holdings.” The GSVC Holdings were formed to hold portfolio investments. The GSVC Holdings,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 Summary of Significant Accounting Policies — Basis of Consolidation” below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52139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w w:val="91"/>
              </w:rPr>
              <w:t>Jurisdiction of</w:t>
            </w: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Formation Date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Incorporation</w:t>
            </w: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GCL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13,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98"/>
        </w:trPr>
        <w:tc>
          <w:tcPr>
            <w:tcW w:w="442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6"/>
              </w:rPr>
              <w:t>Subsidiaries below are referred to collectively, as the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200"/>
              <w:spacing w:after="0"/>
              <w:rPr>
                <w:sz w:val="20"/>
                <w:szCs w:val="20"/>
                <w:color w:val="auto"/>
              </w:rPr>
            </w:pPr>
            <w:r>
              <w:rPr>
                <w:rFonts w:ascii="Arial" w:cs="Arial" w:eastAsia="Arial" w:hAnsi="Arial"/>
                <w:sz w:val="18"/>
                <w:szCs w:val="18"/>
                <w:b w:val="1"/>
                <w:bCs w:val="1"/>
                <w:color w:val="auto"/>
              </w:rPr>
              <w:t>“GSVC Holdings”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AE Holdings, Inc. (“GAE”)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GSVC AV Holdings, Inc. (“GAV”)</w:t>
            </w:r>
          </w:p>
        </w:tc>
        <w:tc>
          <w:tcPr>
            <w:tcW w:w="160" w:type="dxa"/>
            <w:vAlign w:val="bottom"/>
          </w:tcPr>
          <w:p>
            <w:pPr>
              <w:spacing w:after="0"/>
              <w:rPr>
                <w:sz w:val="18"/>
                <w:szCs w:val="18"/>
                <w:color w:val="auto"/>
              </w:rPr>
            </w:pPr>
          </w:p>
        </w:tc>
        <w:tc>
          <w:tcPr>
            <w:tcW w:w="940" w:type="dxa"/>
            <w:vAlign w:val="bottom"/>
          </w:tcPr>
          <w:p>
            <w:pPr>
              <w:ind w:left="180"/>
              <w:spacing w:after="0"/>
              <w:rPr>
                <w:sz w:val="20"/>
                <w:szCs w:val="20"/>
                <w:color w:val="auto"/>
              </w:rPr>
            </w:pPr>
            <w:r>
              <w:rPr>
                <w:rFonts w:ascii="Arial" w:cs="Arial" w:eastAsia="Arial" w:hAnsi="Arial"/>
                <w:sz w:val="18"/>
                <w:szCs w:val="18"/>
                <w:color w:val="auto"/>
                <w:w w:val="97"/>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NG Holdings, Inc. (“GNG”)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GSVC SW Holdings, Inc. (“GSW”)</w:t>
            </w:r>
          </w:p>
        </w:tc>
        <w:tc>
          <w:tcPr>
            <w:tcW w:w="160" w:type="dxa"/>
            <w:vAlign w:val="bottom"/>
          </w:tcPr>
          <w:p>
            <w:pPr>
              <w:spacing w:after="0"/>
              <w:rPr>
                <w:sz w:val="18"/>
                <w:szCs w:val="18"/>
                <w:color w:val="auto"/>
              </w:rPr>
            </w:pPr>
          </w:p>
        </w:tc>
        <w:tc>
          <w:tcPr>
            <w:tcW w:w="940" w:type="dxa"/>
            <w:vAlign w:val="bottom"/>
          </w:tcPr>
          <w:p>
            <w:pPr>
              <w:ind w:left="180"/>
              <w:spacing w:after="0"/>
              <w:rPr>
                <w:sz w:val="20"/>
                <w:szCs w:val="20"/>
                <w:color w:val="auto"/>
              </w:rPr>
            </w:pPr>
            <w:r>
              <w:rPr>
                <w:rFonts w:ascii="Arial" w:cs="Arial" w:eastAsia="Arial" w:hAnsi="Arial"/>
                <w:sz w:val="18"/>
                <w:szCs w:val="18"/>
                <w:color w:val="auto"/>
                <w:w w:val="97"/>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WS Holdings, Inc. (“GWS”)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GSVC SVDS Holdings, Inc. (“SVDS”)</w:t>
            </w:r>
          </w:p>
        </w:tc>
        <w:tc>
          <w:tcPr>
            <w:tcW w:w="160" w:type="dxa"/>
            <w:vAlign w:val="bottom"/>
          </w:tcPr>
          <w:p>
            <w:pPr>
              <w:spacing w:after="0"/>
              <w:rPr>
                <w:sz w:val="20"/>
                <w:szCs w:val="20"/>
                <w:color w:val="auto"/>
              </w:rPr>
            </w:pPr>
          </w:p>
        </w:tc>
        <w:tc>
          <w:tcPr>
            <w:tcW w:w="940" w:type="dxa"/>
            <w:vAlign w:val="bottom"/>
          </w:tcPr>
          <w:p>
            <w:pPr>
              <w:ind w:left="180"/>
              <w:spacing w:after="0"/>
              <w:rPr>
                <w:sz w:val="20"/>
                <w:szCs w:val="20"/>
                <w:color w:val="auto"/>
              </w:rPr>
            </w:pPr>
            <w:r>
              <w:rPr>
                <w:rFonts w:ascii="Arial" w:cs="Arial" w:eastAsia="Arial" w:hAnsi="Arial"/>
                <w:sz w:val="18"/>
                <w:szCs w:val="18"/>
                <w:color w:val="auto"/>
                <w:w w:val="97"/>
              </w:rPr>
              <w:t>Delaware</w:t>
            </w:r>
          </w:p>
        </w:tc>
        <w:tc>
          <w:tcPr>
            <w:tcW w:w="1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13, 2013</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539" w:firstLine="270"/>
        <w:spacing w:after="0" w:line="293" w:lineRule="auto"/>
        <w:rPr>
          <w:sz w:val="20"/>
          <w:szCs w:val="20"/>
          <w:color w:val="auto"/>
        </w:rPr>
      </w:pPr>
      <w:r>
        <w:rPr>
          <w:rFonts w:ascii="Arial" w:cs="Arial" w:eastAsia="Arial" w:hAnsi="Arial"/>
          <w:sz w:val="16"/>
          <w:szCs w:val="16"/>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60" w:right="779" w:firstLine="270"/>
        <w:spacing w:after="0" w:line="257" w:lineRule="auto"/>
        <w:rPr>
          <w:sz w:val="20"/>
          <w:szCs w:val="20"/>
          <w:color w:val="auto"/>
        </w:rPr>
      </w:pPr>
      <w:r>
        <w:rPr>
          <w:rFonts w:ascii="Arial" w:cs="Arial" w:eastAsia="Arial" w:hAnsi="Arial"/>
          <w:sz w:val="18"/>
          <w:szCs w:val="18"/>
          <w:color w:val="auto"/>
        </w:rPr>
        <w:t>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w:t>
      </w:r>
    </w:p>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59"/>
        <w:spacing w:after="0" w:line="255" w:lineRule="auto"/>
        <w:rPr>
          <w:sz w:val="20"/>
          <w:szCs w:val="20"/>
          <w:color w:val="auto"/>
        </w:rPr>
      </w:pPr>
      <w:r>
        <w:rPr>
          <w:rFonts w:ascii="Arial" w:cs="Arial" w:eastAsia="Arial" w:hAnsi="Arial"/>
          <w:sz w:val="18"/>
          <w:szCs w:val="18"/>
          <w:color w:val="auto"/>
        </w:rPr>
        <w:t>Board’s (“FASB”) Accounting Standards Codification (“ASC”) Topic 946</w:t>
      </w:r>
      <w:r>
        <w:rPr>
          <w:rFonts w:ascii="Arial" w:cs="Arial" w:eastAsia="Arial" w:hAnsi="Arial"/>
          <w:sz w:val="18"/>
          <w:szCs w:val="18"/>
          <w:i w:val="1"/>
          <w:iCs w:val="1"/>
          <w:color w:val="auto"/>
        </w:rPr>
        <w:t>, Financial Services — Investment Companies</w:t>
      </w:r>
      <w:r>
        <w:rPr>
          <w:rFonts w:ascii="Arial" w:cs="Arial" w:eastAsia="Arial" w:hAnsi="Arial"/>
          <w:sz w:val="18"/>
          <w:szCs w:val="18"/>
          <w:color w:val="auto"/>
        </w:rPr>
        <w:t>. In the opinion of management, all adjustments, all of which were of a normal recurring nature, considered necessary for the fair presentation of consolidated financial statements for the interim period have been included. The results of operations for the current period are not necessarily indicative of results that ultimately may be achieved for any other interim period or for the year ending December 31, 2016. The interim unaudited condensed consolidated financial statements and notes hereto should be read in conjunction with the audited financial statements and notes thereto contained in the Company’s annual report on Form 10-K for the year ended December 31, 2015.</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GSVC Holdings and GCL, its wholly owned subsidiaries. All intercompany balances and transactions have been eliminated in consolidation.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The preparation of condensed consolidated financial statements in accordance with GAAP requires the Company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left="40" w:right="919" w:firstLine="270"/>
        <w:spacing w:after="0" w:line="342" w:lineRule="auto"/>
        <w:rPr>
          <w:sz w:val="20"/>
          <w:szCs w:val="20"/>
          <w:color w:val="auto"/>
        </w:rPr>
      </w:pPr>
      <w:r>
        <w:rPr>
          <w:rFonts w:ascii="Arial" w:cs="Arial" w:eastAsia="Arial" w:hAnsi="Arial"/>
          <w:sz w:val="16"/>
          <w:szCs w:val="16"/>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6"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ind w:left="40" w:right="61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for identical assets or liabilities in an active market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ability to access at the measurement date.</w:t>
      </w:r>
    </w:p>
    <w:p>
      <w:pPr>
        <w:spacing w:after="0" w:line="54" w:lineRule="exact"/>
        <w:rPr>
          <w:sz w:val="20"/>
          <w:szCs w:val="20"/>
          <w:color w:val="auto"/>
        </w:rPr>
      </w:pPr>
    </w:p>
    <w:p>
      <w:pPr>
        <w:ind w:left="40" w:right="899" w:firstLine="270"/>
        <w:spacing w:after="0" w:line="28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based on observable inputs other than Level 1 prices, such as quoted prices for similar assets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quoted prices in markets that are not active; or other inputs that are observable or can be corroborated by observable market data at the measurement date for substantially the full term of the assets or liabilities.</w:t>
      </w:r>
    </w:p>
    <w:p>
      <w:pPr>
        <w:spacing w:after="0" w:line="50" w:lineRule="exact"/>
        <w:rPr>
          <w:sz w:val="20"/>
          <w:szCs w:val="20"/>
          <w:color w:val="auto"/>
        </w:rPr>
      </w:pPr>
    </w:p>
    <w:p>
      <w:pPr>
        <w:ind w:left="40" w:right="61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unobservable inputs that reflect management’s best estimate of what market participants would</w:t>
      </w:r>
      <w:r>
        <w:rPr>
          <w:rFonts w:ascii="Arial" w:cs="Arial" w:eastAsia="Arial" w:hAnsi="Arial"/>
          <w:sz w:val="18"/>
          <w:szCs w:val="18"/>
          <w:b w:val="1"/>
          <w:bCs w:val="1"/>
          <w:color w:val="auto"/>
        </w:rPr>
        <w:t xml:space="preserve"> </w:t>
      </w:r>
      <w:r>
        <w:rPr>
          <w:rFonts w:ascii="Arial" w:cs="Arial" w:eastAsia="Arial" w:hAnsi="Arial"/>
          <w:sz w:val="18"/>
          <w:szCs w:val="18"/>
          <w:color w:val="auto"/>
        </w:rPr>
        <w:t>use in pricing the asset or liability at the measurement date. Consideration is given to the risk inherent in the valuation technique and the risk inherent in the inputs to the model.</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799" w:firstLine="270"/>
        <w:spacing w:after="0" w:line="288"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w:t>
      </w:r>
    </w:p>
    <w:p>
      <w:pPr>
        <w:ind w:left="40" w:right="579"/>
        <w:spacing w:after="0" w:line="255" w:lineRule="auto"/>
        <w:rPr>
          <w:sz w:val="20"/>
          <w:szCs w:val="20"/>
          <w:color w:val="auto"/>
        </w:rPr>
      </w:pPr>
      <w:r>
        <w:rPr>
          <w:rFonts w:ascii="Arial" w:cs="Arial" w:eastAsia="Arial" w:hAnsi="Arial"/>
          <w:sz w:val="18"/>
          <w:szCs w:val="18"/>
          <w:color w:val="auto"/>
        </w:rPr>
        <w:t>Therefore, gains and losses for such assets and liabilities categorized within the Level 3 table set forth in “Note 3 — Investments at Fair Value” may include changes in fair value that are attributable to both observable inputs (Levels 1 and 2) and unobservable inputs (Level 3).</w:t>
      </w:r>
    </w:p>
    <w:p>
      <w:pPr>
        <w:spacing w:after="0" w:line="82"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end of the quarter in which the reclassifications occur. Refer to “Levelling Policy” below for a detailed discussion of the levelling of the Company’s financial assets or liabilities and events that may cause a reclassification within the fair value hierarchy.</w:t>
      </w:r>
    </w:p>
    <w:p>
      <w:pPr>
        <w:spacing w:after="0" w:line="80" w:lineRule="exact"/>
        <w:rPr>
          <w:sz w:val="20"/>
          <w:szCs w:val="20"/>
          <w:color w:val="auto"/>
        </w:rPr>
      </w:pPr>
    </w:p>
    <w:p>
      <w:pPr>
        <w:ind w:left="40" w:right="699" w:firstLine="270"/>
        <w:spacing w:after="0" w:line="297" w:lineRule="auto"/>
        <w:rPr>
          <w:sz w:val="20"/>
          <w:szCs w:val="20"/>
          <w:color w:val="auto"/>
        </w:rPr>
      </w:pPr>
      <w:r>
        <w:rPr>
          <w:rFonts w:ascii="Arial" w:cs="Arial" w:eastAsia="Arial" w:hAnsi="Arial"/>
          <w:sz w:val="16"/>
          <w:szCs w:val="16"/>
          <w:color w:val="auto"/>
        </w:rPr>
        <w:t>Securities for which market quotations are readily available on an exchange are valued at the closing price of such security on the valuation date; however, if they are subject to restrictions upon sale (such as lock-up restrictions), they may be discounted accordingly.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50" w:lineRule="exact"/>
        <w:rPr>
          <w:sz w:val="20"/>
          <w:szCs w:val="20"/>
          <w:color w:val="auto"/>
        </w:rPr>
      </w:pPr>
    </w:p>
    <w:p>
      <w:pPr>
        <w:ind w:left="40" w:right="739" w:firstLine="270"/>
        <w:spacing w:after="0" w:line="259"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the board of directors or the valuation committee of the board of directors (the “Valuation Committee”), does not reliably represent fair value, shall each be valued as follows:</w:t>
      </w:r>
    </w:p>
    <w:p>
      <w:pPr>
        <w:spacing w:after="0" w:line="79" w:lineRule="exact"/>
        <w:rPr>
          <w:sz w:val="20"/>
          <w:szCs w:val="20"/>
          <w:color w:val="auto"/>
        </w:rPr>
      </w:pPr>
    </w:p>
    <w:p>
      <w:pPr>
        <w:ind w:left="540" w:right="699"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ind w:left="540" w:right="659" w:hanging="262"/>
        <w:spacing w:after="0" w:line="26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the Valuation Committee to conduct independent appraisals and review GSV Asset Management’s preliminary valuations and make its own independent assessment, for all investments for which there are no readily available market quotations;</w:t>
      </w:r>
    </w:p>
    <w:p>
      <w:pPr>
        <w:spacing w:after="0" w:line="73" w:lineRule="exact"/>
        <w:rPr>
          <w:rFonts w:ascii="Arial" w:cs="Arial" w:eastAsia="Arial" w:hAnsi="Arial"/>
          <w:sz w:val="18"/>
          <w:szCs w:val="18"/>
          <w:color w:val="auto"/>
        </w:rPr>
      </w:pPr>
    </w:p>
    <w:p>
      <w:pPr>
        <w:jc w:val="both"/>
        <w:ind w:left="540" w:right="819" w:hanging="262"/>
        <w:spacing w:after="0" w:line="26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based on the input of GSV Asset Management and the independent third-party valuation firm; and</w:t>
      </w:r>
    </w:p>
    <w:p>
      <w:pPr>
        <w:spacing w:after="0" w:line="73" w:lineRule="exact"/>
        <w:rPr>
          <w:rFonts w:ascii="Arial" w:cs="Arial" w:eastAsia="Arial" w:hAnsi="Arial"/>
          <w:sz w:val="18"/>
          <w:szCs w:val="18"/>
          <w:color w:val="auto"/>
        </w:rPr>
      </w:pPr>
    </w:p>
    <w:p>
      <w:pPr>
        <w:ind w:left="540" w:right="659"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62"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company does business, and other relevant factors. The Company assigns a weighting based upon the relevance of each method to determine the fair value of each investment.</w:t>
      </w:r>
    </w:p>
    <w:p>
      <w:pPr>
        <w:spacing w:after="0" w:line="62" w:lineRule="exact"/>
        <w:rPr>
          <w:sz w:val="20"/>
          <w:szCs w:val="20"/>
          <w:color w:val="auto"/>
        </w:rPr>
      </w:pPr>
    </w:p>
    <w:p>
      <w:pPr>
        <w:ind w:left="60" w:right="659" w:firstLine="270"/>
        <w:spacing w:after="0" w:line="297" w:lineRule="auto"/>
        <w:rPr>
          <w:sz w:val="20"/>
          <w:szCs w:val="20"/>
          <w:color w:val="auto"/>
        </w:rPr>
      </w:pPr>
      <w:r>
        <w:rPr>
          <w:rFonts w:ascii="Arial" w:cs="Arial" w:eastAsia="Arial" w:hAnsi="Arial"/>
          <w:sz w:val="16"/>
          <w:szCs w:val="16"/>
          <w:color w:val="auto"/>
        </w:rPr>
        <w:t>The Valuation Committee engages at least one independent valuation firm to perform valuations of its investments that are not publicly traded or for which there are no readily available market quotations. The Company’s board of directors considers the independent valuations provided by the valuation firm(s), among other factors, in making its fair value determinations. The table below shows the percentages of the Company’s investments for which there are no readily available market quotations and for which an independent valuation firm was engaged to perform valuations during the current and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52139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For the quarter ended March 31, 2015</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June 30, 2015</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For the quarter ended September 30, 2015</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December 31, 2015</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For the quarter ended March 31, 2016</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June 30, 2016</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For the quarter ended September 30, 2016</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100%</w:t>
            </w:r>
          </w:p>
        </w:tc>
      </w:tr>
    </w:tbl>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60" w:right="559" w:firstLine="270"/>
        <w:spacing w:after="0" w:line="272" w:lineRule="auto"/>
        <w:rPr>
          <w:sz w:val="20"/>
          <w:szCs w:val="20"/>
          <w:color w:val="auto"/>
        </w:rPr>
      </w:pPr>
      <w:r>
        <w:rPr>
          <w:rFonts w:ascii="Arial" w:cs="Arial" w:eastAsia="Arial" w:hAnsi="Arial"/>
          <w:sz w:val="17"/>
          <w:szCs w:val="17"/>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70" w:lineRule="exact"/>
        <w:rPr>
          <w:sz w:val="20"/>
          <w:szCs w:val="20"/>
          <w:color w:val="auto"/>
        </w:rPr>
      </w:pPr>
    </w:p>
    <w:p>
      <w:pPr>
        <w:ind w:left="60" w:right="519" w:firstLine="270"/>
        <w:spacing w:after="0" w:line="270" w:lineRule="auto"/>
        <w:rPr>
          <w:sz w:val="20"/>
          <w:szCs w:val="20"/>
          <w:color w:val="auto"/>
        </w:rPr>
      </w:pPr>
      <w:r>
        <w:rPr>
          <w:rFonts w:ascii="Arial" w:cs="Arial" w:eastAsia="Arial" w:hAnsi="Arial"/>
          <w:sz w:val="17"/>
          <w:szCs w:val="17"/>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74" w:lineRule="exact"/>
        <w:rPr>
          <w:sz w:val="20"/>
          <w:szCs w:val="20"/>
          <w:color w:val="auto"/>
        </w:rPr>
      </w:pPr>
    </w:p>
    <w:p>
      <w:pPr>
        <w:ind w:left="60" w:right="559" w:firstLine="270"/>
        <w:spacing w:after="0" w:line="271" w:lineRule="auto"/>
        <w:rPr>
          <w:sz w:val="20"/>
          <w:szCs w:val="20"/>
          <w:color w:val="auto"/>
        </w:rPr>
      </w:pPr>
      <w:r>
        <w:rPr>
          <w:rFonts w:ascii="Arial" w:cs="Arial" w:eastAsia="Arial" w:hAnsi="Arial"/>
          <w:sz w:val="17"/>
          <w:szCs w:val="17"/>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generally uses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w:t>
      </w: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19"/>
        <w:spacing w:after="0" w:line="308" w:lineRule="auto"/>
        <w:rPr>
          <w:sz w:val="20"/>
          <w:szCs w:val="20"/>
          <w:color w:val="auto"/>
        </w:rPr>
      </w:pPr>
      <w:r>
        <w:rPr>
          <w:rFonts w:ascii="Arial" w:cs="Arial" w:eastAsia="Arial" w:hAnsi="Arial"/>
          <w:sz w:val="17"/>
          <w:szCs w:val="17"/>
          <w:color w:val="auto"/>
        </w:rPr>
        <w:t>preferred stock, the cost associated with these securities is reassigned to the cost basis of the new common or preferred stock. These conversions are noted as non-cash operating items on the Condensed Consolidated Statements of Cash Flows.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ind w:left="40" w:right="639" w:firstLine="270"/>
        <w:spacing w:after="0" w:line="302" w:lineRule="auto"/>
        <w:rPr>
          <w:sz w:val="20"/>
          <w:szCs w:val="20"/>
          <w:color w:val="auto"/>
        </w:rPr>
      </w:pPr>
      <w:r>
        <w:rPr>
          <w:rFonts w:ascii="Arial" w:cs="Arial" w:eastAsia="Arial" w:hAnsi="Arial"/>
          <w:sz w:val="16"/>
          <w:szCs w:val="16"/>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 values its debt investments at estimated fair value as determined by the Company’s board of directors.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40" w:right="679" w:firstLine="270"/>
        <w:spacing w:after="0" w:line="308" w:lineRule="auto"/>
        <w:rPr>
          <w:sz w:val="20"/>
          <w:szCs w:val="20"/>
          <w:color w:val="auto"/>
        </w:rPr>
      </w:pPr>
      <w:r>
        <w:rPr>
          <w:rFonts w:ascii="Arial" w:cs="Arial" w:eastAsia="Arial" w:hAnsi="Arial"/>
          <w:sz w:val="17"/>
          <w:szCs w:val="17"/>
          <w:color w:val="auto"/>
        </w:rPr>
        <w:t>The Company’s board of directors will ascribe value to warrants based on fair value analyses that can include discounted cash flow analyses, option pricing models, comparable analyses and other techniques as deemed appropriate.</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Levelling Policy</w:t>
      </w:r>
    </w:p>
    <w:p>
      <w:pPr>
        <w:spacing w:after="0" w:line="117" w:lineRule="exact"/>
        <w:rPr>
          <w:sz w:val="20"/>
          <w:szCs w:val="20"/>
          <w:color w:val="auto"/>
        </w:rPr>
      </w:pPr>
    </w:p>
    <w:p>
      <w:pPr>
        <w:ind w:left="40" w:right="599" w:firstLine="270"/>
        <w:spacing w:after="0" w:line="253" w:lineRule="auto"/>
        <w:rPr>
          <w:sz w:val="20"/>
          <w:szCs w:val="20"/>
          <w:color w:val="auto"/>
        </w:rPr>
      </w:pPr>
      <w:r>
        <w:rPr>
          <w:rFonts w:ascii="Arial" w:cs="Arial" w:eastAsia="Arial" w:hAnsi="Arial"/>
          <w:sz w:val="18"/>
          <w:szCs w:val="18"/>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limited by the lock-up agreement. The Company prices the investment at the closing price on a public exchange as of the measurement date. In situations where the lock-up restrictions have expired but other factors restrict the sale of the investment, the Company will consider the nature of any restrictions on the sale of the investment in connection with the valuation of the portfolio company. The Company will classify the investment as either Level 2 subject to an appropriate DLOM to reflect the restrictions upon sale or as Level 1. The Company transfers investments between levels based on the fair value at the end of the measurement period in accordance with FASB ASC 820.</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Valuation of Other Financial Instruments</w:t>
      </w:r>
    </w:p>
    <w:p>
      <w:pPr>
        <w:spacing w:after="0" w:line="117"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 The embedded derivative liability is carried at fair value.</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w:t>
      </w:r>
      <w:r>
        <w:rPr>
          <w:rFonts w:ascii="Arial" w:cs="Arial" w:eastAsia="Arial" w:hAnsi="Arial"/>
          <w:sz w:val="17"/>
          <w:szCs w:val="17"/>
          <w:i w:val="1"/>
          <w:iCs w:val="1"/>
          <w:color w:val="auto"/>
        </w:rPr>
        <w:t>i.e.</w:t>
      </w:r>
      <w:r>
        <w:rPr>
          <w:rFonts w:ascii="Arial" w:cs="Arial" w:eastAsia="Arial" w:hAnsi="Arial"/>
          <w:sz w:val="17"/>
          <w:szCs w:val="17"/>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GSV Capital is a non-diversified company within the meaning of the 1940 Act. GSV Capital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180" w:right="579"/>
        <w:spacing w:after="0" w:line="264" w:lineRule="auto"/>
        <w:rPr>
          <w:sz w:val="20"/>
          <w:szCs w:val="20"/>
          <w:color w:val="auto"/>
        </w:rPr>
      </w:pPr>
      <w:r>
        <w:rPr>
          <w:rFonts w:ascii="Arial" w:cs="Arial" w:eastAsia="Arial" w:hAnsi="Arial"/>
          <w:sz w:val="18"/>
          <w:szCs w:val="18"/>
          <w:color w:val="auto"/>
        </w:rPr>
        <w:t>controls or holds the power to vote 5% or more of the outstanding voting securities of a portfolio company. Refer to the Condensed Consolidated Schedules of Investments as of September 30, 2016 and December 31, 2015, respectively, for details regarding the nature and composition of the Company’s investment portfolio.</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jc w:val="both"/>
        <w:ind w:left="180" w:right="919" w:firstLine="270"/>
        <w:spacing w:after="0" w:line="312" w:lineRule="auto"/>
        <w:rPr>
          <w:sz w:val="20"/>
          <w:szCs w:val="20"/>
          <w:color w:val="auto"/>
        </w:rPr>
      </w:pPr>
      <w:r>
        <w:rPr>
          <w:rFonts w:ascii="Arial" w:cs="Arial" w:eastAsia="Arial" w:hAnsi="Arial"/>
          <w:sz w:val="16"/>
          <w:szCs w:val="16"/>
          <w:color w:val="auto"/>
        </w:rPr>
        <w:t>The Company places its cash with U.S. Bank, N.A. and Silicon Valley Bank, and at times, cash held in these accounts may exceed the Federal Deposit Insurance Corporation insured limit. The Company believes that both U.S. Bank, N.A. and Silicon Valley Bank are high-quality financial institutions and that the risk of loss associated with any uninsured balance is remote.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left="180" w:right="539" w:firstLine="270"/>
        <w:spacing w:after="0" w:line="269" w:lineRule="auto"/>
        <w:rPr>
          <w:sz w:val="20"/>
          <w:szCs w:val="20"/>
          <w:color w:val="auto"/>
        </w:rPr>
      </w:pPr>
      <w:r>
        <w:rPr>
          <w:rFonts w:ascii="Arial" w:cs="Arial" w:eastAsia="Arial" w:hAnsi="Arial"/>
          <w:sz w:val="17"/>
          <w:szCs w:val="17"/>
          <w:color w:val="auto"/>
        </w:rPr>
        <w:t xml:space="preserve">On December 31, 2013, the Company entered into a Loan and Security Agreement (the “Loan Agreement”) with Silicon Valley Bank, pursuant to which Silicon Valley Bank agreed to provide the Company with an $18 million credit facility (the “Credit Facility”). The Company recorded origination costs related to the Credit Facility as deferred financing costs. These costs are deferred and amortized as part of interest expense using the effective interest method over the expected life of the Credit Facility. If the Company modifies or extinguishes the Credit Facility, it follows the guidance in FASB ASC 470-50, </w:t>
      </w:r>
      <w:r>
        <w:rPr>
          <w:rFonts w:ascii="Arial" w:cs="Arial" w:eastAsia="Arial" w:hAnsi="Arial"/>
          <w:sz w:val="17"/>
          <w:szCs w:val="17"/>
          <w:i w:val="1"/>
          <w:iCs w:val="1"/>
          <w:color w:val="auto"/>
        </w:rPr>
        <w:t>Modification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Extinguishments</w:t>
      </w:r>
      <w:r>
        <w:rPr>
          <w:rFonts w:ascii="Arial" w:cs="Arial" w:eastAsia="Arial" w:hAnsi="Arial"/>
          <w:sz w:val="17"/>
          <w:szCs w:val="17"/>
          <w:color w:val="auto"/>
        </w:rPr>
        <w:t>. For modifications to or exchanges of the Credit Facility, any unamortized origination costs are expensed.</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within deferred financing costs are offering costs incurred relating to the Company’s shelf registration statement on Form N-2. The Company defers these offering costs until capital is raised pursuant to the shelf registration statement or the shelf registration statement has expired. For equity capital raised, the offering costs reduce paid-in capital resulting from the offering. For debt capital raised, the associated offering costs are amortized over the life of the debt instrument using the effective interest method. As of September 30, 2016 and December 31, 2015, the Company had deferred financing costs of $356,268 and $352,653, respectively, on the 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12065</wp:posOffset>
            </wp:positionV>
            <wp:extent cx="52139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origination costs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210,998</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311,268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141,655</w:t>
            </w:r>
          </w:p>
        </w:tc>
      </w:tr>
      <w:tr>
        <w:trPr>
          <w:trHeight w:val="20"/>
        </w:trPr>
        <w:tc>
          <w:tcPr>
            <w:tcW w:w="6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Financing Costs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356,268</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352,653</w:t>
            </w: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80" w:right="619" w:firstLine="270"/>
        <w:spacing w:after="0" w:line="293" w:lineRule="auto"/>
        <w:rPr>
          <w:sz w:val="20"/>
          <w:szCs w:val="20"/>
          <w:color w:val="auto"/>
        </w:rPr>
      </w:pPr>
      <w:r>
        <w:rPr>
          <w:rFonts w:ascii="Arial" w:cs="Arial" w:eastAsia="Arial" w:hAnsi="Arial"/>
          <w:sz w:val="16"/>
          <w:szCs w:val="16"/>
          <w:color w:val="auto"/>
        </w:rPr>
        <w:t>As of September 30, 2016 and December 31, 2015, the Company had restricted cash of $115,431 and $52,931, respectively, which is included on the Condensed Consolidated Statements of Assets and Liabilities. As of September 30, 2016 and December 31, 2015, restricted cash consisted of a deposit for the Company’s fidelity bond as well as excess funds remaining in escrow after the purchase of the government securities that will be used to make the scheduled interest payments on the Company’s $69 million Convertible Senior Notes, which bear interest at a fixed rate of 5.25% per year and mature on September 15, 2018 (the “Convertible Senior Notes”). See the table below and “Note 9 — Long-Term Liabilities”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2540</wp:posOffset>
            </wp:positionV>
            <wp:extent cx="52139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8"/>
              </w:rPr>
              <w:t>December 31,</w:t>
            </w:r>
          </w:p>
        </w:tc>
        <w:tc>
          <w:tcPr>
            <w:tcW w:w="126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 for the Company’s fidelity bond</w:t>
            </w:r>
          </w:p>
        </w:tc>
        <w:tc>
          <w:tcPr>
            <w:tcW w:w="254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Excess funds</w:t>
            </w:r>
          </w:p>
        </w:tc>
        <w:tc>
          <w:tcPr>
            <w:tcW w:w="2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120" w:type="dxa"/>
            <w:vAlign w:val="bottom"/>
          </w:tcPr>
          <w:p>
            <w:pPr>
              <w:spacing w:after="0"/>
              <w:rPr>
                <w:sz w:val="21"/>
                <w:szCs w:val="21"/>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Cash</w:t>
            </w:r>
          </w:p>
        </w:tc>
        <w:tc>
          <w:tcPr>
            <w:tcW w:w="254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115,431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52,931</w:t>
            </w:r>
          </w:p>
        </w:tc>
        <w:tc>
          <w:tcPr>
            <w:tcW w:w="1260" w:type="dxa"/>
            <w:vAlign w:val="bottom"/>
          </w:tcPr>
          <w:p>
            <w:pPr>
              <w:spacing w:after="0"/>
              <w:rPr>
                <w:sz w:val="21"/>
                <w:szCs w:val="21"/>
                <w:color w:val="auto"/>
              </w:rPr>
            </w:pPr>
          </w:p>
        </w:tc>
      </w:tr>
      <w:tr>
        <w:trPr>
          <w:trHeight w:val="777"/>
        </w:trPr>
        <w:tc>
          <w:tcPr>
            <w:tcW w:w="120" w:type="dxa"/>
            <w:vAlign w:val="bottom"/>
          </w:tcPr>
          <w:p>
            <w:pPr>
              <w:spacing w:after="0"/>
              <w:rPr>
                <w:sz w:val="24"/>
                <w:szCs w:val="24"/>
                <w:color w:val="auto"/>
              </w:rPr>
            </w:pPr>
          </w:p>
        </w:tc>
        <w:tc>
          <w:tcPr>
            <w:tcW w:w="3760" w:type="dxa"/>
            <w:vAlign w:val="bottom"/>
            <w:tcBorders>
              <w:top w:val="single" w:sz="8" w:color="CCEEFF"/>
            </w:tcBorders>
          </w:tcPr>
          <w:p>
            <w:pPr>
              <w:spacing w:after="0"/>
              <w:rPr>
                <w:sz w:val="24"/>
                <w:szCs w:val="24"/>
                <w:color w:val="auto"/>
              </w:rPr>
            </w:pPr>
          </w:p>
        </w:tc>
        <w:tc>
          <w:tcPr>
            <w:tcW w:w="2360" w:type="dxa"/>
            <w:vAlign w:val="bottom"/>
            <w:tcBorders>
              <w:top w:val="single" w:sz="8" w:color="CCEEFF"/>
            </w:tcBorders>
          </w:tcPr>
          <w:p>
            <w:pPr>
              <w:jc w:val="right"/>
              <w:ind w:right="1270"/>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760" w:type="dxa"/>
            <w:vAlign w:val="bottom"/>
            <w:tcBorders>
              <w:bottom w:val="single" w:sz="8" w:color="9A9A9A"/>
            </w:tcBorders>
          </w:tcPr>
          <w:p>
            <w:pPr>
              <w:spacing w:after="0"/>
              <w:rPr>
                <w:sz w:val="14"/>
                <w:szCs w:val="14"/>
                <w:color w:val="auto"/>
              </w:rPr>
            </w:pPr>
          </w:p>
        </w:tc>
        <w:tc>
          <w:tcPr>
            <w:tcW w:w="23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760" w:type="dxa"/>
            <w:vAlign w:val="bottom"/>
            <w:tcBorders>
              <w:bottom w:val="single" w:sz="8" w:color="EEEEEE"/>
            </w:tcBorders>
          </w:tcPr>
          <w:p>
            <w:pPr>
              <w:spacing w:after="0" w:line="20" w:lineRule="exact"/>
              <w:rPr>
                <w:sz w:val="1"/>
                <w:szCs w:val="1"/>
                <w:color w:val="auto"/>
              </w:rPr>
            </w:pPr>
          </w:p>
        </w:tc>
        <w:tc>
          <w:tcPr>
            <w:tcW w:w="23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Interest income, adjusted for amortization of premium and accretion of discount, is recorded on an accrual basis.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7" w:lineRule="exact"/>
        <w:rPr>
          <w:sz w:val="20"/>
          <w:szCs w:val="20"/>
          <w:color w:val="auto"/>
        </w:rPr>
      </w:pPr>
    </w:p>
    <w:p>
      <w:pPr>
        <w:ind w:left="40" w:right="639" w:firstLine="270"/>
        <w:spacing w:after="0" w:line="272"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issuer,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At September 30, 2016 and December 31, 2015, the Company had no escrow deposits.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Unrealized Appreciation or Depreciation of Investments</w:t>
      </w:r>
    </w:p>
    <w:p>
      <w:pPr>
        <w:spacing w:after="0" w:line="117"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ind w:left="40" w:right="599" w:firstLine="270"/>
        <w:spacing w:after="0" w:line="288" w:lineRule="auto"/>
        <w:rPr>
          <w:sz w:val="20"/>
          <w:szCs w:val="20"/>
          <w:color w:val="auto"/>
        </w:rPr>
      </w:pPr>
      <w:r>
        <w:rPr>
          <w:rFonts w:ascii="Arial" w:cs="Arial" w:eastAsia="Arial" w:hAnsi="Arial"/>
          <w:sz w:val="16"/>
          <w:szCs w:val="16"/>
          <w:color w:val="auto"/>
        </w:rPr>
        <w:t>The Company has elected to be treated as a regulated investment company (a “RIC”) under Subchapter M of the Internal Revenue Code of 1986, as amended (the “Code”), for the 2014 taxable year, is qualified to elect to be treated as a RIC for the 2015 taxable year and expects to continue to operate in a manner so as to qualify for the tax treatment applicable to RICs. In order to qualify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and meet certain source of income and asset diversification requirements on a quarterly basis.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61"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If the Company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“Minimum Distribution Amount”), it will generally be required to pay an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200" w:lineRule="exact"/>
        <w:rPr>
          <w:sz w:val="20"/>
          <w:szCs w:val="20"/>
          <w:color w:val="auto"/>
        </w:rPr>
      </w:pPr>
    </w:p>
    <w:p>
      <w:pPr>
        <w:spacing w:after="0" w:line="30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The Company was taxed as a regular corporation (a “C corporation”) under subchapter C of the Code, for its 2012 taxable year. In September 2014, the Company filed its 2013 tax return as a RIC and sought to be granted RIC status for its 2013 taxable year; however, the Company determined it would not be eligible to elect to be treated as a RIC for the 2013 taxable year unless it was certified by the Securities and Exchange Commission (the “SEC”) as “principally engaged in the furnishing of capital to other corporations which are principally engaged in the development or exploitation of inventions, technological improvements, new processes, or products not previously generally available” for the 2013 taxable year. In September 2015, the Company determined it was in the best interests of its stockholders to file its 2013 tax return as a C corporation.</w:t>
      </w:r>
    </w:p>
    <w:p>
      <w:pPr>
        <w:spacing w:after="0" w:line="70"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The Company determined, however, that it satisfied the requirements to qualify as a RIC for the 2014 taxable year and elected to be treated as a RIC in its 2014 tax return filed in September 2015.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condensed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59"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The Company has also qualified to be treated as a RIC for the 2015 taxable year and intends to qualify to be treated as a RIC in future periods. If it is not treated as a RIC, the Company will be taxed as a C corporation under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 tax on any net built-in gains with respect to certain of its assets (</w:t>
      </w:r>
      <w:r>
        <w:rPr>
          <w:rFonts w:ascii="Arial" w:cs="Arial" w:eastAsia="Arial" w:hAnsi="Arial"/>
          <w:sz w:val="16"/>
          <w:szCs w:val="16"/>
          <w:i w:val="1"/>
          <w:iCs w:val="1"/>
          <w:color w:val="auto"/>
        </w:rPr>
        <w:t>i.e.</w:t>
      </w:r>
      <w:r>
        <w:rPr>
          <w:rFonts w:ascii="Arial" w:cs="Arial" w:eastAsia="Arial" w:hAnsi="Arial"/>
          <w:sz w:val="16"/>
          <w:szCs w:val="16"/>
          <w:color w:val="auto"/>
        </w:rPr>
        <w:t>,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8 — Income Taxes” for further details regarding the Company’s tax status.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Basic net increase/(decrease) in net assets resulting from operations per common share is computed using the weighted-average number of shares outstanding for the period presented. Diluted net increase/(decrease) in net assets resulting from operations per common share is computed by dividing net increase/(decrease) in net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699"/>
        <w:spacing w:after="0" w:line="276" w:lineRule="auto"/>
        <w:rPr>
          <w:sz w:val="20"/>
          <w:szCs w:val="20"/>
          <w:color w:val="auto"/>
        </w:rPr>
      </w:pPr>
      <w:r>
        <w:rPr>
          <w:rFonts w:ascii="Arial" w:cs="Arial" w:eastAsia="Arial" w:hAnsi="Arial"/>
          <w:sz w:val="17"/>
          <w:szCs w:val="17"/>
          <w:color w:val="auto"/>
        </w:rPr>
        <w:t xml:space="preserve">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 to determine the number of potentially dilutive shares outstanding. Refer to “Note 5 — Net Increase/(Decrease) in Net Assets Resulting from Operations per Common Share — Basic and Diluted” for further detail.</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 xml:space="preserve">In April 2015, the FASB issued Accounting Standards Update (“ASU”) 2015-03, </w:t>
      </w:r>
      <w:r>
        <w:rPr>
          <w:rFonts w:ascii="Arial" w:cs="Arial" w:eastAsia="Arial" w:hAnsi="Arial"/>
          <w:sz w:val="18"/>
          <w:szCs w:val="18"/>
          <w:i w:val="1"/>
          <w:iCs w:val="1"/>
          <w:color w:val="auto"/>
        </w:rPr>
        <w:t>Interest — Imputation of Interest (Topic 835):</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ASU 2015-03 requires companies to present debt issuance costs related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debt liability in the balance sheet as a direct deduction from the carrying amount of that debt liability, consistent with debt discounts. Debt issuance costs related to lines of credit are not required to be deducted from the carrying amount of that debt liability.</w:t>
      </w:r>
    </w:p>
    <w:p>
      <w:pPr>
        <w:spacing w:after="0" w:line="80" w:lineRule="exact"/>
        <w:rPr>
          <w:sz w:val="20"/>
          <w:szCs w:val="20"/>
          <w:color w:val="auto"/>
        </w:rPr>
      </w:pPr>
    </w:p>
    <w:p>
      <w:pPr>
        <w:ind w:left="40" w:right="599" w:firstLine="270"/>
        <w:spacing w:after="0" w:line="284" w:lineRule="auto"/>
        <w:rPr>
          <w:sz w:val="20"/>
          <w:szCs w:val="20"/>
          <w:color w:val="auto"/>
        </w:rPr>
      </w:pPr>
      <w:r>
        <w:rPr>
          <w:rFonts w:ascii="Arial" w:cs="Arial" w:eastAsia="Arial" w:hAnsi="Arial"/>
          <w:sz w:val="16"/>
          <w:szCs w:val="16"/>
          <w:color w:val="auto"/>
        </w:rPr>
        <w:t>Public companies are required to apply FASB ASU 2015-03 retrospectively for interim and annual reporting periods beginning after December 15, 2015. The Company has adopted this standard beginning with the interim period ended March 31, 2016. As a result, deferred financing costs of $1,947,572 as of December 31, 2015 related to the Convertible Senior Notes are now presented as a direct reduction to the Convertible Senior Notes in the Condensed Consolidated Statements of Assets and Liabilities. In prior periods, these deferred debt financing costs had been presented as assets on the Condensed Consolidated Statements of Assets and Liabilities. The unamortized balances of debt issuance costs related to the Credit Facility remain in “Deferred financing costs” on the Condensed Consolidated Statements of Assets and Liabilities. Refer to “— Deferred Financing Costs” above and “Note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9 — Long-Term Liabilities” for further detail.</w:t>
      </w:r>
    </w:p>
    <w:p>
      <w:pPr>
        <w:spacing w:after="0" w:line="103" w:lineRule="exact"/>
        <w:rPr>
          <w:sz w:val="20"/>
          <w:szCs w:val="20"/>
          <w:color w:val="auto"/>
        </w:rPr>
      </w:pPr>
    </w:p>
    <w:p>
      <w:pPr>
        <w:ind w:left="40" w:right="739" w:firstLine="270"/>
        <w:spacing w:after="0" w:line="273" w:lineRule="auto"/>
        <w:rPr>
          <w:sz w:val="20"/>
          <w:szCs w:val="20"/>
          <w:color w:val="auto"/>
        </w:rPr>
      </w:pPr>
      <w:r>
        <w:rPr>
          <w:rFonts w:ascii="Arial" w:cs="Arial" w:eastAsia="Arial" w:hAnsi="Arial"/>
          <w:sz w:val="17"/>
          <w:szCs w:val="17"/>
          <w:color w:val="auto"/>
        </w:rPr>
        <w:t xml:space="preserve">On January 1, 2016, the Company adopted ASU 2015-02, </w:t>
      </w:r>
      <w:r>
        <w:rPr>
          <w:rFonts w:ascii="Arial" w:cs="Arial" w:eastAsia="Arial" w:hAnsi="Arial"/>
          <w:sz w:val="17"/>
          <w:szCs w:val="17"/>
          <w:i w:val="1"/>
          <w:iCs w:val="1"/>
          <w:color w:val="auto"/>
        </w:rPr>
        <w:t>Amendments to the Consolidation Analysis</w:t>
      </w:r>
      <w:r>
        <w:rPr>
          <w:rFonts w:ascii="Arial" w:cs="Arial" w:eastAsia="Arial" w:hAnsi="Arial"/>
          <w:sz w:val="17"/>
          <w:szCs w:val="17"/>
          <w:color w:val="auto"/>
        </w:rPr>
        <w:t xml:space="preserve"> (ASC 8510), which amends the guidance for determining whether an entity is a variable interest entity. ASU 2015-02 eliminates the separate consolidation guidance for limited partnerships and, with it, the presumption that a general partner should consolidate a limited partnership. In addition, ASU 2015-02 changes the guidance for determining if fee arrangements qualify as variable interests and the effect fee arrangements have on the determination of the primary beneficiary. Adoption of ASU 2015-02 did not affect the consolidation analysis for any of the Company’s investments.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The Company has entered into an investment advisory agreement with GSV Asset Management (the “Advisory Agreement”). Pursuant to the Advisory Agreement, GSV Asset Management will be paid a base annual fee of 2% of gross assets, which is the Company’s total assets reflected on the its Condensed Consolidated Statements of Assets and Liabilities (with no deduction for liabilities) reduced by any non-portfolio investments,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58" w:lineRule="exact"/>
        <w:rPr>
          <w:sz w:val="20"/>
          <w:szCs w:val="20"/>
          <w:color w:val="auto"/>
        </w:rPr>
      </w:pPr>
    </w:p>
    <w:p>
      <w:pPr>
        <w:ind w:left="40" w:right="519" w:firstLine="270"/>
        <w:spacing w:after="0" w:line="259" w:lineRule="auto"/>
        <w:rPr>
          <w:sz w:val="20"/>
          <w:szCs w:val="20"/>
          <w:color w:val="auto"/>
        </w:rPr>
      </w:pPr>
      <w:r>
        <w:rPr>
          <w:rFonts w:ascii="Arial" w:cs="Arial" w:eastAsia="Arial" w:hAnsi="Arial"/>
          <w:sz w:val="18"/>
          <w:szCs w:val="18"/>
          <w:color w:val="auto"/>
        </w:rPr>
        <w:t>Under the Advisory Agreement, there are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21" w:lineRule="exact"/>
        <w:rPr>
          <w:sz w:val="20"/>
          <w:szCs w:val="20"/>
          <w:color w:val="auto"/>
        </w:rPr>
      </w:pPr>
    </w:p>
    <w:p>
      <w:pPr>
        <w:ind w:left="40" w:right="579"/>
        <w:spacing w:after="0" w:line="302" w:lineRule="auto"/>
        <w:rPr>
          <w:sz w:val="20"/>
          <w:szCs w:val="20"/>
          <w:color w:val="auto"/>
        </w:rPr>
      </w:pPr>
      <w:r>
        <w:rPr>
          <w:rFonts w:ascii="Arial" w:cs="Arial" w:eastAsia="Arial" w:hAnsi="Arial"/>
          <w:sz w:val="16"/>
          <w:szCs w:val="16"/>
          <w:color w:val="auto"/>
        </w:rPr>
        <w:t>services to, one or more of the Company’s portfolio companies). GSV Asset Management has, however, adopted an internal policy whereby any fees or compensation received by a manager, partner, officer or employee of GSV Asset Management in exchange for serving as a director of, or providing consulting services to, any of the Company’s portfolio companies will be transferred to the Company, net of any personal taxes incurred, upon such receipt for the benefit of the Company and its stockholders.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Incentive Fees</w:t>
      </w:r>
    </w:p>
    <w:p>
      <w:pPr>
        <w:spacing w:after="0" w:line="117"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For GAAP purposes, in accordance with the AICPA’s Technical Practice Aids (“TPA”) (TIS 6910.2), the Company is required to accrue incentive fees for all periods as if the Company had fully liquidated its entire investment portfolio at the fair value stated on the Condensed Consolidated Statements of Assets and Liabilities as of September 30, 2016 and December 31, 2015. This accrual considers both the hypothetical liquidation of the Company’s portfolio described previously, as well as the Company’s actual cumulative realized gains and losses since inception, as well any previously paid incentive fees.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the three months ended September 30, 2016, the Company accrued incentive fees of $220,719. For the nine months ended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September 30, 2016, the Company reversed previously accrued incentive fees of $7,805,089. For the three and nine months ended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30, 2015, the Company accrued incentive fees of $1,062,535 and $10,839,602, respectively.</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ind w:left="40" w:right="819" w:firstLine="270"/>
        <w:spacing w:after="0" w:line="264" w:lineRule="auto"/>
        <w:rPr>
          <w:sz w:val="20"/>
          <w:szCs w:val="20"/>
          <w:color w:val="auto"/>
        </w:rPr>
      </w:pPr>
      <w:r>
        <w:rPr>
          <w:rFonts w:ascii="Arial" w:cs="Arial" w:eastAsia="Arial" w:hAnsi="Arial"/>
          <w:sz w:val="18"/>
          <w:szCs w:val="18"/>
          <w:color w:val="auto"/>
        </w:rPr>
        <w:t>GSV Asset Management earned $1,625,963 and $5,324,186 in management fees for the three and nine months ended September 30, 2016, respectively. GSV Asset Management earned $2,063,017 and $5,994,530 in management fees for the three and nine months ended September 30, 2015, respectively.</w:t>
      </w:r>
    </w:p>
    <w:p>
      <w:pPr>
        <w:spacing w:after="0" w:line="73" w:lineRule="exact"/>
        <w:rPr>
          <w:sz w:val="20"/>
          <w:szCs w:val="20"/>
          <w:color w:val="auto"/>
        </w:rPr>
      </w:pPr>
    </w:p>
    <w:p>
      <w:pPr>
        <w:jc w:val="both"/>
        <w:ind w:left="40" w:right="559" w:firstLine="270"/>
        <w:spacing w:after="0" w:line="264" w:lineRule="auto"/>
        <w:rPr>
          <w:sz w:val="20"/>
          <w:szCs w:val="20"/>
          <w:color w:val="auto"/>
        </w:rPr>
      </w:pPr>
      <w:r>
        <w:rPr>
          <w:rFonts w:ascii="Arial" w:cs="Arial" w:eastAsia="Arial" w:hAnsi="Arial"/>
          <w:sz w:val="18"/>
          <w:szCs w:val="18"/>
          <w:color w:val="auto"/>
        </w:rPr>
        <w:t>As of September 30, 2016, GSV Asset Management owed the Company $77,021 for reimbursement of expenses paid for by the Company that were the responsibility of GSV Asset Management. In addition, as of September 30, 2016, the Company owed GSV Asset Management $895,932 primarily for the reimbursement of overhead expenses.</w:t>
      </w:r>
    </w:p>
    <w:p>
      <w:pPr>
        <w:spacing w:after="0" w:line="73" w:lineRule="exact"/>
        <w:rPr>
          <w:sz w:val="20"/>
          <w:szCs w:val="20"/>
          <w:color w:val="auto"/>
        </w:rPr>
      </w:pPr>
    </w:p>
    <w:p>
      <w:pPr>
        <w:jc w:val="both"/>
        <w:ind w:left="40" w:right="759" w:firstLine="270"/>
        <w:spacing w:after="0" w:line="312" w:lineRule="auto"/>
        <w:rPr>
          <w:sz w:val="20"/>
          <w:szCs w:val="20"/>
          <w:color w:val="auto"/>
        </w:rPr>
      </w:pPr>
      <w:r>
        <w:rPr>
          <w:rFonts w:ascii="Arial" w:cs="Arial" w:eastAsia="Arial" w:hAnsi="Arial"/>
          <w:sz w:val="16"/>
          <w:szCs w:val="16"/>
          <w:color w:val="auto"/>
        </w:rPr>
        <w:t>As of December 31, 2015, GSV Asset Management owed the Company $220,770 for reimbursement of expenses paid for by the Company that were the responsibility of GSV Asset Management. In addition, as of December 31, 2015, the Company owed GSV Asset Management $5,047,429 for earned incentive fees and, to a lesser extent, for the reimbursement of other expenses.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The Company reimburses GSV Capital Service Company an allocable portion of overhead and other expenses in performing its obligations under the Administration Agreement. There were $627,444 and $1,926,085 in such costs incurred under the Administration Agreement for the three and nine months ended September 30, 2016, respectively. There were $598,456 and $2,185,888 in such costs incurred under the Administration Agreement for the three and nine months ended September 30, 2015, respectively.</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Investments in Controlled and Affiliated Portfolio Companies</w:t>
      </w:r>
    </w:p>
    <w:p>
      <w:pPr>
        <w:spacing w:after="0" w:line="121" w:lineRule="exact"/>
        <w:rPr>
          <w:sz w:val="20"/>
          <w:szCs w:val="20"/>
          <w:color w:val="auto"/>
        </w:rPr>
      </w:pPr>
    </w:p>
    <w:p>
      <w:pPr>
        <w:ind w:left="180" w:right="579" w:firstLine="270"/>
        <w:spacing w:after="0" w:line="277" w:lineRule="auto"/>
        <w:rPr>
          <w:sz w:val="20"/>
          <w:szCs w:val="20"/>
          <w:color w:val="auto"/>
        </w:rPr>
      </w:pPr>
      <w:r>
        <w:rPr>
          <w:rFonts w:ascii="Arial" w:cs="Arial" w:eastAsia="Arial" w:hAnsi="Arial"/>
          <w:sz w:val="18"/>
          <w:szCs w:val="18"/>
          <w:color w:val="auto"/>
        </w:rPr>
        <w:t>Under the 1940 Act, the Company’s investments in controlled and affiliated portfolio companies are deemed to be related-party transactions.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w:t>
      </w:r>
    </w:p>
    <w:p>
      <w:pPr>
        <w:spacing w:after="0" w:line="121" w:lineRule="exact"/>
        <w:rPr>
          <w:sz w:val="20"/>
          <w:szCs w:val="20"/>
          <w:color w:val="auto"/>
        </w:rPr>
      </w:pPr>
    </w:p>
    <w:p>
      <w:pPr>
        <w:ind w:left="180" w:right="599" w:firstLine="270"/>
        <w:spacing w:after="0" w:line="255" w:lineRule="auto"/>
        <w:rPr>
          <w:sz w:val="20"/>
          <w:szCs w:val="20"/>
          <w:color w:val="auto"/>
        </w:rPr>
      </w:pPr>
      <w:r>
        <w:rPr>
          <w:rFonts w:ascii="Arial" w:cs="Arial" w:eastAsia="Arial" w:hAnsi="Arial"/>
          <w:sz w:val="18"/>
          <w:szCs w:val="18"/>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September 30, 2016, the Company had 99 positions in 46 portfolio companies. At December 31, 2015, the Company had 96 positions in 48 portfolio companies. The following table summarizes the composition of the Company’s investment portfolio by security type at cost and fair value as of September 30, 2016 and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17780</wp:posOffset>
            </wp:positionV>
            <wp:extent cx="52139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September 30, 2016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December 31, 2015</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59,305,917</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82,244,165</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60,910,974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102,319,140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196,614,616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199,919,232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197,215,605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216,291,092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8,106,547</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7,375,208</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4,177,804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4,175,859</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376,152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345,356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301,772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469,306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Subtotal – Private Portfolio Companies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264,403,232</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289,883,961</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262,606,155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323,255,397</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14,022,863</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8,385,995</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30,743,688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26,553,370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0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278,426,095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298,269,956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293,349,843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349,808,767</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U.S. Treasury Bill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29,999,935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29,999,935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29,999,968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Strips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3,675,192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3,676,693</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29,999,935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29,999,935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33,675,160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33,676,693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308,426,030</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328,269,891</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327,025,003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383,485,460</w:t>
            </w:r>
          </w:p>
        </w:tc>
        <w:tc>
          <w:tcPr>
            <w:tcW w:w="132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gridSpan w:val="2"/>
          </w:tcPr>
          <w:p>
            <w:pPr>
              <w:jc w:val="right"/>
              <w:ind w:right="711"/>
              <w:spacing w:after="0"/>
              <w:rPr>
                <w:sz w:val="20"/>
                <w:szCs w:val="20"/>
                <w:color w:val="auto"/>
              </w:rPr>
            </w:pPr>
            <w:r>
              <w:rPr>
                <w:rFonts w:ascii="Arial" w:cs="Arial" w:eastAsia="Arial" w:hAnsi="Arial"/>
                <w:sz w:val="18"/>
                <w:szCs w:val="18"/>
                <w:color w:val="auto"/>
                <w:w w:val="99"/>
              </w:rPr>
              <w:t>29</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-1937385</wp:posOffset>
            </wp:positionV>
            <wp:extent cx="5213985"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-1654810</wp:posOffset>
            </wp:positionV>
            <wp:extent cx="5213985" cy="291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-951230</wp:posOffset>
            </wp:positionV>
            <wp:extent cx="521398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-659765</wp:posOffset>
            </wp:positionV>
            <wp:extent cx="5213985"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2" w:name="page33"/>
    <w:bookmarkEnd w:id="32"/>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180" w:right="899" w:firstLine="270"/>
        <w:spacing w:after="0" w:line="342" w:lineRule="auto"/>
        <w:rPr>
          <w:sz w:val="20"/>
          <w:szCs w:val="20"/>
          <w:color w:val="auto"/>
        </w:rPr>
      </w:pPr>
      <w:r>
        <w:rPr>
          <w:rFonts w:ascii="Arial" w:cs="Arial" w:eastAsia="Arial" w:hAnsi="Arial"/>
          <w:sz w:val="16"/>
          <w:szCs w:val="16"/>
          <w:color w:val="auto"/>
        </w:rPr>
        <w:t>The fair values of the Company’s investments disaggregated into the three levels of the fair value hierarchy based upon the lowest level of significant input used in the valuation as of September 30, 2016 and December 31,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-22860</wp:posOffset>
            </wp:positionV>
            <wp:extent cx="52139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2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3"/>
              </w:rPr>
              <w:t>Significant Other</w:t>
            </w: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0" w:type="dxa"/>
            <w:vAlign w:val="bottom"/>
          </w:tcPr>
          <w:p>
            <w:pPr>
              <w:spacing w:after="0"/>
              <w:rPr>
                <w:sz w:val="12"/>
                <w:szCs w:val="12"/>
                <w:color w:val="auto"/>
              </w:rPr>
            </w:pPr>
          </w:p>
        </w:tc>
        <w:tc>
          <w:tcPr>
            <w:tcW w:w="12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82,244,165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82,244,165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199,919,232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199,919,232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7,375,208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7,375,208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345,356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345,356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w w:val="97"/>
              </w:rPr>
              <w:t>Subtotal – Private Portfolio Companies</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289,883,961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289,883,961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8,385,995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8,385,995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right w:val="single" w:sz="8" w:color="CCEEFF"/>
            </w:tcBorders>
            <w:shd w:val="clear" w:color="auto" w:fill="CCEEFF"/>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8,385,995</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289,883,961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298,269,956</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29,999,935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29,999,935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38,385,930</w:t>
            </w:r>
          </w:p>
        </w:tc>
        <w:tc>
          <w:tcPr>
            <w:tcW w:w="4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289,883,961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328,269,891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-1809115</wp:posOffset>
            </wp:positionV>
            <wp:extent cx="521398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-1097280</wp:posOffset>
            </wp:positionV>
            <wp:extent cx="5213985"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-814070</wp:posOffset>
            </wp:positionV>
            <wp:extent cx="5213985" cy="1803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3" w:name="page34"/>
    <w:bookmarkEnd w:id="3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0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2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3"/>
              </w:rPr>
              <w:t>Significant Other</w:t>
            </w: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$ 102,319,140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102,319,140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216,291,092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216,291,092</w:t>
            </w: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40" w:type="dxa"/>
            <w:vAlign w:val="bottom"/>
          </w:tcPr>
          <w:p>
            <w:pPr>
              <w:spacing w:after="0"/>
              <w:rPr>
                <w:sz w:val="18"/>
                <w:szCs w:val="18"/>
                <w:color w:val="auto"/>
              </w:rPr>
            </w:pP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4,175,859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4,175,859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469,306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469,306</w:t>
            </w: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w w:val="97"/>
              </w:rPr>
              <w:t>Subtotal – Private Portfolio Companies</w:t>
            </w:r>
          </w:p>
        </w:tc>
        <w:tc>
          <w:tcPr>
            <w:tcW w:w="140" w:type="dxa"/>
            <w:vAlign w:val="bottom"/>
          </w:tcPr>
          <w:p>
            <w:pPr>
              <w:spacing w:after="0"/>
              <w:rPr>
                <w:sz w:val="18"/>
                <w:szCs w:val="18"/>
                <w:color w:val="auto"/>
              </w:rPr>
            </w:pP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323,255,397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323,255,397</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26,486,074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67,296</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26,553,370</w:t>
            </w:r>
          </w:p>
        </w:tc>
        <w:tc>
          <w:tcPr>
            <w:tcW w:w="0" w:type="dxa"/>
            <w:vAlign w:val="bottom"/>
          </w:tcPr>
          <w:p>
            <w:pPr>
              <w:spacing w:after="0"/>
              <w:rPr>
                <w:sz w:val="1"/>
                <w:szCs w:val="1"/>
                <w:color w:val="auto"/>
              </w:rPr>
            </w:pPr>
          </w:p>
        </w:tc>
      </w:tr>
      <w:tr>
        <w:trPr>
          <w:trHeight w:val="191"/>
        </w:trPr>
        <w:tc>
          <w:tcPr>
            <w:tcW w:w="33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26,486,074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67,296</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323,255,397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349,808,767</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30,000,000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U.S. Treasury Strips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3,676,693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3,676,693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33,676,693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33,676,693</w:t>
            </w: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60,162,767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67,296</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$ 323,255,397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383,485,460</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-1457325</wp:posOffset>
            </wp:positionV>
            <wp:extent cx="521398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-745490</wp:posOffset>
            </wp:positionV>
            <wp:extent cx="5213985"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Significant Unobservable Inputs for Level 3 Assets and Liabilities</w:t>
      </w:r>
    </w:p>
    <w:p>
      <w:pPr>
        <w:spacing w:after="0" w:line="121" w:lineRule="exact"/>
        <w:rPr>
          <w:sz w:val="20"/>
          <w:szCs w:val="20"/>
          <w:color w:val="auto"/>
        </w:rPr>
      </w:pPr>
    </w:p>
    <w:p>
      <w:pPr>
        <w:ind w:left="60" w:right="659" w:firstLine="270"/>
        <w:spacing w:after="0" w:line="290" w:lineRule="auto"/>
        <w:rPr>
          <w:sz w:val="20"/>
          <w:szCs w:val="20"/>
          <w:color w:val="auto"/>
        </w:rPr>
      </w:pPr>
      <w:r>
        <w:rPr>
          <w:rFonts w:ascii="Arial" w:cs="Arial" w:eastAsia="Arial" w:hAnsi="Arial"/>
          <w:sz w:val="16"/>
          <w:szCs w:val="16"/>
          <w:color w:val="auto"/>
        </w:rPr>
        <w:t>In accordance with FASB ASC 820, the tables below provide quantitative information about the Company’s fair value measurements of its Level 3 assets as of September 30, 2016 and December 31, 2015.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September 30, 2016 and December 31, 2015. Significant changes in the inputs in isolation would result in a significant change in the fair value measurement, depending on the input and the materiality of the investment.</w:t>
      </w:r>
    </w:p>
    <w:p>
      <w:pPr>
        <w:spacing w:after="0" w:line="200" w:lineRule="exact"/>
        <w:rPr>
          <w:sz w:val="20"/>
          <w:szCs w:val="20"/>
          <w:color w:val="auto"/>
        </w:rPr>
      </w:pPr>
    </w:p>
    <w:p>
      <w:pPr>
        <w:spacing w:after="0" w:line="3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4" w:name="page35"/>
    <w:bookmarkEnd w:id="3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5218430" cy="23710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8430" cy="2371090"/>
                    </a:xfrm>
                    <a:prstGeom prst="rect">
                      <a:avLst/>
                    </a:prstGeom>
                    <a:noFill/>
                  </pic:spPr>
                </pic:pic>
              </a:graphicData>
            </a:graphic>
          </wp:anchor>
        </w:drawing>
      </w:r>
    </w:p>
    <w:p>
      <w:pPr>
        <w:spacing w:after="0" w:line="255" w:lineRule="exact"/>
        <w:rPr>
          <w:sz w:val="20"/>
          <w:szCs w:val="20"/>
          <w:color w:val="auto"/>
        </w:rPr>
      </w:pPr>
    </w:p>
    <w:p>
      <w:pPr>
        <w:ind w:left="3340"/>
        <w:spacing w:after="0"/>
        <w:rPr>
          <w:sz w:val="20"/>
          <w:szCs w:val="20"/>
          <w:color w:val="auto"/>
        </w:rPr>
      </w:pPr>
      <w:r>
        <w:rPr>
          <w:rFonts w:ascii="Arial" w:cs="Arial" w:eastAsia="Arial" w:hAnsi="Arial"/>
          <w:sz w:val="14"/>
          <w:szCs w:val="14"/>
          <w:b w:val="1"/>
          <w:bCs w:val="1"/>
          <w:color w:val="auto"/>
        </w:rPr>
        <w:t>As of September 30, 2016</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Asset</w:t>
            </w:r>
          </w:p>
        </w:tc>
        <w:tc>
          <w:tcPr>
            <w:tcW w:w="960" w:type="dxa"/>
            <w:vAlign w:val="bottom"/>
            <w:tcBorders>
              <w:top w:val="single" w:sz="8" w:color="auto"/>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17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09"/>
        </w:trPr>
        <w:tc>
          <w:tcPr>
            <w:tcW w:w="2440" w:type="dxa"/>
            <w:vAlign w:val="bottom"/>
            <w:tcBorders>
              <w:bottom w:val="single" w:sz="8" w:color="auto"/>
              <w:right w:val="single" w:sz="8" w:color="auto"/>
            </w:tcBorders>
            <w:vMerge w:val="continue"/>
          </w:tcPr>
          <w:p>
            <w:pPr>
              <w:spacing w:after="0"/>
              <w:rPr>
                <w:sz w:val="18"/>
                <w:szCs w:val="18"/>
                <w:color w:val="auto"/>
              </w:rPr>
            </w:pPr>
          </w:p>
        </w:tc>
        <w:tc>
          <w:tcPr>
            <w:tcW w:w="960" w:type="dxa"/>
            <w:vAlign w:val="bottom"/>
            <w:tcBorders>
              <w:bottom w:val="single" w:sz="8" w:color="auto"/>
              <w:right w:val="single" w:sz="8" w:color="auto"/>
            </w:tcBorders>
            <w:vMerge w:val="continue"/>
          </w:tcPr>
          <w:p>
            <w:pPr>
              <w:spacing w:after="0"/>
              <w:rPr>
                <w:sz w:val="18"/>
                <w:szCs w:val="18"/>
                <w:color w:val="auto"/>
              </w:rPr>
            </w:pPr>
          </w:p>
        </w:tc>
        <w:tc>
          <w:tcPr>
            <w:tcW w:w="1540" w:type="dxa"/>
            <w:vAlign w:val="bottom"/>
            <w:tcBorders>
              <w:bottom w:val="single" w:sz="8" w:color="auto"/>
              <w:right w:val="single" w:sz="8" w:color="auto"/>
            </w:tcBorders>
            <w:vMerge w:val="continue"/>
          </w:tcPr>
          <w:p>
            <w:pPr>
              <w:spacing w:after="0"/>
              <w:rPr>
                <w:sz w:val="18"/>
                <w:szCs w:val="18"/>
                <w:color w:val="auto"/>
              </w:rPr>
            </w:pPr>
          </w:p>
        </w:tc>
        <w:tc>
          <w:tcPr>
            <w:tcW w:w="1740" w:type="dxa"/>
            <w:vAlign w:val="bottom"/>
            <w:tcBorders>
              <w:bottom w:val="single" w:sz="8" w:color="auto"/>
              <w:right w:val="single" w:sz="8" w:color="auto"/>
            </w:tcBorders>
            <w:vMerge w:val="continue"/>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50"/>
        </w:trPr>
        <w:tc>
          <w:tcPr>
            <w:tcW w:w="244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Market approach</w:t>
            </w:r>
          </w:p>
        </w:tc>
        <w:tc>
          <w:tcPr>
            <w:tcW w:w="174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90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rPr>
              <w:t>N/A</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244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vMerge w:val="continue"/>
          </w:tcPr>
          <w:p>
            <w:pPr>
              <w:spacing w:after="0"/>
              <w:rPr>
                <w:sz w:val="5"/>
                <w:szCs w:val="5"/>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Revenue multiples</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2.0x – 5.1x</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auto"/>
              </w:rPr>
              <w:t>(4.3x)</w:t>
            </w:r>
          </w:p>
        </w:tc>
        <w:tc>
          <w:tcPr>
            <w:tcW w:w="0" w:type="dxa"/>
            <w:vAlign w:val="bottom"/>
          </w:tcPr>
          <w:p>
            <w:pPr>
              <w:spacing w:after="0"/>
              <w:rPr>
                <w:sz w:val="1"/>
                <w:szCs w:val="1"/>
                <w:color w:val="auto"/>
              </w:rPr>
            </w:pPr>
          </w:p>
        </w:tc>
      </w:tr>
      <w:tr>
        <w:trPr>
          <w:trHeight w:val="149"/>
        </w:trPr>
        <w:tc>
          <w:tcPr>
            <w:tcW w:w="24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740" w:type="dxa"/>
            <w:vAlign w:val="bottom"/>
            <w:tcBorders>
              <w:bottom w:val="single" w:sz="8" w:color="auto"/>
              <w:right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Common stock in private companies</w:t>
            </w:r>
          </w:p>
        </w:tc>
        <w:tc>
          <w:tcPr>
            <w:tcW w:w="96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$82,244,165</w:t>
            </w:r>
          </w:p>
        </w:tc>
        <w:tc>
          <w:tcPr>
            <w:tcW w:w="154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EBIT multiples</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10.0x – 35.0x (25.1x)</w:t>
            </w:r>
          </w:p>
        </w:tc>
        <w:tc>
          <w:tcPr>
            <w:tcW w:w="0" w:type="dxa"/>
            <w:vAlign w:val="bottom"/>
          </w:tcPr>
          <w:p>
            <w:pPr>
              <w:spacing w:after="0"/>
              <w:rPr>
                <w:sz w:val="1"/>
                <w:szCs w:val="1"/>
                <w:color w:val="auto"/>
              </w:rPr>
            </w:pPr>
          </w:p>
        </w:tc>
      </w:tr>
      <w:tr>
        <w:trPr>
          <w:trHeight w:val="52"/>
        </w:trPr>
        <w:tc>
          <w:tcPr>
            <w:tcW w:w="2440" w:type="dxa"/>
            <w:vAlign w:val="bottom"/>
            <w:tcBorders>
              <w:right w:val="single" w:sz="8" w:color="auto"/>
            </w:tcBorders>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Discount rate</w:t>
            </w:r>
          </w:p>
        </w:tc>
        <w:tc>
          <w:tcPr>
            <w:tcW w:w="15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3"/>
              </w:rPr>
              <w:t>35.0% – 45.0% (36%)</w:t>
            </w:r>
          </w:p>
        </w:tc>
        <w:tc>
          <w:tcPr>
            <w:tcW w:w="0" w:type="dxa"/>
            <w:vAlign w:val="bottom"/>
          </w:tcPr>
          <w:p>
            <w:pPr>
              <w:spacing w:after="0"/>
              <w:rPr>
                <w:sz w:val="1"/>
                <w:szCs w:val="1"/>
                <w:color w:val="auto"/>
              </w:rPr>
            </w:pPr>
          </w:p>
        </w:tc>
      </w:tr>
      <w:tr>
        <w:trPr>
          <w:trHeight w:val="157"/>
        </w:trPr>
        <w:tc>
          <w:tcPr>
            <w:tcW w:w="244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740" w:type="dxa"/>
            <w:vAlign w:val="bottom"/>
            <w:tcBorders>
              <w:bottom w:val="single" w:sz="8" w:color="auto"/>
              <w:right w:val="single" w:sz="8" w:color="auto"/>
            </w:tcBorders>
            <w:vMerge w:val="continue"/>
          </w:tcPr>
          <w:p>
            <w:pPr>
              <w:spacing w:after="0"/>
              <w:rPr>
                <w:sz w:val="13"/>
                <w:szCs w:val="13"/>
                <w:color w:val="auto"/>
              </w:rPr>
            </w:pPr>
          </w:p>
        </w:tc>
        <w:tc>
          <w:tcPr>
            <w:tcW w:w="154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44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Liquidation value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Liquidation value</w:t>
            </w:r>
          </w:p>
        </w:tc>
        <w:tc>
          <w:tcPr>
            <w:tcW w:w="90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rPr>
              <w:t>N/A</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4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Market approach</w:t>
            </w:r>
          </w:p>
        </w:tc>
        <w:tc>
          <w:tcPr>
            <w:tcW w:w="174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90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rPr>
              <w:t>N/A</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Preferred stock in private companies</w:t>
            </w:r>
          </w:p>
        </w:tc>
        <w:tc>
          <w:tcPr>
            <w:tcW w:w="96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8"/>
              </w:rPr>
              <w:t>$199,919,232</w:t>
            </w:r>
          </w:p>
        </w:tc>
        <w:tc>
          <w:tcPr>
            <w:tcW w:w="1540" w:type="dxa"/>
            <w:vAlign w:val="bottom"/>
            <w:tcBorders>
              <w:right w:val="single" w:sz="8" w:color="auto"/>
            </w:tcBorders>
            <w:vMerge w:val="continue"/>
          </w:tcPr>
          <w:p>
            <w:pPr>
              <w:spacing w:after="0"/>
              <w:rPr>
                <w:sz w:val="5"/>
                <w:szCs w:val="5"/>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Revenue multiples</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1.0x – 5.1x</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auto"/>
              </w:rPr>
              <w:t>(3.3x)</w:t>
            </w:r>
          </w:p>
        </w:tc>
        <w:tc>
          <w:tcPr>
            <w:tcW w:w="0" w:type="dxa"/>
            <w:vAlign w:val="bottom"/>
          </w:tcPr>
          <w:p>
            <w:pPr>
              <w:spacing w:after="0"/>
              <w:rPr>
                <w:sz w:val="1"/>
                <w:szCs w:val="1"/>
                <w:color w:val="auto"/>
              </w:rPr>
            </w:pPr>
          </w:p>
        </w:tc>
      </w:tr>
      <w:tr>
        <w:trPr>
          <w:trHeight w:val="149"/>
        </w:trPr>
        <w:tc>
          <w:tcPr>
            <w:tcW w:w="244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740" w:type="dxa"/>
            <w:vAlign w:val="bottom"/>
            <w:tcBorders>
              <w:bottom w:val="single" w:sz="8" w:color="auto"/>
              <w:right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4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5.0x – 35.0x</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auto"/>
              </w:rPr>
              <w:t>(17.4x)</w:t>
            </w:r>
          </w:p>
        </w:tc>
        <w:tc>
          <w:tcPr>
            <w:tcW w:w="0" w:type="dxa"/>
            <w:vAlign w:val="bottom"/>
          </w:tcPr>
          <w:p>
            <w:pPr>
              <w:spacing w:after="0"/>
              <w:rPr>
                <w:sz w:val="1"/>
                <w:szCs w:val="1"/>
                <w:color w:val="auto"/>
              </w:rPr>
            </w:pPr>
          </w:p>
        </w:tc>
      </w:tr>
      <w:tr>
        <w:trPr>
          <w:trHeight w:val="81"/>
        </w:trPr>
        <w:tc>
          <w:tcPr>
            <w:tcW w:w="244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1740" w:type="dxa"/>
            <w:vAlign w:val="bottom"/>
            <w:tcBorders>
              <w:bottom w:val="single" w:sz="8" w:color="auto"/>
              <w:right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44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30.0% – 50.0% (36%)</w:t>
            </w:r>
          </w:p>
        </w:tc>
        <w:tc>
          <w:tcPr>
            <w:tcW w:w="0" w:type="dxa"/>
            <w:vAlign w:val="bottom"/>
          </w:tcPr>
          <w:p>
            <w:pPr>
              <w:spacing w:after="0"/>
              <w:rPr>
                <w:sz w:val="1"/>
                <w:szCs w:val="1"/>
                <w:color w:val="auto"/>
              </w:rPr>
            </w:pPr>
          </w:p>
        </w:tc>
      </w:tr>
      <w:tr>
        <w:trPr>
          <w:trHeight w:val="210"/>
        </w:trPr>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Debt Investments</w:t>
            </w:r>
          </w:p>
        </w:tc>
        <w:tc>
          <w:tcPr>
            <w:tcW w:w="96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$7,375,208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Market approach</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Yield</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5.0% – 12.0% (7.1%)</w:t>
            </w:r>
          </w:p>
        </w:tc>
        <w:tc>
          <w:tcPr>
            <w:tcW w:w="0" w:type="dxa"/>
            <w:vAlign w:val="bottom"/>
          </w:tcPr>
          <w:p>
            <w:pPr>
              <w:spacing w:after="0"/>
              <w:rPr>
                <w:sz w:val="1"/>
                <w:szCs w:val="1"/>
                <w:color w:val="auto"/>
              </w:rPr>
            </w:pPr>
          </w:p>
        </w:tc>
      </w:tr>
      <w:tr>
        <w:trPr>
          <w:trHeight w:val="154"/>
        </w:trPr>
        <w:tc>
          <w:tcPr>
            <w:tcW w:w="244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174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6"/>
              </w:rPr>
              <w:t>Expected time to liquidity</w:t>
            </w:r>
          </w:p>
        </w:tc>
        <w:tc>
          <w:tcPr>
            <w:tcW w:w="900" w:type="dxa"/>
            <w:vAlign w:val="bottom"/>
          </w:tcPr>
          <w:p>
            <w:pPr>
              <w:jc w:val="right"/>
              <w:spacing w:after="0" w:line="153" w:lineRule="exact"/>
              <w:rPr>
                <w:sz w:val="20"/>
                <w:szCs w:val="20"/>
                <w:color w:val="auto"/>
              </w:rPr>
            </w:pPr>
            <w:r>
              <w:rPr>
                <w:rFonts w:ascii="Arial" w:cs="Arial" w:eastAsia="Arial" w:hAnsi="Arial"/>
                <w:sz w:val="14"/>
                <w:szCs w:val="14"/>
                <w:color w:val="auto"/>
              </w:rPr>
              <w:t>1.00 – 3.00</w:t>
            </w:r>
          </w:p>
        </w:tc>
        <w:tc>
          <w:tcPr>
            <w:tcW w:w="640" w:type="dxa"/>
            <w:vAlign w:val="bottom"/>
          </w:tcPr>
          <w:p>
            <w:pPr>
              <w:ind w:left="20"/>
              <w:spacing w:after="0" w:line="153" w:lineRule="exact"/>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205"/>
        </w:trPr>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Warrants</w:t>
            </w:r>
          </w:p>
        </w:tc>
        <w:tc>
          <w:tcPr>
            <w:tcW w:w="9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$345,356</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Option pricing model</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Volatility</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9.7% – 50.5% (41.2%)</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Precedent transactions include recent rounds of financing, recent purchases made by the Company, and tender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218430" cy="24225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8430" cy="2422525"/>
                    </a:xfrm>
                    <a:prstGeom prst="rect">
                      <a:avLst/>
                    </a:prstGeom>
                    <a:noFill/>
                  </pic:spPr>
                </pic:pic>
              </a:graphicData>
            </a:graphic>
          </wp:anchor>
        </w:drawing>
      </w:r>
    </w:p>
    <w:p>
      <w:pPr>
        <w:spacing w:after="0" w:line="262"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auto"/>
        </w:rPr>
        <w:t>As of December 31, 2015</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3"/>
              </w:rPr>
              <w:t>Asset</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2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auto"/>
              <w:right w:val="single" w:sz="8" w:color="auto"/>
            </w:tcBorders>
            <w:vMerge w:val="continue"/>
          </w:tcPr>
          <w:p>
            <w:pPr>
              <w:spacing w:after="0"/>
              <w:rPr>
                <w:sz w:val="18"/>
                <w:szCs w:val="18"/>
                <w:color w:val="auto"/>
              </w:rPr>
            </w:pPr>
          </w:p>
        </w:tc>
        <w:tc>
          <w:tcPr>
            <w:tcW w:w="1120" w:type="dxa"/>
            <w:vAlign w:val="bottom"/>
            <w:tcBorders>
              <w:bottom w:val="single" w:sz="8" w:color="auto"/>
              <w:right w:val="single" w:sz="8" w:color="auto"/>
            </w:tcBorders>
            <w:vMerge w:val="continue"/>
          </w:tcPr>
          <w:p>
            <w:pPr>
              <w:spacing w:after="0"/>
              <w:rPr>
                <w:sz w:val="18"/>
                <w:szCs w:val="18"/>
                <w:color w:val="auto"/>
              </w:rPr>
            </w:pPr>
          </w:p>
        </w:tc>
        <w:tc>
          <w:tcPr>
            <w:tcW w:w="1800" w:type="dxa"/>
            <w:vAlign w:val="bottom"/>
            <w:tcBorders>
              <w:bottom w:val="single" w:sz="8" w:color="auto"/>
              <w:right w:val="single" w:sz="8" w:color="auto"/>
            </w:tcBorders>
            <w:vMerge w:val="continue"/>
          </w:tcPr>
          <w:p>
            <w:pPr>
              <w:spacing w:after="0"/>
              <w:rPr>
                <w:sz w:val="18"/>
                <w:szCs w:val="18"/>
                <w:color w:val="auto"/>
              </w:rPr>
            </w:pPr>
          </w:p>
        </w:tc>
        <w:tc>
          <w:tcPr>
            <w:tcW w:w="2080" w:type="dxa"/>
            <w:vAlign w:val="bottom"/>
            <w:tcBorders>
              <w:bottom w:val="single" w:sz="8" w:color="auto"/>
              <w:right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50"/>
        </w:trPr>
        <w:tc>
          <w:tcPr>
            <w:tcW w:w="15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08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Common stock in</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$102,319,140</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Income approach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Revenue multiples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4.5x – 5.4x (5.0x)</w:t>
            </w:r>
          </w:p>
        </w:tc>
        <w:tc>
          <w:tcPr>
            <w:tcW w:w="0" w:type="dxa"/>
            <w:vAlign w:val="bottom"/>
          </w:tcPr>
          <w:p>
            <w:pPr>
              <w:spacing w:after="0"/>
              <w:rPr>
                <w:sz w:val="1"/>
                <w:szCs w:val="1"/>
                <w:color w:val="auto"/>
              </w:rPr>
            </w:pPr>
          </w:p>
        </w:tc>
      </w:tr>
      <w:tr>
        <w:trPr>
          <w:trHeight w:val="100"/>
        </w:trPr>
        <w:tc>
          <w:tcPr>
            <w:tcW w:w="150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5"/>
              </w:rPr>
              <w:t>34.2x (34.2x)</w:t>
            </w:r>
          </w:p>
        </w:tc>
        <w:tc>
          <w:tcPr>
            <w:tcW w:w="0" w:type="dxa"/>
            <w:vAlign w:val="bottom"/>
          </w:tcPr>
          <w:p>
            <w:pPr>
              <w:spacing w:after="0"/>
              <w:rPr>
                <w:sz w:val="1"/>
                <w:szCs w:val="1"/>
                <w:color w:val="auto"/>
              </w:rPr>
            </w:pPr>
          </w:p>
        </w:tc>
      </w:tr>
      <w:tr>
        <w:trPr>
          <w:trHeight w:val="115"/>
        </w:trPr>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private companies</w:t>
            </w:r>
          </w:p>
        </w:tc>
        <w:tc>
          <w:tcPr>
            <w:tcW w:w="11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2080" w:type="dxa"/>
            <w:vAlign w:val="bottom"/>
            <w:tcBorders>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500" w:type="dxa"/>
            <w:vAlign w:val="bottom"/>
            <w:tcBorders>
              <w:right w:val="single" w:sz="8" w:color="auto"/>
            </w:tcBorders>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Discount rate</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5"/>
              </w:rPr>
              <w:t>35% (35%)</w:t>
            </w:r>
          </w:p>
        </w:tc>
        <w:tc>
          <w:tcPr>
            <w:tcW w:w="0" w:type="dxa"/>
            <w:vAlign w:val="bottom"/>
          </w:tcPr>
          <w:p>
            <w:pPr>
              <w:spacing w:after="0"/>
              <w:rPr>
                <w:sz w:val="1"/>
                <w:szCs w:val="1"/>
                <w:color w:val="auto"/>
              </w:rPr>
            </w:pPr>
          </w:p>
        </w:tc>
      </w:tr>
      <w:tr>
        <w:trPr>
          <w:trHeight w:val="157"/>
        </w:trPr>
        <w:tc>
          <w:tcPr>
            <w:tcW w:w="15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vMerge w:val="continue"/>
          </w:tcPr>
          <w:p>
            <w:pPr>
              <w:spacing w:after="0"/>
              <w:rPr>
                <w:sz w:val="13"/>
                <w:szCs w:val="13"/>
                <w:color w:val="auto"/>
              </w:rPr>
            </w:pPr>
          </w:p>
        </w:tc>
        <w:tc>
          <w:tcPr>
            <w:tcW w:w="1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Liquidation value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Liquidation value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50"/>
        </w:trPr>
        <w:tc>
          <w:tcPr>
            <w:tcW w:w="15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08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Preferred stock in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$216,291,092</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Income approach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Revenue multiples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1.3x – 6.0x (3.4x)</w:t>
            </w:r>
          </w:p>
        </w:tc>
        <w:tc>
          <w:tcPr>
            <w:tcW w:w="0" w:type="dxa"/>
            <w:vAlign w:val="bottom"/>
          </w:tcPr>
          <w:p>
            <w:pPr>
              <w:spacing w:after="0"/>
              <w:rPr>
                <w:sz w:val="1"/>
                <w:szCs w:val="1"/>
                <w:color w:val="auto"/>
              </w:rPr>
            </w:pPr>
          </w:p>
        </w:tc>
      </w:tr>
      <w:tr>
        <w:trPr>
          <w:trHeight w:val="133"/>
        </w:trPr>
        <w:tc>
          <w:tcPr>
            <w:tcW w:w="15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91"/>
              </w:rPr>
              <w:t>private companies</w:t>
            </w:r>
          </w:p>
        </w:tc>
        <w:tc>
          <w:tcPr>
            <w:tcW w:w="11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5"/>
              </w:rPr>
              <w:t>12.0x – 32.0x (19.5x)</w:t>
            </w:r>
          </w:p>
        </w:tc>
        <w:tc>
          <w:tcPr>
            <w:tcW w:w="0" w:type="dxa"/>
            <w:vAlign w:val="bottom"/>
          </w:tcPr>
          <w:p>
            <w:pPr>
              <w:spacing w:after="0"/>
              <w:rPr>
                <w:sz w:val="1"/>
                <w:szCs w:val="1"/>
                <w:color w:val="auto"/>
              </w:rPr>
            </w:pPr>
          </w:p>
        </w:tc>
      </w:tr>
      <w:tr>
        <w:trPr>
          <w:trHeight w:val="81"/>
        </w:trPr>
        <w:tc>
          <w:tcPr>
            <w:tcW w:w="150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2080" w:type="dxa"/>
            <w:vAlign w:val="bottom"/>
            <w:tcBorders>
              <w:bottom w:val="single" w:sz="8" w:color="auto"/>
              <w:right w:val="single" w:sz="8" w:color="auto"/>
            </w:tcBorders>
            <w:vMerge w:val="continue"/>
          </w:tcPr>
          <w:p>
            <w:pPr>
              <w:spacing w:after="0"/>
              <w:rPr>
                <w:sz w:val="6"/>
                <w:szCs w:val="6"/>
                <w:color w:val="auto"/>
              </w:rPr>
            </w:pPr>
          </w:p>
        </w:tc>
        <w:tc>
          <w:tcPr>
            <w:tcW w:w="1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30% – 50% (40%)</w:t>
            </w: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Debt Investments</w:t>
            </w:r>
          </w:p>
        </w:tc>
        <w:tc>
          <w:tcPr>
            <w:tcW w:w="11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$4,175,859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Amortized cost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Warrants</w:t>
            </w:r>
          </w:p>
        </w:tc>
        <w:tc>
          <w:tcPr>
            <w:tcW w:w="1120" w:type="dxa"/>
            <w:vAlign w:val="bottom"/>
            <w:tcBorders>
              <w:right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$469,306</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Option pricing model</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Term to expiration (Years)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1.03 – 3.00 (2.46)</w:t>
            </w:r>
          </w:p>
        </w:tc>
        <w:tc>
          <w:tcPr>
            <w:tcW w:w="0" w:type="dxa"/>
            <w:vAlign w:val="bottom"/>
          </w:tcPr>
          <w:p>
            <w:pPr>
              <w:spacing w:after="0"/>
              <w:rPr>
                <w:sz w:val="1"/>
                <w:szCs w:val="1"/>
                <w:color w:val="auto"/>
              </w:rPr>
            </w:pPr>
          </w:p>
        </w:tc>
      </w:tr>
      <w:tr>
        <w:trPr>
          <w:trHeight w:val="106"/>
        </w:trPr>
        <w:tc>
          <w:tcPr>
            <w:tcW w:w="15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Strike price</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2"/>
              </w:rPr>
              <w:t>0.13 – 4.59 (1.20)</w:t>
            </w:r>
          </w:p>
        </w:tc>
        <w:tc>
          <w:tcPr>
            <w:tcW w:w="0" w:type="dxa"/>
            <w:vAlign w:val="bottom"/>
          </w:tcPr>
          <w:p>
            <w:pPr>
              <w:spacing w:after="0"/>
              <w:rPr>
                <w:sz w:val="1"/>
                <w:szCs w:val="1"/>
                <w:color w:val="auto"/>
              </w:rPr>
            </w:pPr>
          </w:p>
        </w:tc>
      </w:tr>
      <w:tr>
        <w:trPr>
          <w:trHeight w:val="108"/>
        </w:trPr>
        <w:tc>
          <w:tcPr>
            <w:tcW w:w="15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080" w:type="dxa"/>
            <w:vAlign w:val="bottom"/>
            <w:tcBorders>
              <w:bottom w:val="single" w:sz="8" w:color="auto"/>
              <w:right w:val="single" w:sz="8" w:color="auto"/>
            </w:tcBorders>
            <w:vMerge w:val="continue"/>
          </w:tcPr>
          <w:p>
            <w:pPr>
              <w:spacing w:after="0"/>
              <w:rPr>
                <w:sz w:val="8"/>
                <w:szCs w:val="8"/>
                <w:color w:val="auto"/>
              </w:rPr>
            </w:pPr>
          </w:p>
        </w:tc>
        <w:tc>
          <w:tcPr>
            <w:tcW w:w="17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Volatility</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30% – 50% (40.9%)</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Precedent transactions include recent rounds of financing, recent purchases made by the Company, and tender offers.</w:t>
      </w:r>
    </w:p>
    <w:p>
      <w:pPr>
        <w:spacing w:after="0" w:line="129" w:lineRule="exact"/>
        <w:rPr>
          <w:sz w:val="20"/>
          <w:szCs w:val="20"/>
          <w:color w:val="auto"/>
        </w:rPr>
      </w:pPr>
    </w:p>
    <w:p>
      <w:pPr>
        <w:ind w:left="60" w:right="739" w:firstLine="270"/>
        <w:spacing w:after="0" w:line="259" w:lineRule="auto"/>
        <w:rPr>
          <w:sz w:val="20"/>
          <w:szCs w:val="20"/>
          <w:color w:val="auto"/>
        </w:rPr>
      </w:pPr>
      <w:r>
        <w:rPr>
          <w:rFonts w:ascii="Arial" w:cs="Arial" w:eastAsia="Arial" w:hAnsi="Arial"/>
          <w:sz w:val="18"/>
          <w:szCs w:val="18"/>
          <w:color w:val="auto"/>
        </w:rPr>
        <w:t>The significant unobservable inputs used in determining the fair value of the assets are shown above. Increases/(decreases) in revenue multiples, earnings before interest and taxes (“EBIT”) multiples, time to expiration, and stock price/strike price would result in higher/(lower) fair values all else equal. Decreases/(increases) in discount rates, volatility, and annual risk rates, would result in higher/(lower) fair values all else equal.</w:t>
      </w:r>
    </w:p>
    <w:p>
      <w:pPr>
        <w:spacing w:after="0" w:line="79" w:lineRule="exact"/>
        <w:rPr>
          <w:sz w:val="20"/>
          <w:szCs w:val="20"/>
          <w:color w:val="auto"/>
        </w:rPr>
      </w:pPr>
    </w:p>
    <w:p>
      <w:pPr>
        <w:ind w:left="60" w:right="939" w:firstLine="270"/>
        <w:spacing w:after="0" w:line="264" w:lineRule="auto"/>
        <w:rPr>
          <w:sz w:val="20"/>
          <w:szCs w:val="20"/>
          <w:color w:val="auto"/>
        </w:rPr>
      </w:pPr>
      <w:r>
        <w:rPr>
          <w:rFonts w:ascii="Arial" w:cs="Arial" w:eastAsia="Arial" w:hAnsi="Arial"/>
          <w:sz w:val="18"/>
          <w:szCs w:val="18"/>
          <w:color w:val="auto"/>
        </w:rPr>
        <w:t>During the three and nine months ended September 30, 2016, due to a restructuring of Cricket Media, Cricket Media was transferred from Level 1 public common stock to Level 3 private common stock. There were no other transfers between levels during three and nine months ended September 30, 2016.</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60" w:right="619" w:firstLine="270"/>
        <w:spacing w:after="0" w:line="277" w:lineRule="auto"/>
        <w:rPr>
          <w:sz w:val="20"/>
          <w:szCs w:val="20"/>
          <w:color w:val="auto"/>
        </w:rPr>
      </w:pPr>
      <w:r>
        <w:rPr>
          <w:rFonts w:ascii="Arial" w:cs="Arial" w:eastAsia="Arial" w:hAnsi="Arial"/>
          <w:sz w:val="18"/>
          <w:szCs w:val="18"/>
          <w:color w:val="auto"/>
        </w:rPr>
        <w:t>The aggregate values of Level 3 assets and liabilities changed during the three and nine months ended September 30, 2016 and 2015,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885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0"/>
          </w:tcPr>
          <w:p>
            <w:pPr>
              <w:jc w:val="right"/>
              <w:ind w:right="180"/>
              <w:spacing w:after="0"/>
              <w:rPr>
                <w:sz w:val="20"/>
                <w:szCs w:val="20"/>
                <w:color w:val="auto"/>
              </w:rPr>
            </w:pPr>
            <w:r>
              <w:rPr>
                <w:rFonts w:ascii="Arial" w:cs="Arial" w:eastAsia="Arial" w:hAnsi="Arial"/>
                <w:sz w:val="14"/>
                <w:szCs w:val="14"/>
                <w:b w:val="1"/>
                <w:bCs w:val="1"/>
                <w:color w:val="auto"/>
                <w:w w:val="97"/>
              </w:rPr>
              <w:t>Three months ended September 30, 2016</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2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Debt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8"/>
              </w:rPr>
              <w:t>Warrants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7"/>
              </w:rPr>
              <w:t>Investments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6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Fair value as of June 30, 2016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$83,904,774</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203,993,497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5,280,232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394,309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293,572,812</w:t>
            </w:r>
          </w:p>
        </w:tc>
        <w:tc>
          <w:tcPr>
            <w:tcW w:w="0" w:type="dxa"/>
            <w:vAlign w:val="bottom"/>
          </w:tcPr>
          <w:p>
            <w:pPr>
              <w:spacing w:after="0"/>
              <w:rPr>
                <w:sz w:val="1"/>
                <w:szCs w:val="1"/>
                <w:color w:val="auto"/>
              </w:rPr>
            </w:pPr>
          </w:p>
        </w:tc>
      </w:tr>
      <w:tr>
        <w:trPr>
          <w:trHeight w:val="203"/>
        </w:trPr>
        <w:tc>
          <w:tcPr>
            <w:tcW w:w="3160" w:type="dxa"/>
            <w:vAlign w:val="bottom"/>
            <w:gridSpan w:val="3"/>
          </w:tcPr>
          <w:p>
            <w:pPr>
              <w:ind w:left="20"/>
              <w:spacing w:after="0"/>
              <w:rPr>
                <w:sz w:val="20"/>
                <w:szCs w:val="20"/>
                <w:color w:val="auto"/>
              </w:rPr>
            </w:pPr>
            <w:r>
              <w:rPr>
                <w:rFonts w:ascii="Arial" w:cs="Arial" w:eastAsia="Arial" w:hAnsi="Arial"/>
                <w:sz w:val="16"/>
                <w:szCs w:val="16"/>
                <w:color w:val="auto"/>
              </w:rPr>
              <w:t>Purchases of investments</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504,601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2,001,120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2,505,721</w:t>
            </w:r>
          </w:p>
        </w:tc>
        <w:tc>
          <w:tcPr>
            <w:tcW w:w="0" w:type="dxa"/>
            <w:vAlign w:val="bottom"/>
          </w:tcPr>
          <w:p>
            <w:pPr>
              <w:spacing w:after="0"/>
              <w:rPr>
                <w:sz w:val="1"/>
                <w:szCs w:val="1"/>
                <w:color w:val="auto"/>
              </w:rPr>
            </w:pPr>
          </w:p>
        </w:tc>
      </w:tr>
      <w:tr>
        <w:trPr>
          <w:trHeight w:val="203"/>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Sales of investments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(4,080,000)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(4,080,000)</w:t>
            </w:r>
          </w:p>
        </w:tc>
        <w:tc>
          <w:tcPr>
            <w:tcW w:w="0" w:type="dxa"/>
            <w:vAlign w:val="bottom"/>
          </w:tcPr>
          <w:p>
            <w:pPr>
              <w:spacing w:after="0"/>
              <w:rPr>
                <w:sz w:val="1"/>
                <w:szCs w:val="1"/>
                <w:color w:val="auto"/>
              </w:rPr>
            </w:pPr>
          </w:p>
        </w:tc>
      </w:tr>
      <w:tr>
        <w:trPr>
          <w:trHeight w:val="203"/>
        </w:trPr>
        <w:tc>
          <w:tcPr>
            <w:tcW w:w="3160" w:type="dxa"/>
            <w:vAlign w:val="bottom"/>
            <w:gridSpan w:val="3"/>
          </w:tcPr>
          <w:p>
            <w:pPr>
              <w:ind w:left="20"/>
              <w:spacing w:after="0"/>
              <w:rPr>
                <w:sz w:val="20"/>
                <w:szCs w:val="20"/>
                <w:color w:val="auto"/>
              </w:rPr>
            </w:pPr>
            <w:r>
              <w:rPr>
                <w:rFonts w:ascii="Arial" w:cs="Arial" w:eastAsia="Arial" w:hAnsi="Arial"/>
                <w:sz w:val="16"/>
                <w:szCs w:val="16"/>
                <w:color w:val="auto"/>
              </w:rPr>
              <w:t>Realized gains</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2,351,752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2,351,752</w:t>
            </w:r>
          </w:p>
        </w:tc>
        <w:tc>
          <w:tcPr>
            <w:tcW w:w="0" w:type="dxa"/>
            <w:vAlign w:val="bottom"/>
          </w:tcPr>
          <w:p>
            <w:pPr>
              <w:spacing w:after="0"/>
              <w:rPr>
                <w:sz w:val="1"/>
                <w:szCs w:val="1"/>
                <w:color w:val="auto"/>
              </w:rPr>
            </w:pPr>
          </w:p>
        </w:tc>
      </w:tr>
      <w:tr>
        <w:trPr>
          <w:trHeight w:val="243"/>
        </w:trPr>
        <w:tc>
          <w:tcPr>
            <w:tcW w:w="31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Exercises, conversions and assignments</w:t>
            </w:r>
            <w:r>
              <w:rPr>
                <w:rFonts w:ascii="Arial" w:cs="Arial" w:eastAsia="Arial" w:hAnsi="Arial"/>
                <w:sz w:val="27"/>
                <w:szCs w:val="27"/>
                <w:color w:val="auto"/>
                <w:vertAlign w:val="superscript"/>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1,436,404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(1,436,404)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(74,380)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74,380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160" w:type="dxa"/>
            <w:vAlign w:val="bottom"/>
            <w:gridSpan w:val="3"/>
          </w:tcPr>
          <w:p>
            <w:pPr>
              <w:ind w:left="20"/>
              <w:spacing w:after="0"/>
              <w:rPr>
                <w:sz w:val="20"/>
                <w:szCs w:val="20"/>
                <w:color w:val="auto"/>
              </w:rPr>
            </w:pPr>
            <w:r>
              <w:rPr>
                <w:rFonts w:ascii="Arial" w:cs="Arial" w:eastAsia="Arial" w:hAnsi="Arial"/>
                <w:sz w:val="16"/>
                <w:szCs w:val="16"/>
                <w:color w:val="auto"/>
              </w:rPr>
              <w:t>Net change in unrealized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gridSpan w:val="2"/>
          </w:tcPr>
          <w:p>
            <w:pPr>
              <w:ind w:left="180"/>
              <w:spacing w:after="0"/>
              <w:rPr>
                <w:sz w:val="20"/>
                <w:szCs w:val="20"/>
                <w:color w:val="auto"/>
              </w:rPr>
            </w:pPr>
            <w:r>
              <w:rPr>
                <w:rFonts w:ascii="Arial" w:cs="Arial" w:eastAsia="Arial" w:hAnsi="Arial"/>
                <w:sz w:val="16"/>
                <w:szCs w:val="16"/>
                <w:color w:val="auto"/>
              </w:rPr>
              <w:t>appreciation/(depreciation) included in</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gridSpan w:val="2"/>
          </w:tcPr>
          <w:p>
            <w:pPr>
              <w:ind w:left="180"/>
              <w:spacing w:after="0"/>
              <w:rPr>
                <w:sz w:val="20"/>
                <w:szCs w:val="20"/>
                <w:color w:val="auto"/>
              </w:rPr>
            </w:pPr>
            <w:r>
              <w:rPr>
                <w:rFonts w:ascii="Arial" w:cs="Arial" w:eastAsia="Arial" w:hAnsi="Arial"/>
                <w:sz w:val="16"/>
                <w:szCs w:val="16"/>
                <w:color w:val="auto"/>
              </w:rPr>
              <w:t>earnings</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(3,097,013)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(1,414,214)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168,236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(123,333)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(4,466,324)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Fair Value as of September 30, 2016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82,244,165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199,919,232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7,375,208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345,356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289,883,961</w:t>
            </w:r>
          </w:p>
        </w:tc>
        <w:tc>
          <w:tcPr>
            <w:tcW w:w="0" w:type="dxa"/>
            <w:vAlign w:val="bottom"/>
          </w:tcPr>
          <w:p>
            <w:pPr>
              <w:spacing w:after="0"/>
              <w:rPr>
                <w:sz w:val="1"/>
                <w:szCs w:val="1"/>
                <w:color w:val="auto"/>
              </w:rPr>
            </w:pPr>
          </w:p>
        </w:tc>
      </w:tr>
      <w:tr>
        <w:trPr>
          <w:trHeight w:val="186"/>
        </w:trPr>
        <w:tc>
          <w:tcPr>
            <w:tcW w:w="316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color w:val="auto"/>
              </w:rPr>
              <w:t>Net change in unrealized</w:t>
            </w: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gridSpan w:val="2"/>
          </w:tcPr>
          <w:p>
            <w:pPr>
              <w:ind w:left="180"/>
              <w:spacing w:after="0"/>
              <w:rPr>
                <w:sz w:val="20"/>
                <w:szCs w:val="20"/>
                <w:color w:val="auto"/>
              </w:rPr>
            </w:pPr>
            <w:r>
              <w:rPr>
                <w:rFonts w:ascii="Arial" w:cs="Arial" w:eastAsia="Arial" w:hAnsi="Arial"/>
                <w:sz w:val="16"/>
                <w:szCs w:val="16"/>
                <w:color w:val="auto"/>
              </w:rPr>
              <w:t>appreciation/(depreciation) of Level 3</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gridSpan w:val="2"/>
          </w:tcPr>
          <w:p>
            <w:pPr>
              <w:ind w:left="180"/>
              <w:spacing w:after="0"/>
              <w:rPr>
                <w:sz w:val="20"/>
                <w:szCs w:val="20"/>
                <w:color w:val="auto"/>
              </w:rPr>
            </w:pPr>
            <w:r>
              <w:rPr>
                <w:rFonts w:ascii="Arial" w:cs="Arial" w:eastAsia="Arial" w:hAnsi="Arial"/>
                <w:sz w:val="16"/>
                <w:szCs w:val="16"/>
                <w:color w:val="auto"/>
                <w:w w:val="99"/>
              </w:rPr>
              <w:t>investments still held as of September 30,</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0" w:type="dxa"/>
            <w:vAlign w:val="bottom"/>
            <w:gridSpan w:val="2"/>
          </w:tcPr>
          <w:p>
            <w:pPr>
              <w:ind w:left="200"/>
              <w:spacing w:after="0"/>
              <w:rPr>
                <w:sz w:val="20"/>
                <w:szCs w:val="20"/>
                <w:color w:val="auto"/>
              </w:rPr>
            </w:pPr>
            <w:r>
              <w:rPr>
                <w:rFonts w:ascii="Arial" w:cs="Arial" w:eastAsia="Arial" w:hAnsi="Arial"/>
                <w:sz w:val="16"/>
                <w:szCs w:val="16"/>
                <w:color w:val="auto"/>
              </w:rPr>
              <w:t>2016</w:t>
            </w:r>
          </w:p>
        </w:tc>
        <w:tc>
          <w:tcPr>
            <w:tcW w:w="2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 (3,097,013)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(2,280,972)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168,236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(123,333)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(5,333,082)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5829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3985" cy="582930"/>
                    </a:xfrm>
                    <a:prstGeom prst="rect">
                      <a:avLst/>
                    </a:prstGeom>
                    <a:noFill/>
                  </pic:spPr>
                </pic:pic>
              </a:graphicData>
            </a:graphic>
          </wp:anchor>
        </w:drawing>
      </w:r>
    </w:p>
    <w:p>
      <w:pPr>
        <w:spacing w:after="0" w:line="236" w:lineRule="exact"/>
        <w:rPr>
          <w:sz w:val="20"/>
          <w:szCs w:val="20"/>
          <w:color w:val="auto"/>
        </w:rPr>
      </w:pPr>
    </w:p>
    <w:p>
      <w:pPr>
        <w:ind w:left="300" w:right="739" w:hanging="272"/>
        <w:spacing w:after="0" w:line="277"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three months ended September 30, 2016,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250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Borders>
              <w:bottom w:val="single" w:sz="8" w:color="auto"/>
            </w:tcBorders>
            <w:gridSpan w:val="5"/>
          </w:tcPr>
          <w:p>
            <w:pPr>
              <w:jc w:val="center"/>
              <w:ind w:left="222"/>
              <w:spacing w:after="0"/>
              <w:rPr>
                <w:sz w:val="20"/>
                <w:szCs w:val="20"/>
                <w:color w:val="auto"/>
              </w:rPr>
            </w:pPr>
            <w:r>
              <w:rPr>
                <w:rFonts w:ascii="Arial" w:cs="Arial" w:eastAsia="Arial" w:hAnsi="Arial"/>
                <w:sz w:val="14"/>
                <w:szCs w:val="14"/>
                <w:b w:val="1"/>
                <w:bCs w:val="1"/>
                <w:color w:val="auto"/>
                <w:w w:val="94"/>
              </w:rPr>
              <w:t>Transfer from</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Transfer to</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0" w:type="dxa"/>
            <w:vAlign w:val="bottom"/>
            <w:gridSpan w:val="4"/>
          </w:tcPr>
          <w:p>
            <w:pPr>
              <w:ind w:left="20"/>
              <w:spacing w:after="0"/>
              <w:rPr>
                <w:sz w:val="20"/>
                <w:szCs w:val="20"/>
                <w:color w:val="auto"/>
              </w:rPr>
            </w:pPr>
            <w:r>
              <w:rPr>
                <w:rFonts w:ascii="Arial" w:cs="Arial" w:eastAsia="Arial" w:hAnsi="Arial"/>
                <w:sz w:val="16"/>
                <w:szCs w:val="16"/>
                <w:color w:val="auto"/>
                <w:w w:val="96"/>
              </w:rPr>
              <w:t>4C Insights (f/k/a The Echo Systems Corp.)</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center"/>
              <w:ind w:left="222"/>
              <w:spacing w:after="0"/>
              <w:rPr>
                <w:sz w:val="20"/>
                <w:szCs w:val="20"/>
                <w:color w:val="auto"/>
              </w:rPr>
            </w:pPr>
            <w:r>
              <w:rPr>
                <w:rFonts w:ascii="Arial" w:cs="Arial" w:eastAsia="Arial" w:hAnsi="Arial"/>
                <w:sz w:val="16"/>
                <w:szCs w:val="16"/>
                <w:color w:val="auto"/>
                <w:w w:val="90"/>
              </w:rPr>
              <w:t>Preferred shares, Series 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gridSpan w:val="5"/>
          </w:tcPr>
          <w:p>
            <w:pPr>
              <w:jc w:val="center"/>
              <w:spacing w:after="0"/>
              <w:rPr>
                <w:sz w:val="20"/>
                <w:szCs w:val="20"/>
                <w:color w:val="auto"/>
              </w:rPr>
            </w:pPr>
            <w:r>
              <w:rPr>
                <w:rFonts w:ascii="Arial" w:cs="Arial" w:eastAsia="Arial" w:hAnsi="Arial"/>
                <w:sz w:val="16"/>
                <w:szCs w:val="16"/>
                <w:color w:val="auto"/>
                <w:w w:val="88"/>
              </w:rPr>
              <w:t>Common shares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gridSpan w:val="6"/>
          </w:tcPr>
          <w:p>
            <w:pPr>
              <w:ind w:left="20"/>
              <w:spacing w:after="0"/>
              <w:rPr>
                <w:sz w:val="20"/>
                <w:szCs w:val="20"/>
                <w:color w:val="auto"/>
              </w:rPr>
            </w:pPr>
            <w:r>
              <w:rPr>
                <w:rFonts w:ascii="Arial" w:cs="Arial" w:eastAsia="Arial" w:hAnsi="Arial"/>
                <w:sz w:val="16"/>
                <w:szCs w:val="16"/>
                <w:color w:val="auto"/>
              </w:rPr>
              <w:t>NestGSV, Inc. (d/b/a GSV Labs, Inc.)</w:t>
            </w:r>
          </w:p>
        </w:tc>
        <w:tc>
          <w:tcPr>
            <w:tcW w:w="2240" w:type="dxa"/>
            <w:vAlign w:val="bottom"/>
            <w:gridSpan w:val="7"/>
          </w:tcPr>
          <w:p>
            <w:pPr>
              <w:jc w:val="center"/>
              <w:spacing w:after="0"/>
              <w:rPr>
                <w:sz w:val="20"/>
                <w:szCs w:val="20"/>
                <w:color w:val="auto"/>
              </w:rPr>
            </w:pPr>
            <w:r>
              <w:rPr>
                <w:rFonts w:ascii="Arial" w:cs="Arial" w:eastAsia="Arial" w:hAnsi="Arial"/>
                <w:sz w:val="16"/>
                <w:szCs w:val="16"/>
                <w:color w:val="auto"/>
                <w:w w:val="92"/>
              </w:rPr>
              <w:t>Convertible Promissory Note 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10"/>
          </w:tcPr>
          <w:p>
            <w:pPr>
              <w:jc w:val="center"/>
              <w:ind w:right="720"/>
              <w:spacing w:after="0"/>
              <w:rPr>
                <w:sz w:val="20"/>
                <w:szCs w:val="20"/>
                <w:color w:val="auto"/>
              </w:rPr>
            </w:pPr>
            <w:r>
              <w:rPr>
                <w:rFonts w:ascii="Arial" w:cs="Arial" w:eastAsia="Arial" w:hAnsi="Arial"/>
                <w:sz w:val="16"/>
                <w:szCs w:val="16"/>
                <w:color w:val="auto"/>
                <w:w w:val="90"/>
              </w:rPr>
              <w:t>Preferred Warrant Series D</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10"/>
          </w:tcPr>
          <w:p>
            <w:pPr>
              <w:jc w:val="right"/>
              <w:ind w:right="820"/>
              <w:spacing w:after="0"/>
              <w:rPr>
                <w:sz w:val="20"/>
                <w:szCs w:val="20"/>
                <w:color w:val="auto"/>
              </w:rPr>
            </w:pPr>
            <w:r>
              <w:rPr>
                <w:rFonts w:ascii="Arial" w:cs="Arial" w:eastAsia="Arial" w:hAnsi="Arial"/>
                <w:sz w:val="16"/>
                <w:szCs w:val="16"/>
                <w:color w:val="auto"/>
                <w:w w:val="98"/>
              </w:rPr>
              <w:t>— Strike Price $1.33333,</w:t>
            </w: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10"/>
          </w:tcPr>
          <w:p>
            <w:pPr>
              <w:jc w:val="center"/>
              <w:ind w:right="720"/>
              <w:spacing w:after="0"/>
              <w:rPr>
                <w:sz w:val="20"/>
                <w:szCs w:val="20"/>
                <w:color w:val="auto"/>
              </w:rPr>
            </w:pPr>
            <w:r>
              <w:rPr>
                <w:rFonts w:ascii="Arial" w:cs="Arial" w:eastAsia="Arial" w:hAnsi="Arial"/>
                <w:sz w:val="16"/>
                <w:szCs w:val="16"/>
                <w:color w:val="auto"/>
                <w:w w:val="92"/>
              </w:rPr>
              <w:t>Expiration Date 7/18/2021</w:t>
            </w:r>
          </w:p>
        </w:tc>
        <w:tc>
          <w:tcPr>
            <w:tcW w:w="0" w:type="dxa"/>
            <w:vAlign w:val="bottom"/>
          </w:tcPr>
          <w:p>
            <w:pPr>
              <w:spacing w:after="0"/>
              <w:rPr>
                <w:sz w:val="1"/>
                <w:szCs w:val="1"/>
                <w:color w:val="auto"/>
              </w:rPr>
            </w:pPr>
          </w:p>
        </w:tc>
      </w:tr>
      <w:tr>
        <w:trPr>
          <w:trHeight w:val="344"/>
        </w:trPr>
        <w:tc>
          <w:tcPr>
            <w:tcW w:w="21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5"/>
          </w:tcPr>
          <w:p>
            <w:pPr>
              <w:ind w:left="780"/>
              <w:spacing w:after="0"/>
              <w:rPr>
                <w:sz w:val="20"/>
                <w:szCs w:val="20"/>
                <w:color w:val="auto"/>
              </w:rPr>
            </w:pPr>
            <w:r>
              <w:rPr>
                <w:rFonts w:ascii="Arial" w:cs="Arial" w:eastAsia="Arial" w:hAnsi="Arial"/>
                <w:sz w:val="14"/>
                <w:szCs w:val="14"/>
                <w:b w:val="1"/>
                <w:bCs w:val="1"/>
                <w:color w:val="auto"/>
              </w:rPr>
              <w:t>Three months ended September 30, 2015</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1000" w:type="dxa"/>
            <w:vAlign w:val="bottom"/>
            <w:gridSpan w:val="5"/>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Common</w:t>
            </w:r>
          </w:p>
        </w:tc>
        <w:tc>
          <w:tcPr>
            <w:tcW w:w="10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0"/>
                <w:szCs w:val="10"/>
                <w:color w:val="auto"/>
              </w:rPr>
            </w:pPr>
          </w:p>
        </w:tc>
        <w:tc>
          <w:tcPr>
            <w:tcW w:w="88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Debt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4"/>
            <w:vMerge w:val="restart"/>
          </w:tcPr>
          <w:p>
            <w:pPr>
              <w:jc w:val="right"/>
              <w:ind w:right="39"/>
              <w:spacing w:after="0"/>
              <w:rPr>
                <w:sz w:val="20"/>
                <w:szCs w:val="20"/>
                <w:color w:val="auto"/>
              </w:rPr>
            </w:pPr>
            <w:r>
              <w:rPr>
                <w:rFonts w:ascii="Arial" w:cs="Arial" w:eastAsia="Arial" w:hAnsi="Arial"/>
                <w:sz w:val="14"/>
                <w:szCs w:val="14"/>
                <w:b w:val="1"/>
                <w:bCs w:val="1"/>
                <w:color w:val="auto"/>
                <w:w w:val="95"/>
              </w:rPr>
              <w:t>Warrants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Embedded</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0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7"/>
              </w:rPr>
              <w:t>Investments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160" w:type="dxa"/>
            <w:vAlign w:val="bottom"/>
            <w:vMerge w:val="continue"/>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as of June 30,</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$92,430,652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$217,983,919</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$ 2,506,014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4"/>
            <w:shd w:val="clear" w:color="auto" w:fill="CCEEFF"/>
          </w:tcPr>
          <w:p>
            <w:pPr>
              <w:jc w:val="right"/>
              <w:ind w:right="19"/>
              <w:spacing w:after="0"/>
              <w:rPr>
                <w:sz w:val="20"/>
                <w:szCs w:val="20"/>
                <w:color w:val="auto"/>
              </w:rPr>
            </w:pPr>
            <w:r>
              <w:rPr>
                <w:rFonts w:ascii="Arial" w:cs="Arial" w:eastAsia="Arial" w:hAnsi="Arial"/>
                <w:sz w:val="16"/>
                <w:szCs w:val="16"/>
                <w:color w:val="auto"/>
              </w:rPr>
              <w:t>694,314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$313,614,899</w:t>
            </w:r>
          </w:p>
        </w:tc>
        <w:tc>
          <w:tcPr>
            <w:tcW w:w="0" w:type="dxa"/>
            <w:vAlign w:val="bottom"/>
          </w:tcPr>
          <w:p>
            <w:pPr>
              <w:spacing w:after="0"/>
              <w:rPr>
                <w:sz w:val="1"/>
                <w:szCs w:val="1"/>
                <w:color w:val="auto"/>
              </w:rPr>
            </w:pP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0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6,602,095</w:t>
            </w:r>
          </w:p>
        </w:tc>
        <w:tc>
          <w:tcPr>
            <w:tcW w:w="1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4"/>
          </w:tcPr>
          <w:p>
            <w:pPr>
              <w:jc w:val="right"/>
              <w:ind w:right="80"/>
              <w:spacing w:after="0"/>
              <w:rPr>
                <w:sz w:val="20"/>
                <w:szCs w:val="20"/>
                <w:color w:val="auto"/>
              </w:rPr>
            </w:pPr>
            <w:r>
              <w:rPr>
                <w:rFonts w:ascii="Arial" w:cs="Arial" w:eastAsia="Arial" w:hAnsi="Arial"/>
                <w:sz w:val="16"/>
                <w:szCs w:val="16"/>
                <w:color w:val="auto"/>
              </w:rPr>
              <w:t>6,602,095</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of investments</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(1,874,000)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(3,362,594)</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(5,286,594)</w:t>
            </w:r>
          </w:p>
        </w:tc>
        <w:tc>
          <w:tcPr>
            <w:tcW w:w="0" w:type="dxa"/>
            <w:vAlign w:val="bottom"/>
          </w:tcPr>
          <w:p>
            <w:pPr>
              <w:spacing w:after="0"/>
              <w:rPr>
                <w:sz w:val="1"/>
                <w:szCs w:val="1"/>
                <w:color w:val="auto"/>
              </w:rPr>
            </w:pP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Realized losses</w:t>
            </w:r>
          </w:p>
        </w:tc>
        <w:tc>
          <w:tcPr>
            <w:tcW w:w="900" w:type="dxa"/>
            <w:vAlign w:val="bottom"/>
            <w:gridSpan w:val="4"/>
          </w:tcPr>
          <w:p>
            <w:pPr>
              <w:jc w:val="right"/>
              <w:ind w:right="40"/>
              <w:spacing w:after="0"/>
              <w:rPr>
                <w:sz w:val="20"/>
                <w:szCs w:val="20"/>
                <w:color w:val="auto"/>
              </w:rPr>
            </w:pPr>
            <w:r>
              <w:rPr>
                <w:rFonts w:ascii="Arial" w:cs="Arial" w:eastAsia="Arial" w:hAnsi="Arial"/>
                <w:sz w:val="16"/>
                <w:szCs w:val="16"/>
                <w:color w:val="auto"/>
              </w:rPr>
              <w:t>(2,290,880)</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(7,563,262)</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(27,190)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4"/>
          </w:tcPr>
          <w:p>
            <w:pPr>
              <w:jc w:val="right"/>
              <w:ind w:right="40"/>
              <w:spacing w:after="0"/>
              <w:rPr>
                <w:sz w:val="20"/>
                <w:szCs w:val="20"/>
                <w:color w:val="auto"/>
              </w:rPr>
            </w:pPr>
            <w:r>
              <w:rPr>
                <w:rFonts w:ascii="Arial" w:cs="Arial" w:eastAsia="Arial" w:hAnsi="Arial"/>
                <w:sz w:val="16"/>
                <w:szCs w:val="16"/>
                <w:color w:val="auto"/>
              </w:rPr>
              <w:t>(9,881,332)</w:t>
            </w:r>
          </w:p>
        </w:tc>
        <w:tc>
          <w:tcPr>
            <w:tcW w:w="0" w:type="dxa"/>
            <w:vAlign w:val="bottom"/>
          </w:tcPr>
          <w:p>
            <w:pPr>
              <w:spacing w:after="0"/>
              <w:rPr>
                <w:sz w:val="1"/>
                <w:szCs w:val="1"/>
                <w:color w:val="auto"/>
              </w:rPr>
            </w:pPr>
          </w:p>
        </w:tc>
      </w:tr>
      <w:tr>
        <w:trPr>
          <w:trHeight w:val="192"/>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Exercises, conversions and</w:t>
            </w: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160" w:type="dxa"/>
            <w:vAlign w:val="bottom"/>
            <w:shd w:val="clear" w:color="auto" w:fill="CCEEFF"/>
          </w:tcPr>
          <w:p>
            <w:pPr>
              <w:ind w:left="200"/>
              <w:spacing w:after="0" w:line="254" w:lineRule="exact"/>
              <w:rPr>
                <w:sz w:val="20"/>
                <w:szCs w:val="20"/>
                <w:color w:val="auto"/>
              </w:rPr>
            </w:pPr>
            <w:r>
              <w:rPr>
                <w:rFonts w:ascii="Arial" w:cs="Arial" w:eastAsia="Arial" w:hAnsi="Arial"/>
                <w:sz w:val="16"/>
                <w:szCs w:val="16"/>
                <w:color w:val="auto"/>
              </w:rPr>
              <w:t>assignments</w:t>
            </w:r>
            <w:r>
              <w:rPr>
                <w:rFonts w:ascii="Arial" w:cs="Arial" w:eastAsia="Arial" w:hAnsi="Arial"/>
                <w:sz w:val="27"/>
                <w:szCs w:val="27"/>
                <w:color w:val="auto"/>
                <w:vertAlign w:val="superscript"/>
              </w:rPr>
              <w:t>(1)</w:t>
            </w:r>
          </w:p>
        </w:tc>
        <w:tc>
          <w:tcPr>
            <w:tcW w:w="100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295,801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(295,801)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160" w:type="dxa"/>
            <w:vAlign w:val="bottom"/>
          </w:tcPr>
          <w:p>
            <w:pPr>
              <w:ind w:left="20"/>
              <w:spacing w:after="0"/>
              <w:rPr>
                <w:sz w:val="20"/>
                <w:szCs w:val="20"/>
                <w:color w:val="auto"/>
              </w:rPr>
            </w:pPr>
            <w:r>
              <w:rPr>
                <w:rFonts w:ascii="Arial" w:cs="Arial" w:eastAsia="Arial" w:hAnsi="Arial"/>
                <w:sz w:val="16"/>
                <w:szCs w:val="16"/>
                <w:color w:val="auto"/>
              </w:rPr>
              <w:t>Amortization of fixed income</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00"/>
              <w:spacing w:after="0"/>
              <w:rPr>
                <w:sz w:val="20"/>
                <w:szCs w:val="20"/>
                <w:color w:val="auto"/>
              </w:rPr>
            </w:pPr>
            <w:r>
              <w:rPr>
                <w:rFonts w:ascii="Arial" w:cs="Arial" w:eastAsia="Arial" w:hAnsi="Arial"/>
                <w:sz w:val="16"/>
                <w:szCs w:val="16"/>
                <w:color w:val="auto"/>
              </w:rPr>
              <w:t>security premiums and</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60" w:type="dxa"/>
            <w:vAlign w:val="bottom"/>
          </w:tcPr>
          <w:p>
            <w:pPr>
              <w:ind w:left="200"/>
              <w:spacing w:after="0"/>
              <w:rPr>
                <w:sz w:val="20"/>
                <w:szCs w:val="20"/>
                <w:color w:val="auto"/>
              </w:rPr>
            </w:pPr>
            <w:r>
              <w:rPr>
                <w:rFonts w:ascii="Arial" w:cs="Arial" w:eastAsia="Arial" w:hAnsi="Arial"/>
                <w:sz w:val="16"/>
                <w:szCs w:val="16"/>
                <w:color w:val="auto"/>
              </w:rPr>
              <w:t>discounts</w:t>
            </w:r>
          </w:p>
        </w:tc>
        <w:tc>
          <w:tcPr>
            <w:tcW w:w="100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14,235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4"/>
          </w:tcPr>
          <w:p>
            <w:pPr>
              <w:jc w:val="right"/>
              <w:ind w:right="80"/>
              <w:spacing w:after="0"/>
              <w:rPr>
                <w:sz w:val="20"/>
                <w:szCs w:val="20"/>
                <w:color w:val="auto"/>
              </w:rPr>
            </w:pPr>
            <w:r>
              <w:rPr>
                <w:rFonts w:ascii="Arial" w:cs="Arial" w:eastAsia="Arial" w:hAnsi="Arial"/>
                <w:sz w:val="16"/>
                <w:szCs w:val="16"/>
                <w:color w:val="auto"/>
              </w:rPr>
              <w:t>14,235</w:t>
            </w:r>
          </w:p>
        </w:tc>
        <w:tc>
          <w:tcPr>
            <w:tcW w:w="0" w:type="dxa"/>
            <w:vAlign w:val="bottom"/>
          </w:tcPr>
          <w:p>
            <w:pPr>
              <w:spacing w:after="0"/>
              <w:rPr>
                <w:sz w:val="1"/>
                <w:szCs w:val="1"/>
                <w:color w:val="auto"/>
              </w:rPr>
            </w:pPr>
          </w:p>
        </w:tc>
      </w:tr>
      <w:tr>
        <w:trPr>
          <w:trHeight w:val="19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unrealized</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appreciation/(depreciation)</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included in earnings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6,868,383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7,662,082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60,303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93"/>
              </w:rPr>
              <w:t>(198,437)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14,392,331</w:t>
            </w:r>
          </w:p>
        </w:tc>
        <w:tc>
          <w:tcPr>
            <w:tcW w:w="0" w:type="dxa"/>
            <w:vAlign w:val="bottom"/>
          </w:tcPr>
          <w:p>
            <w:pPr>
              <w:spacing w:after="0"/>
              <w:rPr>
                <w:sz w:val="1"/>
                <w:szCs w:val="1"/>
                <w:color w:val="auto"/>
              </w:rPr>
            </w:pPr>
          </w:p>
        </w:tc>
      </w:tr>
      <w:tr>
        <w:trPr>
          <w:trHeight w:val="189"/>
        </w:trPr>
        <w:tc>
          <w:tcPr>
            <w:tcW w:w="21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w w:val="95"/>
              </w:rPr>
              <w:t>Fair Value as of September 30,</w:t>
            </w:r>
          </w:p>
        </w:tc>
        <w:tc>
          <w:tcPr>
            <w:tcW w:w="80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60" w:type="dxa"/>
            <w:vAlign w:val="bottom"/>
          </w:tcPr>
          <w:p>
            <w:pPr>
              <w:ind w:left="200"/>
              <w:spacing w:after="0"/>
              <w:rPr>
                <w:sz w:val="20"/>
                <w:szCs w:val="20"/>
                <w:color w:val="auto"/>
              </w:rPr>
            </w:pPr>
            <w:r>
              <w:rPr>
                <w:rFonts w:ascii="Arial" w:cs="Arial" w:eastAsia="Arial" w:hAnsi="Arial"/>
                <w:sz w:val="16"/>
                <w:szCs w:val="16"/>
                <w:color w:val="auto"/>
              </w:rPr>
              <w:t>2015</w:t>
            </w:r>
          </w:p>
        </w:tc>
        <w:tc>
          <w:tcPr>
            <w:tcW w:w="82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95,134,155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221,618,041</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$ 2,207,561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4"/>
          </w:tcPr>
          <w:p>
            <w:pPr>
              <w:jc w:val="right"/>
              <w:ind w:right="19"/>
              <w:spacing w:after="0"/>
              <w:rPr>
                <w:sz w:val="20"/>
                <w:szCs w:val="20"/>
                <w:color w:val="auto"/>
              </w:rPr>
            </w:pPr>
            <w:r>
              <w:rPr>
                <w:rFonts w:ascii="Arial" w:cs="Arial" w:eastAsia="Arial" w:hAnsi="Arial"/>
                <w:sz w:val="16"/>
                <w:szCs w:val="16"/>
                <w:color w:val="auto"/>
              </w:rPr>
              <w:t>495,877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4"/>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319,455,634</w:t>
            </w:r>
          </w:p>
        </w:tc>
        <w:tc>
          <w:tcPr>
            <w:tcW w:w="0" w:type="dxa"/>
            <w:vAlign w:val="bottom"/>
          </w:tcPr>
          <w:p>
            <w:pPr>
              <w:spacing w:after="0"/>
              <w:rPr>
                <w:sz w:val="1"/>
                <w:szCs w:val="1"/>
                <w:color w:val="auto"/>
              </w:rPr>
            </w:pPr>
          </w:p>
        </w:tc>
      </w:tr>
      <w:tr>
        <w:trPr>
          <w:trHeight w:val="24"/>
        </w:trPr>
        <w:tc>
          <w:tcPr>
            <w:tcW w:w="216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-299720</wp:posOffset>
            </wp:positionV>
            <wp:extent cx="5213985" cy="3003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3985" cy="3003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-2520950</wp:posOffset>
            </wp:positionV>
            <wp:extent cx="51885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6" w:name="page37"/>
    <w:bookmarkEnd w:id="3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-24765</wp:posOffset>
            </wp:positionV>
            <wp:extent cx="52139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13"/>
          </w:tcPr>
          <w:p>
            <w:pPr>
              <w:ind w:left="640"/>
              <w:spacing w:after="0"/>
              <w:rPr>
                <w:sz w:val="20"/>
                <w:szCs w:val="20"/>
                <w:color w:val="auto"/>
              </w:rPr>
            </w:pPr>
            <w:r>
              <w:rPr>
                <w:rFonts w:ascii="Arial" w:cs="Arial" w:eastAsia="Arial" w:hAnsi="Arial"/>
                <w:sz w:val="14"/>
                <w:szCs w:val="14"/>
                <w:b w:val="1"/>
                <w:bCs w:val="1"/>
                <w:color w:val="auto"/>
              </w:rPr>
              <w:t>Three months ended September 30, 2015</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Common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Preferred</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106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Embedded</w:t>
            </w:r>
          </w:p>
        </w:tc>
        <w:tc>
          <w:tcPr>
            <w:tcW w:w="140" w:type="dxa"/>
            <w:vAlign w:val="bottom"/>
          </w:tcPr>
          <w:p>
            <w:pPr>
              <w:spacing w:after="0"/>
              <w:rPr>
                <w:sz w:val="10"/>
                <w:szCs w:val="10"/>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60" w:type="dxa"/>
            <w:vAlign w:val="bottom"/>
            <w:gridSpan w:val="2"/>
            <w:vMerge w:val="restart"/>
          </w:tcPr>
          <w:p>
            <w:pPr>
              <w:spacing w:after="0"/>
              <w:rPr>
                <w:sz w:val="20"/>
                <w:szCs w:val="20"/>
                <w:color w:val="auto"/>
              </w:rPr>
            </w:pPr>
            <w:r>
              <w:rPr>
                <w:rFonts w:ascii="Arial" w:cs="Arial" w:eastAsia="Arial" w:hAnsi="Arial"/>
                <w:sz w:val="16"/>
                <w:szCs w:val="16"/>
                <w:color w:val="auto"/>
              </w:rPr>
              <w:t>Net change in unrealized</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7"/>
              </w:rPr>
              <w:t>Investments</w:t>
            </w:r>
          </w:p>
        </w:tc>
        <w:tc>
          <w:tcPr>
            <w:tcW w:w="14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160" w:type="dxa"/>
            <w:vAlign w:val="bottom"/>
            <w:gridSpan w:val="2"/>
            <w:vMerge w:val="continue"/>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ind w:left="180"/>
              <w:spacing w:after="0"/>
              <w:rPr>
                <w:sz w:val="20"/>
                <w:szCs w:val="20"/>
                <w:color w:val="auto"/>
              </w:rPr>
            </w:pPr>
            <w:r>
              <w:rPr>
                <w:rFonts w:ascii="Arial" w:cs="Arial" w:eastAsia="Arial" w:hAnsi="Arial"/>
                <w:sz w:val="16"/>
                <w:szCs w:val="16"/>
                <w:color w:val="auto"/>
              </w:rPr>
              <w:t>appreciation/(depreciation)</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ind w:left="180"/>
              <w:spacing w:after="0"/>
              <w:rPr>
                <w:sz w:val="20"/>
                <w:szCs w:val="20"/>
                <w:color w:val="auto"/>
              </w:rPr>
            </w:pPr>
            <w:r>
              <w:rPr>
                <w:rFonts w:ascii="Arial" w:cs="Arial" w:eastAsia="Arial" w:hAnsi="Arial"/>
                <w:sz w:val="16"/>
                <w:szCs w:val="16"/>
                <w:color w:val="auto"/>
              </w:rPr>
              <w:t>of Level 3 investments still</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ind w:left="180"/>
              <w:spacing w:after="0"/>
              <w:rPr>
                <w:sz w:val="20"/>
                <w:szCs w:val="20"/>
                <w:color w:val="auto"/>
              </w:rPr>
            </w:pPr>
            <w:r>
              <w:rPr>
                <w:rFonts w:ascii="Arial" w:cs="Arial" w:eastAsia="Arial" w:hAnsi="Arial"/>
                <w:sz w:val="16"/>
                <w:szCs w:val="16"/>
                <w:color w:val="auto"/>
              </w:rPr>
              <w:t>held as of September 30,</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180"/>
              <w:spacing w:after="0"/>
              <w:rPr>
                <w:sz w:val="20"/>
                <w:szCs w:val="20"/>
                <w:color w:val="auto"/>
              </w:rPr>
            </w:pPr>
            <w:r>
              <w:rPr>
                <w:rFonts w:ascii="Arial" w:cs="Arial" w:eastAsia="Arial" w:hAnsi="Arial"/>
                <w:sz w:val="16"/>
                <w:szCs w:val="16"/>
                <w:color w:val="auto"/>
              </w:rPr>
              <w:t>2015</w:t>
            </w:r>
          </w:p>
        </w:tc>
        <w:tc>
          <w:tcPr>
            <w:tcW w:w="1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w w:val="92"/>
              </w:rPr>
              <w:t>$  4,027,793</w:t>
            </w:r>
          </w:p>
        </w:tc>
        <w:tc>
          <w:tcPr>
            <w:tcW w:w="4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589,059</w:t>
            </w:r>
          </w:p>
        </w:tc>
        <w:tc>
          <w:tcPr>
            <w:tcW w:w="32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32,425</w:t>
            </w:r>
          </w:p>
        </w:tc>
        <w:tc>
          <w:tcPr>
            <w:tcW w:w="1200" w:type="dxa"/>
            <w:vAlign w:val="bottom"/>
            <w:gridSpan w:val="5"/>
          </w:tcPr>
          <w:p>
            <w:pPr>
              <w:jc w:val="right"/>
              <w:ind w:right="20"/>
              <w:spacing w:after="0"/>
              <w:rPr>
                <w:sz w:val="20"/>
                <w:szCs w:val="20"/>
                <w:color w:val="auto"/>
              </w:rPr>
            </w:pPr>
            <w:r>
              <w:rPr>
                <w:rFonts w:ascii="Arial" w:cs="Arial" w:eastAsia="Arial" w:hAnsi="Arial"/>
                <w:sz w:val="16"/>
                <w:szCs w:val="16"/>
                <w:color w:val="auto"/>
              </w:rPr>
              <w:t>$ (198,437)   $</w:t>
            </w: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  4,450,840</w:t>
            </w:r>
          </w:p>
        </w:tc>
        <w:tc>
          <w:tcPr>
            <w:tcW w:w="0" w:type="dxa"/>
            <w:vAlign w:val="bottom"/>
          </w:tcPr>
          <w:p>
            <w:pPr>
              <w:spacing w:after="0"/>
              <w:rPr>
                <w:sz w:val="1"/>
                <w:szCs w:val="1"/>
                <w:color w:val="auto"/>
              </w:rPr>
            </w:pPr>
          </w:p>
        </w:tc>
      </w:tr>
      <w:tr>
        <w:trPr>
          <w:trHeight w:val="24"/>
        </w:trPr>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980" w:type="dxa"/>
            <w:vAlign w:val="bottom"/>
            <w:tcBorders>
              <w:bottom w:val="single" w:sz="8" w:color="auto"/>
            </w:tcBorders>
          </w:tcPr>
          <w:p>
            <w:pPr>
              <w:spacing w:after="0"/>
              <w:rPr>
                <w:sz w:val="23"/>
                <w:szCs w:val="23"/>
                <w:color w:val="auto"/>
              </w:rPr>
            </w:pPr>
          </w:p>
        </w:tc>
        <w:tc>
          <w:tcPr>
            <w:tcW w:w="1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739" w:hanging="272"/>
        <w:spacing w:after="0" w:line="277"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three months ended September 30, 2015,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250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Transfer from</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2"/>
              </w:rPr>
              <w:t>Transfer to</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0" w:type="dxa"/>
            <w:vAlign w:val="bottom"/>
            <w:gridSpan w:val="3"/>
          </w:tcPr>
          <w:p>
            <w:pPr>
              <w:ind w:left="20"/>
              <w:spacing w:after="0"/>
              <w:rPr>
                <w:sz w:val="20"/>
                <w:szCs w:val="20"/>
                <w:color w:val="auto"/>
              </w:rPr>
            </w:pPr>
            <w:r>
              <w:rPr>
                <w:rFonts w:ascii="Arial" w:cs="Arial" w:eastAsia="Arial" w:hAnsi="Arial"/>
                <w:sz w:val="16"/>
                <w:szCs w:val="16"/>
                <w:color w:val="auto"/>
              </w:rPr>
              <w:t>Circle Media (f/k/a S3 Digital Corp.</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5"/>
          </w:tcPr>
          <w:p>
            <w:pPr>
              <w:jc w:val="right"/>
              <w:ind w:right="80"/>
              <w:spacing w:after="0"/>
              <w:rPr>
                <w:sz w:val="20"/>
                <w:szCs w:val="20"/>
                <w:color w:val="auto"/>
              </w:rPr>
            </w:pPr>
            <w:r>
              <w:rPr>
                <w:rFonts w:ascii="Arial" w:cs="Arial" w:eastAsia="Arial" w:hAnsi="Arial"/>
                <w:sz w:val="16"/>
                <w:szCs w:val="16"/>
                <w:color w:val="auto"/>
              </w:rPr>
              <w:t>Term Loan, 12%, 9/30/15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8"/>
          </w:tcPr>
          <w:p>
            <w:pPr>
              <w:ind w:left="100"/>
              <w:spacing w:after="0"/>
              <w:rPr>
                <w:sz w:val="20"/>
                <w:szCs w:val="20"/>
                <w:color w:val="auto"/>
              </w:rPr>
            </w:pPr>
            <w:r>
              <w:rPr>
                <w:rFonts w:ascii="Arial" w:cs="Arial" w:eastAsia="Arial" w:hAnsi="Arial"/>
                <w:sz w:val="16"/>
                <w:szCs w:val="16"/>
                <w:color w:val="auto"/>
                <w:w w:val="93"/>
              </w:rPr>
              <w:t>Preferred shares, Series A</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80" w:type="dxa"/>
            <w:vAlign w:val="bottom"/>
            <w:gridSpan w:val="2"/>
          </w:tcPr>
          <w:p>
            <w:pPr>
              <w:ind w:left="180"/>
              <w:spacing w:after="0"/>
              <w:rPr>
                <w:sz w:val="20"/>
                <w:szCs w:val="20"/>
                <w:color w:val="auto"/>
              </w:rPr>
            </w:pPr>
            <w:r>
              <w:rPr>
                <w:rFonts w:ascii="Arial" w:cs="Arial" w:eastAsia="Arial" w:hAnsi="Arial"/>
                <w:sz w:val="16"/>
                <w:szCs w:val="16"/>
                <w:color w:val="auto"/>
              </w:rPr>
              <w:t>(d/b/a S3i))</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2"/>
          </w:tcPr>
          <w:p>
            <w:pPr>
              <w:jc w:val="right"/>
              <w:ind w:right="220"/>
              <w:spacing w:after="0"/>
              <w:rPr>
                <w:sz w:val="20"/>
                <w:szCs w:val="20"/>
                <w:color w:val="auto"/>
              </w:rPr>
            </w:pPr>
            <w:r>
              <w:rPr>
                <w:rFonts w:ascii="Arial" w:cs="Arial" w:eastAsia="Arial" w:hAnsi="Arial"/>
                <w:sz w:val="14"/>
                <w:szCs w:val="14"/>
                <w:b w:val="1"/>
                <w:bCs w:val="1"/>
                <w:color w:val="auto"/>
                <w:w w:val="99"/>
              </w:rPr>
              <w:t>Nine months ended September 30, 2016</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0"/>
                <w:szCs w:val="10"/>
                <w:color w:val="auto"/>
              </w:rPr>
            </w:pPr>
          </w:p>
        </w:tc>
        <w:tc>
          <w:tcPr>
            <w:tcW w:w="9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Warrants</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4"/>
                <w:szCs w:val="14"/>
                <w:color w:val="auto"/>
              </w:rPr>
            </w:pPr>
          </w:p>
        </w:tc>
        <w:tc>
          <w:tcPr>
            <w:tcW w:w="980" w:type="dxa"/>
            <w:vAlign w:val="bottom"/>
            <w:tcBorders>
              <w:bottom w:val="single" w:sz="8" w:color="auto"/>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8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7"/>
              </w:rPr>
              <w:t>Investments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0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Fair value as of December 31, 2015</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102,319,140</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$216,291,092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w w:val="92"/>
              </w:rPr>
              <w:t>4,175,859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469,306</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$323,255,397</w:t>
            </w:r>
          </w:p>
        </w:tc>
        <w:tc>
          <w:tcPr>
            <w:tcW w:w="0" w:type="dxa"/>
            <w:vAlign w:val="bottom"/>
          </w:tcPr>
          <w:p>
            <w:pPr>
              <w:spacing w:after="0"/>
              <w:rPr>
                <w:sz w:val="1"/>
                <w:szCs w:val="1"/>
                <w:color w:val="auto"/>
              </w:rPr>
            </w:pPr>
          </w:p>
        </w:tc>
      </w:tr>
      <w:tr>
        <w:trPr>
          <w:trHeight w:val="203"/>
        </w:trPr>
        <w:tc>
          <w:tcPr>
            <w:tcW w:w="3000" w:type="dxa"/>
            <w:vAlign w:val="bottom"/>
            <w:gridSpan w:val="3"/>
          </w:tcPr>
          <w:p>
            <w:pPr>
              <w:ind w:left="20"/>
              <w:spacing w:after="0"/>
              <w:rPr>
                <w:sz w:val="20"/>
                <w:szCs w:val="20"/>
                <w:color w:val="auto"/>
              </w:rPr>
            </w:pPr>
            <w:r>
              <w:rPr>
                <w:rFonts w:ascii="Arial" w:cs="Arial" w:eastAsia="Arial" w:hAnsi="Arial"/>
                <w:sz w:val="16"/>
                <w:szCs w:val="16"/>
                <w:color w:val="auto"/>
              </w:rPr>
              <w:t>Transfer into Level 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143,733</w:t>
            </w:r>
          </w:p>
        </w:tc>
        <w:tc>
          <w:tcPr>
            <w:tcW w:w="1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4"/>
          </w:tcPr>
          <w:p>
            <w:pPr>
              <w:jc w:val="right"/>
              <w:ind w:right="80"/>
              <w:spacing w:after="0"/>
              <w:rPr>
                <w:sz w:val="20"/>
                <w:szCs w:val="20"/>
                <w:color w:val="auto"/>
              </w:rPr>
            </w:pPr>
            <w:r>
              <w:rPr>
                <w:rFonts w:ascii="Arial" w:cs="Arial" w:eastAsia="Arial" w:hAnsi="Arial"/>
                <w:sz w:val="16"/>
                <w:szCs w:val="16"/>
                <w:color w:val="auto"/>
              </w:rPr>
              <w:t>143,733</w:t>
            </w:r>
          </w:p>
        </w:tc>
        <w:tc>
          <w:tcPr>
            <w:tcW w:w="0" w:type="dxa"/>
            <w:vAlign w:val="bottom"/>
          </w:tcPr>
          <w:p>
            <w:pPr>
              <w:spacing w:after="0"/>
              <w:rPr>
                <w:sz w:val="1"/>
                <w:szCs w:val="1"/>
                <w:color w:val="auto"/>
              </w:rPr>
            </w:pPr>
          </w:p>
        </w:tc>
      </w:tr>
      <w:tr>
        <w:trPr>
          <w:trHeight w:val="203"/>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9,016,702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w w:val="92"/>
              </w:rPr>
              <w:t>4,003,120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13,019,822</w:t>
            </w:r>
          </w:p>
        </w:tc>
        <w:tc>
          <w:tcPr>
            <w:tcW w:w="0" w:type="dxa"/>
            <w:vAlign w:val="bottom"/>
          </w:tcPr>
          <w:p>
            <w:pPr>
              <w:spacing w:after="0"/>
              <w:rPr>
                <w:sz w:val="1"/>
                <w:szCs w:val="1"/>
                <w:color w:val="auto"/>
              </w:rPr>
            </w:pPr>
          </w:p>
        </w:tc>
      </w:tr>
      <w:tr>
        <w:trPr>
          <w:trHeight w:val="203"/>
        </w:trPr>
        <w:tc>
          <w:tcPr>
            <w:tcW w:w="3000" w:type="dxa"/>
            <w:vAlign w:val="bottom"/>
            <w:gridSpan w:val="3"/>
          </w:tcPr>
          <w:p>
            <w:pPr>
              <w:ind w:left="20"/>
              <w:spacing w:after="0"/>
              <w:rPr>
                <w:sz w:val="20"/>
                <w:szCs w:val="20"/>
                <w:color w:val="auto"/>
              </w:rPr>
            </w:pPr>
            <w:r>
              <w:rPr>
                <w:rFonts w:ascii="Arial" w:cs="Arial" w:eastAsia="Arial" w:hAnsi="Arial"/>
                <w:sz w:val="16"/>
                <w:szCs w:val="16"/>
                <w:color w:val="auto"/>
              </w:rPr>
              <w:t>Sales of investments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(3,400,708)</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(7,651,890)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4"/>
          </w:tcPr>
          <w:p>
            <w:pPr>
              <w:jc w:val="right"/>
              <w:ind w:right="40"/>
              <w:spacing w:after="0"/>
              <w:rPr>
                <w:sz w:val="20"/>
                <w:szCs w:val="20"/>
                <w:color w:val="auto"/>
              </w:rPr>
            </w:pPr>
            <w:r>
              <w:rPr>
                <w:rFonts w:ascii="Arial" w:cs="Arial" w:eastAsia="Arial" w:hAnsi="Arial"/>
                <w:sz w:val="16"/>
                <w:szCs w:val="16"/>
                <w:color w:val="auto"/>
              </w:rPr>
              <w:t>(11,052,598)</w:t>
            </w:r>
          </w:p>
        </w:tc>
        <w:tc>
          <w:tcPr>
            <w:tcW w:w="0" w:type="dxa"/>
            <w:vAlign w:val="bottom"/>
          </w:tcPr>
          <w:p>
            <w:pPr>
              <w:spacing w:after="0"/>
              <w:rPr>
                <w:sz w:val="1"/>
                <w:szCs w:val="1"/>
                <w:color w:val="auto"/>
              </w:rPr>
            </w:pPr>
          </w:p>
        </w:tc>
      </w:tr>
      <w:tr>
        <w:trPr>
          <w:trHeight w:val="203"/>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Realized gains/(losses) on investments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(7,049,327)</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4,430,220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(2,619,107)</w:t>
            </w:r>
          </w:p>
        </w:tc>
        <w:tc>
          <w:tcPr>
            <w:tcW w:w="0" w:type="dxa"/>
            <w:vAlign w:val="bottom"/>
          </w:tcPr>
          <w:p>
            <w:pPr>
              <w:spacing w:after="0"/>
              <w:rPr>
                <w:sz w:val="1"/>
                <w:szCs w:val="1"/>
                <w:color w:val="auto"/>
              </w:rPr>
            </w:pPr>
          </w:p>
        </w:tc>
      </w:tr>
      <w:tr>
        <w:trPr>
          <w:trHeight w:val="243"/>
        </w:trPr>
        <w:tc>
          <w:tcPr>
            <w:tcW w:w="3000" w:type="dxa"/>
            <w:vAlign w:val="bottom"/>
            <w:gridSpan w:val="3"/>
          </w:tcPr>
          <w:p>
            <w:pPr>
              <w:ind w:left="20"/>
              <w:spacing w:after="0" w:line="242" w:lineRule="exact"/>
              <w:rPr>
                <w:sz w:val="20"/>
                <w:szCs w:val="20"/>
                <w:color w:val="auto"/>
              </w:rPr>
            </w:pPr>
            <w:r>
              <w:rPr>
                <w:rFonts w:ascii="Arial" w:cs="Arial" w:eastAsia="Arial" w:hAnsi="Arial"/>
                <w:sz w:val="16"/>
                <w:szCs w:val="16"/>
                <w:color w:val="auto"/>
                <w:w w:val="95"/>
              </w:rPr>
              <w:t>Exercises, conversions and assignments</w:t>
            </w:r>
            <w:r>
              <w:rPr>
                <w:rFonts w:ascii="Arial" w:cs="Arial" w:eastAsia="Arial" w:hAnsi="Arial"/>
                <w:sz w:val="27"/>
                <w:szCs w:val="27"/>
                <w:color w:val="auto"/>
                <w:w w:val="95"/>
                <w:vertAlign w:val="superscript"/>
              </w:rPr>
              <w:t>(1)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1,436,404</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(1,436,404)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6"/>
                <w:szCs w:val="16"/>
                <w:color w:val="auto"/>
              </w:rPr>
              <w:t>(74,380)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74,380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change in unrealized</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depreciation/included in earnings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(11,205,077)</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(20,730,488)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(729,391)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(198,330)</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(32,863,286)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00" w:type="dxa"/>
            <w:vAlign w:val="bottom"/>
            <w:gridSpan w:val="3"/>
          </w:tcPr>
          <w:p>
            <w:pPr>
              <w:ind w:left="20"/>
              <w:spacing w:after="0"/>
              <w:rPr>
                <w:sz w:val="20"/>
                <w:szCs w:val="20"/>
                <w:color w:val="auto"/>
              </w:rPr>
            </w:pPr>
            <w:r>
              <w:rPr>
                <w:rFonts w:ascii="Arial" w:cs="Arial" w:eastAsia="Arial" w:hAnsi="Arial"/>
                <w:sz w:val="16"/>
                <w:szCs w:val="16"/>
                <w:color w:val="auto"/>
              </w:rPr>
              <w:t>Fair Value as of September 30, 2016</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82,244,165</w:t>
            </w:r>
          </w:p>
        </w:tc>
        <w:tc>
          <w:tcPr>
            <w:tcW w:w="1080" w:type="dxa"/>
            <w:vAlign w:val="bottom"/>
            <w:gridSpan w:val="3"/>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199,919,232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tcPr>
          <w:p>
            <w:pPr>
              <w:jc w:val="right"/>
              <w:ind w:right="100"/>
              <w:spacing w:after="0"/>
              <w:rPr>
                <w:sz w:val="20"/>
                <w:szCs w:val="20"/>
                <w:color w:val="auto"/>
              </w:rPr>
            </w:pPr>
            <w:r>
              <w:rPr>
                <w:rFonts w:ascii="Arial" w:cs="Arial" w:eastAsia="Arial" w:hAnsi="Arial"/>
                <w:sz w:val="16"/>
                <w:szCs w:val="16"/>
                <w:color w:val="auto"/>
                <w:w w:val="92"/>
              </w:rPr>
              <w:t>7,375,208</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345,356</w:t>
            </w:r>
          </w:p>
        </w:tc>
        <w:tc>
          <w:tcPr>
            <w:tcW w:w="1100" w:type="dxa"/>
            <w:vAlign w:val="bottom"/>
            <w:gridSpan w:val="4"/>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289,883,961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change in unrealized/depreciation on</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Level 3 investments still held as of</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2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September 30, 2016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(18,100,862)</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7"/>
              </w:rPr>
              <w:t>$ (21,316,682)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(729,391)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(198,330)</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w w:val="99"/>
              </w:rPr>
              <w:t>$ (40,345,265)</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20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-2348865</wp:posOffset>
            </wp:positionV>
            <wp:extent cx="51885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36" w:lineRule="exact"/>
        <w:rPr>
          <w:sz w:val="20"/>
          <w:szCs w:val="20"/>
          <w:color w:val="auto"/>
        </w:rPr>
      </w:pPr>
    </w:p>
    <w:p>
      <w:pPr>
        <w:ind w:left="300" w:right="779" w:hanging="272"/>
        <w:spacing w:after="0" w:line="277"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nine months ended September 30, 2016,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250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6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Transfer to</w:t>
            </w:r>
          </w:p>
        </w:tc>
      </w:tr>
      <w:tr>
        <w:trPr>
          <w:trHeight w:val="186"/>
        </w:trPr>
        <w:tc>
          <w:tcPr>
            <w:tcW w:w="3000" w:type="dxa"/>
            <w:vAlign w:val="bottom"/>
          </w:tcPr>
          <w:p>
            <w:pPr>
              <w:ind w:left="20"/>
              <w:spacing w:after="0"/>
              <w:rPr>
                <w:sz w:val="20"/>
                <w:szCs w:val="20"/>
                <w:color w:val="auto"/>
              </w:rPr>
            </w:pPr>
            <w:r>
              <w:rPr>
                <w:rFonts w:ascii="Arial" w:cs="Arial" w:eastAsia="Arial" w:hAnsi="Arial"/>
                <w:sz w:val="16"/>
                <w:szCs w:val="16"/>
                <w:color w:val="auto"/>
                <w:w w:val="96"/>
              </w:rPr>
              <w:t>4C Insights (f/k/a The Echo Systems Corp.)</w:t>
            </w:r>
          </w:p>
        </w:tc>
        <w:tc>
          <w:tcPr>
            <w:tcW w:w="16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0"/>
              </w:rPr>
              <w:t>Preferred shares, Series A</w:t>
            </w:r>
          </w:p>
        </w:tc>
        <w:tc>
          <w:tcPr>
            <w:tcW w:w="16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88"/>
              </w:rPr>
              <w:t>Common shares</w:t>
            </w:r>
          </w:p>
        </w:tc>
      </w:tr>
      <w:tr>
        <w:trPr>
          <w:trHeight w:val="203"/>
        </w:trPr>
        <w:tc>
          <w:tcPr>
            <w:tcW w:w="3000" w:type="dxa"/>
            <w:vAlign w:val="bottom"/>
          </w:tcPr>
          <w:p>
            <w:pPr>
              <w:ind w:left="20"/>
              <w:spacing w:after="0"/>
              <w:rPr>
                <w:sz w:val="20"/>
                <w:szCs w:val="20"/>
                <w:color w:val="auto"/>
              </w:rPr>
            </w:pPr>
            <w:r>
              <w:rPr>
                <w:rFonts w:ascii="Arial" w:cs="Arial" w:eastAsia="Arial" w:hAnsi="Arial"/>
                <w:sz w:val="16"/>
                <w:szCs w:val="16"/>
                <w:color w:val="auto"/>
              </w:rPr>
              <w:t>NestGSV, Inc. (d/b/a GSV Labs, Inc.)</w:t>
            </w:r>
          </w:p>
        </w:tc>
        <w:tc>
          <w:tcPr>
            <w:tcW w:w="16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2"/>
              </w:rPr>
              <w:t>Convertible Promissory Note 8%</w:t>
            </w: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0"/>
              </w:rPr>
              <w:t>Preferred Warrant Series D</w:t>
            </w:r>
          </w:p>
        </w:tc>
      </w:tr>
      <w:tr>
        <w:trPr>
          <w:trHeight w:val="203"/>
        </w:trPr>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2"/>
              </w:rPr>
              <w:t>— Strike Price $1.33333,</w:t>
            </w:r>
          </w:p>
        </w:tc>
      </w:tr>
      <w:tr>
        <w:trPr>
          <w:trHeight w:val="206"/>
        </w:trPr>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2"/>
              </w:rPr>
              <w:t>Expiration Date 7/18/2021</w:t>
            </w:r>
          </w:p>
        </w:tc>
      </w:tr>
    </w:tbl>
    <w:p>
      <w:pPr>
        <w:spacing w:after="0" w:line="200" w:lineRule="exact"/>
        <w:rPr>
          <w:sz w:val="20"/>
          <w:szCs w:val="20"/>
          <w:color w:val="auto"/>
        </w:rPr>
      </w:pPr>
    </w:p>
    <w:p>
      <w:pPr>
        <w:spacing w:after="0" w:line="34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7" w:name="page38"/>
    <w:bookmarkEnd w:id="3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885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14"/>
          </w:tcPr>
          <w:p>
            <w:pPr>
              <w:jc w:val="right"/>
              <w:ind w:right="720"/>
              <w:spacing w:after="0"/>
              <w:rPr>
                <w:sz w:val="20"/>
                <w:szCs w:val="20"/>
                <w:color w:val="auto"/>
              </w:rPr>
            </w:pPr>
            <w:r>
              <w:rPr>
                <w:rFonts w:ascii="Arial" w:cs="Arial" w:eastAsia="Arial" w:hAnsi="Arial"/>
                <w:sz w:val="14"/>
                <w:szCs w:val="14"/>
                <w:b w:val="1"/>
                <w:bCs w:val="1"/>
                <w:color w:val="auto"/>
              </w:rPr>
              <w:t>Nine months ended September 30, 2015</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Debt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8"/>
              </w:rPr>
              <w:t>Warrants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9"/>
              </w:rPr>
              <w:t>Embedded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7"/>
              </w:rPr>
              <w:t>Investments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1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8"/>
              </w:rPr>
              <w:t>Fair value as of December 31,</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2014</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85,598,467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193,847,045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1,374,210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904,345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281,724,067</w:t>
            </w:r>
          </w:p>
        </w:tc>
        <w:tc>
          <w:tcPr>
            <w:tcW w:w="0" w:type="dxa"/>
            <w:vAlign w:val="bottom"/>
          </w:tcPr>
          <w:p>
            <w:pPr>
              <w:spacing w:after="0"/>
              <w:rPr>
                <w:sz w:val="1"/>
                <w:szCs w:val="1"/>
                <w:color w:val="auto"/>
              </w:rPr>
            </w:pPr>
          </w:p>
        </w:tc>
      </w:tr>
      <w:tr>
        <w:trPr>
          <w:trHeight w:val="203"/>
        </w:trPr>
        <w:tc>
          <w:tcPr>
            <w:tcW w:w="2160" w:type="dxa"/>
            <w:vAlign w:val="bottom"/>
            <w:gridSpan w:val="3"/>
          </w:tcPr>
          <w:p>
            <w:pPr>
              <w:ind w:left="20"/>
              <w:spacing w:after="0"/>
              <w:rPr>
                <w:sz w:val="20"/>
                <w:szCs w:val="20"/>
                <w:color w:val="auto"/>
              </w:rPr>
            </w:pPr>
            <w:r>
              <w:rPr>
                <w:rFonts w:ascii="Arial" w:cs="Arial" w:eastAsia="Arial" w:hAnsi="Arial"/>
                <w:sz w:val="16"/>
                <w:szCs w:val="16"/>
                <w:color w:val="auto"/>
              </w:rPr>
              <w:t>Purchases of investments</w:t>
            </w: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2,680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16,168,653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1,022,107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17,193,440</w:t>
            </w:r>
          </w:p>
        </w:tc>
        <w:tc>
          <w:tcPr>
            <w:tcW w:w="0" w:type="dxa"/>
            <w:vAlign w:val="bottom"/>
          </w:tcPr>
          <w:p>
            <w:pPr>
              <w:spacing w:after="0"/>
              <w:rPr>
                <w:sz w:val="1"/>
                <w:szCs w:val="1"/>
                <w:color w:val="auto"/>
              </w:rPr>
            </w:pPr>
          </w:p>
        </w:tc>
      </w:tr>
      <w:tr>
        <w:trPr>
          <w:trHeight w:val="203"/>
        </w:trPr>
        <w:tc>
          <w:tcPr>
            <w:tcW w:w="2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Sales of investments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(1,886,373)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(3,362,594)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(5,298,967)</w:t>
            </w:r>
          </w:p>
        </w:tc>
        <w:tc>
          <w:tcPr>
            <w:tcW w:w="0" w:type="dxa"/>
            <w:vAlign w:val="bottom"/>
          </w:tcPr>
          <w:p>
            <w:pPr>
              <w:spacing w:after="0"/>
              <w:rPr>
                <w:sz w:val="1"/>
                <w:szCs w:val="1"/>
                <w:color w:val="auto"/>
              </w:rPr>
            </w:pPr>
          </w:p>
        </w:tc>
      </w:tr>
      <w:tr>
        <w:trPr>
          <w:trHeight w:val="203"/>
        </w:trPr>
        <w:tc>
          <w:tcPr>
            <w:tcW w:w="2160" w:type="dxa"/>
            <w:vAlign w:val="bottom"/>
            <w:gridSpan w:val="3"/>
          </w:tcPr>
          <w:p>
            <w:pPr>
              <w:ind w:left="20"/>
              <w:spacing w:after="0"/>
              <w:rPr>
                <w:sz w:val="20"/>
                <w:szCs w:val="20"/>
                <w:color w:val="auto"/>
              </w:rPr>
            </w:pPr>
            <w:r>
              <w:rPr>
                <w:rFonts w:ascii="Arial" w:cs="Arial" w:eastAsia="Arial" w:hAnsi="Arial"/>
                <w:sz w:val="16"/>
                <w:szCs w:val="16"/>
                <w:color w:val="auto"/>
              </w:rPr>
              <w:t>Realized losses</w:t>
            </w: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(2,290,880)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(7,563,262)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(27,190)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(9,881,332)</w:t>
            </w:r>
          </w:p>
        </w:tc>
        <w:tc>
          <w:tcPr>
            <w:tcW w:w="0" w:type="dxa"/>
            <w:vAlign w:val="bottom"/>
          </w:tcPr>
          <w:p>
            <w:pPr>
              <w:spacing w:after="0"/>
              <w:rPr>
                <w:sz w:val="1"/>
                <w:szCs w:val="1"/>
                <w:color w:val="auto"/>
              </w:rPr>
            </w:pPr>
          </w:p>
        </w:tc>
      </w:tr>
      <w:tr>
        <w:trPr>
          <w:trHeight w:val="192"/>
        </w:trPr>
        <w:tc>
          <w:tcPr>
            <w:tcW w:w="2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Exercises, conversions and</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2140" w:type="dxa"/>
            <w:vAlign w:val="bottom"/>
            <w:gridSpan w:val="2"/>
            <w:shd w:val="clear" w:color="auto" w:fill="CCEEFF"/>
          </w:tcPr>
          <w:p>
            <w:pPr>
              <w:ind w:left="180"/>
              <w:spacing w:after="0" w:line="254" w:lineRule="exact"/>
              <w:rPr>
                <w:sz w:val="20"/>
                <w:szCs w:val="20"/>
                <w:color w:val="auto"/>
              </w:rPr>
            </w:pPr>
            <w:r>
              <w:rPr>
                <w:rFonts w:ascii="Arial" w:cs="Arial" w:eastAsia="Arial" w:hAnsi="Arial"/>
                <w:sz w:val="16"/>
                <w:szCs w:val="16"/>
                <w:color w:val="auto"/>
              </w:rPr>
              <w:t>assignments</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295,801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(295,801)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160" w:type="dxa"/>
            <w:vAlign w:val="bottom"/>
            <w:gridSpan w:val="3"/>
          </w:tcPr>
          <w:p>
            <w:pPr>
              <w:ind w:left="20"/>
              <w:spacing w:after="0"/>
              <w:rPr>
                <w:sz w:val="20"/>
                <w:szCs w:val="20"/>
                <w:color w:val="auto"/>
              </w:rPr>
            </w:pPr>
            <w:r>
              <w:rPr>
                <w:rFonts w:ascii="Arial" w:cs="Arial" w:eastAsia="Arial" w:hAnsi="Arial"/>
                <w:sz w:val="16"/>
                <w:szCs w:val="16"/>
                <w:color w:val="auto"/>
              </w:rPr>
              <w:t>Amortization of fixed income</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gridSpan w:val="2"/>
          </w:tcPr>
          <w:p>
            <w:pPr>
              <w:ind w:left="180"/>
              <w:spacing w:after="0"/>
              <w:rPr>
                <w:sz w:val="20"/>
                <w:szCs w:val="20"/>
                <w:color w:val="auto"/>
              </w:rPr>
            </w:pPr>
            <w:r>
              <w:rPr>
                <w:rFonts w:ascii="Arial" w:cs="Arial" w:eastAsia="Arial" w:hAnsi="Arial"/>
                <w:sz w:val="16"/>
                <w:szCs w:val="16"/>
                <w:color w:val="auto"/>
              </w:rPr>
              <w:t>security premiums and</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Arial" w:cs="Arial" w:eastAsia="Arial" w:hAnsi="Arial"/>
                <w:sz w:val="16"/>
                <w:szCs w:val="16"/>
                <w:color w:val="auto"/>
              </w:rPr>
              <w:t>discounts</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36,117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36,117</w:t>
            </w:r>
          </w:p>
        </w:tc>
        <w:tc>
          <w:tcPr>
            <w:tcW w:w="0" w:type="dxa"/>
            <w:vAlign w:val="bottom"/>
          </w:tcPr>
          <w:p>
            <w:pPr>
              <w:spacing w:after="0"/>
              <w:rPr>
                <w:sz w:val="1"/>
                <w:szCs w:val="1"/>
                <w:color w:val="auto"/>
              </w:rPr>
            </w:pPr>
          </w:p>
        </w:tc>
      </w:tr>
      <w:tr>
        <w:trPr>
          <w:trHeight w:val="196"/>
        </w:trPr>
        <w:tc>
          <w:tcPr>
            <w:tcW w:w="2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change in unrealized</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appreciation/(depreciation)</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included in earnings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13,710,261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22,232,398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148,118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(408,468)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35,682,309</w:t>
            </w:r>
          </w:p>
        </w:tc>
        <w:tc>
          <w:tcPr>
            <w:tcW w:w="0" w:type="dxa"/>
            <w:vAlign w:val="bottom"/>
          </w:tcPr>
          <w:p>
            <w:pPr>
              <w:spacing w:after="0"/>
              <w:rPr>
                <w:sz w:val="1"/>
                <w:szCs w:val="1"/>
                <w:color w:val="auto"/>
              </w:rPr>
            </w:pPr>
          </w:p>
        </w:tc>
      </w:tr>
      <w:tr>
        <w:trPr>
          <w:trHeight w:val="189"/>
        </w:trPr>
        <w:tc>
          <w:tcPr>
            <w:tcW w:w="216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color w:val="auto"/>
                <w:w w:val="95"/>
              </w:rPr>
              <w:t>Fair Value as of September 30,</w:t>
            </w: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00" w:type="dxa"/>
            <w:vAlign w:val="bottom"/>
            <w:gridSpan w:val="2"/>
          </w:tcPr>
          <w:p>
            <w:pPr>
              <w:ind w:left="200"/>
              <w:spacing w:after="0"/>
              <w:rPr>
                <w:sz w:val="20"/>
                <w:szCs w:val="20"/>
                <w:color w:val="auto"/>
              </w:rPr>
            </w:pPr>
            <w:r>
              <w:rPr>
                <w:rFonts w:ascii="Arial" w:cs="Arial" w:eastAsia="Arial" w:hAnsi="Arial"/>
                <w:sz w:val="16"/>
                <w:szCs w:val="16"/>
                <w:color w:val="auto"/>
              </w:rPr>
              <w:t>2015</w:t>
            </w:r>
          </w:p>
        </w:tc>
        <w:tc>
          <w:tcPr>
            <w:tcW w:w="1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95,134,155</w:t>
            </w: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221,618,041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2,207,561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495,877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319,455,634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change in unrealized</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appreciation/(depreciation)</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of Level 3 investments still</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held as of September 30,</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2015</w:t>
            </w: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10,869,673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15,198,644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142,426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(408,468)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25,802,275</w:t>
            </w:r>
          </w:p>
        </w:tc>
        <w:tc>
          <w:tcPr>
            <w:tcW w:w="0" w:type="dxa"/>
            <w:vAlign w:val="bottom"/>
          </w:tcPr>
          <w:p>
            <w:pPr>
              <w:spacing w:after="0"/>
              <w:rPr>
                <w:sz w:val="1"/>
                <w:szCs w:val="1"/>
                <w:color w:val="auto"/>
              </w:rPr>
            </w:pPr>
          </w:p>
        </w:tc>
      </w:tr>
      <w:tr>
        <w:trPr>
          <w:trHeight w:val="196"/>
        </w:trPr>
        <w:tc>
          <w:tcPr>
            <w:tcW w:w="216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Liabilities:</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Fair Value of December 31,</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2014</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9"/>
        </w:trPr>
        <w:tc>
          <w:tcPr>
            <w:tcW w:w="216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color w:val="auto"/>
              </w:rPr>
              <w:t>Gain on fair value adjustment</w:t>
            </w: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Arial" w:cs="Arial" w:eastAsia="Arial" w:hAnsi="Arial"/>
                <w:sz w:val="16"/>
                <w:szCs w:val="16"/>
                <w:color w:val="auto"/>
              </w:rPr>
              <w:t>for embedded derivative</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5"/>
              </w:rPr>
              <w:t>Fair Value as of September 30,</w:t>
            </w: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2015</w:t>
            </w: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-2117725</wp:posOffset>
            </wp:positionV>
            <wp:extent cx="5213985" cy="3003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3985" cy="3003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-1174115</wp:posOffset>
            </wp:positionV>
            <wp:extent cx="5213985"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-753745</wp:posOffset>
            </wp:positionV>
            <wp:extent cx="5213985" cy="274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779" w:hanging="272"/>
        <w:spacing w:after="0" w:line="277"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nine months ended September 30, 2015,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250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6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Transfer to</w:t>
            </w:r>
          </w:p>
        </w:tc>
      </w:tr>
      <w:tr>
        <w:trPr>
          <w:trHeight w:val="186"/>
        </w:trPr>
        <w:tc>
          <w:tcPr>
            <w:tcW w:w="3000" w:type="dxa"/>
            <w:vAlign w:val="bottom"/>
          </w:tcPr>
          <w:p>
            <w:pPr>
              <w:ind w:left="20"/>
              <w:spacing w:after="0"/>
              <w:rPr>
                <w:sz w:val="20"/>
                <w:szCs w:val="20"/>
                <w:color w:val="auto"/>
              </w:rPr>
            </w:pPr>
            <w:r>
              <w:rPr>
                <w:rFonts w:ascii="Arial" w:cs="Arial" w:eastAsia="Arial" w:hAnsi="Arial"/>
                <w:sz w:val="16"/>
                <w:szCs w:val="16"/>
                <w:color w:val="auto"/>
              </w:rPr>
              <w:t>Circle Media (f/k/a S3 Digital Corp.</w:t>
            </w:r>
          </w:p>
        </w:tc>
        <w:tc>
          <w:tcPr>
            <w:tcW w:w="16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1"/>
              </w:rPr>
              <w:t>Term Loan, 12%, 9/30/15</w:t>
            </w:r>
          </w:p>
        </w:tc>
        <w:tc>
          <w:tcPr>
            <w:tcW w:w="16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89"/>
              </w:rPr>
              <w:t>Preferred shares, Series A</w:t>
            </w:r>
          </w:p>
        </w:tc>
      </w:tr>
      <w:tr>
        <w:trPr>
          <w:trHeight w:val="206"/>
        </w:trPr>
        <w:tc>
          <w:tcPr>
            <w:tcW w:w="3000" w:type="dxa"/>
            <w:vAlign w:val="bottom"/>
          </w:tcPr>
          <w:p>
            <w:pPr>
              <w:ind w:left="200"/>
              <w:spacing w:after="0"/>
              <w:rPr>
                <w:sz w:val="20"/>
                <w:szCs w:val="20"/>
                <w:color w:val="auto"/>
              </w:rPr>
            </w:pPr>
            <w:r>
              <w:rPr>
                <w:rFonts w:ascii="Arial" w:cs="Arial" w:eastAsia="Arial" w:hAnsi="Arial"/>
                <w:sz w:val="16"/>
                <w:szCs w:val="16"/>
                <w:color w:val="auto"/>
              </w:rPr>
              <w:t>(d/b/a S3i))</w:t>
            </w:r>
          </w:p>
        </w:tc>
        <w:tc>
          <w:tcPr>
            <w:tcW w:w="1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r>
    </w:tbl>
    <w:p>
      <w:pPr>
        <w:spacing w:after="0" w:line="100" w:lineRule="exact"/>
        <w:rPr>
          <w:sz w:val="20"/>
          <w:szCs w:val="20"/>
          <w:color w:val="auto"/>
        </w:rPr>
      </w:pPr>
    </w:p>
    <w:p>
      <w:pPr>
        <w:ind w:left="60" w:right="759" w:firstLine="270"/>
        <w:spacing w:after="0" w:line="264" w:lineRule="auto"/>
        <w:rPr>
          <w:sz w:val="20"/>
          <w:szCs w:val="20"/>
          <w:color w:val="auto"/>
        </w:rPr>
      </w:pPr>
      <w:r>
        <w:rPr>
          <w:rFonts w:ascii="Arial" w:cs="Arial" w:eastAsia="Arial" w:hAnsi="Arial"/>
          <w:sz w:val="18"/>
          <w:szCs w:val="18"/>
          <w:color w:val="auto"/>
        </w:rPr>
        <w:t>The portfolio companies in which the Company invests may offer their shares in IPOs, which are typically subject to lock-up agreements for 180 days following the IPO. Refer to “Note 1 — Nature of Operations and Significant Accounting Policies — Summary of Significant Accounting Policies — Levelling Policy” for further detail.</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8" w:name="page39"/>
    <w:bookmarkEnd w:id="3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ind w:left="60" w:right="839" w:firstLine="270"/>
        <w:spacing w:after="0" w:line="277" w:lineRule="auto"/>
        <w:rPr>
          <w:sz w:val="20"/>
          <w:szCs w:val="20"/>
          <w:color w:val="auto"/>
        </w:rPr>
      </w:pPr>
      <w:r>
        <w:rPr>
          <w:rFonts w:ascii="Arial" w:cs="Arial" w:eastAsia="Arial" w:hAnsi="Arial"/>
          <w:sz w:val="18"/>
          <w:szCs w:val="18"/>
          <w:color w:val="auto"/>
        </w:rPr>
        <w:t>No new shares of the Company’s common stock were issued during each of the nine months ended September 30, 2016 and 2015.</w:t>
      </w:r>
    </w:p>
    <w:p>
      <w:pPr>
        <w:spacing w:after="0" w:line="99" w:lineRule="exact"/>
        <w:rPr>
          <w:sz w:val="20"/>
          <w:szCs w:val="20"/>
          <w:color w:val="auto"/>
        </w:rPr>
      </w:pPr>
    </w:p>
    <w:p>
      <w:pPr>
        <w:ind w:left="60" w:right="1019"/>
        <w:spacing w:after="0" w:line="282" w:lineRule="auto"/>
        <w:rPr>
          <w:sz w:val="20"/>
          <w:szCs w:val="20"/>
          <w:color w:val="auto"/>
        </w:rPr>
      </w:pPr>
      <w:r>
        <w:rPr>
          <w:rFonts w:ascii="Arial" w:cs="Arial" w:eastAsia="Arial" w:hAnsi="Arial"/>
          <w:sz w:val="18"/>
          <w:szCs w:val="18"/>
          <w:b w:val="1"/>
          <w:bCs w:val="1"/>
          <w:color w:val="auto"/>
        </w:rPr>
        <w:t>NOTE 5 — NET INCREASE/(DECREASE) IN NET ASSETS RESULTING FROM OPERATIONS PER COMMON SHARE — BASIC AND DILUTED</w:t>
      </w:r>
    </w:p>
    <w:p>
      <w:pPr>
        <w:spacing w:after="0" w:line="58" w:lineRule="exact"/>
        <w:rPr>
          <w:sz w:val="20"/>
          <w:szCs w:val="20"/>
          <w:color w:val="auto"/>
        </w:rPr>
      </w:pPr>
    </w:p>
    <w:p>
      <w:pPr>
        <w:ind w:left="60" w:right="539" w:firstLine="270"/>
        <w:spacing w:after="0" w:line="270" w:lineRule="auto"/>
        <w:rPr>
          <w:sz w:val="20"/>
          <w:szCs w:val="20"/>
          <w:color w:val="auto"/>
        </w:rPr>
      </w:pPr>
      <w:r>
        <w:rPr>
          <w:rFonts w:ascii="Arial" w:cs="Arial" w:eastAsia="Arial" w:hAnsi="Arial"/>
          <w:sz w:val="17"/>
          <w:szCs w:val="17"/>
          <w:color w:val="auto"/>
        </w:rPr>
        <w:t>The following information sets forth the computation of basic and diluted net increase/(decrease) in net assets resulting from operations per common share for the three and nine months ended September 30, 2016 and 2015. The use of the if-converted method as promulgated under ASC 260 considers all potentially dilutive securities in a company’s capital structure when calculating diluted earnings per share, regardless of whether it would be economically beneficial for a holder of such potentially dilutive security to exercise its conversion option (such as out of the money warrants.) In scenarios where diluted net increase in net assets resulting from operations per share is higher than basic net increase in net assets resulting from operations per share, ASC 260 prohibits the separate presentation of the diluted net increase in net assets resulting from operations per share figure. In scenarios where diluted net decrease in net assets resulting from operations per share is lower than basic net decrease in net assets resulting from operations per share, ASC 260 prohibits the separate presentation of the net decrease in net assets resulting from operations per share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2139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35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Earnings/(loss) per common share – basic:</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5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6"/>
              </w:rPr>
              <w:t>Net increase/(decrease) in net assets resulting from</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(2,273,339)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8,852,691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(43,503,968)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26,598,814</w:t>
            </w:r>
          </w:p>
        </w:tc>
        <w:tc>
          <w:tcPr>
            <w:tcW w:w="0" w:type="dxa"/>
            <w:vAlign w:val="bottom"/>
          </w:tcPr>
          <w:p>
            <w:pPr>
              <w:spacing w:after="0"/>
              <w:rPr>
                <w:sz w:val="1"/>
                <w:szCs w:val="1"/>
                <w:color w:val="auto"/>
              </w:rPr>
            </w:pPr>
          </w:p>
        </w:tc>
      </w:tr>
      <w:tr>
        <w:trPr>
          <w:trHeight w:val="203"/>
        </w:trPr>
        <w:tc>
          <w:tcPr>
            <w:tcW w:w="3580" w:type="dxa"/>
            <w:vAlign w:val="bottom"/>
            <w:gridSpan w:val="3"/>
          </w:tcPr>
          <w:p>
            <w:pPr>
              <w:ind w:left="20"/>
              <w:spacing w:after="0"/>
              <w:rPr>
                <w:sz w:val="20"/>
                <w:szCs w:val="20"/>
                <w:color w:val="auto"/>
              </w:rPr>
            </w:pPr>
            <w:r>
              <w:rPr>
                <w:rFonts w:ascii="Arial" w:cs="Arial" w:eastAsia="Arial" w:hAnsi="Arial"/>
                <w:sz w:val="16"/>
                <w:szCs w:val="16"/>
                <w:color w:val="auto"/>
              </w:rPr>
              <w:t>Weighted-average common shares – basic</w:t>
            </w: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22,181,003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19,320,100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22,181,003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19,320,100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Earnings/(loss) per common share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Earnings/(loss) per common share – diluted:</w:t>
            </w: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6"/>
              </w:rPr>
              <w:t>Net increase/(decrease) in net assets resulting from</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operations, before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(2,273,339)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8,852,691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(43,503,968)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26,598,814</w:t>
            </w:r>
          </w:p>
        </w:tc>
        <w:tc>
          <w:tcPr>
            <w:tcW w:w="0" w:type="dxa"/>
            <w:vAlign w:val="bottom"/>
          </w:tcPr>
          <w:p>
            <w:pPr>
              <w:spacing w:after="0"/>
              <w:rPr>
                <w:sz w:val="1"/>
                <w:szCs w:val="1"/>
                <w:color w:val="auto"/>
              </w:rPr>
            </w:pPr>
          </w:p>
        </w:tc>
      </w:tr>
      <w:tr>
        <w:trPr>
          <w:trHeight w:val="193"/>
        </w:trPr>
        <w:tc>
          <w:tcPr>
            <w:tcW w:w="3580" w:type="dxa"/>
            <w:vAlign w:val="bottom"/>
            <w:gridSpan w:val="3"/>
          </w:tcPr>
          <w:p>
            <w:pPr>
              <w:ind w:left="20"/>
              <w:spacing w:after="0"/>
              <w:rPr>
                <w:sz w:val="20"/>
                <w:szCs w:val="20"/>
                <w:color w:val="auto"/>
              </w:rPr>
            </w:pPr>
            <w:r>
              <w:rPr>
                <w:rFonts w:ascii="Arial" w:cs="Arial" w:eastAsia="Arial" w:hAnsi="Arial"/>
                <w:sz w:val="16"/>
                <w:szCs w:val="16"/>
                <w:color w:val="auto"/>
                <w:w w:val="94"/>
              </w:rPr>
              <w:t>Adjustments for interest on Convertible Senior Notes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and deferred debt issuance costs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1,121,043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3,284,307</w:t>
            </w:r>
          </w:p>
        </w:tc>
        <w:tc>
          <w:tcPr>
            <w:tcW w:w="0" w:type="dxa"/>
            <w:vAlign w:val="bottom"/>
          </w:tcPr>
          <w:p>
            <w:pPr>
              <w:spacing w:after="0"/>
              <w:rPr>
                <w:sz w:val="1"/>
                <w:szCs w:val="1"/>
                <w:color w:val="auto"/>
              </w:rPr>
            </w:pPr>
          </w:p>
        </w:tc>
      </w:tr>
      <w:tr>
        <w:trPr>
          <w:trHeight w:val="196"/>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6"/>
              </w:rPr>
              <w:t>Net increase/(decrease) in net assets resulting from</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operations, as adjusted</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(2,273,339)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9,973,734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(43,503,968)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29,883,121</w:t>
            </w:r>
          </w:p>
        </w:tc>
        <w:tc>
          <w:tcPr>
            <w:tcW w:w="0" w:type="dxa"/>
            <w:vAlign w:val="bottom"/>
          </w:tcPr>
          <w:p>
            <w:pPr>
              <w:spacing w:after="0"/>
              <w:rPr>
                <w:sz w:val="1"/>
                <w:szCs w:val="1"/>
                <w:color w:val="auto"/>
              </w:rPr>
            </w:pPr>
          </w:p>
        </w:tc>
      </w:tr>
      <w:tr>
        <w:trPr>
          <w:trHeight w:val="193"/>
        </w:trPr>
        <w:tc>
          <w:tcPr>
            <w:tcW w:w="3580" w:type="dxa"/>
            <w:vAlign w:val="bottom"/>
            <w:gridSpan w:val="3"/>
          </w:tcPr>
          <w:p>
            <w:pPr>
              <w:ind w:left="20"/>
              <w:spacing w:after="0"/>
              <w:rPr>
                <w:sz w:val="20"/>
                <w:szCs w:val="20"/>
                <w:color w:val="auto"/>
              </w:rPr>
            </w:pPr>
            <w:r>
              <w:rPr>
                <w:rFonts w:ascii="Arial" w:cs="Arial" w:eastAsia="Arial" w:hAnsi="Arial"/>
                <w:sz w:val="16"/>
                <w:szCs w:val="16"/>
                <w:color w:val="auto"/>
              </w:rPr>
              <w:t>Weighted-average common shares outstanding –</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22,181,003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19,320,100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22,181,003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19,320,100</w:t>
            </w:r>
          </w:p>
        </w:tc>
        <w:tc>
          <w:tcPr>
            <w:tcW w:w="0" w:type="dxa"/>
            <w:vAlign w:val="bottom"/>
          </w:tcPr>
          <w:p>
            <w:pPr>
              <w:spacing w:after="0"/>
              <w:rPr>
                <w:sz w:val="1"/>
                <w:szCs w:val="1"/>
                <w:color w:val="auto"/>
              </w:rPr>
            </w:pPr>
          </w:p>
        </w:tc>
      </w:tr>
      <w:tr>
        <w:trPr>
          <w:trHeight w:val="195"/>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7"/>
              </w:rPr>
              <w:t>Adjustments for dilutive effect of Convertible Senior</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3560" w:type="dxa"/>
            <w:vAlign w:val="bottom"/>
            <w:gridSpan w:val="2"/>
            <w:shd w:val="clear" w:color="auto" w:fill="CCEEFF"/>
          </w:tcPr>
          <w:p>
            <w:pPr>
              <w:ind w:left="180"/>
              <w:spacing w:after="0" w:line="254" w:lineRule="exact"/>
              <w:rPr>
                <w:sz w:val="20"/>
                <w:szCs w:val="20"/>
                <w:color w:val="auto"/>
              </w:rPr>
            </w:pPr>
            <w:r>
              <w:rPr>
                <w:rFonts w:ascii="Arial" w:cs="Arial" w:eastAsia="Arial" w:hAnsi="Arial"/>
                <w:sz w:val="16"/>
                <w:szCs w:val="16"/>
                <w:color w:val="auto"/>
              </w:rPr>
              <w:t xml:space="preserve">Notes </w:t>
            </w:r>
            <w:r>
              <w:rPr>
                <w:rFonts w:ascii="Arial" w:cs="Arial" w:eastAsia="Arial" w:hAnsi="Arial"/>
                <w:sz w:val="27"/>
                <w:szCs w:val="27"/>
                <w:color w:val="auto"/>
                <w:vertAlign w:val="superscript"/>
              </w:rPr>
              <w:t>(1)</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4,244,128</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4,244,128</w:t>
            </w:r>
          </w:p>
        </w:tc>
        <w:tc>
          <w:tcPr>
            <w:tcW w:w="0" w:type="dxa"/>
            <w:vAlign w:val="bottom"/>
          </w:tcPr>
          <w:p>
            <w:pPr>
              <w:spacing w:after="0"/>
              <w:rPr>
                <w:sz w:val="1"/>
                <w:szCs w:val="1"/>
                <w:color w:val="auto"/>
              </w:rPr>
            </w:pPr>
          </w:p>
        </w:tc>
      </w:tr>
      <w:tr>
        <w:trPr>
          <w:trHeight w:val="193"/>
        </w:trPr>
        <w:tc>
          <w:tcPr>
            <w:tcW w:w="3580" w:type="dxa"/>
            <w:vAlign w:val="bottom"/>
            <w:gridSpan w:val="3"/>
          </w:tcPr>
          <w:p>
            <w:pPr>
              <w:ind w:left="20"/>
              <w:spacing w:after="0"/>
              <w:rPr>
                <w:sz w:val="20"/>
                <w:szCs w:val="20"/>
                <w:color w:val="auto"/>
              </w:rPr>
            </w:pPr>
            <w:r>
              <w:rPr>
                <w:rFonts w:ascii="Arial" w:cs="Arial" w:eastAsia="Arial" w:hAnsi="Arial"/>
                <w:sz w:val="16"/>
                <w:szCs w:val="16"/>
                <w:color w:val="auto"/>
              </w:rPr>
              <w:t>Weighted-average common shares outstanding –</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22,181,003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23,564,228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22,181,003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23,564,228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Earnings/(loss) per common share –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258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-2057400</wp:posOffset>
            </wp:positionV>
            <wp:extent cx="5213985"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64"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2016, 5,710,212 potentially dilutive common shares were excluded from the weighted-average common shares outstanding for diluted net increase in net assets resulting from operations per common share because the effect of these shares would have been anti-dilutive.</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9" w:name="page40"/>
    <w:bookmarkEnd w:id="39"/>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ind w:left="180" w:right="599" w:firstLine="270"/>
        <w:spacing w:after="0" w:line="259"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At each of September 30, 2016 and December 31, 2015, the Company had not entered into any investment agreements that required it to make a future investment in a portfolio company.</w:t>
      </w:r>
    </w:p>
    <w:p>
      <w:pPr>
        <w:spacing w:after="0" w:line="79" w:lineRule="exact"/>
        <w:rPr>
          <w:sz w:val="20"/>
          <w:szCs w:val="20"/>
          <w:color w:val="auto"/>
        </w:rPr>
      </w:pPr>
    </w:p>
    <w:p>
      <w:pPr>
        <w:ind w:left="180" w:right="619" w:firstLine="270"/>
        <w:spacing w:after="0" w:line="276" w:lineRule="auto"/>
        <w:rPr>
          <w:sz w:val="20"/>
          <w:szCs w:val="20"/>
          <w:color w:val="auto"/>
        </w:rPr>
      </w:pPr>
      <w:r>
        <w:rPr>
          <w:rFonts w:ascii="Arial" w:cs="Arial" w:eastAsia="Arial" w:hAnsi="Arial"/>
          <w:sz w:val="17"/>
          <w:szCs w:val="17"/>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1968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Three months ended</w:t>
            </w:r>
          </w:p>
        </w:tc>
        <w:tc>
          <w:tcPr>
            <w:tcW w:w="120" w:type="dxa"/>
            <w:vAlign w:val="bottom"/>
          </w:tcPr>
          <w:p>
            <w:pPr>
              <w:spacing w:after="0"/>
              <w:rPr>
                <w:sz w:val="14"/>
                <w:szCs w:val="14"/>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Three months ended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1"/>
              </w:rPr>
              <w:t>September 30, 2016</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3"/>
              </w:rPr>
              <w:t>September 30, 2015</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Net asset value at beginning of period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10.22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15.72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loss</w:t>
            </w: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rPr>
              <w:t>(1.70)</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Realized gain</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0.12</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1.40</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from taxes on net realized capital gains</w:t>
            </w: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line="256" w:lineRule="exact"/>
              <w:rPr>
                <w:sz w:val="20"/>
                <w:szCs w:val="20"/>
                <w:color w:val="auto"/>
              </w:rPr>
            </w:pPr>
            <w:r>
              <w:rPr>
                <w:rFonts w:ascii="Arial" w:cs="Arial" w:eastAsia="Arial" w:hAnsi="Arial"/>
                <w:sz w:val="18"/>
                <w:szCs w:val="18"/>
                <w:color w:val="auto"/>
              </w:rPr>
              <w:t>0.59</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Net change in unrealized depreciation</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(0.06)</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(1.14)</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Benefit from taxes on unrealized depreciation of investments</w:t>
            </w: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line="256" w:lineRule="exact"/>
              <w:rPr>
                <w:sz w:val="20"/>
                <w:szCs w:val="20"/>
                <w:color w:val="auto"/>
              </w:rPr>
            </w:pPr>
            <w:r>
              <w:rPr>
                <w:rFonts w:ascii="Arial" w:cs="Arial" w:eastAsia="Arial" w:hAnsi="Arial"/>
                <w:sz w:val="18"/>
                <w:szCs w:val="18"/>
                <w:color w:val="auto"/>
              </w:rPr>
              <w:t>0.02</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line="256" w:lineRule="exact"/>
              <w:rPr>
                <w:sz w:val="20"/>
                <w:szCs w:val="20"/>
                <w:color w:val="auto"/>
              </w:rPr>
            </w:pPr>
            <w:r>
              <w:rPr>
                <w:rFonts w:ascii="Arial" w:cs="Arial" w:eastAsia="Arial" w:hAnsi="Arial"/>
                <w:sz w:val="18"/>
                <w:szCs w:val="18"/>
                <w:color w:val="auto"/>
              </w:rPr>
              <w:t>1.30</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Dividends from realized gain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40" w:type="dxa"/>
            <w:vAlign w:val="bottom"/>
            <w:tcBorders>
              <w:right w:val="single" w:sz="8" w:color="CCEEFF"/>
            </w:tcBorders>
          </w:tcPr>
          <w:p>
            <w:pPr>
              <w:spacing w:after="0"/>
              <w:rPr>
                <w:sz w:val="20"/>
                <w:szCs w:val="20"/>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16.17</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Per share market value at end of period</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7.85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return based on market value</w:t>
            </w: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(5.23)%</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(23.86)%</w:t>
            </w:r>
            <w:r>
              <w:rPr>
                <w:rFonts w:ascii="Arial" w:cs="Arial" w:eastAsia="Arial" w:hAnsi="Arial"/>
                <w:sz w:val="29"/>
                <w:szCs w:val="29"/>
                <w:color w:val="auto"/>
                <w:vertAlign w:val="superscript"/>
              </w:rPr>
              <w:t>(2)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Total return based on net asset value</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40"/>
              <w:spacing w:after="0" w:line="256" w:lineRule="exact"/>
              <w:rPr>
                <w:sz w:val="20"/>
                <w:szCs w:val="20"/>
                <w:color w:val="auto"/>
              </w:rPr>
            </w:pPr>
            <w:r>
              <w:rPr>
                <w:rFonts w:ascii="Arial" w:cs="Arial" w:eastAsia="Arial" w:hAnsi="Arial"/>
                <w:sz w:val="18"/>
                <w:szCs w:val="18"/>
                <w:color w:val="auto"/>
              </w:rPr>
              <w:t>(0.59)%</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2.86%</w:t>
            </w:r>
            <w:r>
              <w:rPr>
                <w:rFonts w:ascii="Arial" w:cs="Arial" w:eastAsia="Arial" w:hAnsi="Arial"/>
                <w:sz w:val="29"/>
                <w:szCs w:val="29"/>
                <w:color w:val="auto"/>
                <w:vertAlign w:val="superscript"/>
              </w:rPr>
              <w:t>(2)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22,181,003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19,320,100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Ratio/Supplemental Data:</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223,619,737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312,502,487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Average net assets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226,900,410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303,720,148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44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Annualized ratios</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40" w:type="dxa"/>
            <w:vAlign w:val="bottom"/>
          </w:tcPr>
          <w:p>
            <w:pPr>
              <w:spacing w:after="0"/>
              <w:rPr>
                <w:sz w:val="22"/>
                <w:szCs w:val="22"/>
                <w:color w:val="auto"/>
              </w:rPr>
            </w:pPr>
          </w:p>
        </w:tc>
        <w:tc>
          <w:tcPr>
            <w:tcW w:w="4480" w:type="dxa"/>
            <w:vAlign w:val="bottom"/>
            <w:gridSpan w:val="2"/>
          </w:tcPr>
          <w:p>
            <w:pPr>
              <w:spacing w:after="0" w:line="256" w:lineRule="exact"/>
              <w:rPr>
                <w:sz w:val="20"/>
                <w:szCs w:val="20"/>
                <w:color w:val="auto"/>
              </w:rPr>
            </w:pPr>
            <w:r>
              <w:rPr>
                <w:rFonts w:ascii="Arial" w:cs="Arial" w:eastAsia="Arial" w:hAnsi="Arial"/>
                <w:sz w:val="18"/>
                <w:szCs w:val="18"/>
                <w:color w:val="auto"/>
                <w:w w:val="94"/>
              </w:rPr>
              <w:t>Ratio of gross operating expenses to average net assets</w:t>
            </w:r>
            <w:r>
              <w:rPr>
                <w:rFonts w:ascii="Arial" w:cs="Arial" w:eastAsia="Arial" w:hAnsi="Arial"/>
                <w:sz w:val="29"/>
                <w:szCs w:val="29"/>
                <w:color w:val="auto"/>
                <w:w w:val="94"/>
                <w:vertAlign w:val="superscript"/>
              </w:rPr>
              <w:t>(3)</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8.24%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4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4"/>
              </w:rPr>
              <w:t>Ratio of net income tax provisions to average net assets</w:t>
            </w:r>
            <w:r>
              <w:rPr>
                <w:rFonts w:ascii="Arial" w:cs="Arial" w:eastAsia="Arial" w:hAnsi="Arial"/>
                <w:sz w:val="29"/>
                <w:szCs w:val="29"/>
                <w:color w:val="auto"/>
                <w:w w:val="94"/>
                <w:vertAlign w:val="superscript"/>
              </w:rPr>
              <w:t>(3)</w:t>
            </w: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12.87%</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480" w:type="dxa"/>
            <w:vAlign w:val="bottom"/>
            <w:gridSpan w:val="2"/>
          </w:tcPr>
          <w:p>
            <w:pPr>
              <w:spacing w:after="0" w:line="250" w:lineRule="exact"/>
              <w:rPr>
                <w:sz w:val="20"/>
                <w:szCs w:val="20"/>
                <w:color w:val="auto"/>
              </w:rPr>
            </w:pPr>
            <w:r>
              <w:rPr>
                <w:rFonts w:ascii="Arial" w:cs="Arial" w:eastAsia="Arial" w:hAnsi="Arial"/>
                <w:sz w:val="17"/>
                <w:szCs w:val="17"/>
                <w:color w:val="auto"/>
              </w:rPr>
              <w:t>Ratio of net operating expenses to average net assets</w:t>
            </w:r>
            <w:r>
              <w:rPr>
                <w:rFonts w:ascii="Arial" w:cs="Arial" w:eastAsia="Arial" w:hAnsi="Arial"/>
                <w:sz w:val="28"/>
                <w:szCs w:val="28"/>
                <w:color w:val="auto"/>
                <w:vertAlign w:val="superscript"/>
              </w:rPr>
              <w:t>(3)</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21.11%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140" w:type="dxa"/>
            <w:vAlign w:val="bottom"/>
            <w:tcBorders>
              <w:right w:val="single" w:sz="8" w:color="CCEEFF"/>
            </w:tcBorders>
          </w:tcPr>
          <w:p>
            <w:pPr>
              <w:spacing w:after="0"/>
              <w:rPr>
                <w:sz w:val="23"/>
                <w:szCs w:val="23"/>
                <w:color w:val="auto"/>
              </w:rPr>
            </w:pPr>
          </w:p>
        </w:tc>
        <w:tc>
          <w:tcPr>
            <w:tcW w:w="448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Ratio of net investment loss to average net assets</w:t>
            </w:r>
            <w:r>
              <w:rPr>
                <w:rFonts w:ascii="Arial" w:cs="Arial" w:eastAsia="Arial" w:hAnsi="Arial"/>
                <w:sz w:val="28"/>
                <w:szCs w:val="28"/>
                <w:color w:val="auto"/>
                <w:vertAlign w:val="superscript"/>
              </w:rPr>
              <w:t>(3)</w:t>
            </w: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Portfolio Turnover Ratio</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vMerge w:val="restart"/>
          </w:tcPr>
          <w:p>
            <w:pPr>
              <w:jc w:val="right"/>
              <w:ind w:right="370"/>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31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31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-2709545</wp:posOffset>
            </wp:positionV>
            <wp:extent cx="5213985"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-1200150</wp:posOffset>
            </wp:positionV>
            <wp:extent cx="521398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-831215</wp:posOffset>
            </wp:positionV>
            <wp:extent cx="5213985" cy="205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40" w:name="page41"/>
    <w:bookmarkEnd w:id="4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Nine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Nine months ended</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1"/>
              </w:rPr>
              <w:t>September 30, 2016</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3"/>
              </w:rPr>
              <w:t>September 30, 2015</w:t>
            </w:r>
          </w:p>
        </w:tc>
      </w:tr>
      <w:tr>
        <w:trPr>
          <w:trHeight w:val="210"/>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57"/>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Net asset value at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12.08</w:t>
            </w:r>
            <w:r>
              <w:rPr>
                <w:rFonts w:ascii="Arial" w:cs="Arial" w:eastAsia="Arial" w:hAnsi="Arial"/>
                <w:sz w:val="29"/>
                <w:szCs w:val="29"/>
                <w:color w:val="auto"/>
                <w:vertAlign w:val="superscript"/>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14.80</w:t>
            </w:r>
            <w:r>
              <w:rPr>
                <w:rFonts w:ascii="Arial" w:cs="Arial" w:eastAsia="Arial" w:hAnsi="Arial"/>
                <w:sz w:val="29"/>
                <w:szCs w:val="29"/>
                <w:color w:val="auto"/>
                <w:vertAlign w:val="superscript"/>
              </w:rPr>
              <w:t>(1)</w:t>
            </w:r>
          </w:p>
        </w:tc>
      </w:tr>
      <w:tr>
        <w:trPr>
          <w:trHeight w:val="257"/>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rPr>
              <w:t>(0.23)</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rPr>
              <w:t>(2.28)</w:t>
            </w:r>
            <w:r>
              <w:rPr>
                <w:rFonts w:ascii="Arial" w:cs="Arial" w:eastAsia="Arial" w:hAnsi="Arial"/>
                <w:sz w:val="29"/>
                <w:szCs w:val="29"/>
                <w:color w:val="auto"/>
                <w:vertAlign w:val="superscript"/>
              </w:rPr>
              <w:t>(1)</w:t>
            </w:r>
          </w:p>
        </w:tc>
      </w:tr>
      <w:tr>
        <w:trPr>
          <w:trHeight w:val="257"/>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Realized gain/(loss)</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(0.10)</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2.80</w:t>
            </w:r>
            <w:r>
              <w:rPr>
                <w:rFonts w:ascii="Arial" w:cs="Arial" w:eastAsia="Arial" w:hAnsi="Arial"/>
                <w:sz w:val="29"/>
                <w:szCs w:val="29"/>
                <w:color w:val="auto"/>
                <w:vertAlign w:val="superscript"/>
              </w:rPr>
              <w:t>(1)</w:t>
            </w:r>
          </w:p>
        </w:tc>
      </w:tr>
      <w:tr>
        <w:trPr>
          <w:trHeight w:val="257"/>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Benefit from taxes on net realized capital gains</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line="256" w:lineRule="exact"/>
              <w:rPr>
                <w:sz w:val="20"/>
                <w:szCs w:val="20"/>
                <w:color w:val="auto"/>
              </w:rPr>
            </w:pPr>
            <w:r>
              <w:rPr>
                <w:rFonts w:ascii="Arial" w:cs="Arial" w:eastAsia="Arial" w:hAnsi="Arial"/>
                <w:sz w:val="18"/>
                <w:szCs w:val="18"/>
                <w:color w:val="auto"/>
              </w:rPr>
              <w:t>0.02</w:t>
            </w:r>
            <w:r>
              <w:rPr>
                <w:rFonts w:ascii="Arial" w:cs="Arial" w:eastAsia="Arial" w:hAnsi="Arial"/>
                <w:sz w:val="29"/>
                <w:szCs w:val="29"/>
                <w:color w:val="auto"/>
                <w:vertAlign w:val="superscript"/>
              </w:rPr>
              <w:t>(1)</w:t>
            </w:r>
          </w:p>
        </w:tc>
      </w:tr>
      <w:tr>
        <w:trPr>
          <w:trHeight w:val="257"/>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Net change in unrealized appreciation/(depreciation)</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(1.65)</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0.00</w:t>
            </w:r>
            <w:r>
              <w:rPr>
                <w:rFonts w:ascii="Arial" w:cs="Arial" w:eastAsia="Arial" w:hAnsi="Arial"/>
                <w:sz w:val="29"/>
                <w:szCs w:val="29"/>
                <w:color w:val="auto"/>
                <w:vertAlign w:val="superscript"/>
              </w:rPr>
              <w:t>(1)</w:t>
            </w:r>
          </w:p>
        </w:tc>
      </w:tr>
      <w:tr>
        <w:trPr>
          <w:trHeight w:val="202"/>
        </w:trPr>
        <w:tc>
          <w:tcPr>
            <w:tcW w:w="522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Benefit from taxes on unrealized appreciation/depreciation of</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0.83</w:t>
            </w:r>
          </w:p>
        </w:tc>
      </w:tr>
      <w:tr>
        <w:trPr>
          <w:trHeight w:val="216"/>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Dividends from realized gain</w:t>
            </w: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0"/>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asset value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7.85</w:t>
            </w:r>
          </w:p>
        </w:tc>
      </w:tr>
      <w:tr>
        <w:trPr>
          <w:trHeight w:val="257"/>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return based on market value</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(28.03)%</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(9.04)%</w:t>
            </w:r>
            <w:r>
              <w:rPr>
                <w:rFonts w:ascii="Arial" w:cs="Arial" w:eastAsia="Arial" w:hAnsi="Arial"/>
                <w:sz w:val="29"/>
                <w:szCs w:val="29"/>
                <w:color w:val="auto"/>
                <w:vertAlign w:val="superscript"/>
              </w:rPr>
              <w:t>(2)</w:t>
            </w:r>
          </w:p>
        </w:tc>
      </w:tr>
      <w:tr>
        <w:trPr>
          <w:trHeight w:val="257"/>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Total return based on net asset value</w:t>
            </w:r>
          </w:p>
        </w:tc>
        <w:tc>
          <w:tcPr>
            <w:tcW w:w="100" w:type="dxa"/>
            <w:vAlign w:val="bottom"/>
          </w:tcPr>
          <w:p>
            <w:pPr>
              <w:spacing w:after="0"/>
              <w:rPr>
                <w:sz w:val="22"/>
                <w:szCs w:val="22"/>
                <w:color w:val="auto"/>
              </w:rPr>
            </w:pPr>
          </w:p>
        </w:tc>
        <w:tc>
          <w:tcPr>
            <w:tcW w:w="1340" w:type="dxa"/>
            <w:vAlign w:val="bottom"/>
            <w:gridSpan w:val="2"/>
          </w:tcPr>
          <w:p>
            <w:pPr>
              <w:jc w:val="right"/>
              <w:ind w:right="40"/>
              <w:spacing w:after="0" w:line="256" w:lineRule="exact"/>
              <w:rPr>
                <w:sz w:val="20"/>
                <w:szCs w:val="20"/>
                <w:color w:val="auto"/>
              </w:rPr>
            </w:pPr>
            <w:r>
              <w:rPr>
                <w:rFonts w:ascii="Arial" w:cs="Arial" w:eastAsia="Arial" w:hAnsi="Arial"/>
                <w:sz w:val="18"/>
                <w:szCs w:val="18"/>
                <w:color w:val="auto"/>
              </w:rPr>
              <w:t>(15.90)%</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9.26%</w:t>
            </w:r>
            <w:r>
              <w:rPr>
                <w:rFonts w:ascii="Arial" w:cs="Arial" w:eastAsia="Arial" w:hAnsi="Arial"/>
                <w:sz w:val="29"/>
                <w:szCs w:val="29"/>
                <w:color w:val="auto"/>
                <w:vertAlign w:val="superscript"/>
              </w:rPr>
              <w:t>(2)</w:t>
            </w:r>
          </w:p>
        </w:tc>
      </w:tr>
      <w:tr>
        <w:trPr>
          <w:trHeight w:val="216"/>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22,181,003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19,320,100</w:t>
            </w:r>
          </w:p>
        </w:tc>
      </w:tr>
      <w:tr>
        <w:trPr>
          <w:trHeight w:val="216"/>
        </w:trPr>
        <w:tc>
          <w:tcPr>
            <w:tcW w:w="5220" w:type="dxa"/>
            <w:vAlign w:val="bottom"/>
            <w:gridSpan w:val="4"/>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5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223,619,737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312,502,487</w:t>
            </w:r>
          </w:p>
        </w:tc>
      </w:tr>
      <w:tr>
        <w:trPr>
          <w:trHeight w:val="216"/>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Average net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250,723,620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299,491,050</w:t>
            </w:r>
          </w:p>
        </w:tc>
      </w:tr>
      <w:tr>
        <w:trPr>
          <w:trHeight w:val="176"/>
        </w:trPr>
        <w:tc>
          <w:tcPr>
            <w:tcW w:w="522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Annualized ratios</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522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Ratio of gross operating expenses to average net assets</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11.31%</w:t>
            </w:r>
          </w:p>
        </w:tc>
      </w:tr>
      <w:tr>
        <w:trPr>
          <w:trHeight w:val="257"/>
        </w:trPr>
        <w:tc>
          <w:tcPr>
            <w:tcW w:w="5220" w:type="dxa"/>
            <w:vAlign w:val="bottom"/>
            <w:gridSpan w:val="4"/>
            <w:shd w:val="clear" w:color="auto" w:fill="CCEEFF"/>
          </w:tcPr>
          <w:p>
            <w:pPr>
              <w:ind w:left="20"/>
              <w:spacing w:after="0" w:line="256" w:lineRule="exact"/>
              <w:rPr>
                <w:sz w:val="20"/>
                <w:szCs w:val="20"/>
                <w:color w:val="auto"/>
              </w:rPr>
            </w:pPr>
            <w:r>
              <w:rPr>
                <w:rFonts w:ascii="Arial" w:cs="Arial" w:eastAsia="Arial" w:hAnsi="Arial"/>
                <w:sz w:val="18"/>
                <w:szCs w:val="18"/>
                <w:color w:val="auto"/>
              </w:rPr>
              <w:t>Ratio of net income tax provisions to average net assets</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r>
      <w:tr>
        <w:trPr>
          <w:trHeight w:val="250"/>
        </w:trPr>
        <w:tc>
          <w:tcPr>
            <w:tcW w:w="5220" w:type="dxa"/>
            <w:vAlign w:val="bottom"/>
            <w:gridSpan w:val="4"/>
          </w:tcPr>
          <w:p>
            <w:pPr>
              <w:ind w:left="20"/>
              <w:spacing w:after="0" w:line="250" w:lineRule="exact"/>
              <w:rPr>
                <w:sz w:val="20"/>
                <w:szCs w:val="20"/>
                <w:color w:val="auto"/>
              </w:rPr>
            </w:pPr>
            <w:r>
              <w:rPr>
                <w:rFonts w:ascii="Arial" w:cs="Arial" w:eastAsia="Arial" w:hAnsi="Arial"/>
                <w:sz w:val="17"/>
                <w:szCs w:val="17"/>
                <w:color w:val="auto"/>
              </w:rPr>
              <w:t>Ratio of net operating expenses to average net assets</w:t>
            </w:r>
            <w:r>
              <w:rPr>
                <w:rFonts w:ascii="Arial" w:cs="Arial" w:eastAsia="Arial" w:hAnsi="Arial"/>
                <w:sz w:val="28"/>
                <w:szCs w:val="28"/>
                <w:color w:val="auto"/>
                <w:vertAlign w:val="superscript"/>
              </w:rPr>
              <w:t>(3)</w:t>
            </w:r>
          </w:p>
        </w:tc>
        <w:tc>
          <w:tcPr>
            <w:tcW w:w="10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10.19%</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1"/>
        </w:trPr>
        <w:tc>
          <w:tcPr>
            <w:tcW w:w="5220" w:type="dxa"/>
            <w:vAlign w:val="bottom"/>
            <w:gridSpan w:val="4"/>
            <w:shd w:val="clear" w:color="auto" w:fill="CCEEFF"/>
          </w:tcPr>
          <w:p>
            <w:pPr>
              <w:ind w:left="20"/>
              <w:spacing w:after="0" w:line="250" w:lineRule="exact"/>
              <w:rPr>
                <w:sz w:val="20"/>
                <w:szCs w:val="20"/>
                <w:color w:val="auto"/>
              </w:rPr>
            </w:pPr>
            <w:r>
              <w:rPr>
                <w:rFonts w:ascii="Arial" w:cs="Arial" w:eastAsia="Arial" w:hAnsi="Arial"/>
                <w:sz w:val="17"/>
                <w:szCs w:val="17"/>
                <w:color w:val="auto"/>
              </w:rPr>
              <w:t>Ratio of net investment loss to average net assets</w:t>
            </w:r>
            <w:r>
              <w:rPr>
                <w:rFonts w:ascii="Arial" w:cs="Arial" w:eastAsia="Arial" w:hAnsi="Arial"/>
                <w:sz w:val="28"/>
                <w:szCs w:val="28"/>
                <w:color w:val="auto"/>
                <w:vertAlign w:val="superscript"/>
              </w:rPr>
              <w:t>(3)</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220" w:type="dxa"/>
            <w:vAlign w:val="bottom"/>
            <w:gridSpan w:val="4"/>
          </w:tcPr>
          <w:p>
            <w:pPr>
              <w:ind w:left="20"/>
              <w:spacing w:after="0"/>
              <w:rPr>
                <w:sz w:val="20"/>
                <w:szCs w:val="20"/>
                <w:color w:val="auto"/>
              </w:rPr>
            </w:pPr>
            <w:r>
              <w:rPr>
                <w:rFonts w:ascii="Arial" w:cs="Arial" w:eastAsia="Arial" w:hAnsi="Arial"/>
                <w:sz w:val="18"/>
                <w:szCs w:val="18"/>
                <w:color w:val="auto"/>
              </w:rPr>
              <w:t>Portfolio Turnover Ratio</w:t>
            </w: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4.53%</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-2272030</wp:posOffset>
            </wp:positionV>
            <wp:extent cx="521398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-762635</wp:posOffset>
            </wp:positionV>
            <wp:extent cx="5213985"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-393700</wp:posOffset>
            </wp:positionV>
            <wp:extent cx="5213985"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weighted-average number of shares outstanding for the period.</w:t>
      </w:r>
    </w:p>
    <w:p>
      <w:pPr>
        <w:spacing w:after="0" w:line="117" w:lineRule="exact"/>
        <w:rPr>
          <w:rFonts w:ascii="Arial" w:cs="Arial" w:eastAsia="Arial" w:hAnsi="Arial"/>
          <w:sz w:val="18"/>
          <w:szCs w:val="18"/>
          <w:color w:val="auto"/>
        </w:rPr>
      </w:pPr>
    </w:p>
    <w:p>
      <w:pPr>
        <w:ind w:left="300" w:right="879" w:hanging="272"/>
        <w:spacing w:after="0" w:line="264"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w:t>
      </w:r>
    </w:p>
    <w:p>
      <w:pPr>
        <w:spacing w:after="0" w:line="73" w:lineRule="exact"/>
        <w:rPr>
          <w:rFonts w:ascii="Arial" w:cs="Arial" w:eastAsia="Arial" w:hAnsi="Arial"/>
          <w:sz w:val="18"/>
          <w:szCs w:val="18"/>
          <w:color w:val="auto"/>
        </w:rPr>
      </w:pPr>
    </w:p>
    <w:p>
      <w:pPr>
        <w:ind w:left="300" w:right="519" w:hanging="272"/>
        <w:spacing w:after="0" w:line="257"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Highlights for periods of less than one year are annualized and the ratios of operating expenses to average net assets and net investment loss to average net assets are adjusted accordingly. Non-recurring expenses are not annualized. For each of the three and nine months ended September 30, 2016 and 2015, the Company did not incur any non-recurring expenses. 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TAXES</w:t>
      </w:r>
    </w:p>
    <w:p>
      <w:pPr>
        <w:spacing w:after="0" w:line="121"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The Company has elected to be treated as a RIC under Subchapter M of the Code and operates in a manner so as to qualify for the tax treatment applicable to RICs. Accordingly, the Company must generally distribute at least 90% of its ICTI to qualify for the treatment accorded to a RIC and to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70"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w:t>
      </w:r>
      <w:r>
        <w:rPr>
          <w:rFonts w:ascii="Arial" w:cs="Arial" w:eastAsia="Arial" w:hAnsi="Arial"/>
          <w:sz w:val="17"/>
          <w:szCs w:val="17"/>
          <w:i w:val="1"/>
          <w:iCs w:val="1"/>
          <w:color w:val="auto"/>
        </w:rPr>
        <w:t>i.e.</w:t>
      </w:r>
      <w:r>
        <w:rPr>
          <w:rFonts w:ascii="Arial" w:cs="Arial" w:eastAsia="Arial" w:hAnsi="Arial"/>
          <w:sz w:val="17"/>
          <w:szCs w:val="17"/>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70"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w:t>
      </w:r>
    </w:p>
    <w:p>
      <w:pPr>
        <w:spacing w:after="0" w:line="59"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 The GSVC Holdings are C corporations for U.S. federal and state income tax purposes. The Company uses the asset and liability method to account for the GSVC Holdings’ income taxes. Using this method, the Company recognizes deferred tax assets and liabilities for the estimated future tax effects attributable to temporary differences between the financial reporting and tax bases of assets and liabilities. In addition, the Company recognizes deferred tax benefits associated with net operating loss carryforwards that it may use to offset future tax obligations. The Company measures deferred tax assets and liabilities using the enacted tax rates expected to apply to taxable income in the years in which it expects to recover or settle those temporary differences.</w:t>
      </w:r>
    </w:p>
    <w:p>
      <w:pPr>
        <w:spacing w:after="0" w:line="74" w:lineRule="exact"/>
        <w:rPr>
          <w:sz w:val="20"/>
          <w:szCs w:val="20"/>
          <w:color w:val="auto"/>
        </w:rPr>
      </w:pPr>
    </w:p>
    <w:p>
      <w:pPr>
        <w:ind w:left="40" w:right="819" w:firstLine="270"/>
        <w:spacing w:after="0" w:line="259" w:lineRule="auto"/>
        <w:rPr>
          <w:sz w:val="20"/>
          <w:szCs w:val="20"/>
          <w:color w:val="auto"/>
        </w:rPr>
      </w:pPr>
      <w:r>
        <w:rPr>
          <w:rFonts w:ascii="Arial" w:cs="Arial" w:eastAsia="Arial" w:hAnsi="Arial"/>
          <w:sz w:val="18"/>
          <w:szCs w:val="18"/>
          <w:color w:val="auto"/>
        </w:rPr>
        <w:t>As of September 30, 2016, the Company recorded a deferred tax liability of approximately $11.9 million, of which approximately $10.2 million has been recorded in the event that such gains are recognized by December 31, 2018, and approximately $1.7 million relates to the difference in the book and tax basis of certain equity investments and tax net operating losses held by the GSVC Holdings.</w:t>
      </w:r>
    </w:p>
    <w:p>
      <w:pPr>
        <w:spacing w:after="0" w:line="79" w:lineRule="exact"/>
        <w:rPr>
          <w:sz w:val="20"/>
          <w:szCs w:val="20"/>
          <w:color w:val="auto"/>
        </w:rPr>
      </w:pPr>
    </w:p>
    <w:p>
      <w:pPr>
        <w:ind w:left="40" w:right="819" w:firstLine="270"/>
        <w:spacing w:after="0" w:line="259" w:lineRule="auto"/>
        <w:rPr>
          <w:sz w:val="20"/>
          <w:szCs w:val="20"/>
          <w:color w:val="auto"/>
        </w:rPr>
      </w:pPr>
      <w:r>
        <w:rPr>
          <w:rFonts w:ascii="Arial" w:cs="Arial" w:eastAsia="Arial" w:hAnsi="Arial"/>
          <w:sz w:val="18"/>
          <w:szCs w:val="18"/>
          <w:color w:val="auto"/>
        </w:rPr>
        <w:t>As of December 31, 2015, the Company recorded a deferred tax liability of approximately $12.5 million, of which approximately $10.2 million has been recorded in the event that such gains are recognized by December 31, 2018, and approximately $2.3 million relates to the difference in the book and tax basis of certain equity investments and tax net operating losses held by the GSVC Holdings.</w:t>
      </w:r>
    </w:p>
    <w:p>
      <w:pPr>
        <w:spacing w:after="0" w:line="79"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INCOME TAXES – (continued)</w:t>
      </w:r>
    </w:p>
    <w:p>
      <w:pPr>
        <w:spacing w:after="0" w:line="121"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determined. Accordingly, the amount of such tax attributes available to offset future profits may be significantly less than the actual amounts of the tax attributes.</w:t>
      </w:r>
    </w:p>
    <w:p>
      <w:pPr>
        <w:spacing w:after="0" w:line="62"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 Company and the GSVC Holdings identified their major tax jurisdictions as U.S. federal and California and may be subject to the taxing authorities’ examination for the tax years 2013 – 2016 and 2012 – 2016, respectively.</w:t>
      </w:r>
    </w:p>
    <w:p>
      <w:pPr>
        <w:spacing w:after="0" w:line="62" w:lineRule="exact"/>
        <w:rPr>
          <w:sz w:val="20"/>
          <w:szCs w:val="20"/>
          <w:color w:val="auto"/>
        </w:rPr>
      </w:pPr>
    </w:p>
    <w:p>
      <w:pPr>
        <w:ind w:left="60" w:right="919" w:firstLine="270"/>
        <w:spacing w:after="0" w:line="277" w:lineRule="auto"/>
        <w:rPr>
          <w:sz w:val="20"/>
          <w:szCs w:val="20"/>
          <w:color w:val="auto"/>
        </w:rPr>
      </w:pPr>
      <w:r>
        <w:rPr>
          <w:rFonts w:ascii="Arial" w:cs="Arial" w:eastAsia="Arial" w:hAnsi="Arial"/>
          <w:sz w:val="18"/>
          <w:szCs w:val="18"/>
          <w:color w:val="auto"/>
        </w:rPr>
        <w:t>The Company and the GSVC Holdings accrue all interest and penalties related to uncertain tax positions as incurred. As of September 30, 2016, there were no interest or penalties incurred related to uncertain tax positions.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LONG-TERM LIABILITIES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Convertible Senior Notes Payable</w:t>
      </w:r>
    </w:p>
    <w:p>
      <w:pPr>
        <w:spacing w:after="0" w:line="121" w:lineRule="exact"/>
        <w:rPr>
          <w:sz w:val="20"/>
          <w:szCs w:val="20"/>
          <w:color w:val="auto"/>
        </w:rPr>
      </w:pPr>
    </w:p>
    <w:p>
      <w:pPr>
        <w:ind w:left="60" w:right="579" w:firstLine="270"/>
        <w:spacing w:after="0" w:line="287" w:lineRule="auto"/>
        <w:rPr>
          <w:sz w:val="20"/>
          <w:szCs w:val="20"/>
          <w:color w:val="auto"/>
        </w:rPr>
      </w:pPr>
      <w:r>
        <w:rPr>
          <w:rFonts w:ascii="Arial" w:cs="Arial" w:eastAsia="Arial" w:hAnsi="Arial"/>
          <w:sz w:val="16"/>
          <w:szCs w:val="16"/>
          <w:color w:val="auto"/>
        </w:rPr>
        <w:t>On September 17, 2013, the Company issued $69 million aggregate principal amount of the Convertible Senior Notes (including $9 million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mature on September 15, 2018, unless previously repurchased or converted in accordance with their terms. The Company does not have the right to redeem the Convertible Senior Notes prior to maturity. The Convertible Senior Notes were convertible into shares of the Company’s common stock based on an initial conversion rate of 61.5091 shares of the Company’s common stock per $1,000 of principal amount of the Convertible Senior Notes, which was equivalent to an initial conversion price of approximately $16.26 per share of common stock. As a result of the Company’s dividends paid on December 31, 2015 and August 24, 2016 the conversion rate was increased to 83.3596 shares of common stock per $1,000 principal amount of the Convertible Senior Notes, which is equivalent to a conversion price of approximately $12.00 per share of common stock.</w:t>
      </w:r>
    </w:p>
    <w:p>
      <w:pPr>
        <w:spacing w:after="0" w:line="65" w:lineRule="exact"/>
        <w:rPr>
          <w:sz w:val="20"/>
          <w:szCs w:val="20"/>
          <w:color w:val="auto"/>
        </w:rPr>
      </w:pPr>
    </w:p>
    <w:p>
      <w:pPr>
        <w:ind w:left="60" w:right="819" w:firstLine="270"/>
        <w:spacing w:after="0" w:line="273" w:lineRule="auto"/>
        <w:rPr>
          <w:sz w:val="20"/>
          <w:szCs w:val="20"/>
          <w:color w:val="auto"/>
        </w:rPr>
      </w:pPr>
      <w:r>
        <w:rPr>
          <w:rFonts w:ascii="Arial" w:cs="Arial" w:eastAsia="Arial" w:hAnsi="Arial"/>
          <w:sz w:val="17"/>
          <w:szCs w:val="17"/>
          <w:color w:val="auto"/>
        </w:rPr>
        <w:t>The terms of the offering required the Company to place $10,867,500 from the offering in an escrow account (the “Interest Escrow”) with U.S. Bank N.A. (the “Trustee”) under the indenture pursuant to which the Convertible Senior Notes were issued. Funds in the Interest Escrow were used to purchase six U.S. Treasury Strips (“Government Securities”) with an original cost of $10,845,236. The Government Securities were used to make the first six scheduled interest payments on the Convertible Senior Notes. The table below shows a reconciliation from the aggregate principal amount of Convertible Senior Notes to the balance shown on the 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2057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000" w:type="dxa"/>
            <w:vAlign w:val="bottom"/>
          </w:tcPr>
          <w:p>
            <w:pPr>
              <w:spacing w:after="0"/>
              <w:rPr>
                <w:sz w:val="14"/>
                <w:szCs w:val="14"/>
                <w:color w:val="auto"/>
              </w:rPr>
            </w:pPr>
          </w:p>
        </w:tc>
        <w:tc>
          <w:tcPr>
            <w:tcW w:w="9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principal amount of Convertible Senior Notes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$69,000,000</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$69,000,000</w:t>
            </w: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Unamortized embedded derivative discount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(297,607)</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(403,381)</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deduction of deferred debt issuance costs</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(1,407,455)</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(1,947,572)</w:t>
            </w:r>
          </w:p>
        </w:tc>
      </w:tr>
      <w:tr>
        <w:trPr>
          <w:trHeight w:val="20"/>
        </w:trPr>
        <w:tc>
          <w:tcPr>
            <w:tcW w:w="6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Convertible Senior Notes</w:t>
            </w: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67,294,938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66,649,047</w:t>
            </w:r>
          </w:p>
        </w:tc>
      </w:tr>
      <w:tr>
        <w:trPr>
          <w:trHeight w:val="20"/>
        </w:trPr>
        <w:tc>
          <w:tcPr>
            <w:tcW w:w="6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As of September 30, 2016 and December 31, 2015,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LONG-TERM LIABILITIES – (continued)</w:t>
      </w:r>
    </w:p>
    <w:p>
      <w:pPr>
        <w:spacing w:after="0" w:line="121"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color w:val="auto"/>
        </w:rPr>
        <w:t>indebtedness to the extent of the value of the assets securing such indebtedness, and structurally junior to all future indebtedness (including trade payables) incurred by the Company’s subsidiaries.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Embedded Derivative</w:t>
      </w:r>
    </w:p>
    <w:p>
      <w:pPr>
        <w:spacing w:after="0" w:line="121" w:lineRule="exact"/>
        <w:rPr>
          <w:sz w:val="20"/>
          <w:szCs w:val="20"/>
          <w:color w:val="auto"/>
        </w:rPr>
      </w:pPr>
    </w:p>
    <w:p>
      <w:pPr>
        <w:ind w:left="40" w:right="679" w:firstLine="270"/>
        <w:spacing w:after="0" w:line="272" w:lineRule="auto"/>
        <w:rPr>
          <w:sz w:val="20"/>
          <w:szCs w:val="20"/>
          <w:color w:val="auto"/>
        </w:rPr>
      </w:pPr>
      <w:r>
        <w:rPr>
          <w:rFonts w:ascii="Arial" w:cs="Arial" w:eastAsia="Arial" w:hAnsi="Arial"/>
          <w:sz w:val="17"/>
          <w:szCs w:val="17"/>
          <w:color w:val="auto"/>
        </w:rPr>
        <w:t>The Convertible Senior Notes contained an interest make-whole payment provision pursuant to which holders who converted their notes prior to September 15, 2016, would receive, in addition to a number of shares of the Company’s common stock calculated at the applicable conversion rate for the principal amount of notes being converted, the cash proceeds from the sale by the escrow agent of the portion of the Government Securities in the escrow account that were remaining with respect to any of the first six interest payments that had not been made on the notes being converted. Under FASB ASC 815-10-15-74(a), the interest make-whole payment was considered an embedded derivative and was separated from the host contract, the Convertible Senior Notes, and carried at fair value.</w:t>
      </w:r>
    </w:p>
    <w:p>
      <w:pPr>
        <w:spacing w:after="0" w:line="70" w:lineRule="exact"/>
        <w:rPr>
          <w:sz w:val="20"/>
          <w:szCs w:val="20"/>
          <w:color w:val="auto"/>
        </w:rPr>
      </w:pPr>
    </w:p>
    <w:p>
      <w:pPr>
        <w:ind w:left="40" w:right="619" w:firstLine="270"/>
        <w:spacing w:after="0" w:line="264" w:lineRule="auto"/>
        <w:rPr>
          <w:sz w:val="20"/>
          <w:szCs w:val="20"/>
          <w:color w:val="auto"/>
        </w:rPr>
      </w:pPr>
      <w:r>
        <w:rPr>
          <w:rFonts w:ascii="Arial" w:cs="Arial" w:eastAsia="Arial" w:hAnsi="Arial"/>
          <w:sz w:val="18"/>
          <w:szCs w:val="18"/>
          <w:color w:val="auto"/>
        </w:rPr>
        <w:t>The Company used a binomial lattice model to estimate the fair value of the embedded derivative in the Convertible Senior Notes. A binomial lattice model generates potential outcomes at various points in time, starting from the date of valuation until the expiration date of the embedded derivative.</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Credit Facility</w:t>
      </w:r>
    </w:p>
    <w:p>
      <w:pPr>
        <w:spacing w:after="0" w:line="121"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color w:val="auto"/>
        </w:rPr>
        <w:t>The Company entered into the Loan Agreement, effective December 31, 2013, with Silicon Valley Bank to provide the Company with an $18 million Credit Facility. Under the Credit Facility, the Company is permitted to borrow an amount equal to the lesser of $18 million or 20% of the Company’s then-current net asset value.</w:t>
      </w:r>
    </w:p>
    <w:p>
      <w:pPr>
        <w:spacing w:after="0" w:line="73"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The Credit Facility matures on December 31, 2016, and bears interest at a per annum rate equal to the greater of (i) the prime rate plus 4.75% or (ii) 8.0% on amounts drawn under the Credit Facility based on a 360-day year. In addition, a fee of $180,000 per annum (1.0% of the $18 million revolving line of credit) is charged under the Loan Agreement. Under the terms of the Credit Facility, the Company must repay all outstanding borrowings on the Credit Facility so that there is at least one 30-day period every 12 months during which the Company has no balance outstanding. Under the Loan Agreement, the Company has made certain customary representations and warranties and is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 As of September 30, 2016 the Company is in compliance with the Loan Agreement and had no borrowings under the Credit Facility.</w:t>
      </w:r>
    </w:p>
    <w:p>
      <w:pPr>
        <w:spacing w:after="0" w:line="75"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The Credit Facility is secured by all of the Company’s property and assets, except for the Company’s assets pledged to secure certain obligations in connection with the Company’s issuance of the Convertible Senior Notes and, as provided for in the Loan Agreement, as may be pledged in connection with any future issuance by the Company of Convertible Senior Notes on substantially similar terms. As of September 30, 2016, the Company had no borrowings under the Credit Facility. For the three and nine months ended September 30, 2016, the Company had average borrowings outstanding under the Credit Facility of $266,304 and $140,511, respectively. For the three and nine months ended September 30, 2015, the Company had average borrowings outstanding under the Credit Facility of $0 and $4,963,370, respectively.</w:t>
      </w:r>
    </w:p>
    <w:p>
      <w:pPr>
        <w:spacing w:after="0" w:line="70"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Borrowing under the Credit Facility is subject to the leverage restrictions contained in the 1940 Act. In addition, under the Loan Agreement, and as provided for therein, the Company has agreed not to incur certain additional permitted indebtedness in an aggregate amount exceeding 50% of the Company’s then-applicable net asset value.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SUBSEQUENT EVENTS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Portfolio Activity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September 30, 2016 through November 8, 2016, the Company did not purchase any investments.</w:t>
      </w:r>
    </w:p>
    <w:p>
      <w:pPr>
        <w:spacing w:after="0" w:line="117" w:lineRule="exact"/>
        <w:rPr>
          <w:sz w:val="20"/>
          <w:szCs w:val="20"/>
          <w:color w:val="auto"/>
        </w:rPr>
      </w:pPr>
    </w:p>
    <w:p>
      <w:pPr>
        <w:ind w:left="60" w:right="779" w:firstLine="270"/>
        <w:spacing w:after="0" w:line="277" w:lineRule="auto"/>
        <w:rPr>
          <w:sz w:val="20"/>
          <w:szCs w:val="20"/>
          <w:color w:val="auto"/>
        </w:rPr>
      </w:pPr>
      <w:r>
        <w:rPr>
          <w:rFonts w:ascii="Arial" w:cs="Arial" w:eastAsia="Arial" w:hAnsi="Arial"/>
          <w:sz w:val="18"/>
          <w:szCs w:val="18"/>
          <w:color w:val="auto"/>
        </w:rPr>
        <w:t>From September 30, 2016 through November 8, 2016, the Company sold investments of $108,530 net of transaction costs as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6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Shares Sold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25"/>
              <w:spacing w:after="0"/>
              <w:rPr>
                <w:sz w:val="20"/>
                <w:szCs w:val="20"/>
                <w:color w:val="auto"/>
              </w:rPr>
            </w:pPr>
            <w:r>
              <w:rPr>
                <w:rFonts w:ascii="Arial" w:cs="Arial" w:eastAsia="Arial" w:hAnsi="Arial"/>
                <w:sz w:val="14"/>
                <w:szCs w:val="14"/>
                <w:b w:val="1"/>
                <w:bCs w:val="1"/>
                <w:color w:val="auto"/>
                <w:w w:val="92"/>
              </w:rPr>
              <w:t>Average Net</w:t>
            </w:r>
          </w:p>
        </w:tc>
        <w:tc>
          <w:tcPr>
            <w:tcW w:w="160" w:type="dxa"/>
            <w:vAlign w:val="bottom"/>
          </w:tcPr>
          <w:p>
            <w:pPr>
              <w:spacing w:after="0"/>
              <w:rPr>
                <w:sz w:val="16"/>
                <w:szCs w:val="16"/>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89"/>
              </w:rPr>
              <w:t>Net Proceeds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76"/>
        </w:trPr>
        <w:tc>
          <w:tcPr>
            <w:tcW w:w="228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
              <w:spacing w:after="0" w:line="176" w:lineRule="exact"/>
              <w:rPr>
                <w:sz w:val="20"/>
                <w:szCs w:val="20"/>
                <w:color w:val="auto"/>
              </w:rPr>
            </w:pPr>
            <w:r>
              <w:rPr>
                <w:rFonts w:ascii="Arial" w:cs="Arial" w:eastAsia="Arial" w:hAnsi="Arial"/>
                <w:sz w:val="13"/>
                <w:szCs w:val="13"/>
                <w:b w:val="1"/>
                <w:bCs w:val="1"/>
                <w:color w:val="auto"/>
                <w:w w:val="95"/>
              </w:rPr>
              <w:t>Share Price</w:t>
            </w:r>
            <w:r>
              <w:rPr>
                <w:rFonts w:ascii="Arial" w:cs="Arial" w:eastAsia="Arial" w:hAnsi="Arial"/>
                <w:sz w:val="20"/>
                <w:szCs w:val="20"/>
                <w:b w:val="1"/>
                <w:bCs w:val="1"/>
                <w:color w:val="auto"/>
                <w:w w:val="95"/>
                <w:vertAlign w:val="superscript"/>
              </w:rPr>
              <w:t>(1)</w:t>
            </w:r>
          </w:p>
        </w:tc>
        <w:tc>
          <w:tcPr>
            <w:tcW w:w="160" w:type="dxa"/>
            <w:vAlign w:val="bottom"/>
          </w:tcPr>
          <w:p>
            <w:pPr>
              <w:spacing w:after="0"/>
              <w:rPr>
                <w:sz w:val="15"/>
                <w:szCs w:val="15"/>
                <w:color w:val="auto"/>
              </w:rPr>
            </w:pPr>
          </w:p>
        </w:tc>
        <w:tc>
          <w:tcPr>
            <w:tcW w:w="86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95"/>
        </w:trPr>
        <w:tc>
          <w:tcPr>
            <w:tcW w:w="2280" w:type="dxa"/>
            <w:vAlign w:val="bottom"/>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rPr>
              <w:t>Upwork Global Inc.</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October 27,</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(f/k/aOdesk Corporation)</w:t>
            </w:r>
          </w:p>
        </w:tc>
        <w:tc>
          <w:tcPr>
            <w:tcW w:w="146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2016</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25,159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108,530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(77,819)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108,530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(77,819)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average net share price is the net share price realized after deducting all commissions and fees on the sale(s).</w:t>
      </w:r>
    </w:p>
    <w:p>
      <w:pPr>
        <w:spacing w:after="0" w:line="117" w:lineRule="exact"/>
        <w:rPr>
          <w:sz w:val="20"/>
          <w:szCs w:val="20"/>
          <w:color w:val="auto"/>
        </w:rPr>
      </w:pPr>
    </w:p>
    <w:p>
      <w:pPr>
        <w:ind w:left="60" w:right="699" w:firstLine="270"/>
        <w:spacing w:after="0" w:line="293" w:lineRule="auto"/>
        <w:rPr>
          <w:sz w:val="20"/>
          <w:szCs w:val="20"/>
          <w:color w:val="auto"/>
        </w:rPr>
      </w:pPr>
      <w:r>
        <w:rPr>
          <w:rFonts w:ascii="Arial" w:cs="Arial" w:eastAsia="Arial" w:hAnsi="Arial"/>
          <w:sz w:val="16"/>
          <w:szCs w:val="16"/>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57" w:lineRule="exact"/>
        <w:rPr>
          <w:sz w:val="20"/>
          <w:szCs w:val="20"/>
          <w:color w:val="auto"/>
        </w:rPr>
      </w:pPr>
    </w:p>
    <w:p>
      <w:pPr>
        <w:ind w:left="60" w:right="699" w:firstLine="270"/>
        <w:spacing w:after="0" w:line="259" w:lineRule="auto"/>
        <w:rPr>
          <w:sz w:val="20"/>
          <w:szCs w:val="20"/>
          <w:color w:val="auto"/>
        </w:rPr>
      </w:pPr>
      <w:r>
        <w:rPr>
          <w:rFonts w:ascii="Arial" w:cs="Arial" w:eastAsia="Arial" w:hAnsi="Arial"/>
          <w:sz w:val="18"/>
          <w:szCs w:val="18"/>
          <w:color w:val="auto"/>
        </w:rPr>
        <w:t>On October 5, 2016, the Company placed $249,999 in escrow with Signature Bank to allow the Company to participate in the next round of financing for Beamreach Solar, Inc. (f/k/a Solexel, Inc.). Upon satisfaction of the applicable closing conditions, the escrow accounts will close and the Company’s equity or debt investments in Beamreach Solar, Inc., as applicable, will be effectuated.</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Escrow</w:t>
      </w:r>
    </w:p>
    <w:p>
      <w:pPr>
        <w:spacing w:after="0" w:line="121" w:lineRule="exact"/>
        <w:rPr>
          <w:sz w:val="20"/>
          <w:szCs w:val="20"/>
          <w:color w:val="auto"/>
        </w:rPr>
      </w:pPr>
    </w:p>
    <w:p>
      <w:pPr>
        <w:ind w:left="60" w:right="619" w:firstLine="270"/>
        <w:spacing w:after="0" w:line="255" w:lineRule="auto"/>
        <w:rPr>
          <w:sz w:val="20"/>
          <w:szCs w:val="20"/>
          <w:color w:val="auto"/>
        </w:rPr>
      </w:pPr>
      <w:r>
        <w:rPr>
          <w:rFonts w:ascii="Arial" w:cs="Arial" w:eastAsia="Arial" w:hAnsi="Arial"/>
          <w:sz w:val="18"/>
          <w:szCs w:val="18"/>
          <w:color w:val="auto"/>
        </w:rPr>
        <w:t>In October 2016, in connection with the completion of the first six scheduled interest payments on the Convertible Senior Notes, and pursuant to a request made by the Company under the pledge and escrow agreement by and between the Company and U.S. Bank N.A. (the “Pledge and Escrow Agreement”), U.S. Bank N.A. released and transferred to the Company the excess funds, in an amount of approximately $90,431, that had remained in the Interest Escrow. As a result of such release and transfer, the $90,431 will no longer be included as restricted cash on the Condensed Consolidated Statements of Assets and Liabilities on a going-forward basis.</w:t>
      </w:r>
    </w:p>
    <w:p>
      <w:pPr>
        <w:spacing w:after="0" w:line="200" w:lineRule="exact"/>
        <w:rPr>
          <w:sz w:val="20"/>
          <w:szCs w:val="20"/>
          <w:color w:val="auto"/>
        </w:rPr>
      </w:pPr>
    </w:p>
    <w:p>
      <w:pPr>
        <w:spacing w:after="0" w:line="33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 SUBSEQUENT EVENTS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50" w:lineRule="exact"/>
        <w:rPr>
          <w:sz w:val="20"/>
          <w:szCs w:val="20"/>
          <w:color w:val="auto"/>
        </w:rPr>
      </w:pPr>
    </w:p>
    <w:p>
      <w:pPr>
        <w:ind w:left="40" w:right="959" w:firstLine="270"/>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63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62"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117" w:lineRule="exact"/>
        <w:rPr>
          <w:rFonts w:ascii="Arial" w:cs="Arial" w:eastAsia="Arial" w:hAnsi="Arial"/>
          <w:sz w:val="18"/>
          <w:szCs w:val="18"/>
          <w:color w:val="auto"/>
        </w:rPr>
      </w:pPr>
    </w:p>
    <w:p>
      <w:pPr>
        <w:ind w:left="600" w:right="93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62"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in our annual report on Form 10-K and in our filings with the SEC.</w:t>
      </w:r>
    </w:p>
    <w:p>
      <w:pPr>
        <w:spacing w:after="0" w:line="62"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annual report on Form 10-K, in the “Risk Factors” section.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99" w:firstLine="270"/>
        <w:spacing w:after="0" w:line="342" w:lineRule="auto"/>
        <w:rPr>
          <w:sz w:val="20"/>
          <w:szCs w:val="20"/>
          <w:color w:val="auto"/>
        </w:rPr>
      </w:pPr>
      <w:r>
        <w:rPr>
          <w:rFonts w:ascii="Arial" w:cs="Arial" w:eastAsia="Arial" w:hAnsi="Arial"/>
          <w:sz w:val="16"/>
          <w:szCs w:val="16"/>
          <w:color w:val="auto"/>
        </w:rPr>
        <w:t>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We are an externally managed, non-diversified closed-end management investment company that has elected to be regulated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regards to the regulatory requirements for business development companies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64" w:lineRule="exact"/>
        <w:rPr>
          <w:sz w:val="20"/>
          <w:szCs w:val="20"/>
          <w:color w:val="auto"/>
        </w:rPr>
      </w:pPr>
    </w:p>
    <w:p>
      <w:pPr>
        <w:ind w:left="40" w:right="599" w:firstLine="270"/>
        <w:spacing w:after="0" w:line="312" w:lineRule="auto"/>
        <w:rPr>
          <w:sz w:val="20"/>
          <w:szCs w:val="20"/>
          <w:color w:val="auto"/>
        </w:rPr>
      </w:pPr>
      <w:r>
        <w:rPr>
          <w:rFonts w:ascii="Arial" w:cs="Arial" w:eastAsia="Arial" w:hAnsi="Arial"/>
          <w:sz w:val="16"/>
          <w:szCs w:val="16"/>
          <w:color w:val="auto"/>
        </w:rPr>
        <w:t>We acquire our investments in portfolio companies through: offerings of the prospective portfolio companies, transactions on secondary marketplaces for private companies, or negotiations with selling stockholders. Our investment activities are managed by GSV Asset Management. GSV Capital Service Company provides the administrative services necessary for us to operate.</w:t>
      </w:r>
    </w:p>
    <w:p>
      <w:pPr>
        <w:spacing w:after="0" w:line="39"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Our investment philosophy is premised on a disciplined approach of identifying high-growth emerging companies across several key industry themes that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GSV Asset Management, evaluates have financial backing from top-tier venture capital funds or other financial or strategic sponsors.</w:t>
      </w:r>
    </w:p>
    <w:p>
      <w:pPr>
        <w:spacing w:after="0" w:line="70"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Investments — (Portfolio Activity)</w:t>
      </w:r>
    </w:p>
    <w:p>
      <w:pPr>
        <w:spacing w:after="0" w:line="117" w:lineRule="exact"/>
        <w:rPr>
          <w:sz w:val="20"/>
          <w:szCs w:val="20"/>
          <w:color w:val="auto"/>
        </w:rPr>
      </w:pPr>
    </w:p>
    <w:p>
      <w:pPr>
        <w:ind w:left="180" w:right="599" w:firstLine="270"/>
        <w:spacing w:after="0" w:line="291" w:lineRule="auto"/>
        <w:rPr>
          <w:sz w:val="20"/>
          <w:szCs w:val="20"/>
          <w:color w:val="auto"/>
        </w:rPr>
      </w:pPr>
      <w:r>
        <w:rPr>
          <w:rFonts w:ascii="Arial" w:cs="Arial" w:eastAsia="Arial" w:hAnsi="Arial"/>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September 30, 2016, of all of our portfolio investments, excluding U.S. Treasury Bills, was $298,269,956. The following table summarizes the investment purchases we funded during the nine months ended September 30, 2016. “Total Gross Payments” include both the actual cost of an investment as well as capitalized costs (such as legal and other fees) associated with entering into a portfolio company investment. Refer to “Note 1 — Nature of Operations and Significant Accounting Policies” to our condensed consolidated financial statements as of September 30, 2016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3810</wp:posOffset>
            </wp:positionV>
            <wp:extent cx="51796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1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16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Fundings by Portfolio Company (Industry)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Curious.com Inc. (Online Education)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2,000,003</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2,000,003</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Fullbridge, Inc. (Business Education)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Lytro, Inc. (Light Field Imaging Platform)</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2,500,001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3,000,002</w:t>
            </w: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1" w:lineRule="exact"/>
              <w:rPr>
                <w:sz w:val="20"/>
                <w:szCs w:val="20"/>
                <w:color w:val="auto"/>
              </w:rPr>
            </w:pPr>
            <w:r>
              <w:rPr>
                <w:rFonts w:ascii="Arial" w:cs="Arial" w:eastAsia="Arial" w:hAnsi="Arial"/>
                <w:sz w:val="18"/>
                <w:szCs w:val="18"/>
                <w:color w:val="auto"/>
              </w:rPr>
              <w:t>NestGSV, Inc. (d/b/a GSV Labs, Inc.)</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Arial" w:cs="Arial" w:eastAsia="Arial" w:hAnsi="Arial"/>
                <w:sz w:val="18"/>
                <w:szCs w:val="18"/>
                <w:color w:val="auto"/>
              </w:rPr>
              <w:t>(Global Innovation Platform)</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Ozy Media, Inc. (Digital Media Platform)</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02"/>
        </w:trPr>
        <w:tc>
          <w:tcPr>
            <w:tcW w:w="3600" w:type="dxa"/>
            <w:vAlign w:val="bottom"/>
          </w:tcPr>
          <w:p>
            <w:pPr>
              <w:ind w:left="20"/>
              <w:spacing w:after="0" w:line="201" w:lineRule="exact"/>
              <w:rPr>
                <w:sz w:val="20"/>
                <w:szCs w:val="20"/>
                <w:color w:val="auto"/>
              </w:rPr>
            </w:pPr>
            <w:r>
              <w:rPr>
                <w:rFonts w:ascii="Arial" w:cs="Arial" w:eastAsia="Arial" w:hAnsi="Arial"/>
                <w:sz w:val="18"/>
                <w:szCs w:val="18"/>
                <w:color w:val="auto"/>
              </w:rPr>
              <w:t>Snap, Inc. (f/k/a Snapchat, Inc.)</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Arial" w:cs="Arial" w:eastAsia="Arial" w:hAnsi="Arial"/>
                <w:sz w:val="18"/>
                <w:szCs w:val="18"/>
                <w:color w:val="auto"/>
              </w:rPr>
              <w:t>(Social Communication)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3,999,990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3,999,990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Capitalized Fees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19,827</w:t>
            </w: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Total Gross Payments</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6,005,951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4,508,150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2,505,721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13,019,822</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-179705</wp:posOffset>
            </wp:positionV>
            <wp:extent cx="5213985" cy="1803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180" w:right="819" w:firstLine="270"/>
        <w:spacing w:after="0" w:line="277" w:lineRule="auto"/>
        <w:rPr>
          <w:sz w:val="20"/>
          <w:szCs w:val="20"/>
          <w:color w:val="auto"/>
        </w:rPr>
      </w:pPr>
      <w:r>
        <w:rPr>
          <w:rFonts w:ascii="Arial" w:cs="Arial" w:eastAsia="Arial" w:hAnsi="Arial"/>
          <w:sz w:val="18"/>
          <w:szCs w:val="18"/>
          <w:color w:val="auto"/>
        </w:rPr>
        <w:t>The tables below summarize the portfolio investments we sold during the nine months ended September 30,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9"/>
          </w:tcPr>
          <w:p>
            <w:pPr>
              <w:jc w:val="right"/>
              <w:ind w:right="474"/>
              <w:spacing w:after="0"/>
              <w:rPr>
                <w:sz w:val="20"/>
                <w:szCs w:val="20"/>
                <w:color w:val="auto"/>
              </w:rPr>
            </w:pPr>
            <w:r>
              <w:rPr>
                <w:rFonts w:ascii="Arial" w:cs="Arial" w:eastAsia="Arial" w:hAnsi="Arial"/>
                <w:sz w:val="14"/>
                <w:szCs w:val="14"/>
                <w:b w:val="1"/>
                <w:bCs w:val="1"/>
                <w:color w:val="auto"/>
                <w:w w:val="92"/>
              </w:rPr>
              <w:t>Nine months ended September 30, 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Realized</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2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4"/>
                <w:szCs w:val="14"/>
                <w:b w:val="1"/>
                <w:bCs w:val="1"/>
                <w:color w:val="auto"/>
                <w:w w:val="90"/>
              </w:rPr>
              <w:t>Average 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Gains/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Sold</w:t>
            </w:r>
          </w:p>
        </w:tc>
        <w:tc>
          <w:tcPr>
            <w:tcW w:w="80" w:type="dxa"/>
            <w:vAlign w:val="bottom"/>
          </w:tcPr>
          <w:p>
            <w:pPr>
              <w:spacing w:after="0"/>
              <w:rPr>
                <w:sz w:val="15"/>
                <w:szCs w:val="15"/>
                <w:color w:val="auto"/>
              </w:rPr>
            </w:pPr>
          </w:p>
        </w:tc>
        <w:tc>
          <w:tcPr>
            <w:tcW w:w="960" w:type="dxa"/>
            <w:vAlign w:val="bottom"/>
            <w:gridSpan w:val="2"/>
          </w:tcPr>
          <w:p>
            <w:pPr>
              <w:jc w:val="right"/>
              <w:spacing w:after="0" w:line="176" w:lineRule="exact"/>
              <w:rPr>
                <w:sz w:val="20"/>
                <w:szCs w:val="20"/>
                <w:color w:val="auto"/>
              </w:rPr>
            </w:pPr>
            <w:r>
              <w:rPr>
                <w:rFonts w:ascii="Arial" w:cs="Arial" w:eastAsia="Arial" w:hAnsi="Arial"/>
                <w:sz w:val="13"/>
                <w:szCs w:val="13"/>
                <w:b w:val="1"/>
                <w:bCs w:val="1"/>
                <w:color w:val="auto"/>
              </w:rPr>
              <w:t>Share Price</w:t>
            </w:r>
            <w:r>
              <w:rPr>
                <w:rFonts w:ascii="Arial" w:cs="Arial" w:eastAsia="Arial" w:hAnsi="Arial"/>
                <w:sz w:val="20"/>
                <w:szCs w:val="20"/>
                <w:b w:val="1"/>
                <w:bCs w:val="1"/>
                <w:color w:val="auto"/>
                <w:vertAlign w:val="superscript"/>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rPr>
              <w:t>Proceeds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(Losses)</w:t>
            </w:r>
            <w:r>
              <w:rPr>
                <w:rFonts w:ascii="Arial" w:cs="Arial" w:eastAsia="Arial" w:hAnsi="Arial"/>
                <w:sz w:val="20"/>
                <w:szCs w:val="20"/>
                <w:b w:val="1"/>
                <w:bCs w:val="1"/>
                <w:color w:val="auto"/>
                <w:w w:val="91"/>
                <w:vertAlign w:val="superscript"/>
              </w:rPr>
              <w:t>(2)</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Bloom Energy Corporation</w:t>
            </w:r>
          </w:p>
        </w:tc>
        <w:tc>
          <w:tcPr>
            <w:tcW w:w="8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March 31, 2016</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201,589</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14.75</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2,973,438</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(882,162)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254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Gilt Groupe Holdings, Inc.</w:t>
            </w:r>
            <w:r>
              <w:rPr>
                <w:rFonts w:ascii="Arial" w:cs="Arial" w:eastAsia="Arial" w:hAnsi="Arial"/>
                <w:sz w:val="29"/>
                <w:szCs w:val="29"/>
                <w:color w:val="auto"/>
                <w:vertAlign w:val="superscript"/>
              </w:rPr>
              <w:t>(3)</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31, 2016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248,600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427,270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(6,167,164)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Lyft, Inc.</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31, 2016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65,557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1,638,925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974,224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Lyft, Inc.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30, 2016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81,667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1,932,965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1,104,244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Twitter,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September 30, 2016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800,600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14,578,469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306,603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Lyft, Inc.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30, 2016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4,080,000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2,351,752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Sales</w:t>
            </w: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25,631,067</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(2,312,503)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gridSpan w:val="3"/>
            <w:vMerge w:val="restart"/>
          </w:tcPr>
          <w:p>
            <w:pPr>
              <w:jc w:val="center"/>
              <w:ind w:left="33"/>
              <w:spacing w:after="0"/>
              <w:rPr>
                <w:sz w:val="20"/>
                <w:szCs w:val="20"/>
                <w:color w:val="auto"/>
              </w:rPr>
            </w:pPr>
            <w:r>
              <w:rPr>
                <w:rFonts w:ascii="Arial" w:cs="Arial" w:eastAsia="Arial" w:hAnsi="Arial"/>
                <w:sz w:val="18"/>
                <w:szCs w:val="18"/>
                <w:color w:val="auto"/>
                <w:w w:val="89"/>
              </w:rPr>
              <w:t>45</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4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4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-814070</wp:posOffset>
            </wp:positionV>
            <wp:extent cx="5213985" cy="1803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2520" w:type="dxa"/>
            <w:vAlign w:val="bottom"/>
            <w:gridSpan w:val="5"/>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Nine months ended September 30, 2015</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6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Quarter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117"/>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w w:val="88"/>
              </w:rPr>
              <w:t>Average Net</w:t>
            </w:r>
          </w:p>
        </w:tc>
        <w:tc>
          <w:tcPr>
            <w:tcW w:w="60" w:type="dxa"/>
            <w:vAlign w:val="bottom"/>
          </w:tcPr>
          <w:p>
            <w:pPr>
              <w:spacing w:after="0"/>
              <w:rPr>
                <w:sz w:val="13"/>
                <w:szCs w:val="13"/>
                <w:color w:val="auto"/>
              </w:rPr>
            </w:pPr>
          </w:p>
        </w:tc>
        <w:tc>
          <w:tcPr>
            <w:tcW w:w="9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3"/>
                <w:szCs w:val="13"/>
                <w:color w:val="auto"/>
              </w:rPr>
            </w:pPr>
          </w:p>
        </w:tc>
        <w:tc>
          <w:tcPr>
            <w:tcW w:w="102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76"/>
        </w:trPr>
        <w:tc>
          <w:tcPr>
            <w:tcW w:w="2520" w:type="dxa"/>
            <w:vAlign w:val="bottom"/>
            <w:gridSpan w:val="5"/>
            <w:vMerge w:val="continue"/>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Sold</w:t>
            </w:r>
          </w:p>
        </w:tc>
        <w:tc>
          <w:tcPr>
            <w:tcW w:w="80" w:type="dxa"/>
            <w:vAlign w:val="bottom"/>
          </w:tcPr>
          <w:p>
            <w:pPr>
              <w:spacing w:after="0"/>
              <w:rPr>
                <w:sz w:val="15"/>
                <w:szCs w:val="15"/>
                <w:color w:val="auto"/>
              </w:rPr>
            </w:pPr>
          </w:p>
        </w:tc>
        <w:tc>
          <w:tcPr>
            <w:tcW w:w="940" w:type="dxa"/>
            <w:vAlign w:val="bottom"/>
            <w:gridSpan w:val="2"/>
          </w:tcPr>
          <w:p>
            <w:pPr>
              <w:jc w:val="right"/>
              <w:spacing w:after="0" w:line="176" w:lineRule="exact"/>
              <w:rPr>
                <w:sz w:val="20"/>
                <w:szCs w:val="20"/>
                <w:color w:val="auto"/>
              </w:rPr>
            </w:pPr>
            <w:r>
              <w:rPr>
                <w:rFonts w:ascii="Arial" w:cs="Arial" w:eastAsia="Arial" w:hAnsi="Arial"/>
                <w:sz w:val="13"/>
                <w:szCs w:val="13"/>
                <w:b w:val="1"/>
                <w:bCs w:val="1"/>
                <w:color w:val="auto"/>
              </w:rPr>
              <w:t>Share Price</w:t>
            </w:r>
            <w:r>
              <w:rPr>
                <w:rFonts w:ascii="Arial" w:cs="Arial" w:eastAsia="Arial" w:hAnsi="Arial"/>
                <w:sz w:val="20"/>
                <w:szCs w:val="20"/>
                <w:b w:val="1"/>
                <w:bCs w:val="1"/>
                <w:color w:val="auto"/>
                <w:vertAlign w:val="superscript"/>
              </w:rPr>
              <w:t>(1)</w:t>
            </w:r>
          </w:p>
        </w:tc>
        <w:tc>
          <w:tcPr>
            <w:tcW w:w="6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Proceeds</w:t>
            </w:r>
          </w:p>
        </w:tc>
        <w:tc>
          <w:tcPr>
            <w:tcW w:w="80" w:type="dxa"/>
            <w:vAlign w:val="bottom"/>
          </w:tcPr>
          <w:p>
            <w:pPr>
              <w:spacing w:after="0"/>
              <w:rPr>
                <w:sz w:val="15"/>
                <w:szCs w:val="15"/>
                <w:color w:val="auto"/>
              </w:rPr>
            </w:pPr>
          </w:p>
        </w:tc>
        <w:tc>
          <w:tcPr>
            <w:tcW w:w="1020" w:type="dxa"/>
            <w:vAlign w:val="bottom"/>
            <w:gridSpan w:val="2"/>
          </w:tcPr>
          <w:p>
            <w:pPr>
              <w:jc w:val="right"/>
              <w:ind w:right="80"/>
              <w:spacing w:after="0" w:line="176" w:lineRule="exact"/>
              <w:rPr>
                <w:sz w:val="20"/>
                <w:szCs w:val="20"/>
                <w:color w:val="auto"/>
              </w:rPr>
            </w:pPr>
            <w:r>
              <w:rPr>
                <w:rFonts w:ascii="Arial" w:cs="Arial" w:eastAsia="Arial" w:hAnsi="Arial"/>
                <w:sz w:val="13"/>
                <w:szCs w:val="13"/>
                <w:b w:val="1"/>
                <w:bCs w:val="1"/>
                <w:color w:val="auto"/>
              </w:rPr>
              <w:t>Gain/(Loss)</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Twitter, Inc.</w:t>
            </w:r>
          </w:p>
        </w:tc>
        <w:tc>
          <w:tcPr>
            <w:tcW w:w="6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March 31, 2015</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48.90</w:t>
            </w:r>
          </w:p>
        </w:tc>
        <w:tc>
          <w:tcPr>
            <w:tcW w:w="6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89"/>
              </w:rPr>
              <w:t>$19,558,200</w:t>
            </w:r>
          </w:p>
        </w:tc>
        <w:tc>
          <w:tcPr>
            <w:tcW w:w="80" w:type="dxa"/>
            <w:vAlign w:val="bottom"/>
          </w:tcPr>
          <w:p>
            <w:pPr>
              <w:spacing w:after="0"/>
              <w:rPr>
                <w:sz w:val="18"/>
                <w:szCs w:val="18"/>
                <w:color w:val="auto"/>
              </w:rPr>
            </w:pPr>
          </w:p>
        </w:tc>
        <w:tc>
          <w:tcPr>
            <w:tcW w:w="10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$13,220,095</w:t>
            </w:r>
          </w:p>
        </w:tc>
        <w:tc>
          <w:tcPr>
            <w:tcW w:w="0" w:type="dxa"/>
            <w:vAlign w:val="bottom"/>
          </w:tcPr>
          <w:p>
            <w:pPr>
              <w:spacing w:after="0"/>
              <w:rPr>
                <w:sz w:val="1"/>
                <w:szCs w:val="1"/>
                <w:color w:val="auto"/>
              </w:rPr>
            </w:pPr>
          </w:p>
        </w:tc>
      </w:tr>
      <w:tr>
        <w:trPr>
          <w:trHeight w:val="216"/>
        </w:trPr>
        <w:tc>
          <w:tcPr>
            <w:tcW w:w="25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Twitter, Inc.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51.52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20,608,011</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13,666,419</w:t>
            </w:r>
          </w:p>
        </w:tc>
        <w:tc>
          <w:tcPr>
            <w:tcW w:w="0" w:type="dxa"/>
            <w:vAlign w:val="bottom"/>
          </w:tcPr>
          <w:p>
            <w:pPr>
              <w:spacing w:after="0"/>
              <w:rPr>
                <w:sz w:val="1"/>
                <w:szCs w:val="1"/>
                <w:color w:val="auto"/>
              </w:rPr>
            </w:pPr>
          </w:p>
        </w:tc>
      </w:tr>
      <w:tr>
        <w:trPr>
          <w:trHeight w:val="216"/>
        </w:trPr>
        <w:tc>
          <w:tcPr>
            <w:tcW w:w="2520" w:type="dxa"/>
            <w:vAlign w:val="bottom"/>
            <w:gridSpan w:val="5"/>
          </w:tcPr>
          <w:p>
            <w:pPr>
              <w:ind w:left="20"/>
              <w:spacing w:after="0"/>
              <w:rPr>
                <w:sz w:val="20"/>
                <w:szCs w:val="20"/>
                <w:color w:val="auto"/>
              </w:rPr>
            </w:pPr>
            <w:r>
              <w:rPr>
                <w:rFonts w:ascii="Arial" w:cs="Arial" w:eastAsia="Arial" w:hAnsi="Arial"/>
                <w:sz w:val="18"/>
                <w:szCs w:val="18"/>
                <w:color w:val="auto"/>
              </w:rPr>
              <w:t>2U, Inc. (f/k/a 2tor,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September 30, 2015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1,319,233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35.77</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47,192,835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37,160,718</w:t>
            </w:r>
          </w:p>
        </w:tc>
        <w:tc>
          <w:tcPr>
            <w:tcW w:w="0" w:type="dxa"/>
            <w:vAlign w:val="bottom"/>
          </w:tcPr>
          <w:p>
            <w:pPr>
              <w:spacing w:after="0"/>
              <w:rPr>
                <w:sz w:val="1"/>
                <w:szCs w:val="1"/>
                <w:color w:val="auto"/>
              </w:rPr>
            </w:pPr>
          </w:p>
        </w:tc>
      </w:tr>
      <w:tr>
        <w:trPr>
          <w:trHeight w:val="216"/>
        </w:trPr>
        <w:tc>
          <w:tcPr>
            <w:tcW w:w="25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SugarCRM, Inc.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2015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1,874,000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549,710</w:t>
            </w:r>
          </w:p>
        </w:tc>
        <w:tc>
          <w:tcPr>
            <w:tcW w:w="0" w:type="dxa"/>
            <w:vAlign w:val="bottom"/>
          </w:tcPr>
          <w:p>
            <w:pPr>
              <w:spacing w:after="0"/>
              <w:rPr>
                <w:sz w:val="1"/>
                <w:szCs w:val="1"/>
                <w:color w:val="auto"/>
              </w:rPr>
            </w:pPr>
          </w:p>
        </w:tc>
      </w:tr>
      <w:tr>
        <w:trPr>
          <w:trHeight w:val="205"/>
        </w:trPr>
        <w:tc>
          <w:tcPr>
            <w:tcW w:w="2520" w:type="dxa"/>
            <w:vAlign w:val="bottom"/>
            <w:gridSpan w:val="5"/>
          </w:tcPr>
          <w:p>
            <w:pPr>
              <w:ind w:left="20"/>
              <w:spacing w:after="0" w:line="206" w:lineRule="exact"/>
              <w:rPr>
                <w:sz w:val="20"/>
                <w:szCs w:val="20"/>
                <w:color w:val="auto"/>
              </w:rPr>
            </w:pPr>
            <w:r>
              <w:rPr>
                <w:rFonts w:ascii="Arial" w:cs="Arial" w:eastAsia="Arial" w:hAnsi="Arial"/>
                <w:sz w:val="18"/>
                <w:szCs w:val="18"/>
                <w:color w:val="auto"/>
              </w:rPr>
              <w:t>Global Education Learning</w:t>
            </w: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00" w:type="dxa"/>
            <w:vAlign w:val="bottom"/>
            <w:gridSpan w:val="4"/>
          </w:tcPr>
          <w:p>
            <w:pPr>
              <w:ind w:left="180"/>
              <w:spacing w:after="0" w:line="266" w:lineRule="exact"/>
              <w:rPr>
                <w:sz w:val="20"/>
                <w:szCs w:val="20"/>
                <w:color w:val="auto"/>
              </w:rPr>
            </w:pPr>
            <w:r>
              <w:rPr>
                <w:rFonts w:ascii="Arial" w:cs="Arial" w:eastAsia="Arial" w:hAnsi="Arial"/>
                <w:sz w:val="18"/>
                <w:szCs w:val="18"/>
                <w:color w:val="auto"/>
              </w:rPr>
              <w:t>(Holdings) Ltd.</w:t>
            </w:r>
            <w:r>
              <w:rPr>
                <w:rFonts w:ascii="Arial" w:cs="Arial" w:eastAsia="Arial" w:hAnsi="Arial"/>
                <w:sz w:val="30"/>
                <w:szCs w:val="30"/>
                <w:color w:val="auto"/>
                <w:vertAlign w:val="superscript"/>
              </w:rPr>
              <w:t>(4)</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September 30, 2015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N/A</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3,354,594</w:t>
            </w:r>
          </w:p>
        </w:tc>
        <w:tc>
          <w:tcPr>
            <w:tcW w:w="8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520" w:type="dxa"/>
            <w:vAlign w:val="bottom"/>
            <w:gridSpan w:val="5"/>
            <w:shd w:val="clear" w:color="auto" w:fill="CCEEFF"/>
          </w:tcPr>
          <w:p>
            <w:pPr>
              <w:ind w:left="20"/>
              <w:spacing w:after="0" w:line="256" w:lineRule="exact"/>
              <w:rPr>
                <w:sz w:val="20"/>
                <w:szCs w:val="20"/>
                <w:color w:val="auto"/>
              </w:rPr>
            </w:pPr>
            <w:r>
              <w:rPr>
                <w:rFonts w:ascii="Arial" w:cs="Arial" w:eastAsia="Arial" w:hAnsi="Arial"/>
                <w:sz w:val="18"/>
                <w:szCs w:val="18"/>
                <w:color w:val="auto"/>
              </w:rPr>
              <w:t>Totus Solutions, Inc.</w:t>
            </w:r>
            <w:r>
              <w:rPr>
                <w:rFonts w:ascii="Arial" w:cs="Arial" w:eastAsia="Arial" w:hAnsi="Arial"/>
                <w:sz w:val="29"/>
                <w:szCs w:val="29"/>
                <w:color w:val="auto"/>
                <w:vertAlign w:val="superscript"/>
              </w:rPr>
              <w:t>(5)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2015</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N/A</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(6,052,203)</w:t>
            </w:r>
          </w:p>
        </w:tc>
        <w:tc>
          <w:tcPr>
            <w:tcW w:w="0" w:type="dxa"/>
            <w:vAlign w:val="bottom"/>
          </w:tcPr>
          <w:p>
            <w:pPr>
              <w:spacing w:after="0"/>
              <w:rPr>
                <w:sz w:val="1"/>
                <w:szCs w:val="1"/>
                <w:color w:val="auto"/>
              </w:rPr>
            </w:pPr>
          </w:p>
        </w:tc>
      </w:tr>
      <w:tr>
        <w:trPr>
          <w:trHeight w:val="216"/>
        </w:trPr>
        <w:tc>
          <w:tcPr>
            <w:tcW w:w="2520" w:type="dxa"/>
            <w:vAlign w:val="bottom"/>
            <w:gridSpan w:val="5"/>
          </w:tcPr>
          <w:p>
            <w:pPr>
              <w:ind w:left="20"/>
              <w:spacing w:after="0"/>
              <w:rPr>
                <w:sz w:val="20"/>
                <w:szCs w:val="20"/>
                <w:color w:val="auto"/>
              </w:rPr>
            </w:pPr>
            <w:r>
              <w:rPr>
                <w:rFonts w:ascii="Arial" w:cs="Arial" w:eastAsia="Arial" w:hAnsi="Arial"/>
                <w:sz w:val="18"/>
                <w:szCs w:val="18"/>
                <w:color w:val="auto"/>
              </w:rPr>
              <w:t>DailyBreak,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September 30, 2015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2,225,795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0.00</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(2,854,204)</w:t>
            </w:r>
          </w:p>
        </w:tc>
        <w:tc>
          <w:tcPr>
            <w:tcW w:w="0" w:type="dxa"/>
            <w:vAlign w:val="bottom"/>
          </w:tcPr>
          <w:p>
            <w:pPr>
              <w:spacing w:after="0"/>
              <w:rPr>
                <w:sz w:val="1"/>
                <w:szCs w:val="1"/>
                <w:color w:val="auto"/>
              </w:rPr>
            </w:pPr>
          </w:p>
        </w:tc>
      </w:tr>
      <w:tr>
        <w:trPr>
          <w:trHeight w:val="216"/>
        </w:trPr>
        <w:tc>
          <w:tcPr>
            <w:tcW w:w="25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The rSmart Group, Inc.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2015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1,201,923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(1,264,160)</w:t>
            </w:r>
          </w:p>
        </w:tc>
        <w:tc>
          <w:tcPr>
            <w:tcW w:w="0" w:type="dxa"/>
            <w:vAlign w:val="bottom"/>
          </w:tcPr>
          <w:p>
            <w:pPr>
              <w:spacing w:after="0"/>
              <w:rPr>
                <w:sz w:val="1"/>
                <w:szCs w:val="1"/>
                <w:color w:val="auto"/>
              </w:rPr>
            </w:pPr>
          </w:p>
        </w:tc>
      </w:tr>
      <w:tr>
        <w:trPr>
          <w:trHeight w:val="216"/>
        </w:trPr>
        <w:tc>
          <w:tcPr>
            <w:tcW w:w="2520" w:type="dxa"/>
            <w:vAlign w:val="bottom"/>
            <w:gridSpan w:val="5"/>
          </w:tcPr>
          <w:p>
            <w:pPr>
              <w:ind w:left="20"/>
              <w:spacing w:after="0"/>
              <w:rPr>
                <w:sz w:val="20"/>
                <w:szCs w:val="20"/>
                <w:color w:val="auto"/>
              </w:rPr>
            </w:pPr>
            <w:r>
              <w:rPr>
                <w:rFonts w:ascii="Arial" w:cs="Arial" w:eastAsia="Arial" w:hAnsi="Arial"/>
                <w:sz w:val="18"/>
                <w:szCs w:val="18"/>
                <w:color w:val="auto"/>
              </w:rPr>
              <w:t>NewZoom, Inc.</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September 30, 2015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1,250,000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(260,476)</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Total Sales</w:t>
            </w:r>
          </w:p>
        </w:tc>
        <w:tc>
          <w:tcPr>
            <w:tcW w:w="1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92,645,640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54,165,899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-2220595</wp:posOffset>
            </wp:positionV>
            <wp:extent cx="51968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average net share price is the net share price realized after deducting all commissions and fees on the sale(s).</w:t>
      </w:r>
    </w:p>
    <w:p>
      <w:pPr>
        <w:spacing w:after="0" w:line="128" w:lineRule="exact"/>
        <w:rPr>
          <w:rFonts w:ascii="Arial" w:cs="Arial" w:eastAsia="Arial" w:hAnsi="Arial"/>
          <w:sz w:val="17"/>
          <w:szCs w:val="17"/>
          <w:color w:val="auto"/>
        </w:rPr>
      </w:pPr>
    </w:p>
    <w:p>
      <w:pPr>
        <w:ind w:left="300" w:hanging="272"/>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Realized gains/(losses) exclude any realized gains/(losses) incurred on the maturity of our treasury investments.</w:t>
      </w:r>
    </w:p>
    <w:p>
      <w:pPr>
        <w:spacing w:after="0" w:line="128" w:lineRule="exact"/>
        <w:rPr>
          <w:rFonts w:ascii="Arial" w:cs="Arial" w:eastAsia="Arial" w:hAnsi="Arial"/>
          <w:sz w:val="17"/>
          <w:szCs w:val="17"/>
          <w:color w:val="auto"/>
        </w:rPr>
      </w:pPr>
    </w:p>
    <w:p>
      <w:pPr>
        <w:ind w:left="300" w:right="1019" w:hanging="272"/>
        <w:spacing w:after="0" w:line="277"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January 2016, Gilt Groupe Holdings, Inc. sold for $250 million to Hudson’s Bay Co., the parent company of Saks Fifth Avenue.</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 tax distribution from Global Education Learning (Holdings) Ltd.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sales of multiple share classes as well as a debt investment in Totus Solutions, Inc.</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 the three months ended September 30,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43135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355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118110</wp:posOffset>
            </wp:positionV>
            <wp:extent cx="43135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3"/>
                <w:szCs w:val="13"/>
                <w:b w:val="1"/>
                <w:bCs w:val="1"/>
                <w:color w:val="auto"/>
                <w:w w:val="95"/>
              </w:rPr>
              <w:t>September 30, 2016</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3"/>
                <w:szCs w:val="13"/>
                <w:b w:val="1"/>
                <w:bCs w:val="1"/>
                <w:color w:val="auto"/>
                <w:w w:val="98"/>
              </w:rPr>
              <w:t>September 30, 2015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w w:val="94"/>
              </w:rPr>
              <w:t>Per Basic</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w w:val="91"/>
              </w:rPr>
              <w:t>Per Basic</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Total Investment Income</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6"/>
                <w:szCs w:val="16"/>
                <w:color w:val="auto"/>
              </w:rPr>
            </w:pPr>
          </w:p>
        </w:tc>
        <w:tc>
          <w:tcPr>
            <w:tcW w:w="640" w:type="dxa"/>
            <w:vAlign w:val="bottom"/>
            <w:tcBorders>
              <w:bottom w:val="single" w:sz="8" w:color="auto"/>
            </w:tcBorders>
          </w:tcPr>
          <w:p>
            <w:pPr>
              <w:jc w:val="right"/>
              <w:ind w:right="32"/>
              <w:spacing w:after="0" w:line="186" w:lineRule="exact"/>
              <w:rPr>
                <w:sz w:val="20"/>
                <w:szCs w:val="20"/>
                <w:color w:val="auto"/>
              </w:rPr>
            </w:pPr>
            <w:r>
              <w:rPr>
                <w:rFonts w:ascii="Arial" w:cs="Arial" w:eastAsia="Arial" w:hAnsi="Arial"/>
                <w:sz w:val="13"/>
                <w:szCs w:val="13"/>
                <w:b w:val="1"/>
                <w:bCs w:val="1"/>
                <w:color w:val="auto"/>
                <w:w w:val="99"/>
              </w:rPr>
              <w:t>Share</w:t>
            </w:r>
            <w:r>
              <w:rPr>
                <w:rFonts w:ascii="Arial" w:cs="Arial" w:eastAsia="Arial" w:hAnsi="Arial"/>
                <w:sz w:val="20"/>
                <w:szCs w:val="20"/>
                <w:b w:val="1"/>
                <w:bCs w:val="1"/>
                <w:color w:val="auto"/>
                <w:w w:val="99"/>
                <w:vertAlign w:val="superscript"/>
              </w:rPr>
              <w:t>(1)</w:t>
            </w: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6"/>
                <w:szCs w:val="16"/>
                <w:color w:val="auto"/>
              </w:rPr>
            </w:pPr>
          </w:p>
        </w:tc>
        <w:tc>
          <w:tcPr>
            <w:tcW w:w="600" w:type="dxa"/>
            <w:vAlign w:val="bottom"/>
            <w:tcBorders>
              <w:bottom w:val="single" w:sz="8" w:color="auto"/>
            </w:tcBorders>
          </w:tcPr>
          <w:p>
            <w:pPr>
              <w:jc w:val="right"/>
              <w:ind w:right="14"/>
              <w:spacing w:after="0" w:line="186" w:lineRule="exact"/>
              <w:rPr>
                <w:sz w:val="20"/>
                <w:szCs w:val="20"/>
                <w:color w:val="auto"/>
              </w:rPr>
            </w:pPr>
            <w:r>
              <w:rPr>
                <w:rFonts w:ascii="Arial" w:cs="Arial" w:eastAsia="Arial" w:hAnsi="Arial"/>
                <w:sz w:val="13"/>
                <w:szCs w:val="13"/>
                <w:b w:val="1"/>
                <w:bCs w:val="1"/>
                <w:color w:val="auto"/>
                <w:w w:val="95"/>
              </w:rPr>
              <w:t>Share</w:t>
            </w:r>
            <w:r>
              <w:rPr>
                <w:rFonts w:ascii="Arial" w:cs="Arial" w:eastAsia="Arial" w:hAnsi="Arial"/>
                <w:sz w:val="20"/>
                <w:szCs w:val="20"/>
                <w:b w:val="1"/>
                <w:bCs w:val="1"/>
                <w:color w:val="auto"/>
                <w:w w:val="95"/>
                <w:vertAlign w:val="superscript"/>
              </w:rPr>
              <w:t>(1)</w:t>
            </w: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4"/>
        </w:trPr>
        <w:tc>
          <w:tcPr>
            <w:tcW w:w="276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b w:val="1"/>
                <w:bCs w:val="1"/>
                <w:color w:val="auto"/>
              </w:rPr>
              <w:t>86,648</w:t>
            </w:r>
          </w:p>
        </w:tc>
        <w:tc>
          <w:tcPr>
            <w:tcW w:w="7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  0.00</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b w:val="1"/>
                <w:bCs w:val="1"/>
                <w:color w:val="auto"/>
              </w:rPr>
              <w:t>39,363</w:t>
            </w:r>
          </w:p>
        </w:tc>
        <w:tc>
          <w:tcPr>
            <w:tcW w:w="64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  0.00</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auto"/>
              </w:rPr>
              <w:t>47,285</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Arial" w:cs="Arial" w:eastAsia="Arial" w:hAnsi="Arial"/>
                <w:sz w:val="14"/>
                <w:szCs w:val="14"/>
                <w:color w:val="auto"/>
              </w:rPr>
              <w:t>Interest income/(reversal of interest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360"/>
              <w:spacing w:after="0"/>
              <w:rPr>
                <w:sz w:val="20"/>
                <w:szCs w:val="20"/>
                <w:color w:val="auto"/>
              </w:rPr>
            </w:pPr>
            <w:r>
              <w:rPr>
                <w:rFonts w:ascii="Arial" w:cs="Arial" w:eastAsia="Arial" w:hAnsi="Arial"/>
                <w:sz w:val="14"/>
                <w:szCs w:val="14"/>
                <w:color w:val="auto"/>
              </w:rPr>
              <w:t>accrual)</w:t>
            </w:r>
          </w:p>
        </w:tc>
        <w:tc>
          <w:tcPr>
            <w:tcW w:w="140" w:type="dxa"/>
            <w:vAlign w:val="bottom"/>
          </w:tcPr>
          <w:p>
            <w:pPr>
              <w:spacing w:after="0"/>
              <w:rPr>
                <w:sz w:val="15"/>
                <w:szCs w:val="15"/>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86,648</w:t>
            </w:r>
          </w:p>
        </w:tc>
        <w:tc>
          <w:tcPr>
            <w:tcW w:w="700" w:type="dxa"/>
            <w:vAlign w:val="bottom"/>
            <w:gridSpan w:val="2"/>
            <w:vMerge w:val="restart"/>
          </w:tcPr>
          <w:p>
            <w:pPr>
              <w:jc w:val="right"/>
              <w:ind w:right="72"/>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39,363</w:t>
            </w: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47,285</w:t>
            </w:r>
          </w:p>
        </w:tc>
        <w:tc>
          <w:tcPr>
            <w:tcW w:w="0" w:type="dxa"/>
            <w:vAlign w:val="bottom"/>
          </w:tcPr>
          <w:p>
            <w:pPr>
              <w:spacing w:after="0"/>
              <w:rPr>
                <w:sz w:val="1"/>
                <w:szCs w:val="1"/>
                <w:color w:val="auto"/>
              </w:rPr>
            </w:pPr>
          </w:p>
        </w:tc>
      </w:tr>
      <w:tr>
        <w:trPr>
          <w:trHeight w:val="81"/>
        </w:trPr>
        <w:tc>
          <w:tcPr>
            <w:tcW w:w="2760" w:type="dxa"/>
            <w:vAlign w:val="bottom"/>
            <w:vMerge w:val="restart"/>
          </w:tcPr>
          <w:p>
            <w:pPr>
              <w:ind w:left="180"/>
              <w:spacing w:after="0"/>
              <w:rPr>
                <w:sz w:val="20"/>
                <w:szCs w:val="20"/>
                <w:color w:val="auto"/>
              </w:rPr>
            </w:pPr>
            <w:r>
              <w:rPr>
                <w:rFonts w:ascii="Arial" w:cs="Arial" w:eastAsia="Arial" w:hAnsi="Arial"/>
                <w:sz w:val="14"/>
                <w:szCs w:val="14"/>
                <w:color w:val="auto"/>
              </w:rPr>
              <w:t>Dividend income</w:t>
            </w: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600" w:type="dxa"/>
            <w:vAlign w:val="bottom"/>
          </w:tcPr>
          <w:p>
            <w:pPr>
              <w:jc w:val="right"/>
              <w:ind w:right="54"/>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9"/>
        </w:trPr>
        <w:tc>
          <w:tcPr>
            <w:tcW w:w="2760" w:type="dxa"/>
            <w:vAlign w:val="bottom"/>
          </w:tcPr>
          <w:p>
            <w:pPr>
              <w:spacing w:after="0"/>
              <w:rPr>
                <w:sz w:val="20"/>
                <w:szCs w:val="20"/>
                <w:color w:val="auto"/>
              </w:rPr>
            </w:pPr>
            <w:r>
              <w:rPr>
                <w:rFonts w:ascii="Arial" w:cs="Arial" w:eastAsia="Arial" w:hAnsi="Arial"/>
                <w:sz w:val="14"/>
                <w:szCs w:val="14"/>
                <w:b w:val="1"/>
                <w:bCs w:val="1"/>
                <w:color w:val="auto"/>
              </w:rPr>
              <w:t>Total Operating Expenses</w:t>
            </w:r>
          </w:p>
        </w:tc>
        <w:tc>
          <w:tcPr>
            <w:tcW w:w="140" w:type="dxa"/>
            <w:vAlign w:val="bottom"/>
          </w:tcPr>
          <w:p>
            <w:pPr>
              <w:spacing w:after="0"/>
              <w:rPr>
                <w:sz w:val="24"/>
                <w:szCs w:val="24"/>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w w:val="99"/>
              </w:rPr>
              <w:t>4,308,303</w:t>
            </w:r>
          </w:p>
        </w:tc>
        <w:tc>
          <w:tcPr>
            <w:tcW w:w="70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0.19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6,239,277</w:t>
            </w: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rPr>
              <w:t>0.31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7"/>
              </w:rPr>
              <w:t>(1,930,974)</w:t>
            </w:r>
          </w:p>
        </w:tc>
        <w:tc>
          <w:tcPr>
            <w:tcW w:w="0" w:type="dxa"/>
            <w:vAlign w:val="bottom"/>
          </w:tcPr>
          <w:p>
            <w:pPr>
              <w:spacing w:after="0"/>
              <w:rPr>
                <w:sz w:val="1"/>
                <w:szCs w:val="1"/>
                <w:color w:val="auto"/>
              </w:rPr>
            </w:pPr>
          </w:p>
        </w:tc>
      </w:tr>
      <w:tr>
        <w:trPr>
          <w:trHeight w:val="68"/>
        </w:trPr>
        <w:tc>
          <w:tcPr>
            <w:tcW w:w="2760" w:type="dxa"/>
            <w:vAlign w:val="bottom"/>
            <w:vMerge w:val="restart"/>
          </w:tcPr>
          <w:p>
            <w:pPr>
              <w:ind w:left="180"/>
              <w:spacing w:after="0"/>
              <w:rPr>
                <w:sz w:val="20"/>
                <w:szCs w:val="20"/>
                <w:color w:val="auto"/>
              </w:rPr>
            </w:pPr>
            <w:r>
              <w:rPr>
                <w:rFonts w:ascii="Arial" w:cs="Arial" w:eastAsia="Arial" w:hAnsi="Arial"/>
                <w:sz w:val="14"/>
                <w:szCs w:val="14"/>
                <w:color w:val="auto"/>
              </w:rPr>
              <w:t>Management fees</w:t>
            </w: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w w:val="99"/>
              </w:rPr>
              <w:t>1,625,963</w:t>
            </w:r>
          </w:p>
        </w:tc>
        <w:tc>
          <w:tcPr>
            <w:tcW w:w="700" w:type="dxa"/>
            <w:vAlign w:val="bottom"/>
            <w:gridSpan w:val="2"/>
            <w:vMerge w:val="restart"/>
          </w:tcPr>
          <w:p>
            <w:pPr>
              <w:jc w:val="right"/>
              <w:ind w:right="72"/>
              <w:spacing w:after="0"/>
              <w:rPr>
                <w:sz w:val="20"/>
                <w:szCs w:val="20"/>
                <w:color w:val="auto"/>
              </w:rPr>
            </w:pPr>
            <w:r>
              <w:rPr>
                <w:rFonts w:ascii="Arial" w:cs="Arial" w:eastAsia="Arial" w:hAnsi="Arial"/>
                <w:sz w:val="14"/>
                <w:szCs w:val="14"/>
                <w:color w:val="auto"/>
              </w:rPr>
              <w:t>0.07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2,063,017</w:t>
            </w: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0.11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(437,054)</w:t>
            </w:r>
          </w:p>
        </w:tc>
        <w:tc>
          <w:tcPr>
            <w:tcW w:w="0" w:type="dxa"/>
            <w:vAlign w:val="bottom"/>
          </w:tcPr>
          <w:p>
            <w:pPr>
              <w:spacing w:after="0"/>
              <w:rPr>
                <w:sz w:val="1"/>
                <w:szCs w:val="1"/>
                <w:color w:val="auto"/>
              </w:rPr>
            </w:pPr>
          </w:p>
        </w:tc>
      </w:tr>
      <w:tr>
        <w:trPr>
          <w:trHeight w:val="81"/>
        </w:trPr>
        <w:tc>
          <w:tcPr>
            <w:tcW w:w="2760" w:type="dxa"/>
            <w:vAlign w:val="bottom"/>
            <w:vMerge w:val="restart"/>
          </w:tcPr>
          <w:p>
            <w:pPr>
              <w:ind w:left="180"/>
              <w:spacing w:after="0"/>
              <w:rPr>
                <w:sz w:val="20"/>
                <w:szCs w:val="20"/>
                <w:color w:val="auto"/>
              </w:rPr>
            </w:pPr>
            <w:r>
              <w:rPr>
                <w:rFonts w:ascii="Arial" w:cs="Arial" w:eastAsia="Arial" w:hAnsi="Arial"/>
                <w:sz w:val="14"/>
                <w:szCs w:val="14"/>
                <w:color w:val="auto"/>
              </w:rPr>
              <w:t>Incentive fees</w:t>
            </w: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220,719</w:t>
            </w:r>
          </w:p>
        </w:tc>
        <w:tc>
          <w:tcPr>
            <w:tcW w:w="700" w:type="dxa"/>
            <w:vAlign w:val="bottom"/>
            <w:gridSpan w:val="2"/>
            <w:vMerge w:val="restart"/>
          </w:tcPr>
          <w:p>
            <w:pPr>
              <w:jc w:val="right"/>
              <w:ind w:right="72"/>
              <w:spacing w:after="0"/>
              <w:rPr>
                <w:sz w:val="20"/>
                <w:szCs w:val="20"/>
                <w:color w:val="auto"/>
              </w:rPr>
            </w:pPr>
            <w:r>
              <w:rPr>
                <w:rFonts w:ascii="Arial" w:cs="Arial" w:eastAsia="Arial" w:hAnsi="Arial"/>
                <w:sz w:val="14"/>
                <w:szCs w:val="14"/>
                <w:color w:val="auto"/>
              </w:rPr>
              <w:t>0.01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1,062,535</w:t>
            </w: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0.05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(841,816)</w:t>
            </w:r>
          </w:p>
        </w:tc>
        <w:tc>
          <w:tcPr>
            <w:tcW w:w="0" w:type="dxa"/>
            <w:vAlign w:val="bottom"/>
          </w:tcPr>
          <w:p>
            <w:pPr>
              <w:spacing w:after="0"/>
              <w:rPr>
                <w:sz w:val="1"/>
                <w:szCs w:val="1"/>
                <w:color w:val="auto"/>
              </w:rPr>
            </w:pPr>
          </w:p>
        </w:tc>
      </w:tr>
      <w:tr>
        <w:trPr>
          <w:trHeight w:val="68"/>
        </w:trPr>
        <w:tc>
          <w:tcPr>
            <w:tcW w:w="2760" w:type="dxa"/>
            <w:vAlign w:val="bottom"/>
            <w:vMerge w:val="restart"/>
          </w:tcPr>
          <w:p>
            <w:pPr>
              <w:ind w:left="180"/>
              <w:spacing w:after="0"/>
              <w:rPr>
                <w:sz w:val="20"/>
                <w:szCs w:val="20"/>
                <w:color w:val="auto"/>
              </w:rPr>
            </w:pPr>
            <w:r>
              <w:rPr>
                <w:rFonts w:ascii="Arial" w:cs="Arial" w:eastAsia="Arial" w:hAnsi="Arial"/>
                <w:sz w:val="14"/>
                <w:szCs w:val="14"/>
                <w:color w:val="auto"/>
              </w:rPr>
              <w:t>Costs incurred under Administration</w:t>
            </w: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360"/>
              <w:spacing w:after="0"/>
              <w:rPr>
                <w:sz w:val="20"/>
                <w:szCs w:val="20"/>
                <w:color w:val="auto"/>
              </w:rPr>
            </w:pPr>
            <w:r>
              <w:rPr>
                <w:rFonts w:ascii="Arial" w:cs="Arial" w:eastAsia="Arial" w:hAnsi="Arial"/>
                <w:sz w:val="14"/>
                <w:szCs w:val="14"/>
                <w:color w:val="auto"/>
              </w:rPr>
              <w:t>Agreement</w:t>
            </w:r>
          </w:p>
        </w:tc>
        <w:tc>
          <w:tcPr>
            <w:tcW w:w="140" w:type="dxa"/>
            <w:vAlign w:val="bottom"/>
          </w:tcPr>
          <w:p>
            <w:pPr>
              <w:spacing w:after="0"/>
              <w:rPr>
                <w:sz w:val="15"/>
                <w:szCs w:val="15"/>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627,444</w:t>
            </w:r>
          </w:p>
        </w:tc>
        <w:tc>
          <w:tcPr>
            <w:tcW w:w="700" w:type="dxa"/>
            <w:vAlign w:val="bottom"/>
            <w:gridSpan w:val="2"/>
            <w:vMerge w:val="restart"/>
          </w:tcPr>
          <w:p>
            <w:pPr>
              <w:jc w:val="right"/>
              <w:ind w:right="72"/>
              <w:spacing w:after="0"/>
              <w:rPr>
                <w:sz w:val="20"/>
                <w:szCs w:val="20"/>
                <w:color w:val="auto"/>
              </w:rPr>
            </w:pPr>
            <w:r>
              <w:rPr>
                <w:rFonts w:ascii="Arial" w:cs="Arial" w:eastAsia="Arial" w:hAnsi="Arial"/>
                <w:sz w:val="14"/>
                <w:szCs w:val="14"/>
                <w:color w:val="auto"/>
              </w:rPr>
              <w:t>0.03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598,456</w:t>
            </w: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0.03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28,988</w:t>
            </w:r>
          </w:p>
        </w:tc>
        <w:tc>
          <w:tcPr>
            <w:tcW w:w="0" w:type="dxa"/>
            <w:vAlign w:val="bottom"/>
          </w:tcPr>
          <w:p>
            <w:pPr>
              <w:spacing w:after="0"/>
              <w:rPr>
                <w:sz w:val="1"/>
                <w:szCs w:val="1"/>
                <w:color w:val="auto"/>
              </w:rPr>
            </w:pPr>
          </w:p>
        </w:tc>
      </w:tr>
      <w:tr>
        <w:trPr>
          <w:trHeight w:val="149"/>
        </w:trPr>
        <w:tc>
          <w:tcPr>
            <w:tcW w:w="2760" w:type="dxa"/>
            <w:vAlign w:val="bottom"/>
            <w:vMerge w:val="restart"/>
          </w:tcPr>
          <w:p>
            <w:pPr>
              <w:ind w:left="180"/>
              <w:spacing w:after="0"/>
              <w:rPr>
                <w:sz w:val="20"/>
                <w:szCs w:val="20"/>
                <w:color w:val="auto"/>
              </w:rPr>
            </w:pPr>
            <w:r>
              <w:rPr>
                <w:rFonts w:ascii="Arial" w:cs="Arial" w:eastAsia="Arial" w:hAnsi="Arial"/>
                <w:sz w:val="14"/>
                <w:szCs w:val="14"/>
                <w:color w:val="auto"/>
              </w:rPr>
              <w:t>Directors’ fees</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86,250</w:t>
            </w:r>
          </w:p>
        </w:tc>
        <w:tc>
          <w:tcPr>
            <w:tcW w:w="700" w:type="dxa"/>
            <w:vAlign w:val="bottom"/>
            <w:gridSpan w:val="2"/>
            <w:vMerge w:val="restart"/>
          </w:tcPr>
          <w:p>
            <w:pPr>
              <w:jc w:val="right"/>
              <w:ind w:right="72"/>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94,620</w:t>
            </w: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(8,370)</w:t>
            </w:r>
          </w:p>
        </w:tc>
        <w:tc>
          <w:tcPr>
            <w:tcW w:w="0" w:type="dxa"/>
            <w:vAlign w:val="bottom"/>
          </w:tcPr>
          <w:p>
            <w:pPr>
              <w:spacing w:after="0"/>
              <w:rPr>
                <w:sz w:val="1"/>
                <w:szCs w:val="1"/>
                <w:color w:val="auto"/>
              </w:rPr>
            </w:pPr>
          </w:p>
        </w:tc>
      </w:tr>
      <w:tr>
        <w:trPr>
          <w:trHeight w:val="81"/>
        </w:trPr>
        <w:tc>
          <w:tcPr>
            <w:tcW w:w="2760" w:type="dxa"/>
            <w:vAlign w:val="bottom"/>
            <w:vMerge w:val="restart"/>
          </w:tcPr>
          <w:p>
            <w:pPr>
              <w:ind w:left="180"/>
              <w:spacing w:after="0"/>
              <w:rPr>
                <w:sz w:val="20"/>
                <w:szCs w:val="20"/>
                <w:color w:val="auto"/>
              </w:rPr>
            </w:pPr>
            <w:r>
              <w:rPr>
                <w:rFonts w:ascii="Arial" w:cs="Arial" w:eastAsia="Arial" w:hAnsi="Arial"/>
                <w:sz w:val="14"/>
                <w:szCs w:val="14"/>
                <w:color w:val="auto"/>
              </w:rPr>
              <w:t>Professional fees</w:t>
            </w: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416,353</w:t>
            </w:r>
          </w:p>
        </w:tc>
        <w:tc>
          <w:tcPr>
            <w:tcW w:w="700" w:type="dxa"/>
            <w:vAlign w:val="bottom"/>
            <w:gridSpan w:val="2"/>
            <w:vMerge w:val="restart"/>
          </w:tcPr>
          <w:p>
            <w:pPr>
              <w:jc w:val="right"/>
              <w:ind w:right="72"/>
              <w:spacing w:after="0"/>
              <w:rPr>
                <w:sz w:val="20"/>
                <w:szCs w:val="20"/>
                <w:color w:val="auto"/>
              </w:rPr>
            </w:pPr>
            <w:r>
              <w:rPr>
                <w:rFonts w:ascii="Arial" w:cs="Arial" w:eastAsia="Arial" w:hAnsi="Arial"/>
                <w:sz w:val="14"/>
                <w:szCs w:val="14"/>
                <w:color w:val="auto"/>
              </w:rPr>
              <w:t>0.02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265,429</w:t>
            </w: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0.01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150,924</w:t>
            </w:r>
          </w:p>
        </w:tc>
        <w:tc>
          <w:tcPr>
            <w:tcW w:w="0" w:type="dxa"/>
            <w:vAlign w:val="bottom"/>
          </w:tcPr>
          <w:p>
            <w:pPr>
              <w:spacing w:after="0"/>
              <w:rPr>
                <w:sz w:val="1"/>
                <w:szCs w:val="1"/>
                <w:color w:val="auto"/>
              </w:rPr>
            </w:pPr>
          </w:p>
        </w:tc>
      </w:tr>
      <w:tr>
        <w:trPr>
          <w:trHeight w:val="68"/>
        </w:trPr>
        <w:tc>
          <w:tcPr>
            <w:tcW w:w="2760" w:type="dxa"/>
            <w:vAlign w:val="bottom"/>
            <w:vMerge w:val="restart"/>
          </w:tcPr>
          <w:p>
            <w:pPr>
              <w:ind w:left="18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w w:val="99"/>
              </w:rPr>
              <w:t>1,189,736</w:t>
            </w:r>
          </w:p>
        </w:tc>
        <w:tc>
          <w:tcPr>
            <w:tcW w:w="700" w:type="dxa"/>
            <w:vAlign w:val="bottom"/>
            <w:gridSpan w:val="2"/>
            <w:vMerge w:val="restart"/>
          </w:tcPr>
          <w:p>
            <w:pPr>
              <w:jc w:val="right"/>
              <w:ind w:right="72"/>
              <w:spacing w:after="0"/>
              <w:rPr>
                <w:sz w:val="20"/>
                <w:szCs w:val="20"/>
                <w:color w:val="auto"/>
              </w:rPr>
            </w:pPr>
            <w:r>
              <w:rPr>
                <w:rFonts w:ascii="Arial" w:cs="Arial" w:eastAsia="Arial" w:hAnsi="Arial"/>
                <w:sz w:val="14"/>
                <w:szCs w:val="14"/>
                <w:color w:val="auto"/>
              </w:rPr>
              <w:t>0.05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1,183,833</w:t>
            </w: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0.06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5,903</w:t>
            </w:r>
          </w:p>
        </w:tc>
        <w:tc>
          <w:tcPr>
            <w:tcW w:w="0" w:type="dxa"/>
            <w:vAlign w:val="bottom"/>
          </w:tcPr>
          <w:p>
            <w:pPr>
              <w:spacing w:after="0"/>
              <w:rPr>
                <w:sz w:val="1"/>
                <w:szCs w:val="1"/>
                <w:color w:val="auto"/>
              </w:rPr>
            </w:pPr>
          </w:p>
        </w:tc>
      </w:tr>
      <w:tr>
        <w:trPr>
          <w:trHeight w:val="81"/>
        </w:trPr>
        <w:tc>
          <w:tcPr>
            <w:tcW w:w="2760" w:type="dxa"/>
            <w:vAlign w:val="bottom"/>
            <w:vMerge w:val="restart"/>
          </w:tcPr>
          <w:p>
            <w:pPr>
              <w:ind w:left="180"/>
              <w:spacing w:after="0"/>
              <w:rPr>
                <w:sz w:val="20"/>
                <w:szCs w:val="20"/>
                <w:color w:val="auto"/>
              </w:rPr>
            </w:pPr>
            <w:r>
              <w:rPr>
                <w:rFonts w:ascii="Arial" w:cs="Arial" w:eastAsia="Arial" w:hAnsi="Arial"/>
                <w:sz w:val="14"/>
                <w:szCs w:val="14"/>
                <w:color w:val="auto"/>
              </w:rPr>
              <w:t>Income tax expense</w:t>
            </w: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852,970</w:t>
            </w: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0.04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(852,970)</w:t>
            </w:r>
          </w:p>
        </w:tc>
        <w:tc>
          <w:tcPr>
            <w:tcW w:w="0" w:type="dxa"/>
            <w:vAlign w:val="bottom"/>
          </w:tcPr>
          <w:p>
            <w:pPr>
              <w:spacing w:after="0"/>
              <w:rPr>
                <w:sz w:val="1"/>
                <w:szCs w:val="1"/>
                <w:color w:val="auto"/>
              </w:rPr>
            </w:pPr>
          </w:p>
        </w:tc>
      </w:tr>
      <w:tr>
        <w:trPr>
          <w:trHeight w:val="68"/>
        </w:trPr>
        <w:tc>
          <w:tcPr>
            <w:tcW w:w="2760" w:type="dxa"/>
            <w:vAlign w:val="bottom"/>
            <w:vMerge w:val="restart"/>
          </w:tcPr>
          <w:p>
            <w:pPr>
              <w:ind w:left="180"/>
              <w:spacing w:after="0"/>
              <w:rPr>
                <w:sz w:val="20"/>
                <w:szCs w:val="20"/>
                <w:color w:val="auto"/>
              </w:rPr>
            </w:pPr>
            <w:r>
              <w:rPr>
                <w:rFonts w:ascii="Arial" w:cs="Arial" w:eastAsia="Arial" w:hAnsi="Arial"/>
                <w:sz w:val="14"/>
                <w:szCs w:val="14"/>
                <w:color w:val="auto"/>
              </w:rPr>
              <w:t>Other expenses</w:t>
            </w: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141,838</w:t>
            </w:r>
          </w:p>
        </w:tc>
        <w:tc>
          <w:tcPr>
            <w:tcW w:w="700" w:type="dxa"/>
            <w:vAlign w:val="bottom"/>
            <w:gridSpan w:val="2"/>
            <w:vMerge w:val="restart"/>
          </w:tcPr>
          <w:p>
            <w:pPr>
              <w:jc w:val="right"/>
              <w:ind w:right="72"/>
              <w:spacing w:after="0"/>
              <w:rPr>
                <w:sz w:val="20"/>
                <w:szCs w:val="20"/>
                <w:color w:val="auto"/>
              </w:rPr>
            </w:pPr>
            <w:r>
              <w:rPr>
                <w:rFonts w:ascii="Arial" w:cs="Arial" w:eastAsia="Arial" w:hAnsi="Arial"/>
                <w:sz w:val="14"/>
                <w:szCs w:val="14"/>
                <w:color w:val="auto"/>
              </w:rPr>
              <w:t>0.01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118,417</w:t>
            </w: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0.01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23,421</w:t>
            </w:r>
          </w:p>
        </w:tc>
        <w:tc>
          <w:tcPr>
            <w:tcW w:w="0" w:type="dxa"/>
            <w:vAlign w:val="bottom"/>
          </w:tcPr>
          <w:p>
            <w:pPr>
              <w:spacing w:after="0"/>
              <w:rPr>
                <w:sz w:val="1"/>
                <w:szCs w:val="1"/>
                <w:color w:val="auto"/>
              </w:rPr>
            </w:pPr>
          </w:p>
        </w:tc>
      </w:tr>
      <w:tr>
        <w:trPr>
          <w:trHeight w:val="81"/>
        </w:trPr>
        <w:tc>
          <w:tcPr>
            <w:tcW w:w="2760" w:type="dxa"/>
            <w:vAlign w:val="bottom"/>
            <w:vMerge w:val="restart"/>
          </w:tcPr>
          <w:p>
            <w:pPr>
              <w:ind w:left="180"/>
              <w:spacing w:after="0"/>
              <w:rPr>
                <w:sz w:val="20"/>
                <w:szCs w:val="20"/>
                <w:color w:val="auto"/>
              </w:rPr>
            </w:pPr>
            <w:r>
              <w:rPr>
                <w:rFonts w:ascii="Arial" w:cs="Arial" w:eastAsia="Arial" w:hAnsi="Arial"/>
                <w:sz w:val="14"/>
                <w:szCs w:val="14"/>
                <w:color w:val="auto"/>
                <w:w w:val="99"/>
              </w:rPr>
              <w:t>Provision for taxes on net investment loss</w:t>
            </w: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3"/>
              </w:rPr>
              <w:t>(26,583,935)</w:t>
            </w:r>
          </w:p>
        </w:tc>
        <w:tc>
          <w:tcPr>
            <w:tcW w:w="640" w:type="dxa"/>
            <w:vAlign w:val="bottom"/>
            <w:gridSpan w:val="2"/>
          </w:tcPr>
          <w:p>
            <w:pPr>
              <w:jc w:val="right"/>
              <w:ind w:right="14"/>
              <w:spacing w:after="0"/>
              <w:rPr>
                <w:sz w:val="20"/>
                <w:szCs w:val="20"/>
                <w:color w:val="auto"/>
              </w:rPr>
            </w:pPr>
            <w:r>
              <w:rPr>
                <w:rFonts w:ascii="Arial" w:cs="Arial" w:eastAsia="Arial" w:hAnsi="Arial"/>
                <w:sz w:val="14"/>
                <w:szCs w:val="14"/>
                <w:color w:val="auto"/>
              </w:rPr>
              <w:t>(1.38)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w w:val="94"/>
              </w:rPr>
              <w:t>26,583,935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8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Net investment loss</w:t>
            </w: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(4,221,655)</w:t>
            </w: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(0.19)</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(32,783,849)</w:t>
            </w: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color w:val="auto"/>
              </w:rPr>
              <w:t>(1.70)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28,562,194</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1"/>
        </w:trPr>
        <w:tc>
          <w:tcPr>
            <w:tcW w:w="2500" w:type="dxa"/>
            <w:vAlign w:val="bottom"/>
          </w:tcPr>
          <w:p>
            <w:pPr>
              <w:spacing w:after="0"/>
              <w:rPr>
                <w:sz w:val="20"/>
                <w:szCs w:val="20"/>
                <w:color w:val="auto"/>
              </w:rPr>
            </w:pPr>
            <w:r>
              <w:rPr>
                <w:rFonts w:ascii="Arial" w:cs="Arial" w:eastAsia="Arial" w:hAnsi="Arial"/>
                <w:sz w:val="14"/>
                <w:szCs w:val="14"/>
                <w:color w:val="auto"/>
              </w:rPr>
              <w:t>Net realized gains on investments</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2,658,715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0.12</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27,289,816</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1.40</w:t>
            </w:r>
          </w:p>
        </w:tc>
        <w:tc>
          <w:tcPr>
            <w:tcW w:w="860" w:type="dxa"/>
            <w:vAlign w:val="bottom"/>
          </w:tcPr>
          <w:p>
            <w:pPr>
              <w:jc w:val="right"/>
              <w:spacing w:after="0"/>
              <w:rPr>
                <w:sz w:val="20"/>
                <w:szCs w:val="20"/>
                <w:color w:val="auto"/>
              </w:rPr>
            </w:pPr>
            <w:r>
              <w:rPr>
                <w:rFonts w:ascii="Arial" w:cs="Arial" w:eastAsia="Arial" w:hAnsi="Arial"/>
                <w:sz w:val="14"/>
                <w:szCs w:val="14"/>
                <w:color w:val="auto"/>
              </w:rPr>
              <w:t>(24,631,101)</w:t>
            </w:r>
          </w:p>
        </w:tc>
        <w:tc>
          <w:tcPr>
            <w:tcW w:w="0" w:type="dxa"/>
            <w:vAlign w:val="bottom"/>
          </w:tcPr>
          <w:p>
            <w:pPr>
              <w:spacing w:after="0"/>
              <w:rPr>
                <w:sz w:val="1"/>
                <w:szCs w:val="1"/>
                <w:color w:val="auto"/>
              </w:rPr>
            </w:pPr>
          </w:p>
        </w:tc>
      </w:tr>
      <w:tr>
        <w:trPr>
          <w:trHeight w:val="682"/>
        </w:trPr>
        <w:tc>
          <w:tcPr>
            <w:tcW w:w="2500" w:type="dxa"/>
            <w:vAlign w:val="bottom"/>
          </w:tcPr>
          <w:p>
            <w:pPr>
              <w:spacing w:after="0"/>
              <w:rPr>
                <w:sz w:val="20"/>
                <w:szCs w:val="20"/>
                <w:color w:val="auto"/>
              </w:rPr>
            </w:pPr>
            <w:r>
              <w:rPr>
                <w:rFonts w:ascii="Arial" w:cs="Arial" w:eastAsia="Arial" w:hAnsi="Arial"/>
                <w:sz w:val="14"/>
                <w:szCs w:val="14"/>
                <w:color w:val="auto"/>
              </w:rPr>
              <w:t>Benefit from taxes on realized gains on</w:t>
            </w: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00" w:type="dxa"/>
            <w:vAlign w:val="bottom"/>
          </w:tcPr>
          <w:p>
            <w:pPr>
              <w:ind w:left="180"/>
              <w:spacing w:after="0"/>
              <w:rPr>
                <w:sz w:val="20"/>
                <w:szCs w:val="20"/>
                <w:color w:val="auto"/>
              </w:rPr>
            </w:pPr>
            <w:r>
              <w:rPr>
                <w:rFonts w:ascii="Arial" w:cs="Arial" w:eastAsia="Arial" w:hAnsi="Arial"/>
                <w:sz w:val="14"/>
                <w:szCs w:val="14"/>
                <w:color w:val="auto"/>
              </w:rPr>
              <w:t>investments</w:t>
            </w: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11,307,706</w:t>
            </w: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color w:val="auto"/>
              </w:rPr>
              <w:t>0.59</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(11,307,706)</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540" w:type="dxa"/>
            <w:vAlign w:val="bottom"/>
          </w:tcPr>
          <w:p>
            <w:pPr>
              <w:spacing w:after="0"/>
              <w:rPr>
                <w:sz w:val="20"/>
                <w:szCs w:val="20"/>
                <w:color w:val="auto"/>
              </w:rPr>
            </w:pPr>
            <w:r>
              <w:rPr>
                <w:rFonts w:ascii="Arial" w:cs="Arial" w:eastAsia="Arial" w:hAnsi="Arial"/>
                <w:sz w:val="14"/>
                <w:szCs w:val="14"/>
                <w:color w:val="auto"/>
              </w:rPr>
              <w:t>Net change in unrealized depreciation of</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3"/>
        </w:trPr>
        <w:tc>
          <w:tcPr>
            <w:tcW w:w="2540" w:type="dxa"/>
            <w:vAlign w:val="bottom"/>
          </w:tcPr>
          <w:p>
            <w:pPr>
              <w:ind w:left="180"/>
              <w:spacing w:after="0"/>
              <w:rPr>
                <w:sz w:val="20"/>
                <w:szCs w:val="20"/>
                <w:color w:val="auto"/>
              </w:rPr>
            </w:pPr>
            <w:r>
              <w:rPr>
                <w:rFonts w:ascii="Arial" w:cs="Arial" w:eastAsia="Arial" w:hAnsi="Arial"/>
                <w:sz w:val="14"/>
                <w:szCs w:val="14"/>
                <w:color w:val="auto"/>
              </w:rPr>
              <w:t>investments</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(1,261,709)</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(0.06)</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(21,981,668)</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(1.14)</w:t>
            </w:r>
          </w:p>
        </w:tc>
        <w:tc>
          <w:tcPr>
            <w:tcW w:w="780" w:type="dxa"/>
            <w:vAlign w:val="bottom"/>
          </w:tcPr>
          <w:p>
            <w:pPr>
              <w:jc w:val="right"/>
              <w:spacing w:after="0"/>
              <w:rPr>
                <w:sz w:val="20"/>
                <w:szCs w:val="20"/>
                <w:color w:val="auto"/>
              </w:rPr>
            </w:pPr>
            <w:r>
              <w:rPr>
                <w:rFonts w:ascii="Arial" w:cs="Arial" w:eastAsia="Arial" w:hAnsi="Arial"/>
                <w:sz w:val="14"/>
                <w:szCs w:val="14"/>
                <w:color w:val="auto"/>
              </w:rPr>
              <w:t>20,719,959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79"/>
        <w:spacing w:after="0"/>
        <w:rPr>
          <w:sz w:val="20"/>
          <w:szCs w:val="20"/>
          <w:color w:val="auto"/>
        </w:rPr>
      </w:pPr>
      <w:r>
        <w:rPr>
          <w:rFonts w:ascii="Arial" w:cs="Arial" w:eastAsia="Arial" w:hAnsi="Arial"/>
          <w:sz w:val="13"/>
          <w:szCs w:val="13"/>
          <w:b w:val="1"/>
          <w:bCs w:val="1"/>
          <w:color w:val="auto"/>
        </w:rPr>
        <w:t>Explanation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2540</wp:posOffset>
            </wp:positionV>
            <wp:extent cx="17240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-434340</wp:posOffset>
            </wp:positionV>
            <wp:extent cx="17240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-339725</wp:posOffset>
            </wp:positionV>
            <wp:extent cx="17240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right="619"/>
        <w:spacing w:after="0" w:line="238" w:lineRule="auto"/>
        <w:rPr>
          <w:sz w:val="20"/>
          <w:szCs w:val="20"/>
          <w:color w:val="auto"/>
        </w:rPr>
      </w:pPr>
      <w:r>
        <w:rPr>
          <w:rFonts w:ascii="Arial" w:cs="Arial" w:eastAsia="Arial" w:hAnsi="Arial"/>
          <w:sz w:val="13"/>
          <w:szCs w:val="13"/>
          <w:color w:val="auto"/>
        </w:rPr>
        <w:t>Total investment income increased between periods. Interest income increased for the three months ended September 30, 2016, as compared to the three months ended September 30, 2015, primarily due to a larger average balance of debt investments for the three months ended September 30, 2016, as compared to the three months ended September 30, 2015.</w:t>
      </w:r>
    </w:p>
    <w:p>
      <w:pPr>
        <w:spacing w:after="0" w:line="3" w:lineRule="exact"/>
        <w:rPr>
          <w:sz w:val="20"/>
          <w:szCs w:val="20"/>
          <w:color w:val="auto"/>
        </w:rPr>
      </w:pPr>
    </w:p>
    <w:p>
      <w:pPr>
        <w:ind w:right="599"/>
        <w:spacing w:after="0"/>
        <w:rPr>
          <w:sz w:val="20"/>
          <w:szCs w:val="20"/>
          <w:color w:val="auto"/>
        </w:rPr>
      </w:pPr>
      <w:r>
        <w:rPr>
          <w:rFonts w:ascii="Arial" w:cs="Arial" w:eastAsia="Arial" w:hAnsi="Arial"/>
          <w:sz w:val="13"/>
          <w:szCs w:val="13"/>
          <w:color w:val="auto"/>
        </w:rPr>
        <w:t>Total operating expenses decreased for the three months ended September 30, 2016, as compared to the three months ended September 30, 2015, primarily due to no income tax expense being incurred for the three months ended September 30, 2016, and lower accrued incentive fees during the three months ended September 30, 2016, which resulted from lower overall net realized gains as well as the unrealized depreciation of our portfolio investments in the aggregate. Total operating expenses also decreased due to lower management fees resulting from lower gross assets outstanding.</w:t>
      </w:r>
    </w:p>
    <w:p>
      <w:pPr>
        <w:spacing w:after="0" w:line="123" w:lineRule="exact"/>
        <w:rPr>
          <w:sz w:val="20"/>
          <w:szCs w:val="20"/>
          <w:color w:val="auto"/>
        </w:rPr>
      </w:pPr>
    </w:p>
    <w:p>
      <w:pPr>
        <w:ind w:right="559"/>
        <w:spacing w:after="0" w:line="239" w:lineRule="auto"/>
        <w:rPr>
          <w:sz w:val="20"/>
          <w:szCs w:val="20"/>
          <w:color w:val="auto"/>
        </w:rPr>
      </w:pPr>
      <w:r>
        <w:rPr>
          <w:rFonts w:ascii="Arial" w:cs="Arial" w:eastAsia="Arial" w:hAnsi="Arial"/>
          <w:sz w:val="13"/>
          <w:szCs w:val="13"/>
          <w:color w:val="auto"/>
        </w:rPr>
        <w:t>Provision for taxes on net investment loss decreased between periods due to our election to be treated as a RIC, which resulted in no new tax provisions being accrued. Typically for a taxable entity, a net investment loss would generate a benefit from taxes; however, as a result of our election to be treated as a RIC in 2015, we reversed the previous accrued benefits for taxes on net investment loss from prior periods. This reversal resulted in a provision for taxes on net investment loss for the three months ended September 30, 2015.</w:t>
      </w:r>
    </w:p>
    <w:p>
      <w:pPr>
        <w:spacing w:after="0" w:line="8" w:lineRule="exact"/>
        <w:rPr>
          <w:sz w:val="20"/>
          <w:szCs w:val="20"/>
          <w:color w:val="auto"/>
        </w:rPr>
      </w:pPr>
    </w:p>
    <w:p>
      <w:pPr>
        <w:ind w:right="599"/>
        <w:spacing w:after="0" w:line="221" w:lineRule="auto"/>
        <w:rPr>
          <w:sz w:val="20"/>
          <w:szCs w:val="20"/>
          <w:color w:val="auto"/>
        </w:rPr>
      </w:pPr>
      <w:r>
        <w:rPr>
          <w:rFonts w:ascii="Arial" w:cs="Arial" w:eastAsia="Arial" w:hAnsi="Arial"/>
          <w:sz w:val="14"/>
          <w:szCs w:val="14"/>
          <w:color w:val="auto"/>
        </w:rPr>
        <w:t>Our net investment loss decreased between periods primarily due to the lower incentive fees, and the fact that we had no accrual of new tax provisions for the three months ended September 30, 2016, as discussed above.</w:t>
      </w:r>
    </w:p>
    <w:p>
      <w:pPr>
        <w:spacing w:after="0" w:line="2" w:lineRule="exact"/>
        <w:rPr>
          <w:sz w:val="20"/>
          <w:szCs w:val="20"/>
          <w:color w:val="auto"/>
        </w:rPr>
      </w:pPr>
    </w:p>
    <w:p>
      <w:pPr>
        <w:ind w:right="539"/>
        <w:spacing w:after="0" w:line="227" w:lineRule="auto"/>
        <w:rPr>
          <w:sz w:val="20"/>
          <w:szCs w:val="20"/>
          <w:color w:val="auto"/>
        </w:rPr>
      </w:pPr>
      <w:r>
        <w:rPr>
          <w:rFonts w:ascii="Arial" w:cs="Arial" w:eastAsia="Arial" w:hAnsi="Arial"/>
          <w:sz w:val="14"/>
          <w:szCs w:val="14"/>
          <w:color w:val="auto"/>
        </w:rPr>
        <w:t>The components of our net realized gains on portfolio investments excluding treasury investments are reflected in the tables above, under “ — Overview — Investments — (Portfolio Activity).”</w:t>
      </w:r>
    </w:p>
    <w:p>
      <w:pPr>
        <w:spacing w:after="0" w:line="118" w:lineRule="exact"/>
        <w:rPr>
          <w:sz w:val="20"/>
          <w:szCs w:val="20"/>
          <w:color w:val="auto"/>
        </w:rPr>
      </w:pPr>
    </w:p>
    <w:p>
      <w:pPr>
        <w:ind w:right="579"/>
        <w:spacing w:after="0" w:line="242" w:lineRule="auto"/>
        <w:rPr>
          <w:sz w:val="20"/>
          <w:szCs w:val="20"/>
          <w:color w:val="auto"/>
        </w:rPr>
      </w:pPr>
      <w:r>
        <w:rPr>
          <w:rFonts w:ascii="Arial" w:cs="Arial" w:eastAsia="Arial" w:hAnsi="Arial"/>
          <w:sz w:val="13"/>
          <w:szCs w:val="13"/>
          <w:color w:val="auto"/>
        </w:rPr>
        <w:t>Our benefit from taxes on realized gains on investments decreased between periods due to our election to be treated as a RIC, which resulted in no new tax benefits being accrued. Typically for a taxable entity, net realized capital gains would generate a provision for taxes; however, as a result of our election to be treated as a RIC in 2015, we reversed the previous accrued provisions for taxes on net realized capital gains from prior periods. This reversal resulted in a benefit from taxes on net realized capital gains for the three months ended September 30, 2015.</w:t>
      </w:r>
    </w:p>
    <w:p>
      <w:pPr>
        <w:spacing w:after="0" w:line="118" w:lineRule="exact"/>
        <w:rPr>
          <w:sz w:val="20"/>
          <w:szCs w:val="20"/>
          <w:color w:val="auto"/>
        </w:rPr>
      </w:pPr>
    </w:p>
    <w:p>
      <w:pPr>
        <w:ind w:right="599"/>
        <w:spacing w:after="0" w:line="229" w:lineRule="auto"/>
        <w:rPr>
          <w:sz w:val="20"/>
          <w:szCs w:val="20"/>
          <w:color w:val="auto"/>
        </w:rPr>
      </w:pPr>
      <w:r>
        <w:rPr>
          <w:rFonts w:ascii="Arial" w:cs="Arial" w:eastAsia="Arial" w:hAnsi="Arial"/>
          <w:sz w:val="14"/>
          <w:szCs w:val="14"/>
          <w:color w:val="auto"/>
        </w:rPr>
        <w:t>The components of our net change between periods in unrealized depreciation of investments are reflected in the table below, under “Net Change in Unrealized Appreciation/(Depreciation) of Investments.”</w:t>
      </w:r>
    </w:p>
    <w:p>
      <w:pPr>
        <w:spacing w:after="0" w:line="200" w:lineRule="exact"/>
        <w:rPr>
          <w:sz w:val="20"/>
          <w:szCs w:val="20"/>
          <w:color w:val="auto"/>
        </w:rPr>
      </w:pPr>
    </w:p>
    <w:p>
      <w:pPr>
        <w:sectPr>
          <w:pgSz w:w="11900" w:h="16838" w:orient="portrait"/>
          <w:cols w:equalWidth="0" w:num="2">
            <w:col w:w="6820" w:space="120"/>
            <w:col w:w="3139"/>
          </w:cols>
          <w:pgMar w:left="380" w:top="792" w:right="1440" w:bottom="1440" w:gutter="0" w:footer="0" w:header="0"/>
        </w:sectPr>
      </w:pPr>
    </w:p>
    <w:p>
      <w:pPr>
        <w:spacing w:after="0" w:line="328"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119380</wp:posOffset>
            </wp:positionV>
            <wp:extent cx="6114415" cy="596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42881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8815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100965</wp:posOffset>
            </wp:positionV>
            <wp:extent cx="42881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58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3"/>
                <w:szCs w:val="13"/>
                <w:b w:val="1"/>
                <w:bCs w:val="1"/>
                <w:color w:val="auto"/>
              </w:rPr>
              <w:t>September 30, 2016</w:t>
            </w:r>
          </w:p>
        </w:tc>
        <w:tc>
          <w:tcPr>
            <w:tcW w:w="40" w:type="dxa"/>
            <w:vAlign w:val="bottom"/>
          </w:tcPr>
          <w:p>
            <w:pPr>
              <w:spacing w:after="0"/>
              <w:rPr>
                <w:sz w:val="13"/>
                <w:szCs w:val="13"/>
                <w:color w:val="auto"/>
              </w:rPr>
            </w:pPr>
          </w:p>
        </w:tc>
        <w:tc>
          <w:tcPr>
            <w:tcW w:w="14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3"/>
                <w:szCs w:val="13"/>
                <w:b w:val="1"/>
                <w:bCs w:val="1"/>
                <w:color w:val="auto"/>
              </w:rPr>
              <w:t>September 30, 2015</w:t>
            </w: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60"/>
              <w:spacing w:after="0" w:line="118" w:lineRule="exact"/>
              <w:rPr>
                <w:sz w:val="20"/>
                <w:szCs w:val="20"/>
                <w:color w:val="auto"/>
              </w:rPr>
            </w:pPr>
            <w:r>
              <w:rPr>
                <w:rFonts w:ascii="Arial" w:cs="Arial" w:eastAsia="Arial" w:hAnsi="Arial"/>
                <w:sz w:val="13"/>
                <w:szCs w:val="13"/>
                <w:b w:val="1"/>
                <w:bCs w:val="1"/>
                <w:color w:val="auto"/>
                <w:w w:val="94"/>
              </w:rPr>
              <w:t>Per Basic</w:t>
            </w: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2"/>
          </w:tcPr>
          <w:p>
            <w:pPr>
              <w:jc w:val="right"/>
              <w:ind w:right="40"/>
              <w:spacing w:after="0" w:line="118" w:lineRule="exact"/>
              <w:rPr>
                <w:sz w:val="20"/>
                <w:szCs w:val="20"/>
                <w:color w:val="auto"/>
              </w:rPr>
            </w:pPr>
            <w:r>
              <w:rPr>
                <w:rFonts w:ascii="Arial" w:cs="Arial" w:eastAsia="Arial" w:hAnsi="Arial"/>
                <w:sz w:val="13"/>
                <w:szCs w:val="13"/>
                <w:b w:val="1"/>
                <w:bCs w:val="1"/>
                <w:color w:val="auto"/>
                <w:w w:val="91"/>
              </w:rPr>
              <w:t>Per Basic</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760" w:type="dxa"/>
            <w:vAlign w:val="bottom"/>
            <w:gridSpan w:val="2"/>
            <w:vMerge w:val="restart"/>
          </w:tcPr>
          <w:p>
            <w:pPr>
              <w:ind w:left="180"/>
              <w:spacing w:after="0"/>
              <w:rPr>
                <w:sz w:val="20"/>
                <w:szCs w:val="20"/>
                <w:color w:val="auto"/>
              </w:rPr>
            </w:pPr>
            <w:r>
              <w:rPr>
                <w:rFonts w:ascii="Arial" w:cs="Arial" w:eastAsia="Arial" w:hAnsi="Arial"/>
                <w:sz w:val="14"/>
                <w:szCs w:val="14"/>
                <w:color w:val="auto"/>
              </w:rPr>
              <w:t>Benefit from taxes on unrealized</w:t>
            </w:r>
          </w:p>
        </w:tc>
        <w:tc>
          <w:tcPr>
            <w:tcW w:w="8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6"/>
                <w:szCs w:val="16"/>
                <w:color w:val="auto"/>
              </w:rPr>
            </w:pPr>
          </w:p>
        </w:tc>
        <w:tc>
          <w:tcPr>
            <w:tcW w:w="640" w:type="dxa"/>
            <w:vAlign w:val="bottom"/>
            <w:tcBorders>
              <w:bottom w:val="single" w:sz="8" w:color="auto"/>
            </w:tcBorders>
            <w:gridSpan w:val="2"/>
          </w:tcPr>
          <w:p>
            <w:pPr>
              <w:jc w:val="right"/>
              <w:ind w:right="100"/>
              <w:spacing w:after="0" w:line="186" w:lineRule="exact"/>
              <w:rPr>
                <w:sz w:val="20"/>
                <w:szCs w:val="20"/>
                <w:color w:val="auto"/>
              </w:rPr>
            </w:pPr>
            <w:r>
              <w:rPr>
                <w:rFonts w:ascii="Arial" w:cs="Arial" w:eastAsia="Arial" w:hAnsi="Arial"/>
                <w:sz w:val="13"/>
                <w:szCs w:val="13"/>
                <w:b w:val="1"/>
                <w:bCs w:val="1"/>
                <w:color w:val="auto"/>
                <w:w w:val="99"/>
              </w:rPr>
              <w:t>Share</w:t>
            </w:r>
            <w:r>
              <w:rPr>
                <w:rFonts w:ascii="Arial" w:cs="Arial" w:eastAsia="Arial" w:hAnsi="Arial"/>
                <w:sz w:val="20"/>
                <w:szCs w:val="20"/>
                <w:b w:val="1"/>
                <w:bCs w:val="1"/>
                <w:color w:val="auto"/>
                <w:w w:val="99"/>
                <w:vertAlign w:val="superscript"/>
              </w:rPr>
              <w:t>(1)</w:t>
            </w:r>
          </w:p>
        </w:tc>
        <w:tc>
          <w:tcPr>
            <w:tcW w:w="40" w:type="dxa"/>
            <w:vAlign w:val="bottom"/>
          </w:tcPr>
          <w:p>
            <w:pPr>
              <w:spacing w:after="0"/>
              <w:rPr>
                <w:sz w:val="16"/>
                <w:szCs w:val="16"/>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6"/>
                <w:szCs w:val="16"/>
                <w:color w:val="auto"/>
              </w:rPr>
            </w:pPr>
          </w:p>
        </w:tc>
        <w:tc>
          <w:tcPr>
            <w:tcW w:w="600" w:type="dxa"/>
            <w:vAlign w:val="bottom"/>
            <w:tcBorders>
              <w:bottom w:val="single" w:sz="8" w:color="auto"/>
            </w:tcBorders>
            <w:gridSpan w:val="2"/>
          </w:tcPr>
          <w:p>
            <w:pPr>
              <w:jc w:val="right"/>
              <w:ind w:right="80"/>
              <w:spacing w:after="0" w:line="186" w:lineRule="exact"/>
              <w:rPr>
                <w:sz w:val="20"/>
                <w:szCs w:val="20"/>
                <w:color w:val="auto"/>
              </w:rPr>
            </w:pPr>
            <w:r>
              <w:rPr>
                <w:rFonts w:ascii="Arial" w:cs="Arial" w:eastAsia="Arial" w:hAnsi="Arial"/>
                <w:sz w:val="13"/>
                <w:szCs w:val="13"/>
                <w:b w:val="1"/>
                <w:bCs w:val="1"/>
                <w:color w:val="auto"/>
                <w:w w:val="95"/>
              </w:rPr>
              <w:t>Share</w:t>
            </w:r>
            <w:r>
              <w:rPr>
                <w:rFonts w:ascii="Arial" w:cs="Arial" w:eastAsia="Arial" w:hAnsi="Arial"/>
                <w:sz w:val="20"/>
                <w:szCs w:val="20"/>
                <w:b w:val="1"/>
                <w:bCs w:val="1"/>
                <w:color w:val="auto"/>
                <w:w w:val="95"/>
                <w:vertAlign w:val="superscript"/>
              </w:rPr>
              <w:t>(1)</w:t>
            </w:r>
          </w:p>
        </w:tc>
        <w:tc>
          <w:tcPr>
            <w:tcW w:w="40" w:type="dxa"/>
            <w:vAlign w:val="bottom"/>
          </w:tcPr>
          <w:p>
            <w:pPr>
              <w:spacing w:after="0"/>
              <w:rPr>
                <w:sz w:val="16"/>
                <w:szCs w:val="16"/>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3"/>
        </w:trPr>
        <w:tc>
          <w:tcPr>
            <w:tcW w:w="27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60" w:type="dxa"/>
            <w:vAlign w:val="bottom"/>
            <w:gridSpan w:val="2"/>
          </w:tcPr>
          <w:p>
            <w:pPr>
              <w:ind w:left="360"/>
              <w:spacing w:after="0"/>
              <w:rPr>
                <w:sz w:val="20"/>
                <w:szCs w:val="20"/>
                <w:color w:val="auto"/>
              </w:rPr>
            </w:pPr>
            <w:r>
              <w:rPr>
                <w:rFonts w:ascii="Arial" w:cs="Arial" w:eastAsia="Arial" w:hAnsi="Arial"/>
                <w:sz w:val="14"/>
                <w:szCs w:val="14"/>
                <w:color w:val="auto"/>
              </w:rPr>
              <w:t>depreciation of investments</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551,310</w:t>
            </w:r>
          </w:p>
        </w:tc>
        <w:tc>
          <w:tcPr>
            <w:tcW w:w="700" w:type="dxa"/>
            <w:vAlign w:val="bottom"/>
            <w:gridSpan w:val="3"/>
          </w:tcPr>
          <w:p>
            <w:pPr>
              <w:jc w:val="right"/>
              <w:ind w:right="140"/>
              <w:spacing w:after="0"/>
              <w:rPr>
                <w:sz w:val="20"/>
                <w:szCs w:val="20"/>
                <w:color w:val="auto"/>
              </w:rPr>
            </w:pPr>
            <w:r>
              <w:rPr>
                <w:rFonts w:ascii="Arial" w:cs="Arial" w:eastAsia="Arial" w:hAnsi="Arial"/>
                <w:sz w:val="14"/>
                <w:szCs w:val="14"/>
                <w:color w:val="auto"/>
              </w:rPr>
              <w:t>0.02</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25,020,686</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1.30</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(24,469,376)</w:t>
            </w:r>
          </w:p>
        </w:tc>
        <w:tc>
          <w:tcPr>
            <w:tcW w:w="0" w:type="dxa"/>
            <w:vAlign w:val="bottom"/>
          </w:tcPr>
          <w:p>
            <w:pPr>
              <w:spacing w:after="0"/>
              <w:rPr>
                <w:sz w:val="1"/>
                <w:szCs w:val="1"/>
                <w:color w:val="auto"/>
              </w:rPr>
            </w:pPr>
          </w:p>
        </w:tc>
      </w:tr>
      <w:tr>
        <w:trPr>
          <w:trHeight w:val="431"/>
        </w:trPr>
        <w:tc>
          <w:tcPr>
            <w:tcW w:w="2760" w:type="dxa"/>
            <w:vAlign w:val="bottom"/>
            <w:gridSpan w:val="2"/>
            <w:vMerge w:val="restart"/>
          </w:tcPr>
          <w:p>
            <w:pPr>
              <w:ind w:left="180"/>
              <w:spacing w:after="0"/>
              <w:rPr>
                <w:sz w:val="20"/>
                <w:szCs w:val="20"/>
                <w:color w:val="auto"/>
              </w:rPr>
            </w:pPr>
            <w:r>
              <w:rPr>
                <w:rFonts w:ascii="Arial" w:cs="Arial" w:eastAsia="Arial" w:hAnsi="Arial"/>
                <w:sz w:val="14"/>
                <w:szCs w:val="14"/>
                <w:color w:val="auto"/>
              </w:rPr>
              <w:t>Net increase/(decrease) in net assets</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7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60" w:type="dxa"/>
            <w:vAlign w:val="bottom"/>
            <w:gridSpan w:val="2"/>
          </w:tcPr>
          <w:p>
            <w:pPr>
              <w:ind w:left="360"/>
              <w:spacing w:after="0"/>
              <w:rPr>
                <w:sz w:val="20"/>
                <w:szCs w:val="20"/>
                <w:color w:val="auto"/>
              </w:rPr>
            </w:pPr>
            <w:r>
              <w:rPr>
                <w:rFonts w:ascii="Arial" w:cs="Arial" w:eastAsia="Arial" w:hAnsi="Arial"/>
                <w:sz w:val="14"/>
                <w:szCs w:val="14"/>
                <w:color w:val="auto"/>
              </w:rPr>
              <w:t>resulting from operations</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(2,273,339)</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(0.10)</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8,852,691</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0.45</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$(11,126,030)</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980" w:type="dxa"/>
            <w:vAlign w:val="bottom"/>
            <w:tcBorders>
              <w:bottom w:val="single" w:sz="8" w:color="auto"/>
            </w:tcBorders>
          </w:tcPr>
          <w:p>
            <w:pPr>
              <w:spacing w:after="0"/>
              <w:rPr>
                <w:sz w:val="22"/>
                <w:szCs w:val="22"/>
                <w:color w:val="auto"/>
              </w:rPr>
            </w:pPr>
          </w:p>
        </w:tc>
        <w:tc>
          <w:tcPr>
            <w:tcW w:w="1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Explanation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2540</wp:posOffset>
            </wp:positionV>
            <wp:extent cx="17240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-434340</wp:posOffset>
            </wp:positionV>
            <wp:extent cx="17240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-339725</wp:posOffset>
            </wp:positionV>
            <wp:extent cx="17240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right="679"/>
        <w:spacing w:after="0" w:line="250" w:lineRule="auto"/>
        <w:rPr>
          <w:sz w:val="20"/>
          <w:szCs w:val="20"/>
          <w:color w:val="auto"/>
        </w:rPr>
      </w:pPr>
      <w:r>
        <w:rPr>
          <w:rFonts w:ascii="Arial" w:cs="Arial" w:eastAsia="Arial" w:hAnsi="Arial"/>
          <w:sz w:val="13"/>
          <w:szCs w:val="13"/>
          <w:color w:val="auto"/>
        </w:rPr>
        <w:t>Our benefit from taxes on net change in unrealized depreciation of investments decreased between periods due to our election to be treated as a RIC, which resulted in no accruals of new tax benefits.</w:t>
      </w:r>
    </w:p>
    <w:p>
      <w:pPr>
        <w:spacing w:after="0" w:line="814" w:lineRule="exact"/>
        <w:rPr>
          <w:sz w:val="20"/>
          <w:szCs w:val="20"/>
          <w:color w:val="auto"/>
        </w:rPr>
      </w:pPr>
    </w:p>
    <w:p>
      <w:pPr>
        <w:sectPr>
          <w:pgSz w:w="11900" w:h="16838" w:orient="portrait"/>
          <w:cols w:equalWidth="0" w:num="2">
            <w:col w:w="6800" w:space="140"/>
            <w:col w:w="3139"/>
          </w:cols>
          <w:pgMar w:left="380" w:top="792" w:right="1440" w:bottom="1440" w:gutter="0" w:footer="0" w:header="0"/>
        </w:sectPr>
      </w:pPr>
    </w:p>
    <w:p>
      <w:pPr>
        <w:spacing w:after="0" w:line="56" w:lineRule="exact"/>
        <w:rPr>
          <w:sz w:val="20"/>
          <w:szCs w:val="20"/>
          <w:color w:val="auto"/>
        </w:rPr>
      </w:pPr>
    </w:p>
    <w:p>
      <w:pPr>
        <w:ind w:left="280" w:right="539" w:hanging="272"/>
        <w:spacing w:after="0" w:line="277"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per-share figures are based on weighted averages of 22,181,003 and 19,320,100 shares of common stock outstanding for the three months ended September 30, 2016 and 2015, respectively.</w:t>
      </w:r>
    </w:p>
    <w:p>
      <w:pPr>
        <w:sectPr>
          <w:pgSz w:w="11900" w:h="16838" w:orient="portrait"/>
          <w:cols w:equalWidth="0" w:num="1">
            <w:col w:w="10079"/>
          </w:cols>
          <w:pgMar w:left="380" w:top="792" w:right="1440"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 the nine months ended September 30,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4330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3070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117475</wp:posOffset>
            </wp:positionV>
            <wp:extent cx="4330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3"/>
                <w:szCs w:val="13"/>
                <w:b w:val="1"/>
                <w:bCs w:val="1"/>
                <w:color w:val="auto"/>
                <w:w w:val="93"/>
              </w:rPr>
              <w:t>September 30, 2016</w:t>
            </w: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b w:val="1"/>
                <w:bCs w:val="1"/>
                <w:color w:val="auto"/>
                <w:w w:val="92"/>
              </w:rPr>
              <w:t>September 30, 2015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ind w:right="14"/>
              <w:spacing w:after="0" w:line="118" w:lineRule="exact"/>
              <w:rPr>
                <w:sz w:val="20"/>
                <w:szCs w:val="20"/>
                <w:color w:val="auto"/>
              </w:rPr>
            </w:pPr>
            <w:r>
              <w:rPr>
                <w:rFonts w:ascii="Arial" w:cs="Arial" w:eastAsia="Arial" w:hAnsi="Arial"/>
                <w:sz w:val="13"/>
                <w:szCs w:val="13"/>
                <w:b w:val="1"/>
                <w:bCs w:val="1"/>
                <w:color w:val="auto"/>
                <w:w w:val="97"/>
              </w:rPr>
              <w:t>Per Basic</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jc w:val="right"/>
              <w:ind w:right="17"/>
              <w:spacing w:after="0" w:line="118" w:lineRule="exact"/>
              <w:rPr>
                <w:sz w:val="20"/>
                <w:szCs w:val="20"/>
                <w:color w:val="auto"/>
              </w:rPr>
            </w:pPr>
            <w:r>
              <w:rPr>
                <w:rFonts w:ascii="Arial" w:cs="Arial" w:eastAsia="Arial" w:hAnsi="Arial"/>
                <w:sz w:val="13"/>
                <w:szCs w:val="13"/>
                <w:b w:val="1"/>
                <w:bCs w:val="1"/>
                <w:color w:val="auto"/>
                <w:w w:val="94"/>
              </w:rPr>
              <w:t>Per Basic</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Total Investment Income</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6"/>
                <w:szCs w:val="16"/>
                <w:color w:val="auto"/>
              </w:rPr>
            </w:pPr>
          </w:p>
        </w:tc>
        <w:tc>
          <w:tcPr>
            <w:tcW w:w="680" w:type="dxa"/>
            <w:vAlign w:val="bottom"/>
            <w:tcBorders>
              <w:bottom w:val="single" w:sz="8" w:color="auto"/>
            </w:tcBorders>
          </w:tcPr>
          <w:p>
            <w:pPr>
              <w:jc w:val="right"/>
              <w:ind w:right="54"/>
              <w:spacing w:after="0" w:line="186" w:lineRule="exact"/>
              <w:rPr>
                <w:sz w:val="20"/>
                <w:szCs w:val="20"/>
                <w:color w:val="auto"/>
              </w:rPr>
            </w:pPr>
            <w:r>
              <w:rPr>
                <w:rFonts w:ascii="Arial" w:cs="Arial" w:eastAsia="Arial" w:hAnsi="Arial"/>
                <w:sz w:val="13"/>
                <w:szCs w:val="13"/>
                <w:b w:val="1"/>
                <w:bCs w:val="1"/>
                <w:color w:val="auto"/>
              </w:rPr>
              <w:t>Share</w:t>
            </w:r>
            <w:r>
              <w:rPr>
                <w:rFonts w:ascii="Arial" w:cs="Arial" w:eastAsia="Arial" w:hAnsi="Arial"/>
                <w:sz w:val="20"/>
                <w:szCs w:val="20"/>
                <w:b w:val="1"/>
                <w:bCs w:val="1"/>
                <w:color w:val="auto"/>
                <w:vertAlign w:val="superscript"/>
              </w:rPr>
              <w:t>(1)</w:t>
            </w: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6"/>
                <w:szCs w:val="16"/>
                <w:color w:val="auto"/>
              </w:rPr>
            </w:pPr>
          </w:p>
        </w:tc>
        <w:tc>
          <w:tcPr>
            <w:tcW w:w="660" w:type="dxa"/>
            <w:vAlign w:val="bottom"/>
            <w:tcBorders>
              <w:bottom w:val="single" w:sz="8" w:color="auto"/>
            </w:tcBorders>
          </w:tcPr>
          <w:p>
            <w:pPr>
              <w:jc w:val="right"/>
              <w:ind w:right="57"/>
              <w:spacing w:after="0" w:line="186" w:lineRule="exact"/>
              <w:rPr>
                <w:sz w:val="20"/>
                <w:szCs w:val="20"/>
                <w:color w:val="auto"/>
              </w:rPr>
            </w:pPr>
            <w:r>
              <w:rPr>
                <w:rFonts w:ascii="Arial" w:cs="Arial" w:eastAsia="Arial" w:hAnsi="Arial"/>
                <w:sz w:val="13"/>
                <w:szCs w:val="13"/>
                <w:b w:val="1"/>
                <w:bCs w:val="1"/>
                <w:color w:val="auto"/>
                <w:w w:val="99"/>
              </w:rPr>
              <w:t>Share</w:t>
            </w:r>
            <w:r>
              <w:rPr>
                <w:rFonts w:ascii="Arial" w:cs="Arial" w:eastAsia="Arial" w:hAnsi="Arial"/>
                <w:sz w:val="20"/>
                <w:szCs w:val="20"/>
                <w:b w:val="1"/>
                <w:bCs w:val="1"/>
                <w:color w:val="auto"/>
                <w:w w:val="99"/>
                <w:vertAlign w:val="superscript"/>
              </w:rPr>
              <w:t>(1)</w:t>
            </w: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7"/>
        </w:trPr>
        <w:tc>
          <w:tcPr>
            <w:tcW w:w="2720" w:type="dxa"/>
            <w:vAlign w:val="bottom"/>
            <w:vMerge w:val="continue"/>
          </w:tcPr>
          <w:p>
            <w:pPr>
              <w:spacing w:after="0"/>
              <w:rPr>
                <w:sz w:val="13"/>
                <w:szCs w:val="13"/>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135,181</w:t>
            </w:r>
          </w:p>
        </w:tc>
        <w:tc>
          <w:tcPr>
            <w:tcW w:w="720" w:type="dxa"/>
            <w:vAlign w:val="bottom"/>
            <w:gridSpan w:val="2"/>
            <w:vMerge w:val="restart"/>
          </w:tcPr>
          <w:p>
            <w:pPr>
              <w:jc w:val="right"/>
              <w:ind w:right="74"/>
              <w:spacing w:after="0"/>
              <w:rPr>
                <w:sz w:val="20"/>
                <w:szCs w:val="20"/>
                <w:color w:val="auto"/>
              </w:rPr>
            </w:pPr>
            <w:r>
              <w:rPr>
                <w:rFonts w:ascii="Arial" w:cs="Arial" w:eastAsia="Arial" w:hAnsi="Arial"/>
                <w:sz w:val="14"/>
                <w:szCs w:val="14"/>
                <w:b w:val="1"/>
                <w:bCs w:val="1"/>
                <w:color w:val="auto"/>
              </w:rPr>
              <w:t>$   0.01</w:t>
            </w: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222,278</w:t>
            </w:r>
          </w:p>
        </w:tc>
        <w:tc>
          <w:tcPr>
            <w:tcW w:w="700" w:type="dxa"/>
            <w:vAlign w:val="bottom"/>
            <w:gridSpan w:val="2"/>
            <w:vMerge w:val="restart"/>
          </w:tcPr>
          <w:p>
            <w:pPr>
              <w:jc w:val="right"/>
              <w:ind w:right="97"/>
              <w:spacing w:after="0"/>
              <w:rPr>
                <w:sz w:val="20"/>
                <w:szCs w:val="20"/>
                <w:color w:val="auto"/>
              </w:rPr>
            </w:pPr>
            <w:r>
              <w:rPr>
                <w:rFonts w:ascii="Arial" w:cs="Arial" w:eastAsia="Arial" w:hAnsi="Arial"/>
                <w:sz w:val="14"/>
                <w:szCs w:val="14"/>
                <w:b w:val="1"/>
                <w:bCs w:val="1"/>
                <w:color w:val="auto"/>
              </w:rPr>
              <w:t>$  0.01</w:t>
            </w: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(87,097)</w:t>
            </w:r>
          </w:p>
        </w:tc>
        <w:tc>
          <w:tcPr>
            <w:tcW w:w="0" w:type="dxa"/>
            <w:vAlign w:val="bottom"/>
          </w:tcPr>
          <w:p>
            <w:pPr>
              <w:spacing w:after="0"/>
              <w:rPr>
                <w:sz w:val="1"/>
                <w:szCs w:val="1"/>
                <w:color w:val="auto"/>
              </w:rPr>
            </w:pPr>
          </w:p>
        </w:tc>
      </w:tr>
      <w:tr>
        <w:trPr>
          <w:trHeight w:val="54"/>
        </w:trPr>
        <w:tc>
          <w:tcPr>
            <w:tcW w:w="2720" w:type="dxa"/>
            <w:vAlign w:val="bottom"/>
            <w:vMerge w:val="restart"/>
          </w:tcPr>
          <w:p>
            <w:pPr>
              <w:ind w:left="180"/>
              <w:spacing w:after="0"/>
              <w:rPr>
                <w:sz w:val="20"/>
                <w:szCs w:val="20"/>
                <w:color w:val="auto"/>
              </w:rPr>
            </w:pPr>
            <w:r>
              <w:rPr>
                <w:rFonts w:ascii="Arial" w:cs="Arial" w:eastAsia="Arial" w:hAnsi="Arial"/>
                <w:sz w:val="14"/>
                <w:szCs w:val="14"/>
                <w:color w:val="auto"/>
              </w:rPr>
              <w:t>Interest income</w:t>
            </w:r>
          </w:p>
        </w:tc>
        <w:tc>
          <w:tcPr>
            <w:tcW w:w="1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color w:val="auto"/>
              </w:rPr>
              <w:t>135,181</w:t>
            </w:r>
          </w:p>
        </w:tc>
        <w:tc>
          <w:tcPr>
            <w:tcW w:w="720" w:type="dxa"/>
            <w:vAlign w:val="bottom"/>
            <w:gridSpan w:val="2"/>
            <w:vMerge w:val="restart"/>
          </w:tcPr>
          <w:p>
            <w:pPr>
              <w:jc w:val="right"/>
              <w:ind w:right="74"/>
              <w:spacing w:after="0"/>
              <w:rPr>
                <w:sz w:val="20"/>
                <w:szCs w:val="20"/>
                <w:color w:val="auto"/>
              </w:rPr>
            </w:pPr>
            <w:r>
              <w:rPr>
                <w:rFonts w:ascii="Arial" w:cs="Arial" w:eastAsia="Arial" w:hAnsi="Arial"/>
                <w:sz w:val="14"/>
                <w:szCs w:val="14"/>
                <w:color w:val="auto"/>
              </w:rPr>
              <w:t>0.01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2"/>
              <w:spacing w:after="0"/>
              <w:rPr>
                <w:sz w:val="20"/>
                <w:szCs w:val="20"/>
                <w:color w:val="auto"/>
              </w:rPr>
            </w:pPr>
            <w:r>
              <w:rPr>
                <w:rFonts w:ascii="Arial" w:cs="Arial" w:eastAsia="Arial" w:hAnsi="Arial"/>
                <w:sz w:val="14"/>
                <w:szCs w:val="14"/>
                <w:color w:val="auto"/>
              </w:rPr>
              <w:t>175,497</w:t>
            </w:r>
          </w:p>
        </w:tc>
        <w:tc>
          <w:tcPr>
            <w:tcW w:w="700" w:type="dxa"/>
            <w:vAlign w:val="bottom"/>
            <w:gridSpan w:val="2"/>
            <w:vMerge w:val="restart"/>
          </w:tcPr>
          <w:p>
            <w:pPr>
              <w:jc w:val="right"/>
              <w:ind w:right="97"/>
              <w:spacing w:after="0"/>
              <w:rPr>
                <w:sz w:val="20"/>
                <w:szCs w:val="20"/>
                <w:color w:val="auto"/>
              </w:rPr>
            </w:pPr>
            <w:r>
              <w:rPr>
                <w:rFonts w:ascii="Arial" w:cs="Arial" w:eastAsia="Arial" w:hAnsi="Arial"/>
                <w:sz w:val="14"/>
                <w:szCs w:val="14"/>
                <w:color w:val="auto"/>
              </w:rPr>
              <w:t>0.01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(40,316)</w:t>
            </w:r>
          </w:p>
        </w:tc>
        <w:tc>
          <w:tcPr>
            <w:tcW w:w="0" w:type="dxa"/>
            <w:vAlign w:val="bottom"/>
          </w:tcPr>
          <w:p>
            <w:pPr>
              <w:spacing w:after="0"/>
              <w:rPr>
                <w:sz w:val="1"/>
                <w:szCs w:val="1"/>
                <w:color w:val="auto"/>
              </w:rPr>
            </w:pPr>
          </w:p>
        </w:tc>
      </w:tr>
      <w:tr>
        <w:trPr>
          <w:trHeight w:val="68"/>
        </w:trPr>
        <w:tc>
          <w:tcPr>
            <w:tcW w:w="2720" w:type="dxa"/>
            <w:vAlign w:val="bottom"/>
            <w:vMerge w:val="restart"/>
          </w:tcPr>
          <w:p>
            <w:pPr>
              <w:ind w:left="180"/>
              <w:spacing w:after="0"/>
              <w:rPr>
                <w:sz w:val="20"/>
                <w:szCs w:val="20"/>
                <w:color w:val="auto"/>
              </w:rPr>
            </w:pPr>
            <w:r>
              <w:rPr>
                <w:rFonts w:ascii="Arial" w:cs="Arial" w:eastAsia="Arial" w:hAnsi="Arial"/>
                <w:sz w:val="14"/>
                <w:szCs w:val="14"/>
                <w:color w:val="auto"/>
              </w:rPr>
              <w:t>Dividend income</w:t>
            </w: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80" w:type="dxa"/>
            <w:vAlign w:val="bottom"/>
            <w:vMerge w:val="restart"/>
          </w:tcPr>
          <w:p>
            <w:pPr>
              <w:jc w:val="right"/>
              <w:ind w:right="74"/>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2"/>
              <w:spacing w:after="0"/>
              <w:rPr>
                <w:sz w:val="20"/>
                <w:szCs w:val="20"/>
                <w:color w:val="auto"/>
              </w:rPr>
            </w:pPr>
            <w:r>
              <w:rPr>
                <w:rFonts w:ascii="Arial" w:cs="Arial" w:eastAsia="Arial" w:hAnsi="Arial"/>
                <w:sz w:val="14"/>
                <w:szCs w:val="14"/>
                <w:color w:val="auto"/>
              </w:rPr>
              <w:t>46,781</w:t>
            </w:r>
          </w:p>
        </w:tc>
        <w:tc>
          <w:tcPr>
            <w:tcW w:w="700" w:type="dxa"/>
            <w:vAlign w:val="bottom"/>
            <w:gridSpan w:val="2"/>
            <w:vMerge w:val="restart"/>
          </w:tcPr>
          <w:p>
            <w:pPr>
              <w:jc w:val="right"/>
              <w:ind w:right="97"/>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(46,781)</w:t>
            </w: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80" w:type="dxa"/>
            <w:vAlign w:val="bottom"/>
          </w:tcPr>
          <w:p>
            <w:pPr>
              <w:spacing w:after="0"/>
              <w:rPr>
                <w:sz w:val="20"/>
                <w:szCs w:val="20"/>
                <w:color w:val="auto"/>
              </w:rPr>
            </w:pPr>
            <w:r>
              <w:rPr>
                <w:rFonts w:ascii="Arial" w:cs="Arial" w:eastAsia="Arial" w:hAnsi="Arial"/>
                <w:sz w:val="14"/>
                <w:szCs w:val="14"/>
                <w:b w:val="1"/>
                <w:bCs w:val="1"/>
                <w:color w:val="auto"/>
              </w:rPr>
              <w:t>Total Operating Expenses</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5,261,869</w:t>
            </w: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0.24</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25,325,131</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1.30</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(20,063,262)</w:t>
            </w:r>
          </w:p>
        </w:tc>
        <w:tc>
          <w:tcPr>
            <w:tcW w:w="0" w:type="dxa"/>
            <w:vAlign w:val="bottom"/>
          </w:tcPr>
          <w:p>
            <w:pPr>
              <w:spacing w:after="0"/>
              <w:rPr>
                <w:sz w:val="1"/>
                <w:szCs w:val="1"/>
                <w:color w:val="auto"/>
              </w:rPr>
            </w:pPr>
          </w:p>
        </w:tc>
      </w:tr>
      <w:tr>
        <w:trPr>
          <w:trHeight w:val="189"/>
        </w:trPr>
        <w:tc>
          <w:tcPr>
            <w:tcW w:w="2580" w:type="dxa"/>
            <w:vAlign w:val="bottom"/>
          </w:tcPr>
          <w:p>
            <w:pPr>
              <w:ind w:left="180"/>
              <w:spacing w:after="0"/>
              <w:rPr>
                <w:sz w:val="20"/>
                <w:szCs w:val="20"/>
                <w:color w:val="auto"/>
              </w:rPr>
            </w:pPr>
            <w:r>
              <w:rPr>
                <w:rFonts w:ascii="Arial" w:cs="Arial" w:eastAsia="Arial" w:hAnsi="Arial"/>
                <w:sz w:val="14"/>
                <w:szCs w:val="14"/>
                <w:color w:val="auto"/>
              </w:rPr>
              <w:t>Management fees</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5,324,186</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0.24</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5,994,530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0.31</w:t>
            </w:r>
          </w:p>
        </w:tc>
        <w:tc>
          <w:tcPr>
            <w:tcW w:w="840" w:type="dxa"/>
            <w:vAlign w:val="bottom"/>
          </w:tcPr>
          <w:p>
            <w:pPr>
              <w:jc w:val="right"/>
              <w:spacing w:after="0"/>
              <w:rPr>
                <w:sz w:val="20"/>
                <w:szCs w:val="20"/>
                <w:color w:val="auto"/>
              </w:rPr>
            </w:pPr>
            <w:r>
              <w:rPr>
                <w:rFonts w:ascii="Arial" w:cs="Arial" w:eastAsia="Arial" w:hAnsi="Arial"/>
                <w:sz w:val="14"/>
                <w:szCs w:val="14"/>
                <w:color w:val="auto"/>
              </w:rPr>
              <w:t>(670,344)</w:t>
            </w:r>
          </w:p>
        </w:tc>
        <w:tc>
          <w:tcPr>
            <w:tcW w:w="0" w:type="dxa"/>
            <w:vAlign w:val="bottom"/>
          </w:tcPr>
          <w:p>
            <w:pPr>
              <w:spacing w:after="0"/>
              <w:rPr>
                <w:sz w:val="1"/>
                <w:szCs w:val="1"/>
                <w:color w:val="auto"/>
              </w:rPr>
            </w:pPr>
          </w:p>
        </w:tc>
      </w:tr>
      <w:tr>
        <w:trPr>
          <w:trHeight w:val="149"/>
        </w:trPr>
        <w:tc>
          <w:tcPr>
            <w:tcW w:w="2580" w:type="dxa"/>
            <w:vAlign w:val="bottom"/>
          </w:tcPr>
          <w:p>
            <w:pPr>
              <w:ind w:left="180"/>
              <w:spacing w:after="0" w:line="149" w:lineRule="exact"/>
              <w:rPr>
                <w:sz w:val="20"/>
                <w:szCs w:val="20"/>
                <w:color w:val="auto"/>
              </w:rPr>
            </w:pPr>
            <w:r>
              <w:rPr>
                <w:rFonts w:ascii="Arial" w:cs="Arial" w:eastAsia="Arial" w:hAnsi="Arial"/>
                <w:sz w:val="14"/>
                <w:szCs w:val="14"/>
                <w:color w:val="auto"/>
              </w:rPr>
              <w:t>(Reversal of incentive fee</w:t>
            </w: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80" w:type="dxa"/>
            <w:vAlign w:val="bottom"/>
          </w:tcPr>
          <w:p>
            <w:pPr>
              <w:ind w:left="360"/>
              <w:spacing w:after="0"/>
              <w:rPr>
                <w:sz w:val="20"/>
                <w:szCs w:val="20"/>
                <w:color w:val="auto"/>
              </w:rPr>
            </w:pPr>
            <w:r>
              <w:rPr>
                <w:rFonts w:ascii="Arial" w:cs="Arial" w:eastAsia="Arial" w:hAnsi="Arial"/>
                <w:sz w:val="14"/>
                <w:szCs w:val="14"/>
                <w:color w:val="auto"/>
              </w:rPr>
              <w:t>accrual)/Incentive fees</w:t>
            </w: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auto"/>
              </w:rPr>
              <w:t>(7,805,089)</w:t>
            </w: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(0.35)</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10,839,602</w:t>
            </w: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color w:val="auto"/>
              </w:rPr>
              <w:t>0.56</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(18,644,690)</w:t>
            </w:r>
          </w:p>
        </w:tc>
        <w:tc>
          <w:tcPr>
            <w:tcW w:w="0" w:type="dxa"/>
            <w:vAlign w:val="bottom"/>
          </w:tcPr>
          <w:p>
            <w:pPr>
              <w:spacing w:after="0"/>
              <w:rPr>
                <w:sz w:val="1"/>
                <w:szCs w:val="1"/>
                <w:color w:val="auto"/>
              </w:rPr>
            </w:pPr>
          </w:p>
        </w:tc>
      </w:tr>
      <w:tr>
        <w:trPr>
          <w:trHeight w:val="81"/>
        </w:trPr>
        <w:tc>
          <w:tcPr>
            <w:tcW w:w="2580" w:type="dxa"/>
            <w:vAlign w:val="bottom"/>
            <w:vMerge w:val="restart"/>
          </w:tcPr>
          <w:p>
            <w:pPr>
              <w:ind w:left="180"/>
              <w:spacing w:after="0"/>
              <w:rPr>
                <w:sz w:val="20"/>
                <w:szCs w:val="20"/>
                <w:color w:val="auto"/>
              </w:rPr>
            </w:pPr>
            <w:r>
              <w:rPr>
                <w:rFonts w:ascii="Arial" w:cs="Arial" w:eastAsia="Arial" w:hAnsi="Arial"/>
                <w:sz w:val="14"/>
                <w:szCs w:val="14"/>
                <w:color w:val="auto"/>
              </w:rPr>
              <w:t>Costs incurred under Administration</w:t>
            </w:r>
          </w:p>
        </w:tc>
        <w:tc>
          <w:tcPr>
            <w:tcW w:w="1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5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580" w:type="dxa"/>
            <w:vAlign w:val="bottom"/>
          </w:tcPr>
          <w:p>
            <w:pPr>
              <w:ind w:left="360"/>
              <w:spacing w:after="0"/>
              <w:rPr>
                <w:sz w:val="20"/>
                <w:szCs w:val="20"/>
                <w:color w:val="auto"/>
              </w:rPr>
            </w:pPr>
            <w:r>
              <w:rPr>
                <w:rFonts w:ascii="Arial" w:cs="Arial" w:eastAsia="Arial" w:hAnsi="Arial"/>
                <w:sz w:val="14"/>
                <w:szCs w:val="14"/>
                <w:color w:val="auto"/>
              </w:rPr>
              <w:t>Agreement</w:t>
            </w: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color w:val="auto"/>
              </w:rPr>
              <w:t>1,926,085</w:t>
            </w: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color w:val="auto"/>
              </w:rPr>
              <w:t>0.09</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2,185,888</w:t>
            </w: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color w:val="auto"/>
              </w:rPr>
              <w:t>0.11</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(259,803)</w:t>
            </w:r>
          </w:p>
        </w:tc>
        <w:tc>
          <w:tcPr>
            <w:tcW w:w="0" w:type="dxa"/>
            <w:vAlign w:val="bottom"/>
          </w:tcPr>
          <w:p>
            <w:pPr>
              <w:spacing w:after="0"/>
              <w:rPr>
                <w:sz w:val="1"/>
                <w:szCs w:val="1"/>
                <w:color w:val="auto"/>
              </w:rPr>
            </w:pPr>
          </w:p>
        </w:tc>
      </w:tr>
      <w:tr>
        <w:trPr>
          <w:trHeight w:val="81"/>
        </w:trPr>
        <w:tc>
          <w:tcPr>
            <w:tcW w:w="2580" w:type="dxa"/>
            <w:vAlign w:val="bottom"/>
            <w:vMerge w:val="restart"/>
          </w:tcPr>
          <w:p>
            <w:pPr>
              <w:ind w:left="180"/>
              <w:spacing w:after="0"/>
              <w:rPr>
                <w:sz w:val="20"/>
                <w:szCs w:val="20"/>
                <w:color w:val="auto"/>
              </w:rPr>
            </w:pPr>
            <w:r>
              <w:rPr>
                <w:rFonts w:ascii="Arial" w:cs="Arial" w:eastAsia="Arial" w:hAnsi="Arial"/>
                <w:sz w:val="14"/>
                <w:szCs w:val="14"/>
                <w:color w:val="auto"/>
              </w:rPr>
              <w:t>Directors’ fees</w:t>
            </w:r>
          </w:p>
        </w:tc>
        <w:tc>
          <w:tcPr>
            <w:tcW w:w="1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580" w:type="dxa"/>
            <w:vAlign w:val="bottom"/>
            <w:vMerge w:val="continue"/>
          </w:tcPr>
          <w:p>
            <w:pPr>
              <w:spacing w:after="0"/>
              <w:rPr>
                <w:sz w:val="13"/>
                <w:szCs w:val="13"/>
                <w:color w:val="auto"/>
              </w:rPr>
            </w:pPr>
          </w:p>
        </w:tc>
        <w:tc>
          <w:tcPr>
            <w:tcW w:w="114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258,750</w:t>
            </w:r>
          </w:p>
        </w:tc>
        <w:tc>
          <w:tcPr>
            <w:tcW w:w="620" w:type="dxa"/>
            <w:vAlign w:val="bottom"/>
          </w:tcPr>
          <w:p>
            <w:pPr>
              <w:jc w:val="right"/>
              <w:ind w:right="88"/>
              <w:spacing w:after="0" w:line="155" w:lineRule="exact"/>
              <w:rPr>
                <w:sz w:val="20"/>
                <w:szCs w:val="20"/>
                <w:color w:val="auto"/>
              </w:rPr>
            </w:pPr>
            <w:r>
              <w:rPr>
                <w:rFonts w:ascii="Arial" w:cs="Arial" w:eastAsia="Arial" w:hAnsi="Arial"/>
                <w:sz w:val="14"/>
                <w:szCs w:val="14"/>
                <w:color w:val="auto"/>
              </w:rPr>
              <w:t>0.01</w:t>
            </w:r>
          </w:p>
        </w:tc>
        <w:tc>
          <w:tcPr>
            <w:tcW w:w="100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287,426</w:t>
            </w:r>
          </w:p>
        </w:tc>
        <w:tc>
          <w:tcPr>
            <w:tcW w:w="62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0.01</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(28,676)</w:t>
            </w:r>
          </w:p>
        </w:tc>
        <w:tc>
          <w:tcPr>
            <w:tcW w:w="0" w:type="dxa"/>
            <w:vAlign w:val="bottom"/>
          </w:tcPr>
          <w:p>
            <w:pPr>
              <w:spacing w:after="0"/>
              <w:rPr>
                <w:sz w:val="1"/>
                <w:szCs w:val="1"/>
                <w:color w:val="auto"/>
              </w:rPr>
            </w:pPr>
          </w:p>
        </w:tc>
      </w:tr>
      <w:tr>
        <w:trPr>
          <w:trHeight w:val="189"/>
        </w:trPr>
        <w:tc>
          <w:tcPr>
            <w:tcW w:w="2580" w:type="dxa"/>
            <w:vAlign w:val="bottom"/>
          </w:tcPr>
          <w:p>
            <w:pPr>
              <w:ind w:left="180"/>
              <w:spacing w:after="0"/>
              <w:rPr>
                <w:sz w:val="20"/>
                <w:szCs w:val="20"/>
                <w:color w:val="auto"/>
              </w:rPr>
            </w:pPr>
            <w:r>
              <w:rPr>
                <w:rFonts w:ascii="Arial" w:cs="Arial" w:eastAsia="Arial" w:hAnsi="Arial"/>
                <w:sz w:val="14"/>
                <w:szCs w:val="14"/>
                <w:color w:val="auto"/>
              </w:rPr>
              <w:t>Professional fees</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1,441,856</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0.07</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1,001,401</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0.05</w:t>
            </w:r>
          </w:p>
        </w:tc>
        <w:tc>
          <w:tcPr>
            <w:tcW w:w="840" w:type="dxa"/>
            <w:vAlign w:val="bottom"/>
          </w:tcPr>
          <w:p>
            <w:pPr>
              <w:jc w:val="right"/>
              <w:spacing w:after="0"/>
              <w:rPr>
                <w:sz w:val="20"/>
                <w:szCs w:val="20"/>
                <w:color w:val="auto"/>
              </w:rPr>
            </w:pPr>
            <w:r>
              <w:rPr>
                <w:rFonts w:ascii="Arial" w:cs="Arial" w:eastAsia="Arial" w:hAnsi="Arial"/>
                <w:sz w:val="14"/>
                <w:szCs w:val="14"/>
                <w:color w:val="auto"/>
              </w:rPr>
              <w:t>440,455</w:t>
            </w:r>
          </w:p>
        </w:tc>
        <w:tc>
          <w:tcPr>
            <w:tcW w:w="0" w:type="dxa"/>
            <w:vAlign w:val="bottom"/>
          </w:tcPr>
          <w:p>
            <w:pPr>
              <w:spacing w:after="0"/>
              <w:rPr>
                <w:sz w:val="1"/>
                <w:szCs w:val="1"/>
                <w:color w:val="auto"/>
              </w:rPr>
            </w:pPr>
          </w:p>
        </w:tc>
      </w:tr>
      <w:tr>
        <w:trPr>
          <w:trHeight w:val="189"/>
        </w:trPr>
        <w:tc>
          <w:tcPr>
            <w:tcW w:w="258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3,557,225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0.16</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3,781,419</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0.20</w:t>
            </w:r>
          </w:p>
        </w:tc>
        <w:tc>
          <w:tcPr>
            <w:tcW w:w="840" w:type="dxa"/>
            <w:vAlign w:val="bottom"/>
          </w:tcPr>
          <w:p>
            <w:pPr>
              <w:jc w:val="right"/>
              <w:spacing w:after="0"/>
              <w:rPr>
                <w:sz w:val="20"/>
                <w:szCs w:val="20"/>
                <w:color w:val="auto"/>
              </w:rPr>
            </w:pPr>
            <w:r>
              <w:rPr>
                <w:rFonts w:ascii="Arial" w:cs="Arial" w:eastAsia="Arial" w:hAnsi="Arial"/>
                <w:sz w:val="14"/>
                <w:szCs w:val="14"/>
                <w:color w:val="auto"/>
              </w:rPr>
              <w:t>(224,194)</w:t>
            </w:r>
          </w:p>
        </w:tc>
        <w:tc>
          <w:tcPr>
            <w:tcW w:w="0" w:type="dxa"/>
            <w:vAlign w:val="bottom"/>
          </w:tcPr>
          <w:p>
            <w:pPr>
              <w:spacing w:after="0"/>
              <w:rPr>
                <w:sz w:val="1"/>
                <w:szCs w:val="1"/>
                <w:color w:val="auto"/>
              </w:rPr>
            </w:pPr>
          </w:p>
        </w:tc>
      </w:tr>
      <w:tr>
        <w:trPr>
          <w:trHeight w:val="189"/>
        </w:trPr>
        <w:tc>
          <w:tcPr>
            <w:tcW w:w="2580" w:type="dxa"/>
            <w:vAlign w:val="bottom"/>
          </w:tcPr>
          <w:p>
            <w:pPr>
              <w:ind w:left="180"/>
              <w:spacing w:after="0"/>
              <w:rPr>
                <w:sz w:val="20"/>
                <w:szCs w:val="20"/>
                <w:color w:val="auto"/>
              </w:rPr>
            </w:pPr>
            <w:r>
              <w:rPr>
                <w:rFonts w:ascii="Arial" w:cs="Arial" w:eastAsia="Arial" w:hAnsi="Arial"/>
                <w:sz w:val="14"/>
                <w:szCs w:val="14"/>
                <w:color w:val="auto"/>
              </w:rPr>
              <w:t>Income tax expense</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852,970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0.04</w:t>
            </w:r>
          </w:p>
        </w:tc>
        <w:tc>
          <w:tcPr>
            <w:tcW w:w="840" w:type="dxa"/>
            <w:vAlign w:val="bottom"/>
          </w:tcPr>
          <w:p>
            <w:pPr>
              <w:jc w:val="right"/>
              <w:spacing w:after="0"/>
              <w:rPr>
                <w:sz w:val="20"/>
                <w:szCs w:val="20"/>
                <w:color w:val="auto"/>
              </w:rPr>
            </w:pPr>
            <w:r>
              <w:rPr>
                <w:rFonts w:ascii="Arial" w:cs="Arial" w:eastAsia="Arial" w:hAnsi="Arial"/>
                <w:sz w:val="14"/>
                <w:szCs w:val="14"/>
                <w:color w:val="auto"/>
              </w:rPr>
              <w:t>(852,970)</w:t>
            </w:r>
          </w:p>
        </w:tc>
        <w:tc>
          <w:tcPr>
            <w:tcW w:w="0" w:type="dxa"/>
            <w:vAlign w:val="bottom"/>
          </w:tcPr>
          <w:p>
            <w:pPr>
              <w:spacing w:after="0"/>
              <w:rPr>
                <w:sz w:val="1"/>
                <w:szCs w:val="1"/>
                <w:color w:val="auto"/>
              </w:rPr>
            </w:pPr>
          </w:p>
        </w:tc>
      </w:tr>
      <w:tr>
        <w:trPr>
          <w:trHeight w:val="189"/>
        </w:trPr>
        <w:tc>
          <w:tcPr>
            <w:tcW w:w="2580" w:type="dxa"/>
            <w:vAlign w:val="bottom"/>
          </w:tcPr>
          <w:p>
            <w:pPr>
              <w:ind w:left="180"/>
              <w:spacing w:after="0"/>
              <w:rPr>
                <w:sz w:val="20"/>
                <w:szCs w:val="20"/>
                <w:color w:val="auto"/>
              </w:rPr>
            </w:pPr>
            <w:r>
              <w:rPr>
                <w:rFonts w:ascii="Arial" w:cs="Arial" w:eastAsia="Arial" w:hAnsi="Arial"/>
                <w:sz w:val="14"/>
                <w:szCs w:val="14"/>
                <w:color w:val="auto"/>
              </w:rPr>
              <w:t>Other expenses</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558,856</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0.03</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382,895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0.02</w:t>
            </w:r>
          </w:p>
        </w:tc>
        <w:tc>
          <w:tcPr>
            <w:tcW w:w="840" w:type="dxa"/>
            <w:vAlign w:val="bottom"/>
          </w:tcPr>
          <w:p>
            <w:pPr>
              <w:jc w:val="right"/>
              <w:spacing w:after="0"/>
              <w:rPr>
                <w:sz w:val="20"/>
                <w:szCs w:val="20"/>
                <w:color w:val="auto"/>
              </w:rPr>
            </w:pPr>
            <w:r>
              <w:rPr>
                <w:rFonts w:ascii="Arial" w:cs="Arial" w:eastAsia="Arial" w:hAnsi="Arial"/>
                <w:sz w:val="14"/>
                <w:szCs w:val="14"/>
                <w:color w:val="auto"/>
              </w:rPr>
              <w:t>175,960</w:t>
            </w:r>
          </w:p>
        </w:tc>
        <w:tc>
          <w:tcPr>
            <w:tcW w:w="0" w:type="dxa"/>
            <w:vAlign w:val="bottom"/>
          </w:tcPr>
          <w:p>
            <w:pPr>
              <w:spacing w:after="0"/>
              <w:rPr>
                <w:sz w:val="1"/>
                <w:szCs w:val="1"/>
                <w:color w:val="auto"/>
              </w:rPr>
            </w:pPr>
          </w:p>
        </w:tc>
      </w:tr>
      <w:tr>
        <w:trPr>
          <w:trHeight w:val="149"/>
        </w:trPr>
        <w:tc>
          <w:tcPr>
            <w:tcW w:w="2580" w:type="dxa"/>
            <w:vAlign w:val="bottom"/>
          </w:tcPr>
          <w:p>
            <w:pPr>
              <w:ind w:left="180"/>
              <w:spacing w:after="0" w:line="149" w:lineRule="exact"/>
              <w:rPr>
                <w:sz w:val="20"/>
                <w:szCs w:val="20"/>
                <w:color w:val="auto"/>
              </w:rPr>
            </w:pPr>
            <w:r>
              <w:rPr>
                <w:rFonts w:ascii="Arial" w:cs="Arial" w:eastAsia="Arial" w:hAnsi="Arial"/>
                <w:sz w:val="14"/>
                <w:szCs w:val="14"/>
                <w:color w:val="auto"/>
              </w:rPr>
              <w:t>Gain on fair value adjustment for</w:t>
            </w: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80" w:type="dxa"/>
            <w:vAlign w:val="bottom"/>
          </w:tcPr>
          <w:p>
            <w:pPr>
              <w:ind w:left="360"/>
              <w:spacing w:after="0"/>
              <w:rPr>
                <w:sz w:val="20"/>
                <w:szCs w:val="20"/>
                <w:color w:val="auto"/>
              </w:rPr>
            </w:pPr>
            <w:r>
              <w:rPr>
                <w:rFonts w:ascii="Arial" w:cs="Arial" w:eastAsia="Arial" w:hAnsi="Arial"/>
                <w:sz w:val="14"/>
                <w:szCs w:val="14"/>
                <w:color w:val="auto"/>
              </w:rPr>
              <w:t>embedded derivative</w:t>
            </w: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(1,000)</w:t>
            </w: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(0.00)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81"/>
        </w:trPr>
        <w:tc>
          <w:tcPr>
            <w:tcW w:w="25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3"/>
        </w:trPr>
        <w:tc>
          <w:tcPr>
            <w:tcW w:w="2580" w:type="dxa"/>
            <w:vAlign w:val="bottom"/>
          </w:tcPr>
          <w:p>
            <w:pPr>
              <w:ind w:left="180"/>
              <w:spacing w:after="0"/>
              <w:rPr>
                <w:sz w:val="20"/>
                <w:szCs w:val="20"/>
                <w:color w:val="auto"/>
              </w:rPr>
            </w:pPr>
            <w:r>
              <w:rPr>
                <w:rFonts w:ascii="Arial" w:cs="Arial" w:eastAsia="Arial" w:hAnsi="Arial"/>
                <w:sz w:val="14"/>
                <w:szCs w:val="14"/>
                <w:color w:val="auto"/>
              </w:rPr>
              <w:t>Provision for taxes on net</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80" w:type="dxa"/>
            <w:vAlign w:val="bottom"/>
          </w:tcPr>
          <w:p>
            <w:pPr>
              <w:ind w:left="360"/>
              <w:spacing w:after="0"/>
              <w:rPr>
                <w:sz w:val="20"/>
                <w:szCs w:val="20"/>
                <w:color w:val="auto"/>
              </w:rPr>
            </w:pPr>
            <w:r>
              <w:rPr>
                <w:rFonts w:ascii="Arial" w:cs="Arial" w:eastAsia="Arial" w:hAnsi="Arial"/>
                <w:sz w:val="14"/>
                <w:szCs w:val="14"/>
                <w:color w:val="auto"/>
              </w:rPr>
              <w:t>investment loss</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(18,865,865)</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(0.98)</w:t>
            </w:r>
          </w:p>
        </w:tc>
        <w:tc>
          <w:tcPr>
            <w:tcW w:w="840" w:type="dxa"/>
            <w:vAlign w:val="bottom"/>
          </w:tcPr>
          <w:p>
            <w:pPr>
              <w:jc w:val="right"/>
              <w:spacing w:after="0"/>
              <w:rPr>
                <w:sz w:val="20"/>
                <w:szCs w:val="20"/>
                <w:color w:val="auto"/>
              </w:rPr>
            </w:pPr>
            <w:r>
              <w:rPr>
                <w:rFonts w:ascii="Arial" w:cs="Arial" w:eastAsia="Arial" w:hAnsi="Arial"/>
                <w:sz w:val="14"/>
                <w:szCs w:val="14"/>
                <w:color w:val="auto"/>
              </w:rPr>
              <w:t>18,865,865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180" w:type="dxa"/>
        <w:tblCellMar>
          <w:top w:w="0" w:type="dxa"/>
          <w:left w:w="0" w:type="dxa"/>
          <w:bottom w:w="0" w:type="dxa"/>
          <w:right w:w="0" w:type="dxa"/>
        </w:tblCellMar>
      </w:tblPr>
      <w:tr>
        <w:trPr>
          <w:trHeight w:val="209"/>
        </w:trPr>
        <w:tc>
          <w:tcPr>
            <w:tcW w:w="2100" w:type="dxa"/>
            <w:vAlign w:val="bottom"/>
          </w:tcPr>
          <w:p>
            <w:pPr>
              <w:spacing w:after="0"/>
              <w:rPr>
                <w:sz w:val="20"/>
                <w:szCs w:val="20"/>
                <w:color w:val="auto"/>
              </w:rPr>
            </w:pPr>
            <w:r>
              <w:rPr>
                <w:rFonts w:ascii="Arial" w:cs="Arial" w:eastAsia="Arial" w:hAnsi="Arial"/>
                <w:sz w:val="14"/>
                <w:szCs w:val="14"/>
                <w:color w:val="auto"/>
              </w:rPr>
              <w:t>Net investment loss</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(5,126,688)</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(0.23)</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(43,968,718)</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(2.28)</w:t>
            </w:r>
          </w:p>
        </w:tc>
        <w:tc>
          <w:tcPr>
            <w:tcW w:w="840" w:type="dxa"/>
            <w:vAlign w:val="bottom"/>
          </w:tcPr>
          <w:p>
            <w:pPr>
              <w:jc w:val="right"/>
              <w:spacing w:after="0"/>
              <w:rPr>
                <w:sz w:val="20"/>
                <w:szCs w:val="20"/>
                <w:color w:val="auto"/>
              </w:rPr>
            </w:pPr>
            <w:r>
              <w:rPr>
                <w:rFonts w:ascii="Arial" w:cs="Arial" w:eastAsia="Arial" w:hAnsi="Arial"/>
                <w:sz w:val="14"/>
                <w:szCs w:val="14"/>
                <w:color w:val="auto"/>
              </w:rPr>
              <w:t>38,842,030</w:t>
            </w:r>
          </w:p>
        </w:tc>
      </w:tr>
      <w:tr>
        <w:trPr>
          <w:trHeight w:val="831"/>
        </w:trPr>
        <w:tc>
          <w:tcPr>
            <w:tcW w:w="2100" w:type="dxa"/>
            <w:vAlign w:val="bottom"/>
          </w:tcPr>
          <w:p>
            <w:pPr>
              <w:spacing w:after="0"/>
              <w:rPr>
                <w:sz w:val="20"/>
                <w:szCs w:val="20"/>
                <w:color w:val="auto"/>
              </w:rPr>
            </w:pPr>
            <w:r>
              <w:rPr>
                <w:rFonts w:ascii="Arial" w:cs="Arial" w:eastAsia="Arial" w:hAnsi="Arial"/>
                <w:sz w:val="14"/>
                <w:szCs w:val="14"/>
                <w:color w:val="auto"/>
              </w:rPr>
              <w:t>Net realized gains/(losses)</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2100" w:type="dxa"/>
            <w:vAlign w:val="bottom"/>
          </w:tcPr>
          <w:p>
            <w:pPr>
              <w:ind w:left="180"/>
              <w:spacing w:after="0"/>
              <w:rPr>
                <w:sz w:val="20"/>
                <w:szCs w:val="20"/>
                <w:color w:val="auto"/>
              </w:rPr>
            </w:pPr>
            <w:r>
              <w:rPr>
                <w:rFonts w:ascii="Arial" w:cs="Arial" w:eastAsia="Arial" w:hAnsi="Arial"/>
                <w:sz w:val="14"/>
                <w:szCs w:val="14"/>
                <w:color w:val="auto"/>
              </w:rPr>
              <w:t>on investments</w:t>
            </w: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(2,311,994)</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(0.10)</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54,144,833</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2.80</w:t>
            </w:r>
          </w:p>
        </w:tc>
        <w:tc>
          <w:tcPr>
            <w:tcW w:w="840" w:type="dxa"/>
            <w:vAlign w:val="bottom"/>
          </w:tcPr>
          <w:p>
            <w:pPr>
              <w:jc w:val="right"/>
              <w:spacing w:after="0"/>
              <w:rPr>
                <w:sz w:val="20"/>
                <w:szCs w:val="20"/>
                <w:color w:val="auto"/>
              </w:rPr>
            </w:pPr>
            <w:r>
              <w:rPr>
                <w:rFonts w:ascii="Arial" w:cs="Arial" w:eastAsia="Arial" w:hAnsi="Arial"/>
                <w:sz w:val="14"/>
                <w:szCs w:val="14"/>
                <w:color w:val="auto"/>
              </w:rPr>
              <w:t>(56,456,827)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9"/>
        <w:spacing w:after="0"/>
        <w:rPr>
          <w:sz w:val="20"/>
          <w:szCs w:val="20"/>
          <w:color w:val="auto"/>
        </w:rPr>
      </w:pPr>
      <w:r>
        <w:rPr>
          <w:rFonts w:ascii="Arial" w:cs="Arial" w:eastAsia="Arial" w:hAnsi="Arial"/>
          <w:sz w:val="13"/>
          <w:szCs w:val="13"/>
          <w:b w:val="1"/>
          <w:bCs w:val="1"/>
          <w:color w:val="auto"/>
        </w:rPr>
        <w:t>Explanation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2540</wp:posOffset>
            </wp:positionV>
            <wp:extent cx="16979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-434340</wp:posOffset>
            </wp:positionV>
            <wp:extent cx="16979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-339725</wp:posOffset>
            </wp:positionV>
            <wp:extent cx="16979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ind w:right="559"/>
        <w:spacing w:after="0" w:line="258" w:lineRule="auto"/>
        <w:rPr>
          <w:sz w:val="20"/>
          <w:szCs w:val="20"/>
          <w:color w:val="auto"/>
        </w:rPr>
      </w:pPr>
      <w:r>
        <w:rPr>
          <w:rFonts w:ascii="Arial" w:cs="Arial" w:eastAsia="Arial" w:hAnsi="Arial"/>
          <w:sz w:val="12"/>
          <w:szCs w:val="12"/>
          <w:color w:val="auto"/>
        </w:rPr>
        <w:t>Total investment income decreased between periods. Interest income decreased for the nine months ended September 30, 2016, as compared to the nine months ended September 30, 2015, primarily due to the reversal of previously accrued interest from loans to Fullbridge, Inc. Dividend income decreased between periods because there were no dividends earned during the nine months ended September 30, 2016.</w:t>
      </w:r>
    </w:p>
    <w:p>
      <w:pPr>
        <w:spacing w:after="0" w:line="2" w:lineRule="exact"/>
        <w:rPr>
          <w:sz w:val="20"/>
          <w:szCs w:val="20"/>
          <w:color w:val="auto"/>
        </w:rPr>
      </w:pPr>
    </w:p>
    <w:p>
      <w:pPr>
        <w:ind w:right="559"/>
        <w:spacing w:after="0" w:line="238" w:lineRule="auto"/>
        <w:rPr>
          <w:sz w:val="20"/>
          <w:szCs w:val="20"/>
          <w:color w:val="auto"/>
        </w:rPr>
      </w:pPr>
      <w:r>
        <w:rPr>
          <w:rFonts w:ascii="Arial" w:cs="Arial" w:eastAsia="Arial" w:hAnsi="Arial"/>
          <w:sz w:val="13"/>
          <w:szCs w:val="13"/>
          <w:color w:val="auto"/>
        </w:rPr>
        <w:t>Total operating expenses decreased for the nine months ended September 30, 2016, as compared to the nine months ended September 30, 2015, primarily due to the reversal of previously accrued incentive fees, which primarily resulted from net realized losses from the sales of our investments in Bloom Energy Corporation and Gilt Groupe Holdings, Inc., as well as the unrealized depreciation of our portfolio investments in the aggregate. Total operating expenses also decreased, to a lesser extent, because there was no income tax expense incurred for the nine months ended September 30, 2016. Additionally, management fees decreased due to lower gross assets outstanding for the nine months ended September 30, 2016, as compared to the nine months ended September 30, 2015. Provision for taxes on net investment loss decreased between periods due to our election to be treated as a RIC, which resulted in no new tax provisions being accrued. Typically for a taxable entity, a net investment loss would generate a benefit from taxes; however, as a result of our election to be treated as a RIC in 2015, we reversed the previous accrued benefits for taxes on net investment loss from prior periods. This reversal resulted in a provision for taxes on net investment loss for the nine months ended September 30, 2015.</w:t>
      </w:r>
    </w:p>
    <w:p>
      <w:pPr>
        <w:spacing w:after="0" w:line="10" w:lineRule="exact"/>
        <w:rPr>
          <w:sz w:val="20"/>
          <w:szCs w:val="20"/>
          <w:color w:val="auto"/>
        </w:rPr>
      </w:pPr>
    </w:p>
    <w:p>
      <w:pPr>
        <w:ind w:right="559"/>
        <w:spacing w:after="0" w:line="238" w:lineRule="auto"/>
        <w:rPr>
          <w:sz w:val="20"/>
          <w:szCs w:val="20"/>
          <w:color w:val="auto"/>
        </w:rPr>
      </w:pPr>
      <w:r>
        <w:rPr>
          <w:rFonts w:ascii="Arial" w:cs="Arial" w:eastAsia="Arial" w:hAnsi="Arial"/>
          <w:sz w:val="13"/>
          <w:szCs w:val="13"/>
          <w:color w:val="auto"/>
        </w:rPr>
        <w:t>Our net investment loss decreased between periods primarily due to the large reversal of incentive fees and the fact that we had no accrual of new tax provisions for the nine months ended September 30, 2016, as discussed above.</w:t>
      </w:r>
    </w:p>
    <w:p>
      <w:pPr>
        <w:spacing w:after="0" w:line="2" w:lineRule="exact"/>
        <w:rPr>
          <w:sz w:val="20"/>
          <w:szCs w:val="20"/>
          <w:color w:val="auto"/>
        </w:rPr>
      </w:pPr>
    </w:p>
    <w:p>
      <w:pPr>
        <w:ind w:right="559"/>
        <w:spacing w:after="0" w:line="238" w:lineRule="auto"/>
        <w:rPr>
          <w:sz w:val="20"/>
          <w:szCs w:val="20"/>
          <w:color w:val="auto"/>
        </w:rPr>
      </w:pPr>
      <w:r>
        <w:rPr>
          <w:rFonts w:ascii="Arial" w:cs="Arial" w:eastAsia="Arial" w:hAnsi="Arial"/>
          <w:sz w:val="13"/>
          <w:szCs w:val="13"/>
          <w:color w:val="auto"/>
        </w:rPr>
        <w:t>The components of our net realized gains and losses on portfolio investments excluding treasury investments are reflected in the tables above, under</w:t>
      </w:r>
    </w:p>
    <w:p>
      <w:pPr>
        <w:spacing w:after="0" w:line="1" w:lineRule="exact"/>
        <w:rPr>
          <w:sz w:val="20"/>
          <w:szCs w:val="20"/>
          <w:color w:val="auto"/>
        </w:rPr>
      </w:pPr>
    </w:p>
    <w:p>
      <w:pPr>
        <w:ind w:right="559"/>
        <w:spacing w:after="0" w:line="237" w:lineRule="auto"/>
        <w:rPr>
          <w:sz w:val="20"/>
          <w:szCs w:val="20"/>
          <w:color w:val="auto"/>
        </w:rPr>
      </w:pPr>
      <w:r>
        <w:rPr>
          <w:rFonts w:ascii="Arial" w:cs="Arial" w:eastAsia="Arial" w:hAnsi="Arial"/>
          <w:sz w:val="14"/>
          <w:szCs w:val="14"/>
          <w:color w:val="auto"/>
        </w:rPr>
        <w:t>“ — Overview — Investments — (Portfolio Activity).”</w:t>
      </w:r>
    </w:p>
    <w:p>
      <w:pPr>
        <w:spacing w:after="0" w:line="200" w:lineRule="exact"/>
        <w:rPr>
          <w:sz w:val="20"/>
          <w:szCs w:val="20"/>
          <w:color w:val="auto"/>
        </w:rPr>
      </w:pPr>
    </w:p>
    <w:p>
      <w:pPr>
        <w:sectPr>
          <w:pgSz w:w="11900" w:h="16838" w:orient="portrait"/>
          <w:cols w:equalWidth="0" w:num="2">
            <w:col w:w="6860" w:space="120"/>
            <w:col w:w="3099"/>
          </w:cols>
          <w:pgMar w:left="380" w:top="792" w:right="1440" w:bottom="1440" w:gutter="0" w:footer="0" w:header="0"/>
          <w:type w:val="continuous"/>
        </w:sect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120015</wp:posOffset>
            </wp:positionV>
            <wp:extent cx="6114415"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6979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100965</wp:posOffset>
            </wp:positionV>
            <wp:extent cx="16979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 w:hanging="179"/>
        <w:spacing w:after="0" w:line="253" w:lineRule="auto"/>
        <w:rPr>
          <w:sz w:val="20"/>
          <w:szCs w:val="20"/>
          <w:color w:val="auto"/>
        </w:rPr>
      </w:pPr>
      <w:r>
        <w:rPr>
          <w:rFonts w:ascii="Arial" w:cs="Arial" w:eastAsia="Arial" w:hAnsi="Arial"/>
          <w:sz w:val="14"/>
          <w:szCs w:val="14"/>
          <w:color w:val="auto"/>
        </w:rPr>
        <w:t>Benefit from taxes on realized gains on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0" w:right="40" w:hanging="179"/>
        <w:spacing w:after="0" w:line="291" w:lineRule="auto"/>
        <w:rPr>
          <w:sz w:val="20"/>
          <w:szCs w:val="20"/>
          <w:color w:val="auto"/>
        </w:rPr>
      </w:pPr>
      <w:r>
        <w:rPr>
          <w:rFonts w:ascii="Arial" w:cs="Arial" w:eastAsia="Arial" w:hAnsi="Arial"/>
          <w:sz w:val="13"/>
          <w:szCs w:val="13"/>
          <w:color w:val="auto"/>
        </w:rPr>
        <w:t>Net change in unrealized appreciation/ (depreciation) of investments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60" w:right="380" w:hanging="179"/>
        <w:spacing w:after="0" w:line="291" w:lineRule="auto"/>
        <w:rPr>
          <w:sz w:val="20"/>
          <w:szCs w:val="20"/>
          <w:color w:val="auto"/>
        </w:rPr>
      </w:pPr>
      <w:r>
        <w:rPr>
          <w:rFonts w:ascii="Arial" w:cs="Arial" w:eastAsia="Arial" w:hAnsi="Arial"/>
          <w:sz w:val="13"/>
          <w:szCs w:val="13"/>
          <w:color w:val="auto"/>
        </w:rPr>
        <w:t>Benefit from taxes on unrealized appreciation of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 w:right="140" w:hanging="179"/>
        <w:spacing w:after="0" w:line="291" w:lineRule="auto"/>
        <w:rPr>
          <w:sz w:val="20"/>
          <w:szCs w:val="20"/>
          <w:color w:val="auto"/>
        </w:rPr>
      </w:pPr>
      <w:r>
        <w:rPr>
          <w:rFonts w:ascii="Arial" w:cs="Arial" w:eastAsia="Arial" w:hAnsi="Arial"/>
          <w:sz w:val="13"/>
          <w:szCs w:val="13"/>
          <w:color w:val="auto"/>
        </w:rPr>
        <w:t>Net increase/(decrease)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175895</wp:posOffset>
            </wp:positionV>
            <wp:extent cx="6172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62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3"/>
                <w:szCs w:val="13"/>
                <w:b w:val="1"/>
                <w:bCs w:val="1"/>
                <w:color w:val="auto"/>
              </w:rPr>
              <w:t>September 30, 2016</w:t>
            </w:r>
          </w:p>
        </w:tc>
        <w:tc>
          <w:tcPr>
            <w:tcW w:w="40" w:type="dxa"/>
            <w:vAlign w:val="bottom"/>
          </w:tcPr>
          <w:p>
            <w:pPr>
              <w:spacing w:after="0"/>
              <w:rPr>
                <w:sz w:val="13"/>
                <w:szCs w:val="13"/>
                <w:color w:val="auto"/>
              </w:rPr>
            </w:pPr>
          </w:p>
        </w:tc>
        <w:tc>
          <w:tcPr>
            <w:tcW w:w="156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b w:val="1"/>
                <w:bCs w:val="1"/>
                <w:color w:val="auto"/>
              </w:rPr>
              <w:t>September 30, 2015</w:t>
            </w: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18"/>
        </w:trPr>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ind w:right="14"/>
              <w:spacing w:after="0" w:line="118" w:lineRule="exact"/>
              <w:rPr>
                <w:sz w:val="20"/>
                <w:szCs w:val="20"/>
                <w:color w:val="auto"/>
              </w:rPr>
            </w:pPr>
            <w:r>
              <w:rPr>
                <w:rFonts w:ascii="Arial" w:cs="Arial" w:eastAsia="Arial" w:hAnsi="Arial"/>
                <w:sz w:val="13"/>
                <w:szCs w:val="13"/>
                <w:b w:val="1"/>
                <w:bCs w:val="1"/>
                <w:color w:val="auto"/>
                <w:w w:val="97"/>
              </w:rPr>
              <w:t>Per Basic</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84"/>
              </w:rPr>
              <w:t>Per Basic</w:t>
            </w: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87"/>
        </w:trPr>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6"/>
                <w:szCs w:val="16"/>
                <w:color w:val="auto"/>
              </w:rPr>
            </w:pPr>
          </w:p>
        </w:tc>
        <w:tc>
          <w:tcPr>
            <w:tcW w:w="680" w:type="dxa"/>
            <w:vAlign w:val="bottom"/>
            <w:tcBorders>
              <w:bottom w:val="single" w:sz="8" w:color="auto"/>
            </w:tcBorders>
          </w:tcPr>
          <w:p>
            <w:pPr>
              <w:jc w:val="right"/>
              <w:ind w:right="54"/>
              <w:spacing w:after="0" w:line="186" w:lineRule="exact"/>
              <w:rPr>
                <w:sz w:val="20"/>
                <w:szCs w:val="20"/>
                <w:color w:val="auto"/>
              </w:rPr>
            </w:pPr>
            <w:r>
              <w:rPr>
                <w:rFonts w:ascii="Arial" w:cs="Arial" w:eastAsia="Arial" w:hAnsi="Arial"/>
                <w:sz w:val="13"/>
                <w:szCs w:val="13"/>
                <w:b w:val="1"/>
                <w:bCs w:val="1"/>
                <w:color w:val="auto"/>
              </w:rPr>
              <w:t>Share</w:t>
            </w:r>
            <w:r>
              <w:rPr>
                <w:rFonts w:ascii="Arial" w:cs="Arial" w:eastAsia="Arial" w:hAnsi="Arial"/>
                <w:sz w:val="20"/>
                <w:szCs w:val="20"/>
                <w:b w:val="1"/>
                <w:bCs w:val="1"/>
                <w:color w:val="auto"/>
                <w:vertAlign w:val="superscript"/>
              </w:rPr>
              <w:t>(1)</w:t>
            </w:r>
          </w:p>
        </w:tc>
        <w:tc>
          <w:tcPr>
            <w:tcW w:w="40" w:type="dxa"/>
            <w:vAlign w:val="bottom"/>
          </w:tcPr>
          <w:p>
            <w:pPr>
              <w:spacing w:after="0"/>
              <w:rPr>
                <w:sz w:val="16"/>
                <w:szCs w:val="16"/>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6"/>
                <w:szCs w:val="16"/>
                <w:color w:val="auto"/>
              </w:rPr>
            </w:pPr>
          </w:p>
        </w:tc>
        <w:tc>
          <w:tcPr>
            <w:tcW w:w="660" w:type="dxa"/>
            <w:vAlign w:val="bottom"/>
            <w:tcBorders>
              <w:bottom w:val="single" w:sz="8" w:color="auto"/>
            </w:tcBorders>
          </w:tcPr>
          <w:p>
            <w:pPr>
              <w:jc w:val="center"/>
              <w:spacing w:after="0" w:line="186" w:lineRule="exact"/>
              <w:rPr>
                <w:sz w:val="20"/>
                <w:szCs w:val="20"/>
                <w:color w:val="auto"/>
              </w:rPr>
            </w:pPr>
            <w:r>
              <w:rPr>
                <w:rFonts w:ascii="Arial" w:cs="Arial" w:eastAsia="Arial" w:hAnsi="Arial"/>
                <w:sz w:val="13"/>
                <w:szCs w:val="13"/>
                <w:b w:val="1"/>
                <w:bCs w:val="1"/>
                <w:color w:val="auto"/>
                <w:w w:val="80"/>
              </w:rPr>
              <w:t>Share</w:t>
            </w:r>
            <w:r>
              <w:rPr>
                <w:rFonts w:ascii="Arial" w:cs="Arial" w:eastAsia="Arial" w:hAnsi="Arial"/>
                <w:sz w:val="20"/>
                <w:szCs w:val="20"/>
                <w:b w:val="1"/>
                <w:bCs w:val="1"/>
                <w:color w:val="auto"/>
                <w:w w:val="80"/>
                <w:vertAlign w:val="superscript"/>
              </w:rPr>
              <w:t>(1)</w:t>
            </w:r>
          </w:p>
        </w:tc>
        <w:tc>
          <w:tcPr>
            <w:tcW w:w="40" w:type="dxa"/>
            <w:vAlign w:val="bottom"/>
          </w:tcPr>
          <w:p>
            <w:pPr>
              <w:spacing w:after="0"/>
              <w:rPr>
                <w:sz w:val="16"/>
                <w:szCs w:val="16"/>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Change</w:t>
            </w:r>
          </w:p>
        </w:tc>
      </w:tr>
      <w:tr>
        <w:trPr>
          <w:trHeight w:val="346"/>
        </w:trPr>
        <w:tc>
          <w:tcPr>
            <w:tcW w:w="900" w:type="dxa"/>
            <w:vAlign w:val="bottom"/>
          </w:tcPr>
          <w:p>
            <w:pPr>
              <w:ind w:left="6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680" w:type="dxa"/>
            <w:vAlign w:val="bottom"/>
          </w:tcPr>
          <w:p>
            <w:pPr>
              <w:jc w:val="right"/>
              <w:ind w:right="54"/>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342,802</w:t>
            </w:r>
          </w:p>
        </w:tc>
        <w:tc>
          <w:tcPr>
            <w:tcW w:w="700" w:type="dxa"/>
            <w:vAlign w:val="bottom"/>
            <w:gridSpan w:val="2"/>
          </w:tcPr>
          <w:p>
            <w:pPr>
              <w:jc w:val="right"/>
              <w:ind w:right="17"/>
              <w:spacing w:after="0"/>
              <w:rPr>
                <w:sz w:val="20"/>
                <w:szCs w:val="20"/>
                <w:color w:val="auto"/>
              </w:rPr>
            </w:pPr>
            <w:r>
              <w:rPr>
                <w:rFonts w:ascii="Arial" w:cs="Arial" w:eastAsia="Arial" w:hAnsi="Arial"/>
                <w:sz w:val="14"/>
                <w:szCs w:val="14"/>
                <w:color w:val="auto"/>
              </w:rPr>
              <w:t>0.02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(342,802)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-669290</wp:posOffset>
            </wp:positionV>
            <wp:extent cx="25984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-574675</wp:posOffset>
            </wp:positionV>
            <wp:extent cx="25984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tabs>
          <w:tab w:leader="none" w:pos="1180" w:val="left"/>
          <w:tab w:leader="none" w:pos="2060" w:val="left"/>
          <w:tab w:leader="none" w:pos="2860" w:val="left"/>
          <w:tab w:leader="none" w:pos="3360" w:val="left"/>
        </w:tabs>
        <w:rPr>
          <w:sz w:val="20"/>
          <w:szCs w:val="20"/>
          <w:color w:val="auto"/>
        </w:rPr>
      </w:pPr>
      <w:r>
        <w:rPr>
          <w:rFonts w:ascii="Arial" w:cs="Arial" w:eastAsia="Arial" w:hAnsi="Arial"/>
          <w:sz w:val="14"/>
          <w:szCs w:val="14"/>
          <w:color w:val="auto"/>
        </w:rPr>
        <w:t>(36,616,596)</w:t>
      </w:r>
      <w:r>
        <w:rPr>
          <w:sz w:val="20"/>
          <w:szCs w:val="20"/>
          <w:color w:val="auto"/>
        </w:rPr>
        <w:tab/>
      </w:r>
      <w:r>
        <w:rPr>
          <w:rFonts w:ascii="Arial" w:cs="Arial" w:eastAsia="Arial" w:hAnsi="Arial"/>
          <w:sz w:val="14"/>
          <w:szCs w:val="14"/>
          <w:color w:val="auto"/>
        </w:rPr>
        <w:t>(1.65)</w:t>
      </w:r>
      <w:r>
        <w:rPr>
          <w:sz w:val="20"/>
          <w:szCs w:val="20"/>
          <w:color w:val="auto"/>
        </w:rPr>
        <w:tab/>
      </w:r>
      <w:r>
        <w:rPr>
          <w:rFonts w:ascii="Arial" w:cs="Arial" w:eastAsia="Arial" w:hAnsi="Arial"/>
          <w:sz w:val="14"/>
          <w:szCs w:val="14"/>
          <w:color w:val="auto"/>
        </w:rPr>
        <w:t>58,014</w:t>
      </w:r>
      <w:r>
        <w:rPr>
          <w:sz w:val="20"/>
          <w:szCs w:val="20"/>
          <w:color w:val="auto"/>
        </w:rPr>
        <w:tab/>
      </w:r>
      <w:r>
        <w:rPr>
          <w:rFonts w:ascii="Arial" w:cs="Arial" w:eastAsia="Arial" w:hAnsi="Arial"/>
          <w:sz w:val="14"/>
          <w:szCs w:val="14"/>
          <w:color w:val="auto"/>
        </w:rPr>
        <w:t>0.00</w:t>
      </w:r>
      <w:r>
        <w:rPr>
          <w:sz w:val="20"/>
          <w:szCs w:val="20"/>
          <w:color w:val="auto"/>
        </w:rPr>
        <w:tab/>
      </w:r>
      <w:r>
        <w:rPr>
          <w:rFonts w:ascii="Arial" w:cs="Arial" w:eastAsia="Arial" w:hAnsi="Arial"/>
          <w:sz w:val="13"/>
          <w:szCs w:val="13"/>
          <w:color w:val="auto"/>
        </w:rPr>
        <w:t>(36,674,610)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spacing w:after="0"/>
        <w:tabs>
          <w:tab w:leader="none" w:pos="1220" w:val="left"/>
          <w:tab w:leader="none" w:pos="1800" w:val="left"/>
          <w:tab w:leader="none" w:pos="2860" w:val="left"/>
          <w:tab w:leader="none" w:pos="3360" w:val="left"/>
        </w:tabs>
        <w:rPr>
          <w:sz w:val="20"/>
          <w:szCs w:val="20"/>
          <w:color w:val="auto"/>
        </w:rPr>
      </w:pPr>
      <w:r>
        <w:rPr>
          <w:rFonts w:ascii="Arial" w:cs="Arial" w:eastAsia="Arial" w:hAnsi="Arial"/>
          <w:sz w:val="14"/>
          <w:szCs w:val="14"/>
          <w:color w:val="auto"/>
        </w:rPr>
        <w:t>551,310</w:t>
      </w:r>
      <w:r>
        <w:rPr>
          <w:sz w:val="20"/>
          <w:szCs w:val="20"/>
          <w:color w:val="auto"/>
        </w:rPr>
        <w:tab/>
      </w:r>
      <w:r>
        <w:rPr>
          <w:rFonts w:ascii="Arial" w:cs="Arial" w:eastAsia="Arial" w:hAnsi="Arial"/>
          <w:sz w:val="14"/>
          <w:szCs w:val="14"/>
          <w:color w:val="auto"/>
        </w:rPr>
        <w:t>0.02</w:t>
      </w:r>
      <w:r>
        <w:rPr>
          <w:sz w:val="20"/>
          <w:szCs w:val="20"/>
          <w:color w:val="auto"/>
        </w:rPr>
        <w:tab/>
      </w:r>
      <w:r>
        <w:rPr>
          <w:rFonts w:ascii="Arial" w:cs="Arial" w:eastAsia="Arial" w:hAnsi="Arial"/>
          <w:sz w:val="14"/>
          <w:szCs w:val="14"/>
          <w:color w:val="auto"/>
        </w:rPr>
        <w:t>16,021,883</w:t>
      </w:r>
      <w:r>
        <w:rPr>
          <w:sz w:val="20"/>
          <w:szCs w:val="20"/>
          <w:color w:val="auto"/>
        </w:rPr>
        <w:tab/>
      </w:r>
      <w:r>
        <w:rPr>
          <w:rFonts w:ascii="Arial" w:cs="Arial" w:eastAsia="Arial" w:hAnsi="Arial"/>
          <w:sz w:val="14"/>
          <w:szCs w:val="14"/>
          <w:color w:val="auto"/>
        </w:rPr>
        <w:t>0.83</w:t>
      </w:r>
      <w:r>
        <w:rPr>
          <w:sz w:val="20"/>
          <w:szCs w:val="20"/>
          <w:color w:val="auto"/>
        </w:rPr>
        <w:tab/>
      </w:r>
      <w:r>
        <w:rPr>
          <w:rFonts w:ascii="Arial" w:cs="Arial" w:eastAsia="Arial" w:hAnsi="Arial"/>
          <w:sz w:val="13"/>
          <w:szCs w:val="13"/>
          <w:color w:val="auto"/>
        </w:rPr>
        <w:t>(15,470,573)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1282065</wp:posOffset>
            </wp:positionV>
            <wp:extent cx="25812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tabs>
          <w:tab w:leader="none" w:pos="1100" w:val="left"/>
          <w:tab w:leader="none" w:pos="1740" w:val="left"/>
          <w:tab w:leader="none" w:pos="2800" w:val="left"/>
          <w:tab w:leader="none" w:pos="3280" w:val="left"/>
        </w:tabs>
        <w:rPr>
          <w:sz w:val="20"/>
          <w:szCs w:val="20"/>
          <w:color w:val="auto"/>
        </w:rPr>
      </w:pPr>
      <w:r>
        <w:rPr>
          <w:rFonts w:ascii="Arial" w:cs="Arial" w:eastAsia="Arial" w:hAnsi="Arial"/>
          <w:sz w:val="14"/>
          <w:szCs w:val="14"/>
          <w:u w:val="single" w:color="auto"/>
          <w:color w:val="auto"/>
        </w:rPr>
        <w:t>$(43,503,968</w:t>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$(1.96)</w:t>
      </w:r>
      <w:r>
        <w:rPr>
          <w:sz w:val="20"/>
          <w:szCs w:val="20"/>
          <w:color w:val="auto"/>
        </w:rPr>
        <w:tab/>
      </w:r>
      <w:r>
        <w:rPr>
          <w:rFonts w:ascii="Arial" w:cs="Arial" w:eastAsia="Arial" w:hAnsi="Arial"/>
          <w:sz w:val="14"/>
          <w:szCs w:val="14"/>
          <w:u w:val="single" w:color="auto"/>
          <w:color w:val="auto"/>
        </w:rPr>
        <w:t>$26,598,814</w:t>
      </w:r>
      <w:r>
        <w:rPr>
          <w:sz w:val="20"/>
          <w:szCs w:val="20"/>
          <w:color w:val="auto"/>
        </w:rPr>
        <w:tab/>
      </w:r>
      <w:r>
        <w:rPr>
          <w:rFonts w:ascii="Arial" w:cs="Arial" w:eastAsia="Arial" w:hAnsi="Arial"/>
          <w:sz w:val="14"/>
          <w:szCs w:val="14"/>
          <w:u w:val="single" w:color="auto"/>
          <w:color w:val="auto"/>
        </w:rPr>
        <w:t>$1.37</w:t>
      </w:r>
      <w:r>
        <w:rPr>
          <w:sz w:val="20"/>
          <w:szCs w:val="20"/>
          <w:color w:val="auto"/>
        </w:rPr>
        <w:tab/>
      </w:r>
      <w:r>
        <w:rPr>
          <w:rFonts w:ascii="Arial" w:cs="Arial" w:eastAsia="Arial" w:hAnsi="Arial"/>
          <w:sz w:val="13"/>
          <w:szCs w:val="13"/>
          <w:color w:val="auto"/>
        </w:rPr>
        <w:t>$(70,102,782)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1989455"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98945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59"/>
        <w:spacing w:after="0"/>
        <w:rPr>
          <w:sz w:val="20"/>
          <w:szCs w:val="20"/>
          <w:color w:val="auto"/>
        </w:rPr>
      </w:pPr>
      <w:r>
        <w:rPr>
          <w:rFonts w:ascii="Arial" w:cs="Arial" w:eastAsia="Arial" w:hAnsi="Arial"/>
          <w:sz w:val="13"/>
          <w:szCs w:val="13"/>
          <w:b w:val="1"/>
          <w:bCs w:val="1"/>
          <w:color w:val="auto"/>
        </w:rPr>
        <w:t>Explanation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2540</wp:posOffset>
            </wp:positionV>
            <wp:extent cx="16979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-434340</wp:posOffset>
            </wp:positionV>
            <wp:extent cx="16979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-339725</wp:posOffset>
            </wp:positionV>
            <wp:extent cx="16979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ind w:right="539"/>
        <w:spacing w:after="0" w:line="238" w:lineRule="auto"/>
        <w:rPr>
          <w:sz w:val="20"/>
          <w:szCs w:val="20"/>
          <w:color w:val="auto"/>
        </w:rPr>
      </w:pPr>
      <w:r>
        <w:rPr>
          <w:rFonts w:ascii="Arial" w:cs="Arial" w:eastAsia="Arial" w:hAnsi="Arial"/>
          <w:sz w:val="13"/>
          <w:szCs w:val="13"/>
          <w:color w:val="auto"/>
        </w:rPr>
        <w:t>Our benefit from taxes on realized gains on investments decreased between periods due to our election to be treated as a RIC, which resulted in no new tax benefit being accrued. Typically for a taxable entity, net realized capital gains would generate a provision for taxes; however, as a result of our election to be treated as a RIC in 2015, we reversed the previous accrued provisions for taxes on net realized capital gains from prior periods. This reversal resulted in a benefit from taxes on net realized capital gains for the nine months ended September 30, 2015.</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our net change between</w:t>
      </w:r>
    </w:p>
    <w:p>
      <w:pPr>
        <w:spacing w:after="0" w:line="221" w:lineRule="auto"/>
        <w:rPr>
          <w:sz w:val="20"/>
          <w:szCs w:val="20"/>
          <w:color w:val="auto"/>
        </w:rPr>
      </w:pPr>
      <w:r>
        <w:rPr>
          <w:rFonts w:ascii="Arial" w:cs="Arial" w:eastAsia="Arial" w:hAnsi="Arial"/>
          <w:sz w:val="14"/>
          <w:szCs w:val="14"/>
          <w:color w:val="auto"/>
        </w:rPr>
        <w:t>periods in unrealized</w:t>
      </w:r>
    </w:p>
    <w:p>
      <w:pPr>
        <w:spacing w:after="0"/>
        <w:rPr>
          <w:sz w:val="20"/>
          <w:szCs w:val="20"/>
          <w:color w:val="auto"/>
        </w:rPr>
      </w:pPr>
      <w:r>
        <w:rPr>
          <w:rFonts w:ascii="Arial" w:cs="Arial" w:eastAsia="Arial" w:hAnsi="Arial"/>
          <w:sz w:val="13"/>
          <w:szCs w:val="13"/>
          <w:color w:val="auto"/>
        </w:rPr>
        <w:t>appreciation/(deprecation) of investments</w:t>
      </w:r>
    </w:p>
    <w:p>
      <w:pPr>
        <w:spacing w:after="0"/>
        <w:rPr>
          <w:sz w:val="20"/>
          <w:szCs w:val="20"/>
          <w:color w:val="auto"/>
        </w:rPr>
      </w:pPr>
      <w:r>
        <w:rPr>
          <w:rFonts w:ascii="Arial" w:cs="Arial" w:eastAsia="Arial" w:hAnsi="Arial"/>
          <w:sz w:val="13"/>
          <w:szCs w:val="13"/>
          <w:color w:val="auto"/>
        </w:rPr>
        <w:t>are reflected in the table below, under “Net</w:t>
      </w:r>
    </w:p>
    <w:p>
      <w:pPr>
        <w:spacing w:after="0" w:line="221" w:lineRule="auto"/>
        <w:rPr>
          <w:sz w:val="20"/>
          <w:szCs w:val="20"/>
          <w:color w:val="auto"/>
        </w:rPr>
      </w:pPr>
      <w:r>
        <w:rPr>
          <w:rFonts w:ascii="Arial" w:cs="Arial" w:eastAsia="Arial" w:hAnsi="Arial"/>
          <w:sz w:val="14"/>
          <w:szCs w:val="14"/>
          <w:color w:val="auto"/>
        </w:rPr>
        <w:t>Change in Unrealized</w:t>
      </w:r>
    </w:p>
    <w:p>
      <w:pPr>
        <w:spacing w:after="0" w:line="221" w:lineRule="auto"/>
        <w:rPr>
          <w:sz w:val="20"/>
          <w:szCs w:val="20"/>
          <w:color w:val="auto"/>
        </w:rPr>
      </w:pPr>
      <w:r>
        <w:rPr>
          <w:rFonts w:ascii="Arial" w:cs="Arial" w:eastAsia="Arial" w:hAnsi="Arial"/>
          <w:sz w:val="14"/>
          <w:szCs w:val="14"/>
          <w:color w:val="auto"/>
        </w:rPr>
        <w:t>Appreciation/(Depreciation) of</w:t>
      </w:r>
    </w:p>
    <w:p>
      <w:pPr>
        <w:spacing w:after="0" w:line="222" w:lineRule="auto"/>
        <w:rPr>
          <w:sz w:val="20"/>
          <w:szCs w:val="20"/>
          <w:color w:val="auto"/>
        </w:rPr>
      </w:pPr>
      <w:r>
        <w:rPr>
          <w:rFonts w:ascii="Arial" w:cs="Arial" w:eastAsia="Arial" w:hAnsi="Arial"/>
          <w:sz w:val="14"/>
          <w:szCs w:val="14"/>
          <w:color w:val="auto"/>
        </w:rPr>
        <w:t>Investments.”</w:t>
      </w:r>
    </w:p>
    <w:p>
      <w:pPr>
        <w:ind w:right="519"/>
        <w:spacing w:after="0"/>
        <w:rPr>
          <w:sz w:val="20"/>
          <w:szCs w:val="20"/>
          <w:color w:val="auto"/>
        </w:rPr>
      </w:pPr>
      <w:r>
        <w:rPr>
          <w:rFonts w:ascii="Arial" w:cs="Arial" w:eastAsia="Arial" w:hAnsi="Arial"/>
          <w:sz w:val="13"/>
          <w:szCs w:val="13"/>
          <w:color w:val="auto"/>
        </w:rPr>
        <w:t>Our benefit from taxes on net change in unrealized appreciation of investments decreased between periods due to our election to be treated as a RIC, which resulted in no accruals of new tax benefits. Typically for a taxable entity, unrealized appreciation of investments would generate a provision for taxes; however, as a result of our election to be treated as a RIC in 2015, we reversed the previous accrued provisions for taxes on unrealized appreciation on investments from prior periods. This reversal resulted in a benefit from taxes on unrealized appreciation of our portfolio investments for the nine months ended September 30, 2015.</w:t>
      </w:r>
    </w:p>
    <w:p>
      <w:pPr>
        <w:spacing w:after="0" w:line="535" w:lineRule="exact"/>
        <w:rPr>
          <w:sz w:val="20"/>
          <w:szCs w:val="20"/>
          <w:color w:val="auto"/>
        </w:rPr>
      </w:pPr>
    </w:p>
    <w:p>
      <w:pPr>
        <w:sectPr>
          <w:pgSz w:w="11900" w:h="16838" w:orient="portrait"/>
          <w:cols w:equalWidth="0" w:num="3">
            <w:col w:w="2440" w:space="280"/>
            <w:col w:w="4160" w:space="120"/>
            <w:col w:w="3079"/>
          </w:cols>
          <w:pgMar w:left="380" w:top="792" w:right="1440" w:bottom="1440" w:gutter="0" w:footer="0" w:header="0"/>
        </w:sectPr>
      </w:pPr>
    </w:p>
    <w:p>
      <w:pPr>
        <w:spacing w:after="0" w:line="347" w:lineRule="exact"/>
        <w:rPr>
          <w:sz w:val="20"/>
          <w:szCs w:val="20"/>
          <w:color w:val="auto"/>
        </w:rPr>
      </w:pPr>
    </w:p>
    <w:p>
      <w:pPr>
        <w:ind w:left="280" w:right="539" w:hanging="272"/>
        <w:spacing w:after="0" w:line="277"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per-share figures are based on weighted averages of 22,181,003 and 19,320,100 shares of common stock outstanding for the nine months ended September 30, 2016 and 2015, respectively.</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52" w:name="page53"/>
    <w:bookmarkEnd w:id="5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117" w:lineRule="exact"/>
        <w:rPr>
          <w:sz w:val="20"/>
          <w:szCs w:val="20"/>
          <w:color w:val="auto"/>
        </w:rPr>
      </w:pPr>
    </w:p>
    <w:p>
      <w:pPr>
        <w:ind w:left="60" w:right="639" w:firstLine="270"/>
        <w:spacing w:after="0" w:line="279" w:lineRule="auto"/>
        <w:rPr>
          <w:sz w:val="20"/>
          <w:szCs w:val="20"/>
          <w:color w:val="auto"/>
        </w:rPr>
      </w:pPr>
      <w:r>
        <w:rPr>
          <w:rFonts w:ascii="Arial" w:cs="Arial" w:eastAsia="Arial" w:hAnsi="Arial"/>
          <w:sz w:val="17"/>
          <w:szCs w:val="17"/>
          <w:color w:val="auto"/>
        </w:rPr>
        <w:t>For the three months ended September 30, 2016, we had a net change in unrealized depreciation of $1,261,709. For the three months ended September 30, 2015, we had a net change in unrealized depreciation of $21,981,668. The following tables summarize, by portfolio company, the significant changes in unrealized appreciation/(depreciation) of our investment portfolio for each of the three months ended September 30,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521398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Change in</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3"/>
                <w:szCs w:val="13"/>
                <w:b w:val="1"/>
                <w:bCs w:val="1"/>
                <w:color w:val="auto"/>
                <w:w w:val="87"/>
              </w:rPr>
              <w:t>As of September 30, 2016</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3"/>
                <w:szCs w:val="13"/>
                <w:b w:val="1"/>
                <w:bCs w:val="1"/>
                <w:color w:val="auto"/>
                <w:w w:val="86"/>
              </w:rPr>
              <w:t>As of June 30, 2016</w:t>
            </w: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5"/>
              </w:rPr>
              <w:t>Unrealized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5"/>
              </w:rPr>
              <w:t>Unrealized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60"/>
              <w:spacing w:after="0" w:line="110" w:lineRule="exact"/>
              <w:rPr>
                <w:sz w:val="20"/>
                <w:szCs w:val="20"/>
                <w:color w:val="auto"/>
              </w:rPr>
            </w:pPr>
            <w:r>
              <w:rPr>
                <w:rFonts w:ascii="Arial" w:cs="Arial" w:eastAsia="Arial" w:hAnsi="Arial"/>
                <w:sz w:val="12"/>
                <w:szCs w:val="12"/>
                <w:b w:val="1"/>
                <w:bCs w:val="1"/>
                <w:color w:val="auto"/>
                <w:w w:val="95"/>
              </w:rPr>
              <w:t>Unrealized</w:t>
            </w: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Appreciation/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Appreciation/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Appreciation/</w:t>
            </w:r>
          </w:p>
        </w:tc>
      </w:tr>
      <w:tr>
        <w:trPr>
          <w:trHeight w:val="153"/>
        </w:trPr>
        <w:tc>
          <w:tcPr>
            <w:tcW w:w="1540" w:type="dxa"/>
            <w:vAlign w:val="bottom"/>
            <w:gridSpan w:val="3"/>
          </w:tcPr>
          <w:p>
            <w:pPr>
              <w:ind w:left="20"/>
              <w:spacing w:after="0"/>
              <w:rPr>
                <w:sz w:val="20"/>
                <w:szCs w:val="20"/>
                <w:color w:val="auto"/>
              </w:rPr>
            </w:pPr>
            <w:r>
              <w:rPr>
                <w:rFonts w:ascii="Arial" w:cs="Arial" w:eastAsia="Arial" w:hAnsi="Arial"/>
                <w:sz w:val="13"/>
                <w:szCs w:val="13"/>
                <w:b w:val="1"/>
                <w:bCs w:val="1"/>
                <w:color w:val="auto"/>
              </w:rPr>
              <w:t>Portfolio Company</w:t>
            </w:r>
          </w:p>
        </w:tc>
        <w:tc>
          <w:tcPr>
            <w:tcW w:w="8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(Depreciation)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3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9"/>
              <w:spacing w:after="0"/>
              <w:rPr>
                <w:sz w:val="20"/>
                <w:szCs w:val="20"/>
                <w:color w:val="auto"/>
              </w:rPr>
            </w:pPr>
            <w:r>
              <w:rPr>
                <w:rFonts w:ascii="Arial" w:cs="Arial" w:eastAsia="Arial" w:hAnsi="Arial"/>
                <w:sz w:val="13"/>
                <w:szCs w:val="13"/>
                <w:b w:val="1"/>
                <w:bCs w:val="1"/>
                <w:color w:val="auto"/>
                <w:w w:val="93"/>
              </w:rPr>
              <w:t>Fair Value</w:t>
            </w:r>
          </w:p>
        </w:tc>
        <w:tc>
          <w:tcPr>
            <w:tcW w:w="80" w:type="dxa"/>
            <w:vAlign w:val="bottom"/>
          </w:tcPr>
          <w:p>
            <w:pPr>
              <w:spacing w:after="0"/>
              <w:rPr>
                <w:sz w:val="13"/>
                <w:szCs w:val="13"/>
                <w:color w:val="auto"/>
              </w:rPr>
            </w:pPr>
          </w:p>
        </w:tc>
        <w:tc>
          <w:tcPr>
            <w:tcW w:w="8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(Depreciation)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29"/>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89"/>
              <w:spacing w:after="0"/>
              <w:rPr>
                <w:sz w:val="20"/>
                <w:szCs w:val="20"/>
                <w:color w:val="auto"/>
              </w:rPr>
            </w:pPr>
            <w:r>
              <w:rPr>
                <w:rFonts w:ascii="Arial" w:cs="Arial" w:eastAsia="Arial" w:hAnsi="Arial"/>
                <w:sz w:val="13"/>
                <w:szCs w:val="13"/>
                <w:b w:val="1"/>
                <w:bCs w:val="1"/>
                <w:color w:val="auto"/>
                <w:w w:val="96"/>
              </w:rPr>
              <w:t>Fair Value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(Depreciation)</w:t>
            </w:r>
          </w:p>
        </w:tc>
      </w:tr>
      <w:tr>
        <w:trPr>
          <w:trHeight w:val="123"/>
        </w:trPr>
        <w:tc>
          <w:tcPr>
            <w:tcW w:w="15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Palantir</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Technologies, Inc.</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(2,206,354)</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17,198,903</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43,015,126</w:t>
            </w:r>
          </w:p>
        </w:tc>
        <w:tc>
          <w:tcPr>
            <w:tcW w:w="960" w:type="dxa"/>
            <w:vAlign w:val="bottom"/>
            <w:gridSpan w:val="4"/>
          </w:tcPr>
          <w:p>
            <w:pPr>
              <w:jc w:val="right"/>
              <w:ind w:right="100"/>
              <w:spacing w:after="0"/>
              <w:rPr>
                <w:sz w:val="20"/>
                <w:szCs w:val="20"/>
                <w:color w:val="auto"/>
              </w:rPr>
            </w:pPr>
            <w:r>
              <w:rPr>
                <w:rFonts w:ascii="Arial" w:cs="Arial" w:eastAsia="Arial" w:hAnsi="Arial"/>
                <w:sz w:val="14"/>
                <w:szCs w:val="14"/>
                <w:color w:val="auto"/>
              </w:rPr>
              <w:t>$ 25,816,223</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17,198,903</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45,221,480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28,022,577</w:t>
            </w:r>
          </w:p>
        </w:tc>
      </w:tr>
      <w:tr>
        <w:trPr>
          <w:trHeight w:val="149"/>
        </w:trPr>
        <w:tc>
          <w:tcPr>
            <w:tcW w:w="15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Lyft, Inc.</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(1,478,090)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4,296,334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7,504,750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3,208,416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6,022,062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10,708,568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4,686,506</w:t>
            </w:r>
          </w:p>
        </w:tc>
      </w:tr>
      <w:tr>
        <w:trPr>
          <w:trHeight w:val="149"/>
        </w:trPr>
        <w:tc>
          <w:tcPr>
            <w:tcW w:w="1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Chegg, Inc.</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2,472,035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14,022,863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8,385,995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(5,636,868)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14,022,863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5,913,960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(8,108,903)</w:t>
            </w:r>
          </w:p>
        </w:tc>
      </w:tr>
      <w:tr>
        <w:trPr>
          <w:trHeight w:val="189"/>
        </w:trPr>
        <w:tc>
          <w:tcPr>
            <w:tcW w:w="154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(49,300)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272,907,930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269,364,020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(3,543,910)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286,525,591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283,030,981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(3,494,610)</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1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Totals</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97"/>
              </w:rPr>
              <w:t>(1,261,709)</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308,426,030</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328,269,891</w:t>
            </w:r>
          </w:p>
        </w:tc>
        <w:tc>
          <w:tcPr>
            <w:tcW w:w="960" w:type="dxa"/>
            <w:vAlign w:val="bottom"/>
            <w:gridSpan w:val="4"/>
          </w:tcPr>
          <w:p>
            <w:pPr>
              <w:jc w:val="right"/>
              <w:ind w:right="100"/>
              <w:spacing w:after="0" w:line="142" w:lineRule="exact"/>
              <w:rPr>
                <w:sz w:val="20"/>
                <w:szCs w:val="20"/>
                <w:color w:val="auto"/>
              </w:rPr>
            </w:pPr>
            <w:r>
              <w:rPr>
                <w:rFonts w:ascii="Arial" w:cs="Arial" w:eastAsia="Arial" w:hAnsi="Arial"/>
                <w:sz w:val="14"/>
                <w:szCs w:val="14"/>
                <w:color w:val="auto"/>
              </w:rPr>
              <w:t>$ 19,843,861</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323,769,419</w:t>
            </w: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$ 344,874,989</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21,105,570</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Change in</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3"/>
                <w:szCs w:val="13"/>
                <w:b w:val="1"/>
                <w:bCs w:val="1"/>
                <w:color w:val="auto"/>
                <w:w w:val="87"/>
              </w:rPr>
              <w:t>As of September 30, 2015</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3"/>
                <w:szCs w:val="13"/>
                <w:b w:val="1"/>
                <w:bCs w:val="1"/>
                <w:color w:val="auto"/>
                <w:w w:val="86"/>
              </w:rPr>
              <w:t>As of June 30, 2015</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5"/>
              </w:rPr>
              <w:t>Unrealized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5"/>
              </w:rPr>
              <w:t>Unrealized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60"/>
              <w:spacing w:after="0" w:line="110" w:lineRule="exact"/>
              <w:rPr>
                <w:sz w:val="20"/>
                <w:szCs w:val="20"/>
                <w:color w:val="auto"/>
              </w:rPr>
            </w:pPr>
            <w:r>
              <w:rPr>
                <w:rFonts w:ascii="Arial" w:cs="Arial" w:eastAsia="Arial" w:hAnsi="Arial"/>
                <w:sz w:val="12"/>
                <w:szCs w:val="12"/>
                <w:b w:val="1"/>
                <w:bCs w:val="1"/>
                <w:color w:val="auto"/>
                <w:w w:val="95"/>
              </w:rPr>
              <w:t>Unrealized</w:t>
            </w: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Appreciation/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Appreciation/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Appreciation/</w:t>
            </w:r>
          </w:p>
        </w:tc>
      </w:tr>
      <w:tr>
        <w:trPr>
          <w:trHeight w:val="153"/>
        </w:trPr>
        <w:tc>
          <w:tcPr>
            <w:tcW w:w="1540" w:type="dxa"/>
            <w:vAlign w:val="bottom"/>
            <w:gridSpan w:val="3"/>
          </w:tcPr>
          <w:p>
            <w:pPr>
              <w:ind w:left="20"/>
              <w:spacing w:after="0"/>
              <w:rPr>
                <w:sz w:val="20"/>
                <w:szCs w:val="20"/>
                <w:color w:val="auto"/>
              </w:rPr>
            </w:pPr>
            <w:r>
              <w:rPr>
                <w:rFonts w:ascii="Arial" w:cs="Arial" w:eastAsia="Arial" w:hAnsi="Arial"/>
                <w:sz w:val="13"/>
                <w:szCs w:val="13"/>
                <w:b w:val="1"/>
                <w:bCs w:val="1"/>
                <w:color w:val="auto"/>
              </w:rPr>
              <w:t>Portfolio Company</w:t>
            </w:r>
          </w:p>
        </w:tc>
        <w:tc>
          <w:tcPr>
            <w:tcW w:w="8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(Depreciation)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3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9"/>
              <w:spacing w:after="0"/>
              <w:rPr>
                <w:sz w:val="20"/>
                <w:szCs w:val="20"/>
                <w:color w:val="auto"/>
              </w:rPr>
            </w:pPr>
            <w:r>
              <w:rPr>
                <w:rFonts w:ascii="Arial" w:cs="Arial" w:eastAsia="Arial" w:hAnsi="Arial"/>
                <w:sz w:val="13"/>
                <w:szCs w:val="13"/>
                <w:b w:val="1"/>
                <w:bCs w:val="1"/>
                <w:color w:val="auto"/>
                <w:w w:val="93"/>
              </w:rPr>
              <w:t>Fair Value</w:t>
            </w:r>
          </w:p>
        </w:tc>
        <w:tc>
          <w:tcPr>
            <w:tcW w:w="80" w:type="dxa"/>
            <w:vAlign w:val="bottom"/>
          </w:tcPr>
          <w:p>
            <w:pPr>
              <w:spacing w:after="0"/>
              <w:rPr>
                <w:sz w:val="13"/>
                <w:szCs w:val="13"/>
                <w:color w:val="auto"/>
              </w:rPr>
            </w:pPr>
          </w:p>
        </w:tc>
        <w:tc>
          <w:tcPr>
            <w:tcW w:w="8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(Depreciation)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29"/>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89"/>
              <w:spacing w:after="0"/>
              <w:rPr>
                <w:sz w:val="20"/>
                <w:szCs w:val="20"/>
                <w:color w:val="auto"/>
              </w:rPr>
            </w:pPr>
            <w:r>
              <w:rPr>
                <w:rFonts w:ascii="Arial" w:cs="Arial" w:eastAsia="Arial" w:hAnsi="Arial"/>
                <w:sz w:val="13"/>
                <w:szCs w:val="13"/>
                <w:b w:val="1"/>
                <w:bCs w:val="1"/>
                <w:color w:val="auto"/>
                <w:w w:val="96"/>
              </w:rPr>
              <w:t>Fair Value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(Depreciation)</w:t>
            </w:r>
          </w:p>
        </w:tc>
      </w:tr>
      <w:tr>
        <w:trPr>
          <w:trHeight w:val="123"/>
        </w:trPr>
        <w:tc>
          <w:tcPr>
            <w:tcW w:w="15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2U, Inc.</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(f/k/a 2tor, Inc.)</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 (28,187,382)</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10,032,117</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38,219,499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28,187,382</w:t>
            </w:r>
          </w:p>
        </w:tc>
      </w:tr>
      <w:tr>
        <w:trPr>
          <w:trHeight w:val="149"/>
        </w:trPr>
        <w:tc>
          <w:tcPr>
            <w:tcW w:w="15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Twitter, Inc.</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(7,429,568)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14,271,866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21,568,164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7,296,298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14,271,866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28,997,732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14,725,866</w:t>
            </w:r>
          </w:p>
        </w:tc>
      </w:tr>
      <w:tr>
        <w:trPr>
          <w:trHeight w:val="149"/>
        </w:trPr>
        <w:tc>
          <w:tcPr>
            <w:tcW w:w="1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Dropbox, Inc.</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(5,014,207)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13,656,926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25,013,272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4"/>
              </w:rPr>
              <w:t>11,356,346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13,656,926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30,027,479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16,370,553</w:t>
            </w:r>
          </w:p>
        </w:tc>
      </w:tr>
      <w:tr>
        <w:trPr>
          <w:trHeight w:val="130"/>
        </w:trPr>
        <w:tc>
          <w:tcPr>
            <w:tcW w:w="154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Learnist Inc.</w:t>
            </w:r>
          </w:p>
        </w:tc>
        <w:tc>
          <w:tcPr>
            <w:tcW w:w="12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5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(f/k/a Grockit, Inc.)</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(4,987,430)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4,959,615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431,925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(4,527,690)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4,959,615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5,419,355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459,740</w:t>
            </w:r>
          </w:p>
        </w:tc>
      </w:tr>
      <w:tr>
        <w:trPr>
          <w:trHeight w:val="149"/>
        </w:trPr>
        <w:tc>
          <w:tcPr>
            <w:tcW w:w="1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Totus Solutions, Inc.</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6,061,859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6,102,203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40,344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(6,061,859)</w:t>
            </w:r>
          </w:p>
        </w:tc>
      </w:tr>
      <w:tr>
        <w:trPr>
          <w:trHeight w:val="130"/>
        </w:trPr>
        <w:tc>
          <w:tcPr>
            <w:tcW w:w="154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Palantir</w:t>
            </w:r>
          </w:p>
        </w:tc>
        <w:tc>
          <w:tcPr>
            <w:tcW w:w="12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5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Technologies, Inc.</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5,826,172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17,200,023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54,609,192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37,409,169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17,200,023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48,783,020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31,582,997</w:t>
            </w:r>
          </w:p>
        </w:tc>
      </w:tr>
      <w:tr>
        <w:trPr>
          <w:trHeight w:val="130"/>
        </w:trPr>
        <w:tc>
          <w:tcPr>
            <w:tcW w:w="1540" w:type="dxa"/>
            <w:vAlign w:val="bottom"/>
            <w:gridSpan w:val="3"/>
          </w:tcPr>
          <w:p>
            <w:pPr>
              <w:ind w:left="20"/>
              <w:spacing w:after="0" w:line="130" w:lineRule="exact"/>
              <w:rPr>
                <w:sz w:val="20"/>
                <w:szCs w:val="20"/>
                <w:color w:val="auto"/>
              </w:rPr>
            </w:pPr>
            <w:r>
              <w:rPr>
                <w:rFonts w:ascii="Arial" w:cs="Arial" w:eastAsia="Arial" w:hAnsi="Arial"/>
                <w:sz w:val="14"/>
                <w:szCs w:val="14"/>
                <w:color w:val="auto"/>
                <w:w w:val="91"/>
              </w:rPr>
              <w:t>General Assembly Space,</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5,404,670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5,999,961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11,521,372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5,521,411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5,999,961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6,116,702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116,741</w:t>
            </w:r>
          </w:p>
        </w:tc>
      </w:tr>
      <w:tr>
        <w:trPr>
          <w:trHeight w:val="149"/>
        </w:trPr>
        <w:tc>
          <w:tcPr>
            <w:tcW w:w="15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Dailybreak, Inc.</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2,857,204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2,857,204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(2,857,204)</w:t>
            </w:r>
          </w:p>
        </w:tc>
      </w:tr>
      <w:tr>
        <w:trPr>
          <w:trHeight w:val="130"/>
        </w:trPr>
        <w:tc>
          <w:tcPr>
            <w:tcW w:w="154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The rSmart Group,</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1,058,472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1,269,163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210,691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(1,058,472)</w:t>
            </w:r>
          </w:p>
        </w:tc>
      </w:tr>
      <w:tr>
        <w:trPr>
          <w:trHeight w:val="189"/>
        </w:trPr>
        <w:tc>
          <w:tcPr>
            <w:tcW w:w="154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2,428,542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252,442,487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265,327,669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12,885,182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327,570,878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338,027,518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10,456,640</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1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Totals</w:t>
            </w:r>
          </w:p>
        </w:tc>
        <w:tc>
          <w:tcPr>
            <w:tcW w:w="880" w:type="dxa"/>
            <w:vAlign w:val="bottom"/>
            <w:gridSpan w:val="3"/>
          </w:tcPr>
          <w:p>
            <w:pPr>
              <w:jc w:val="right"/>
              <w:ind w:right="40"/>
              <w:spacing w:after="0" w:line="142"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 xml:space="preserve"> (21,981,668)</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308,530,878</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378,471,594</w:t>
            </w:r>
          </w:p>
        </w:tc>
        <w:tc>
          <w:tcPr>
            <w:tcW w:w="960" w:type="dxa"/>
            <w:vAlign w:val="bottom"/>
            <w:gridSpan w:val="4"/>
          </w:tcPr>
          <w:p>
            <w:pPr>
              <w:jc w:val="right"/>
              <w:ind w:right="100"/>
              <w:spacing w:after="0" w:line="142" w:lineRule="exact"/>
              <w:rPr>
                <w:sz w:val="20"/>
                <w:szCs w:val="20"/>
                <w:color w:val="auto"/>
              </w:rPr>
            </w:pPr>
            <w:r>
              <w:rPr>
                <w:rFonts w:ascii="Arial" w:cs="Arial" w:eastAsia="Arial" w:hAnsi="Arial"/>
                <w:sz w:val="14"/>
                <w:szCs w:val="14"/>
                <w:color w:val="auto"/>
              </w:rPr>
              <w:t>$ 69,940,716</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403,919,956</w:t>
            </w: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$ 495,842,340</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91,922,384</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-2323465</wp:posOffset>
            </wp:positionV>
            <wp:extent cx="5213985" cy="21355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3985" cy="2135505"/>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342" w:lineRule="auto"/>
        <w:tabs>
          <w:tab w:leader="none" w:pos="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represents all investments (including U.S. Treasury Bills and U.S. Treasury Strips) whose individual change in unrealized appreciation/(depreciation) was less than $1,000,000 for each of the three months ended September 30, 2016 and 2015.</w:t>
      </w:r>
    </w:p>
    <w:p>
      <w:pPr>
        <w:spacing w:after="0" w:line="200" w:lineRule="exact"/>
        <w:rPr>
          <w:sz w:val="20"/>
          <w:szCs w:val="20"/>
          <w:color w:val="auto"/>
        </w:rPr>
      </w:pPr>
    </w:p>
    <w:p>
      <w:pPr>
        <w:spacing w:after="0" w:line="26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3" w:name="page54"/>
    <w:bookmarkEnd w:id="5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For the nine months ended September 30, 2016, we had a net change in unrealized depreciation of $36,616,596. For the nine months ended September 30, 2015, we had a net change in unrealized appreciation of $58,014. The following tables summarize, by portfolio company, the significant changes in unrealized appreciation/(depreciation) of our investment portfolio for each of the nine months ended September 30,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521398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5"/>
              </w:rPr>
              <w:t>Change in</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3"/>
                <w:szCs w:val="13"/>
                <w:b w:val="1"/>
                <w:bCs w:val="1"/>
                <w:color w:val="auto"/>
              </w:rPr>
              <w:t>As of September 30, 2016</w:t>
            </w:r>
          </w:p>
        </w:tc>
        <w:tc>
          <w:tcPr>
            <w:tcW w:w="28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3"/>
                <w:szCs w:val="13"/>
                <w:b w:val="1"/>
                <w:bCs w:val="1"/>
                <w:color w:val="auto"/>
              </w:rPr>
              <w:t>As of December 31, 2015</w:t>
            </w:r>
          </w:p>
        </w:tc>
      </w:tr>
      <w:tr>
        <w:trPr>
          <w:trHeight w:val="110"/>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gridSpan w:val="4"/>
          </w:tcPr>
          <w:p>
            <w:pPr>
              <w:jc w:val="center"/>
              <w:ind w:right="180"/>
              <w:spacing w:after="0" w:line="110" w:lineRule="exact"/>
              <w:rPr>
                <w:sz w:val="20"/>
                <w:szCs w:val="20"/>
                <w:color w:val="auto"/>
              </w:rPr>
            </w:pPr>
            <w:r>
              <w:rPr>
                <w:rFonts w:ascii="Arial" w:cs="Arial" w:eastAsia="Arial" w:hAnsi="Arial"/>
                <w:sz w:val="12"/>
                <w:szCs w:val="12"/>
                <w:b w:val="1"/>
                <w:bCs w:val="1"/>
                <w:color w:val="auto"/>
                <w:w w:val="95"/>
              </w:rPr>
              <w:t>Unrealized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jc w:val="center"/>
              <w:ind w:right="90"/>
              <w:spacing w:after="0" w:line="110" w:lineRule="exact"/>
              <w:rPr>
                <w:sz w:val="20"/>
                <w:szCs w:val="20"/>
                <w:color w:val="auto"/>
              </w:rPr>
            </w:pPr>
            <w:r>
              <w:rPr>
                <w:rFonts w:ascii="Arial" w:cs="Arial" w:eastAsia="Arial" w:hAnsi="Arial"/>
                <w:sz w:val="12"/>
                <w:szCs w:val="12"/>
                <w:b w:val="1"/>
                <w:bCs w:val="1"/>
                <w:color w:val="auto"/>
                <w:w w:val="98"/>
              </w:rPr>
              <w:t>Unrealized</w:t>
            </w: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8"/>
              </w:rPr>
              <w:t>Unrealized</w:t>
            </w: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Appreciation/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89"/>
              </w:rPr>
              <w:t>Appreciation/</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Appreciation/</w:t>
            </w:r>
          </w:p>
        </w:tc>
      </w:tr>
      <w:tr>
        <w:trPr>
          <w:trHeight w:val="153"/>
        </w:trPr>
        <w:tc>
          <w:tcPr>
            <w:tcW w:w="1540" w:type="dxa"/>
            <w:vAlign w:val="bottom"/>
            <w:gridSpan w:val="3"/>
          </w:tcPr>
          <w:p>
            <w:pPr>
              <w:ind w:left="20"/>
              <w:spacing w:after="0"/>
              <w:rPr>
                <w:sz w:val="20"/>
                <w:szCs w:val="20"/>
                <w:color w:val="auto"/>
              </w:rPr>
            </w:pPr>
            <w:r>
              <w:rPr>
                <w:rFonts w:ascii="Arial" w:cs="Arial" w:eastAsia="Arial" w:hAnsi="Arial"/>
                <w:sz w:val="13"/>
                <w:szCs w:val="13"/>
                <w:b w:val="1"/>
                <w:bCs w:val="1"/>
                <w:color w:val="auto"/>
              </w:rPr>
              <w:t>Portfolio Company</w:t>
            </w: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4"/>
              </w:rPr>
              <w:t>(Depreciation)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32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60" w:type="dxa"/>
            <w:vAlign w:val="bottom"/>
          </w:tcPr>
          <w:p>
            <w:pPr>
              <w:jc w:val="right"/>
              <w:ind w:right="209"/>
              <w:spacing w:after="0"/>
              <w:rPr>
                <w:sz w:val="20"/>
                <w:szCs w:val="20"/>
                <w:color w:val="auto"/>
              </w:rPr>
            </w:pPr>
            <w:r>
              <w:rPr>
                <w:rFonts w:ascii="Arial" w:cs="Arial" w:eastAsia="Arial" w:hAnsi="Arial"/>
                <w:sz w:val="13"/>
                <w:szCs w:val="13"/>
                <w:b w:val="1"/>
                <w:bCs w:val="1"/>
                <w:color w:val="auto"/>
                <w:w w:val="90"/>
              </w:rPr>
              <w:t>Fair Value</w:t>
            </w:r>
          </w:p>
        </w:tc>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86"/>
              </w:rPr>
              <w:t>(Depreciation)</w:t>
            </w:r>
          </w:p>
        </w:tc>
        <w:tc>
          <w:tcPr>
            <w:tcW w:w="960" w:type="dxa"/>
            <w:vAlign w:val="bottom"/>
          </w:tcPr>
          <w:p>
            <w:pPr>
              <w:jc w:val="right"/>
              <w:ind w:right="349"/>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880" w:type="dxa"/>
            <w:vAlign w:val="bottom"/>
          </w:tcPr>
          <w:p>
            <w:pPr>
              <w:jc w:val="right"/>
              <w:ind w:right="189"/>
              <w:spacing w:after="0"/>
              <w:rPr>
                <w:sz w:val="20"/>
                <w:szCs w:val="20"/>
                <w:color w:val="auto"/>
              </w:rPr>
            </w:pPr>
            <w:r>
              <w:rPr>
                <w:rFonts w:ascii="Arial" w:cs="Arial" w:eastAsia="Arial" w:hAnsi="Arial"/>
                <w:sz w:val="13"/>
                <w:szCs w:val="13"/>
                <w:b w:val="1"/>
                <w:bCs w:val="1"/>
                <w:color w:val="auto"/>
                <w:w w:val="96"/>
              </w:rPr>
              <w:t>Fair Value</w:t>
            </w:r>
          </w:p>
        </w:tc>
        <w:tc>
          <w:tcPr>
            <w:tcW w:w="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(Depreciation)</w:t>
            </w:r>
          </w:p>
        </w:tc>
      </w:tr>
      <w:tr>
        <w:trPr>
          <w:trHeight w:val="123"/>
        </w:trPr>
        <w:tc>
          <w:tcPr>
            <w:tcW w:w="15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Palantir Technologies,</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w w:val="79"/>
              </w:rPr>
              <w:t>$ (13,338,122)</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w w:val="91"/>
              </w:rPr>
              <w:t>17,198,903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w w:val="94"/>
              </w:rPr>
              <w:t>43,015,126</w:t>
            </w:r>
          </w:p>
        </w:tc>
        <w:tc>
          <w:tcPr>
            <w:tcW w:w="960" w:type="dxa"/>
            <w:vAlign w:val="bottom"/>
          </w:tcPr>
          <w:p>
            <w:pPr>
              <w:jc w:val="right"/>
              <w:ind w:right="150"/>
              <w:spacing w:after="0"/>
              <w:rPr>
                <w:sz w:val="20"/>
                <w:szCs w:val="20"/>
                <w:color w:val="auto"/>
              </w:rPr>
            </w:pPr>
            <w:r>
              <w:rPr>
                <w:rFonts w:ascii="Arial" w:cs="Arial" w:eastAsia="Arial" w:hAnsi="Arial"/>
                <w:sz w:val="14"/>
                <w:szCs w:val="14"/>
                <w:color w:val="auto"/>
                <w:w w:val="88"/>
              </w:rPr>
              <w:t>$ 25,816,223</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w w:val="91"/>
              </w:rPr>
              <w:t>$  17,198,903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56,353,248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39,154,345</w:t>
            </w:r>
          </w:p>
        </w:tc>
        <w:tc>
          <w:tcPr>
            <w:tcW w:w="100" w:type="dxa"/>
            <w:vAlign w:val="bottom"/>
          </w:tcPr>
          <w:p>
            <w:pPr>
              <w:spacing w:after="0"/>
              <w:rPr>
                <w:sz w:val="14"/>
                <w:szCs w:val="14"/>
                <w:color w:val="auto"/>
              </w:rPr>
            </w:pPr>
          </w:p>
        </w:tc>
      </w:tr>
      <w:tr>
        <w:trPr>
          <w:trHeight w:val="149"/>
        </w:trPr>
        <w:tc>
          <w:tcPr>
            <w:tcW w:w="15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Fullbridge, Inc.</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(5,488,622)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8,418,483</w:t>
            </w:r>
          </w:p>
        </w:tc>
        <w:tc>
          <w:tcPr>
            <w:tcW w:w="160" w:type="dxa"/>
            <w:vAlign w:val="bottom"/>
            <w:tcBorders>
              <w:lef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1,289,924</w:t>
            </w:r>
          </w:p>
        </w:tc>
        <w:tc>
          <w:tcPr>
            <w:tcW w:w="960" w:type="dxa"/>
            <w:vAlign w:val="bottom"/>
            <w:tcBorders>
              <w:right w:val="single" w:sz="8" w:color="CCEEFF"/>
            </w:tcBorders>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(7,128,559)</w:t>
            </w:r>
          </w:p>
        </w:tc>
        <w:tc>
          <w:tcPr>
            <w:tcW w:w="960" w:type="dxa"/>
            <w:vAlign w:val="bottom"/>
            <w:tcBorders>
              <w:right w:val="single" w:sz="8" w:color="CCEEFF"/>
            </w:tcBorders>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7,417,039</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5,777,102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(1,639,937)</w:t>
            </w:r>
          </w:p>
        </w:tc>
      </w:tr>
      <w:tr>
        <w:trPr>
          <w:trHeight w:val="149"/>
        </w:trPr>
        <w:tc>
          <w:tcPr>
            <w:tcW w:w="1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Dataminr, Inc.</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(5,102,507)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3,164,265</w:t>
            </w:r>
          </w:p>
        </w:tc>
        <w:tc>
          <w:tcPr>
            <w:tcW w:w="160" w:type="dxa"/>
            <w:vAlign w:val="bottom"/>
          </w:tcPr>
          <w:p>
            <w:pPr>
              <w:spacing w:after="0"/>
              <w:rPr>
                <w:sz w:val="12"/>
                <w:szCs w:val="12"/>
                <w:color w:val="auto"/>
              </w:rPr>
            </w:pPr>
          </w:p>
        </w:tc>
        <w:tc>
          <w:tcPr>
            <w:tcW w:w="86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6,285,882</w:t>
            </w:r>
          </w:p>
        </w:tc>
        <w:tc>
          <w:tcPr>
            <w:tcW w:w="96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3,121,617</w:t>
            </w:r>
          </w:p>
        </w:tc>
        <w:tc>
          <w:tcPr>
            <w:tcW w:w="960" w:type="dxa"/>
            <w:vAlign w:val="bottom"/>
          </w:tcPr>
          <w:p>
            <w:pPr>
              <w:jc w:val="right"/>
              <w:ind w:right="89"/>
              <w:spacing w:after="0" w:line="149" w:lineRule="exact"/>
              <w:rPr>
                <w:sz w:val="20"/>
                <w:szCs w:val="20"/>
                <w:color w:val="auto"/>
              </w:rPr>
            </w:pPr>
            <w:r>
              <w:rPr>
                <w:rFonts w:ascii="Arial" w:cs="Arial" w:eastAsia="Arial" w:hAnsi="Arial"/>
                <w:sz w:val="14"/>
                <w:szCs w:val="14"/>
                <w:color w:val="auto"/>
              </w:rPr>
              <w:t>3,164,265</w:t>
            </w:r>
          </w:p>
        </w:tc>
        <w:tc>
          <w:tcPr>
            <w:tcW w:w="80" w:type="dxa"/>
            <w:vAlign w:val="bottom"/>
          </w:tcPr>
          <w:p>
            <w:pPr>
              <w:spacing w:after="0"/>
              <w:rPr>
                <w:sz w:val="12"/>
                <w:szCs w:val="12"/>
                <w:color w:val="auto"/>
              </w:rPr>
            </w:pPr>
          </w:p>
        </w:tc>
        <w:tc>
          <w:tcPr>
            <w:tcW w:w="880" w:type="dxa"/>
            <w:vAlign w:val="bottom"/>
          </w:tcPr>
          <w:p>
            <w:pPr>
              <w:jc w:val="right"/>
              <w:ind w:right="69"/>
              <w:spacing w:after="0" w:line="149" w:lineRule="exact"/>
              <w:rPr>
                <w:sz w:val="20"/>
                <w:szCs w:val="20"/>
                <w:color w:val="auto"/>
              </w:rPr>
            </w:pPr>
            <w:r>
              <w:rPr>
                <w:rFonts w:ascii="Arial" w:cs="Arial" w:eastAsia="Arial" w:hAnsi="Arial"/>
                <w:sz w:val="14"/>
                <w:szCs w:val="14"/>
                <w:color w:val="auto"/>
              </w:rPr>
              <w:t>11,388,389</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8,224,124</w:t>
            </w:r>
          </w:p>
        </w:tc>
        <w:tc>
          <w:tcPr>
            <w:tcW w:w="100" w:type="dxa"/>
            <w:vAlign w:val="bottom"/>
          </w:tcPr>
          <w:p>
            <w:pPr>
              <w:spacing w:after="0"/>
              <w:rPr>
                <w:sz w:val="12"/>
                <w:szCs w:val="12"/>
                <w:color w:val="auto"/>
              </w:rPr>
            </w:pPr>
          </w:p>
        </w:tc>
      </w:tr>
      <w:tr>
        <w:trPr>
          <w:trHeight w:val="149"/>
        </w:trPr>
        <w:tc>
          <w:tcPr>
            <w:tcW w:w="15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Twitter, Inc.</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(4,254,018)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ind w:right="150"/>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14,271,866</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18,525,884</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4,254,018</w:t>
            </w:r>
          </w:p>
        </w:tc>
        <w:tc>
          <w:tcPr>
            <w:tcW w:w="100" w:type="dxa"/>
            <w:vAlign w:val="bottom"/>
            <w:shd w:val="clear" w:color="auto" w:fill="CCEEFF"/>
          </w:tcPr>
          <w:p>
            <w:pPr>
              <w:spacing w:after="0"/>
              <w:rPr>
                <w:sz w:val="12"/>
                <w:szCs w:val="12"/>
                <w:color w:val="auto"/>
              </w:rPr>
            </w:pPr>
          </w:p>
        </w:tc>
      </w:tr>
      <w:tr>
        <w:trPr>
          <w:trHeight w:val="149"/>
        </w:trPr>
        <w:tc>
          <w:tcPr>
            <w:tcW w:w="1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Dropbox, Inc.</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(5,139,483)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w w:val="91"/>
              </w:rPr>
              <w:t>13,656,926</w:t>
            </w:r>
          </w:p>
        </w:tc>
        <w:tc>
          <w:tcPr>
            <w:tcW w:w="160" w:type="dxa"/>
            <w:vAlign w:val="bottom"/>
          </w:tcPr>
          <w:p>
            <w:pPr>
              <w:spacing w:after="0"/>
              <w:rPr>
                <w:sz w:val="12"/>
                <w:szCs w:val="12"/>
                <w:color w:val="auto"/>
              </w:rPr>
            </w:pPr>
          </w:p>
        </w:tc>
        <w:tc>
          <w:tcPr>
            <w:tcW w:w="860" w:type="dxa"/>
            <w:vAlign w:val="bottom"/>
          </w:tcPr>
          <w:p>
            <w:pPr>
              <w:jc w:val="right"/>
              <w:ind w:right="109"/>
              <w:spacing w:after="0" w:line="149" w:lineRule="exact"/>
              <w:rPr>
                <w:sz w:val="20"/>
                <w:szCs w:val="20"/>
                <w:color w:val="auto"/>
              </w:rPr>
            </w:pPr>
            <w:r>
              <w:rPr>
                <w:rFonts w:ascii="Arial" w:cs="Arial" w:eastAsia="Arial" w:hAnsi="Arial"/>
                <w:sz w:val="14"/>
                <w:szCs w:val="14"/>
                <w:color w:val="auto"/>
                <w:w w:val="94"/>
              </w:rPr>
              <w:t>17,092,705</w:t>
            </w:r>
          </w:p>
        </w:tc>
        <w:tc>
          <w:tcPr>
            <w:tcW w:w="96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3,435,779</w:t>
            </w:r>
          </w:p>
        </w:tc>
        <w:tc>
          <w:tcPr>
            <w:tcW w:w="96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13,656,926</w:t>
            </w:r>
          </w:p>
        </w:tc>
        <w:tc>
          <w:tcPr>
            <w:tcW w:w="80" w:type="dxa"/>
            <w:vAlign w:val="bottom"/>
          </w:tcPr>
          <w:p>
            <w:pPr>
              <w:spacing w:after="0"/>
              <w:rPr>
                <w:sz w:val="12"/>
                <w:szCs w:val="12"/>
                <w:color w:val="auto"/>
              </w:rPr>
            </w:pPr>
          </w:p>
        </w:tc>
        <w:tc>
          <w:tcPr>
            <w:tcW w:w="880" w:type="dxa"/>
            <w:vAlign w:val="bottom"/>
          </w:tcPr>
          <w:p>
            <w:pPr>
              <w:jc w:val="right"/>
              <w:ind w:right="69"/>
              <w:spacing w:after="0" w:line="149" w:lineRule="exact"/>
              <w:rPr>
                <w:sz w:val="20"/>
                <w:szCs w:val="20"/>
                <w:color w:val="auto"/>
              </w:rPr>
            </w:pPr>
            <w:r>
              <w:rPr>
                <w:rFonts w:ascii="Arial" w:cs="Arial" w:eastAsia="Arial" w:hAnsi="Arial"/>
                <w:sz w:val="14"/>
                <w:szCs w:val="14"/>
                <w:color w:val="auto"/>
              </w:rPr>
              <w:t>22,232,188</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8,575,262</w:t>
            </w:r>
          </w:p>
        </w:tc>
        <w:tc>
          <w:tcPr>
            <w:tcW w:w="100" w:type="dxa"/>
            <w:vAlign w:val="bottom"/>
          </w:tcPr>
          <w:p>
            <w:pPr>
              <w:spacing w:after="0"/>
              <w:rPr>
                <w:sz w:val="12"/>
                <w:szCs w:val="12"/>
                <w:color w:val="auto"/>
              </w:rPr>
            </w:pPr>
          </w:p>
        </w:tc>
      </w:tr>
      <w:tr>
        <w:trPr>
          <w:trHeight w:val="149"/>
        </w:trPr>
        <w:tc>
          <w:tcPr>
            <w:tcW w:w="15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Solexel, Inc.</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(5,157,254)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w w:val="91"/>
              </w:rPr>
              <w:t>14,018,399</w:t>
            </w:r>
          </w:p>
        </w:tc>
        <w:tc>
          <w:tcPr>
            <w:tcW w:w="160" w:type="dxa"/>
            <w:vAlign w:val="bottom"/>
            <w:tcBorders>
              <w:lef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8,870,212</w:t>
            </w:r>
          </w:p>
        </w:tc>
        <w:tc>
          <w:tcPr>
            <w:tcW w:w="960" w:type="dxa"/>
            <w:vAlign w:val="bottom"/>
            <w:tcBorders>
              <w:right w:val="single" w:sz="8" w:color="CCEEFF"/>
            </w:tcBorders>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(5,148,187)</w:t>
            </w:r>
          </w:p>
        </w:tc>
        <w:tc>
          <w:tcPr>
            <w:tcW w:w="960" w:type="dxa"/>
            <w:vAlign w:val="bottom"/>
            <w:tcBorders>
              <w:right w:val="single" w:sz="8" w:color="CCEEFF"/>
            </w:tcBorders>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14,018,399</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14,027,466</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9,067</w:t>
            </w:r>
          </w:p>
        </w:tc>
        <w:tc>
          <w:tcPr>
            <w:tcW w:w="100" w:type="dxa"/>
            <w:vAlign w:val="bottom"/>
            <w:shd w:val="clear" w:color="auto" w:fill="CCEEFF"/>
          </w:tcPr>
          <w:p>
            <w:pPr>
              <w:spacing w:after="0"/>
              <w:rPr>
                <w:sz w:val="12"/>
                <w:szCs w:val="12"/>
                <w:color w:val="auto"/>
              </w:rPr>
            </w:pPr>
          </w:p>
        </w:tc>
      </w:tr>
      <w:tr>
        <w:trPr>
          <w:trHeight w:val="149"/>
        </w:trPr>
        <w:tc>
          <w:tcPr>
            <w:tcW w:w="1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JAMF Holdings, Inc.</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9"/>
              </w:rPr>
              <w:t>1,707,179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9,999,928</w:t>
            </w:r>
          </w:p>
        </w:tc>
        <w:tc>
          <w:tcPr>
            <w:tcW w:w="160" w:type="dxa"/>
            <w:vAlign w:val="bottom"/>
          </w:tcPr>
          <w:p>
            <w:pPr>
              <w:spacing w:after="0"/>
              <w:rPr>
                <w:sz w:val="12"/>
                <w:szCs w:val="12"/>
                <w:color w:val="auto"/>
              </w:rPr>
            </w:pPr>
          </w:p>
        </w:tc>
        <w:tc>
          <w:tcPr>
            <w:tcW w:w="860" w:type="dxa"/>
            <w:vAlign w:val="bottom"/>
          </w:tcPr>
          <w:p>
            <w:pPr>
              <w:jc w:val="right"/>
              <w:ind w:right="109"/>
              <w:spacing w:after="0" w:line="149" w:lineRule="exact"/>
              <w:rPr>
                <w:sz w:val="20"/>
                <w:szCs w:val="20"/>
                <w:color w:val="auto"/>
              </w:rPr>
            </w:pPr>
            <w:r>
              <w:rPr>
                <w:rFonts w:ascii="Arial" w:cs="Arial" w:eastAsia="Arial" w:hAnsi="Arial"/>
                <w:sz w:val="14"/>
                <w:szCs w:val="14"/>
                <w:color w:val="auto"/>
                <w:w w:val="94"/>
              </w:rPr>
              <w:t>12,429,978</w:t>
            </w:r>
          </w:p>
        </w:tc>
        <w:tc>
          <w:tcPr>
            <w:tcW w:w="96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2,430,050</w:t>
            </w:r>
          </w:p>
        </w:tc>
        <w:tc>
          <w:tcPr>
            <w:tcW w:w="960" w:type="dxa"/>
            <w:vAlign w:val="bottom"/>
          </w:tcPr>
          <w:p>
            <w:pPr>
              <w:jc w:val="right"/>
              <w:ind w:right="89"/>
              <w:spacing w:after="0" w:line="149" w:lineRule="exact"/>
              <w:rPr>
                <w:sz w:val="20"/>
                <w:szCs w:val="20"/>
                <w:color w:val="auto"/>
              </w:rPr>
            </w:pPr>
            <w:r>
              <w:rPr>
                <w:rFonts w:ascii="Arial" w:cs="Arial" w:eastAsia="Arial" w:hAnsi="Arial"/>
                <w:sz w:val="14"/>
                <w:szCs w:val="14"/>
                <w:color w:val="auto"/>
              </w:rPr>
              <w:t>9,999,928</w:t>
            </w:r>
          </w:p>
        </w:tc>
        <w:tc>
          <w:tcPr>
            <w:tcW w:w="80" w:type="dxa"/>
            <w:vAlign w:val="bottom"/>
          </w:tcPr>
          <w:p>
            <w:pPr>
              <w:spacing w:after="0"/>
              <w:rPr>
                <w:sz w:val="12"/>
                <w:szCs w:val="12"/>
                <w:color w:val="auto"/>
              </w:rPr>
            </w:pPr>
          </w:p>
        </w:tc>
        <w:tc>
          <w:tcPr>
            <w:tcW w:w="880" w:type="dxa"/>
            <w:vAlign w:val="bottom"/>
          </w:tcPr>
          <w:p>
            <w:pPr>
              <w:jc w:val="right"/>
              <w:ind w:right="69"/>
              <w:spacing w:after="0" w:line="149" w:lineRule="exact"/>
              <w:rPr>
                <w:sz w:val="20"/>
                <w:szCs w:val="20"/>
                <w:color w:val="auto"/>
              </w:rPr>
            </w:pPr>
            <w:r>
              <w:rPr>
                <w:rFonts w:ascii="Arial" w:cs="Arial" w:eastAsia="Arial" w:hAnsi="Arial"/>
                <w:sz w:val="14"/>
                <w:szCs w:val="14"/>
                <w:color w:val="auto"/>
              </w:rPr>
              <w:t>10,722,799</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722,871</w:t>
            </w:r>
          </w:p>
        </w:tc>
        <w:tc>
          <w:tcPr>
            <w:tcW w:w="100" w:type="dxa"/>
            <w:vAlign w:val="bottom"/>
          </w:tcPr>
          <w:p>
            <w:pPr>
              <w:spacing w:after="0"/>
              <w:rPr>
                <w:sz w:val="12"/>
                <w:szCs w:val="12"/>
                <w:color w:val="auto"/>
              </w:rPr>
            </w:pPr>
          </w:p>
        </w:tc>
      </w:tr>
      <w:tr>
        <w:trPr>
          <w:trHeight w:val="149"/>
        </w:trPr>
        <w:tc>
          <w:tcPr>
            <w:tcW w:w="15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Lyft, Inc.</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(3,253,734)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4,296,334</w:t>
            </w:r>
          </w:p>
        </w:tc>
        <w:tc>
          <w:tcPr>
            <w:tcW w:w="160" w:type="dxa"/>
            <w:vAlign w:val="bottom"/>
            <w:tcBorders>
              <w:lef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7,504,750</w:t>
            </w:r>
          </w:p>
        </w:tc>
        <w:tc>
          <w:tcPr>
            <w:tcW w:w="960" w:type="dxa"/>
            <w:vAlign w:val="bottom"/>
            <w:tcBorders>
              <w:right w:val="single" w:sz="8" w:color="CCEEFF"/>
            </w:tcBorders>
            <w:shd w:val="clear" w:color="auto" w:fill="CCEEFF"/>
          </w:tcPr>
          <w:p>
            <w:pPr>
              <w:jc w:val="right"/>
              <w:ind w:right="150"/>
              <w:spacing w:after="0" w:line="149" w:lineRule="exact"/>
              <w:rPr>
                <w:sz w:val="20"/>
                <w:szCs w:val="20"/>
                <w:color w:val="auto"/>
              </w:rPr>
            </w:pPr>
            <w:r>
              <w:rPr>
                <w:rFonts w:ascii="Arial" w:cs="Arial" w:eastAsia="Arial" w:hAnsi="Arial"/>
                <w:sz w:val="14"/>
                <w:szCs w:val="14"/>
                <w:color w:val="auto"/>
              </w:rPr>
              <w:t>3,208,416</w:t>
            </w:r>
          </w:p>
        </w:tc>
        <w:tc>
          <w:tcPr>
            <w:tcW w:w="960" w:type="dxa"/>
            <w:vAlign w:val="bottom"/>
            <w:tcBorders>
              <w:right w:val="single" w:sz="8" w:color="CCEEFF"/>
            </w:tcBorders>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7,507,216</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13,969,366</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6,462,150</w:t>
            </w:r>
          </w:p>
        </w:tc>
        <w:tc>
          <w:tcPr>
            <w:tcW w:w="100" w:type="dxa"/>
            <w:vAlign w:val="bottom"/>
            <w:shd w:val="clear" w:color="auto" w:fill="CCEEFF"/>
          </w:tcPr>
          <w:p>
            <w:pPr>
              <w:spacing w:after="0"/>
              <w:rPr>
                <w:sz w:val="12"/>
                <w:szCs w:val="12"/>
                <w:color w:val="auto"/>
              </w:rPr>
            </w:pPr>
          </w:p>
        </w:tc>
      </w:tr>
      <w:tr>
        <w:trPr>
          <w:trHeight w:val="130"/>
        </w:trPr>
        <w:tc>
          <w:tcPr>
            <w:tcW w:w="154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SPBRX, INC. (f/k/a</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5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GSV Sustainability</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Partners, Inc.)</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(1,799,396)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7,161,412</w:t>
            </w:r>
          </w:p>
        </w:tc>
        <w:tc>
          <w:tcPr>
            <w:tcW w:w="16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4,450,604</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(2,710,808)</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7,161,412</w:t>
            </w:r>
          </w:p>
        </w:tc>
        <w:tc>
          <w:tcPr>
            <w:tcW w:w="80" w:type="dxa"/>
            <w:vAlign w:val="bottom"/>
          </w:tcPr>
          <w:p>
            <w:pPr>
              <w:spacing w:after="0"/>
              <w:rPr>
                <w:sz w:val="14"/>
                <w:szCs w:val="14"/>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6,250,000</w:t>
            </w: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(911,412)</w:t>
            </w:r>
          </w:p>
        </w:tc>
      </w:tr>
      <w:tr>
        <w:trPr>
          <w:trHeight w:val="149"/>
        </w:trPr>
        <w:tc>
          <w:tcPr>
            <w:tcW w:w="15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SugarCRM, Inc.</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(1,401,493)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6,977,024</w:t>
            </w:r>
          </w:p>
        </w:tc>
        <w:tc>
          <w:tcPr>
            <w:tcW w:w="160" w:type="dxa"/>
            <w:vAlign w:val="bottom"/>
            <w:tcBorders>
              <w:lef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8,581,813</w:t>
            </w:r>
          </w:p>
        </w:tc>
        <w:tc>
          <w:tcPr>
            <w:tcW w:w="960" w:type="dxa"/>
            <w:vAlign w:val="bottom"/>
            <w:tcBorders>
              <w:right w:val="single" w:sz="8" w:color="CCEEFF"/>
            </w:tcBorders>
            <w:shd w:val="clear" w:color="auto" w:fill="CCEEFF"/>
          </w:tcPr>
          <w:p>
            <w:pPr>
              <w:jc w:val="right"/>
              <w:ind w:right="150"/>
              <w:spacing w:after="0" w:line="149" w:lineRule="exact"/>
              <w:rPr>
                <w:sz w:val="20"/>
                <w:szCs w:val="20"/>
                <w:color w:val="auto"/>
              </w:rPr>
            </w:pPr>
            <w:r>
              <w:rPr>
                <w:rFonts w:ascii="Arial" w:cs="Arial" w:eastAsia="Arial" w:hAnsi="Arial"/>
                <w:sz w:val="14"/>
                <w:szCs w:val="14"/>
                <w:color w:val="auto"/>
              </w:rPr>
              <w:t>1,604,789</w:t>
            </w:r>
          </w:p>
        </w:tc>
        <w:tc>
          <w:tcPr>
            <w:tcW w:w="960" w:type="dxa"/>
            <w:vAlign w:val="bottom"/>
            <w:tcBorders>
              <w:right w:val="single" w:sz="8" w:color="CCEEFF"/>
            </w:tcBorders>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6,977,024</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9,983,306</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3,006,282</w:t>
            </w:r>
          </w:p>
        </w:tc>
        <w:tc>
          <w:tcPr>
            <w:tcW w:w="100" w:type="dxa"/>
            <w:vAlign w:val="bottom"/>
            <w:shd w:val="clear" w:color="auto" w:fill="CCEEFF"/>
          </w:tcPr>
          <w:p>
            <w:pPr>
              <w:spacing w:after="0"/>
              <w:rPr>
                <w:sz w:val="12"/>
                <w:szCs w:val="12"/>
                <w:color w:val="auto"/>
              </w:rPr>
            </w:pPr>
          </w:p>
        </w:tc>
      </w:tr>
      <w:tr>
        <w:trPr>
          <w:trHeight w:val="130"/>
        </w:trPr>
        <w:tc>
          <w:tcPr>
            <w:tcW w:w="154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Gilt Groupe Holdings,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6,055,046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6,594,433</w:t>
            </w:r>
          </w:p>
        </w:tc>
        <w:tc>
          <w:tcPr>
            <w:tcW w:w="80" w:type="dxa"/>
            <w:vAlign w:val="bottom"/>
          </w:tcPr>
          <w:p>
            <w:pPr>
              <w:spacing w:after="0"/>
              <w:rPr>
                <w:sz w:val="14"/>
                <w:szCs w:val="14"/>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539,387</w:t>
            </w: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(6,055,046)</w:t>
            </w:r>
          </w:p>
        </w:tc>
      </w:tr>
      <w:tr>
        <w:trPr>
          <w:trHeight w:val="189"/>
        </w:trPr>
        <w:tc>
          <w:tcPr>
            <w:tcW w:w="154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555,808</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223,534,356</w:t>
            </w:r>
          </w:p>
        </w:tc>
        <w:tc>
          <w:tcPr>
            <w:tcW w:w="1020" w:type="dxa"/>
            <w:vAlign w:val="bottom"/>
            <w:tcBorders>
              <w:left w:val="single" w:sz="8" w:color="CCEEFF"/>
              <w:right w:val="single" w:sz="8" w:color="CCEEFF"/>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218,748,897</w:t>
            </w:r>
          </w:p>
        </w:tc>
        <w:tc>
          <w:tcPr>
            <w:tcW w:w="96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(4,785,459)</w:t>
            </w:r>
          </w:p>
        </w:tc>
        <w:tc>
          <w:tcPr>
            <w:tcW w:w="96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219,057,592</w:t>
            </w: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92"/>
              </w:rPr>
              <w:t>213,716,325</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(5,341,267)</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1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Totals</w:t>
            </w:r>
          </w:p>
        </w:tc>
        <w:tc>
          <w:tcPr>
            <w:tcW w:w="800" w:type="dxa"/>
            <w:vAlign w:val="bottom"/>
            <w:gridSpan w:val="3"/>
          </w:tcPr>
          <w:p>
            <w:pPr>
              <w:jc w:val="right"/>
              <w:ind w:right="60"/>
              <w:spacing w:after="0" w:line="142" w:lineRule="exact"/>
              <w:rPr>
                <w:sz w:val="20"/>
                <w:szCs w:val="20"/>
                <w:color w:val="auto"/>
              </w:rPr>
            </w:pPr>
            <w:r>
              <w:rPr>
                <w:rFonts w:ascii="Arial" w:cs="Arial" w:eastAsia="Arial" w:hAnsi="Arial"/>
                <w:sz w:val="14"/>
                <w:szCs w:val="14"/>
                <w:u w:val="single" w:color="auto"/>
                <w:color w:val="auto"/>
                <w:w w:val="79"/>
              </w:rPr>
              <w:t>$</w:t>
            </w:r>
            <w:r>
              <w:rPr>
                <w:rFonts w:ascii="Arial" w:cs="Arial" w:eastAsia="Arial" w:hAnsi="Arial"/>
                <w:sz w:val="14"/>
                <w:szCs w:val="14"/>
                <w:color w:val="auto"/>
                <w:w w:val="79"/>
              </w:rPr>
              <w:t xml:space="preserve"> (36,616,596)</w:t>
            </w:r>
          </w:p>
        </w:tc>
        <w:tc>
          <w:tcPr>
            <w:tcW w:w="80" w:type="dxa"/>
            <w:vAlign w:val="bottom"/>
          </w:tcPr>
          <w:p>
            <w:pPr>
              <w:spacing w:after="0"/>
              <w:rPr>
                <w:sz w:val="12"/>
                <w:szCs w:val="12"/>
                <w:color w:val="auto"/>
              </w:rPr>
            </w:pPr>
          </w:p>
        </w:tc>
        <w:tc>
          <w:tcPr>
            <w:tcW w:w="980" w:type="dxa"/>
            <w:vAlign w:val="bottom"/>
            <w:gridSpan w:val="3"/>
          </w:tcPr>
          <w:p>
            <w:pPr>
              <w:jc w:val="right"/>
              <w:ind w:right="69"/>
              <w:spacing w:after="0" w:line="142" w:lineRule="exact"/>
              <w:rPr>
                <w:sz w:val="20"/>
                <w:szCs w:val="20"/>
                <w:color w:val="auto"/>
              </w:rPr>
            </w:pPr>
            <w:r>
              <w:rPr>
                <w:rFonts w:ascii="Arial" w:cs="Arial" w:eastAsia="Arial" w:hAnsi="Arial"/>
                <w:sz w:val="14"/>
                <w:szCs w:val="14"/>
                <w:color w:val="auto"/>
                <w:w w:val="91"/>
              </w:rPr>
              <w:t>$ 308,426,030</w:t>
            </w:r>
          </w:p>
        </w:tc>
        <w:tc>
          <w:tcPr>
            <w:tcW w:w="1020" w:type="dxa"/>
            <w:vAlign w:val="bottom"/>
            <w:gridSpan w:val="2"/>
          </w:tcPr>
          <w:p>
            <w:pPr>
              <w:jc w:val="right"/>
              <w:ind w:right="109"/>
              <w:spacing w:after="0" w:line="142" w:lineRule="exact"/>
              <w:rPr>
                <w:sz w:val="20"/>
                <w:szCs w:val="20"/>
                <w:color w:val="auto"/>
              </w:rPr>
            </w:pPr>
            <w:r>
              <w:rPr>
                <w:rFonts w:ascii="Arial" w:cs="Arial" w:eastAsia="Arial" w:hAnsi="Arial"/>
                <w:sz w:val="14"/>
                <w:szCs w:val="14"/>
                <w:color w:val="auto"/>
                <w:w w:val="91"/>
              </w:rPr>
              <w:t>$ 328,269,891</w:t>
            </w:r>
          </w:p>
        </w:tc>
        <w:tc>
          <w:tcPr>
            <w:tcW w:w="960" w:type="dxa"/>
            <w:vAlign w:val="bottom"/>
          </w:tcPr>
          <w:p>
            <w:pPr>
              <w:jc w:val="right"/>
              <w:ind w:right="150"/>
              <w:spacing w:after="0" w:line="142" w:lineRule="exact"/>
              <w:rPr>
                <w:sz w:val="20"/>
                <w:szCs w:val="20"/>
                <w:color w:val="auto"/>
              </w:rPr>
            </w:pPr>
            <w:r>
              <w:rPr>
                <w:rFonts w:ascii="Arial" w:cs="Arial" w:eastAsia="Arial" w:hAnsi="Arial"/>
                <w:sz w:val="14"/>
                <w:szCs w:val="14"/>
                <w:color w:val="auto"/>
                <w:w w:val="88"/>
              </w:rPr>
              <w:t>$ 19,843,861</w:t>
            </w:r>
          </w:p>
        </w:tc>
        <w:tc>
          <w:tcPr>
            <w:tcW w:w="960" w:type="dxa"/>
            <w:vAlign w:val="bottom"/>
          </w:tcPr>
          <w:p>
            <w:pPr>
              <w:jc w:val="right"/>
              <w:ind w:right="89"/>
              <w:spacing w:after="0" w:line="142" w:lineRule="exact"/>
              <w:rPr>
                <w:sz w:val="20"/>
                <w:szCs w:val="20"/>
                <w:color w:val="auto"/>
              </w:rPr>
            </w:pPr>
            <w:r>
              <w:rPr>
                <w:rFonts w:ascii="Arial" w:cs="Arial" w:eastAsia="Arial" w:hAnsi="Arial"/>
                <w:sz w:val="14"/>
                <w:szCs w:val="14"/>
                <w:color w:val="auto"/>
                <w:w w:val="87"/>
              </w:rPr>
              <w:t>$ 327,025,003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9"/>
              <w:spacing w:after="0" w:line="142" w:lineRule="exact"/>
              <w:rPr>
                <w:sz w:val="20"/>
                <w:szCs w:val="20"/>
                <w:color w:val="auto"/>
              </w:rPr>
            </w:pPr>
            <w:r>
              <w:rPr>
                <w:rFonts w:ascii="Arial" w:cs="Arial" w:eastAsia="Arial" w:hAnsi="Arial"/>
                <w:sz w:val="14"/>
                <w:szCs w:val="14"/>
                <w:color w:val="auto"/>
                <w:w w:val="92"/>
              </w:rPr>
              <w:t>383,485,460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9"/>
              </w:rPr>
              <w:t>56,460,457</w:t>
            </w:r>
          </w:p>
        </w:tc>
        <w:tc>
          <w:tcPr>
            <w:tcW w:w="10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Change in</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3"/>
                <w:szCs w:val="13"/>
                <w:b w:val="1"/>
                <w:bCs w:val="1"/>
                <w:color w:val="auto"/>
              </w:rPr>
              <w:t>As of September 30, 2015</w:t>
            </w:r>
          </w:p>
        </w:tc>
        <w:tc>
          <w:tcPr>
            <w:tcW w:w="284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3"/>
                <w:szCs w:val="13"/>
                <w:b w:val="1"/>
                <w:bCs w:val="1"/>
                <w:color w:val="auto"/>
              </w:rPr>
              <w:t>As of December 31, 2014</w:t>
            </w:r>
          </w:p>
        </w:tc>
      </w:tr>
      <w:tr>
        <w:trPr>
          <w:trHeight w:val="110"/>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jc w:val="center"/>
              <w:ind w:right="80"/>
              <w:spacing w:after="0" w:line="110" w:lineRule="exact"/>
              <w:rPr>
                <w:sz w:val="20"/>
                <w:szCs w:val="20"/>
                <w:color w:val="auto"/>
              </w:rPr>
            </w:pPr>
            <w:r>
              <w:rPr>
                <w:rFonts w:ascii="Arial" w:cs="Arial" w:eastAsia="Arial" w:hAnsi="Arial"/>
                <w:sz w:val="12"/>
                <w:szCs w:val="12"/>
                <w:b w:val="1"/>
                <w:bCs w:val="1"/>
                <w:color w:val="auto"/>
                <w:w w:val="95"/>
              </w:rPr>
              <w:t>Unrealized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Unrealized</w:t>
            </w: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60"/>
              <w:spacing w:after="0" w:line="110" w:lineRule="exact"/>
              <w:rPr>
                <w:sz w:val="20"/>
                <w:szCs w:val="20"/>
                <w:color w:val="auto"/>
              </w:rPr>
            </w:pPr>
            <w:r>
              <w:rPr>
                <w:rFonts w:ascii="Arial" w:cs="Arial" w:eastAsia="Arial" w:hAnsi="Arial"/>
                <w:sz w:val="12"/>
                <w:szCs w:val="12"/>
                <w:b w:val="1"/>
                <w:bCs w:val="1"/>
                <w:color w:val="auto"/>
                <w:w w:val="95"/>
              </w:rPr>
              <w:t>Unrealized</w:t>
            </w: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9"/>
              </w:rPr>
              <w:t>Appreciation/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Appreciation/</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Appreciation/</w:t>
            </w:r>
          </w:p>
        </w:tc>
      </w:tr>
      <w:tr>
        <w:trPr>
          <w:trHeight w:val="153"/>
        </w:trPr>
        <w:tc>
          <w:tcPr>
            <w:tcW w:w="1540" w:type="dxa"/>
            <w:vAlign w:val="bottom"/>
            <w:gridSpan w:val="3"/>
          </w:tcPr>
          <w:p>
            <w:pPr>
              <w:ind w:left="20"/>
              <w:spacing w:after="0"/>
              <w:rPr>
                <w:sz w:val="20"/>
                <w:szCs w:val="20"/>
                <w:color w:val="auto"/>
              </w:rPr>
            </w:pPr>
            <w:r>
              <w:rPr>
                <w:rFonts w:ascii="Arial" w:cs="Arial" w:eastAsia="Arial" w:hAnsi="Arial"/>
                <w:sz w:val="13"/>
                <w:szCs w:val="13"/>
                <w:b w:val="1"/>
                <w:bCs w:val="1"/>
                <w:color w:val="auto"/>
              </w:rPr>
              <w:t>Portfolio Company</w:t>
            </w:r>
          </w:p>
        </w:tc>
        <w:tc>
          <w:tcPr>
            <w:tcW w:w="8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9"/>
              </w:rPr>
              <w:t>(Depreciation)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4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60" w:type="dxa"/>
            <w:vAlign w:val="bottom"/>
          </w:tcPr>
          <w:p>
            <w:pPr>
              <w:jc w:val="right"/>
              <w:ind w:right="149"/>
              <w:spacing w:after="0"/>
              <w:rPr>
                <w:sz w:val="20"/>
                <w:szCs w:val="20"/>
                <w:color w:val="auto"/>
              </w:rPr>
            </w:pPr>
            <w:r>
              <w:rPr>
                <w:rFonts w:ascii="Arial" w:cs="Arial" w:eastAsia="Arial" w:hAnsi="Arial"/>
                <w:sz w:val="13"/>
                <w:szCs w:val="13"/>
                <w:b w:val="1"/>
                <w:bCs w:val="1"/>
                <w:color w:val="auto"/>
                <w:w w:val="99"/>
              </w:rPr>
              <w:t>Fair Value</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9"/>
              </w:rPr>
              <w:t>(Depreciation)</w:t>
            </w:r>
          </w:p>
        </w:tc>
        <w:tc>
          <w:tcPr>
            <w:tcW w:w="960" w:type="dxa"/>
            <w:vAlign w:val="bottom"/>
          </w:tcPr>
          <w:p>
            <w:pPr>
              <w:jc w:val="right"/>
              <w:ind w:right="309"/>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880" w:type="dxa"/>
            <w:vAlign w:val="bottom"/>
          </w:tcPr>
          <w:p>
            <w:pPr>
              <w:jc w:val="right"/>
              <w:ind w:right="169"/>
              <w:spacing w:after="0"/>
              <w:rPr>
                <w:sz w:val="20"/>
                <w:szCs w:val="20"/>
                <w:color w:val="auto"/>
              </w:rPr>
            </w:pPr>
            <w:r>
              <w:rPr>
                <w:rFonts w:ascii="Arial" w:cs="Arial" w:eastAsia="Arial" w:hAnsi="Arial"/>
                <w:sz w:val="13"/>
                <w:szCs w:val="13"/>
                <w:b w:val="1"/>
                <w:bCs w:val="1"/>
                <w:color w:val="auto"/>
                <w:w w:val="99"/>
              </w:rPr>
              <w:t>Fair Value</w:t>
            </w:r>
          </w:p>
        </w:tc>
        <w:tc>
          <w:tcPr>
            <w:tcW w:w="8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(Depreciation)</w:t>
            </w:r>
          </w:p>
        </w:tc>
      </w:tr>
      <w:tr>
        <w:trPr>
          <w:trHeight w:val="142"/>
        </w:trPr>
        <w:tc>
          <w:tcPr>
            <w:tcW w:w="15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Twitter, Inc.</w:t>
            </w:r>
          </w:p>
        </w:tc>
        <w:tc>
          <w:tcPr>
            <w:tcW w:w="88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color w:val="auto"/>
                <w:w w:val="90"/>
              </w:rPr>
              <w:t>$ (22,565,661)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14,271,866</w:t>
            </w:r>
          </w:p>
        </w:tc>
        <w:tc>
          <w:tcPr>
            <w:tcW w:w="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21,568,164</w:t>
            </w:r>
          </w:p>
        </w:tc>
        <w:tc>
          <w:tcPr>
            <w:tcW w:w="96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w w:val="97"/>
              </w:rPr>
              <w:t>$  7,296,298</w:t>
            </w:r>
          </w:p>
        </w:tc>
        <w:tc>
          <w:tcPr>
            <w:tcW w:w="960" w:type="dxa"/>
            <w:vAlign w:val="bottom"/>
            <w:tcBorders>
              <w:top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w w:val="95"/>
              </w:rPr>
              <w:t>$  27,551,563</w:t>
            </w: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57,413,522</w:t>
            </w: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29,861,959</w:t>
            </w:r>
          </w:p>
        </w:tc>
      </w:tr>
      <w:tr>
        <w:trPr>
          <w:trHeight w:val="130"/>
        </w:trPr>
        <w:tc>
          <w:tcPr>
            <w:tcW w:w="154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2U, Inc.</w:t>
            </w: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5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(f/k/a 2tor, Inc.)</w:t>
            </w: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0"/>
              </w:rPr>
              <w:t>(13,310,392)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10,032,117</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23,342,509</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13,310,392</w:t>
            </w:r>
          </w:p>
        </w:tc>
      </w:tr>
      <w:tr>
        <w:trPr>
          <w:trHeight w:val="130"/>
        </w:trPr>
        <w:tc>
          <w:tcPr>
            <w:tcW w:w="154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Learnist Inc. (f/k/a</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Grockit, Inc.)</w:t>
            </w:r>
          </w:p>
        </w:tc>
        <w:tc>
          <w:tcPr>
            <w:tcW w:w="10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(4,947,385)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4,959,615</w:t>
            </w:r>
          </w:p>
        </w:tc>
        <w:tc>
          <w:tcPr>
            <w:tcW w:w="160" w:type="dxa"/>
            <w:vAlign w:val="bottom"/>
          </w:tcPr>
          <w:p>
            <w:pPr>
              <w:spacing w:after="0"/>
              <w:rPr>
                <w:sz w:val="14"/>
                <w:szCs w:val="14"/>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431,925</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(4,527,690)</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4,959,615</w:t>
            </w:r>
          </w:p>
        </w:tc>
        <w:tc>
          <w:tcPr>
            <w:tcW w:w="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5,379,310</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419,695</w:t>
            </w:r>
          </w:p>
        </w:tc>
      </w:tr>
      <w:tr>
        <w:trPr>
          <w:trHeight w:val="130"/>
        </w:trPr>
        <w:tc>
          <w:tcPr>
            <w:tcW w:w="154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Gilt Groupe Holdings,</w:t>
            </w:r>
          </w:p>
        </w:tc>
        <w:tc>
          <w:tcPr>
            <w:tcW w:w="10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5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(1,979,736)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6,594,433</w:t>
            </w:r>
          </w:p>
        </w:tc>
        <w:tc>
          <w:tcPr>
            <w:tcW w:w="160" w:type="dxa"/>
            <w:vAlign w:val="bottom"/>
            <w:tcBorders>
              <w:left w:val="single" w:sz="8" w:color="CCEEFF"/>
            </w:tcBorders>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1,188,372</w:t>
            </w:r>
          </w:p>
        </w:tc>
        <w:tc>
          <w:tcPr>
            <w:tcW w:w="96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(5,406,061)</w:t>
            </w:r>
          </w:p>
        </w:tc>
        <w:tc>
          <w:tcPr>
            <w:tcW w:w="9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6,594,433</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3,168,108</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(3,426,325)</w:t>
            </w:r>
          </w:p>
        </w:tc>
      </w:tr>
      <w:tr>
        <w:trPr>
          <w:trHeight w:val="130"/>
        </w:trPr>
        <w:tc>
          <w:tcPr>
            <w:tcW w:w="154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Palantir Technologies,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9,132,757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17,200,023</w:t>
            </w:r>
          </w:p>
        </w:tc>
        <w:tc>
          <w:tcPr>
            <w:tcW w:w="160" w:type="dxa"/>
            <w:vAlign w:val="bottom"/>
          </w:tcPr>
          <w:p>
            <w:pPr>
              <w:spacing w:after="0"/>
              <w:rPr>
                <w:sz w:val="14"/>
                <w:szCs w:val="14"/>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54,609,192</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37,409,169</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17,198,903</w:t>
            </w:r>
          </w:p>
        </w:tc>
        <w:tc>
          <w:tcPr>
            <w:tcW w:w="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45,475,315</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28,276,412</w:t>
            </w:r>
          </w:p>
        </w:tc>
      </w:tr>
      <w:tr>
        <w:trPr>
          <w:trHeight w:val="149"/>
        </w:trPr>
        <w:tc>
          <w:tcPr>
            <w:tcW w:w="15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Dataminr, Inc.</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7,931,309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3,164,265</w:t>
            </w:r>
          </w:p>
        </w:tc>
        <w:tc>
          <w:tcPr>
            <w:tcW w:w="160" w:type="dxa"/>
            <w:vAlign w:val="bottom"/>
            <w:tcBorders>
              <w:lef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11,876,054</w:t>
            </w:r>
          </w:p>
        </w:tc>
        <w:tc>
          <w:tcPr>
            <w:tcW w:w="960" w:type="dxa"/>
            <w:vAlign w:val="bottom"/>
            <w:tcBorders>
              <w:right w:val="single" w:sz="8" w:color="CCEEFF"/>
            </w:tcBorders>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8,711,789</w:t>
            </w:r>
          </w:p>
        </w:tc>
        <w:tc>
          <w:tcPr>
            <w:tcW w:w="96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3,164,265</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3,944,745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780,480</w:t>
            </w:r>
          </w:p>
        </w:tc>
      </w:tr>
      <w:tr>
        <w:trPr>
          <w:trHeight w:val="149"/>
        </w:trPr>
        <w:tc>
          <w:tcPr>
            <w:tcW w:w="1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Totus Solutions, Inc.</w:t>
            </w: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5,894,116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line="149" w:lineRule="exact"/>
              <w:rPr>
                <w:sz w:val="20"/>
                <w:szCs w:val="20"/>
                <w:color w:val="auto"/>
              </w:rPr>
            </w:pPr>
            <w:r>
              <w:rPr>
                <w:rFonts w:ascii="Arial" w:cs="Arial" w:eastAsia="Arial" w:hAnsi="Arial"/>
                <w:sz w:val="14"/>
                <w:szCs w:val="14"/>
                <w:color w:val="auto"/>
              </w:rPr>
              <w:t>6,101,443</w:t>
            </w:r>
          </w:p>
        </w:tc>
        <w:tc>
          <w:tcPr>
            <w:tcW w:w="80" w:type="dxa"/>
            <w:vAlign w:val="bottom"/>
          </w:tcPr>
          <w:p>
            <w:pPr>
              <w:spacing w:after="0"/>
              <w:rPr>
                <w:sz w:val="12"/>
                <w:szCs w:val="12"/>
                <w:color w:val="auto"/>
              </w:rPr>
            </w:pPr>
          </w:p>
        </w:tc>
        <w:tc>
          <w:tcPr>
            <w:tcW w:w="8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207,327</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(5,894,116)</w:t>
            </w:r>
          </w:p>
        </w:tc>
      </w:tr>
      <w:tr>
        <w:trPr>
          <w:trHeight w:val="130"/>
        </w:trPr>
        <w:tc>
          <w:tcPr>
            <w:tcW w:w="164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General Assembly Space,</w:t>
            </w:r>
          </w:p>
        </w:tc>
        <w:tc>
          <w:tcPr>
            <w:tcW w:w="6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5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5,395,948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5,999,961</w:t>
            </w:r>
          </w:p>
        </w:tc>
        <w:tc>
          <w:tcPr>
            <w:tcW w:w="160" w:type="dxa"/>
            <w:vAlign w:val="bottom"/>
            <w:tcBorders>
              <w:left w:val="single" w:sz="8" w:color="CCEEFF"/>
            </w:tcBorders>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11,521,372</w:t>
            </w:r>
          </w:p>
        </w:tc>
        <w:tc>
          <w:tcPr>
            <w:tcW w:w="96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5,521,411</w:t>
            </w:r>
          </w:p>
        </w:tc>
        <w:tc>
          <w:tcPr>
            <w:tcW w:w="9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5,999,961</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6,125,424</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125,463</w:t>
            </w:r>
          </w:p>
        </w:tc>
      </w:tr>
      <w:tr>
        <w:trPr>
          <w:trHeight w:val="149"/>
        </w:trPr>
        <w:tc>
          <w:tcPr>
            <w:tcW w:w="1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Lyft, Inc.</w:t>
            </w: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4,448,202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7,507,216</w:t>
            </w:r>
          </w:p>
        </w:tc>
        <w:tc>
          <w:tcPr>
            <w:tcW w:w="16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Arial" w:cs="Arial" w:eastAsia="Arial" w:hAnsi="Arial"/>
                <w:sz w:val="14"/>
                <w:szCs w:val="14"/>
                <w:color w:val="auto"/>
              </w:rPr>
              <w:t>11,950,838</w:t>
            </w:r>
          </w:p>
        </w:tc>
        <w:tc>
          <w:tcPr>
            <w:tcW w:w="960" w:type="dxa"/>
            <w:vAlign w:val="bottom"/>
          </w:tcPr>
          <w:p>
            <w:pPr>
              <w:jc w:val="right"/>
              <w:ind w:right="110"/>
              <w:spacing w:after="0" w:line="149" w:lineRule="exact"/>
              <w:rPr>
                <w:sz w:val="20"/>
                <w:szCs w:val="20"/>
                <w:color w:val="auto"/>
              </w:rPr>
            </w:pPr>
            <w:r>
              <w:rPr>
                <w:rFonts w:ascii="Arial" w:cs="Arial" w:eastAsia="Arial" w:hAnsi="Arial"/>
                <w:sz w:val="14"/>
                <w:szCs w:val="14"/>
                <w:color w:val="auto"/>
              </w:rPr>
              <w:t>4,443,622</w:t>
            </w:r>
          </w:p>
        </w:tc>
        <w:tc>
          <w:tcPr>
            <w:tcW w:w="960" w:type="dxa"/>
            <w:vAlign w:val="bottom"/>
          </w:tcPr>
          <w:p>
            <w:pPr>
              <w:jc w:val="right"/>
              <w:ind w:right="49"/>
              <w:spacing w:after="0" w:line="149" w:lineRule="exact"/>
              <w:rPr>
                <w:sz w:val="20"/>
                <w:szCs w:val="20"/>
                <w:color w:val="auto"/>
              </w:rPr>
            </w:pPr>
            <w:r>
              <w:rPr>
                <w:rFonts w:ascii="Arial" w:cs="Arial" w:eastAsia="Arial" w:hAnsi="Arial"/>
                <w:sz w:val="14"/>
                <w:szCs w:val="14"/>
                <w:color w:val="auto"/>
              </w:rPr>
              <w:t>5,003,634</w:t>
            </w:r>
          </w:p>
        </w:tc>
        <w:tc>
          <w:tcPr>
            <w:tcW w:w="80" w:type="dxa"/>
            <w:vAlign w:val="bottom"/>
          </w:tcPr>
          <w:p>
            <w:pPr>
              <w:spacing w:after="0"/>
              <w:rPr>
                <w:sz w:val="12"/>
                <w:szCs w:val="12"/>
                <w:color w:val="auto"/>
              </w:rPr>
            </w:pPr>
          </w:p>
        </w:tc>
        <w:tc>
          <w:tcPr>
            <w:tcW w:w="8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4,999,054</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(4,580)</w:t>
            </w:r>
          </w:p>
        </w:tc>
      </w:tr>
      <w:tr>
        <w:trPr>
          <w:trHeight w:val="149"/>
        </w:trPr>
        <w:tc>
          <w:tcPr>
            <w:tcW w:w="15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Dailybreak, Inc.</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2,857,204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2,857,204</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(2,857,204)</w:t>
            </w:r>
          </w:p>
        </w:tc>
      </w:tr>
      <w:tr>
        <w:trPr>
          <w:trHeight w:val="130"/>
        </w:trPr>
        <w:tc>
          <w:tcPr>
            <w:tcW w:w="154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Spotify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Technology S.A.</w:t>
            </w: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2,481,351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3,598,472</w:t>
            </w:r>
          </w:p>
        </w:tc>
        <w:tc>
          <w:tcPr>
            <w:tcW w:w="160" w:type="dxa"/>
            <w:vAlign w:val="bottom"/>
          </w:tcPr>
          <w:p>
            <w:pPr>
              <w:spacing w:after="0"/>
              <w:rPr>
                <w:sz w:val="14"/>
                <w:szCs w:val="14"/>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8,158,224</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4,559,752</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3,598,472</w:t>
            </w:r>
          </w:p>
        </w:tc>
        <w:tc>
          <w:tcPr>
            <w:tcW w:w="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5,676,873</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2,078,401</w:t>
            </w:r>
          </w:p>
        </w:tc>
      </w:tr>
      <w:tr>
        <w:trPr>
          <w:trHeight w:val="149"/>
        </w:trPr>
        <w:tc>
          <w:tcPr>
            <w:tcW w:w="154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JAMF Holdings, Inc.</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1,584,038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9,999,928</w:t>
            </w:r>
          </w:p>
        </w:tc>
        <w:tc>
          <w:tcPr>
            <w:tcW w:w="160" w:type="dxa"/>
            <w:vAlign w:val="bottom"/>
            <w:tcBorders>
              <w:left w:val="single" w:sz="8" w:color="CCEEFF"/>
            </w:tcBorders>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11,583,628</w:t>
            </w:r>
          </w:p>
        </w:tc>
        <w:tc>
          <w:tcPr>
            <w:tcW w:w="960" w:type="dxa"/>
            <w:vAlign w:val="bottom"/>
            <w:tcBorders>
              <w:right w:val="single" w:sz="8" w:color="CCEEFF"/>
            </w:tcBorders>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1,583,700</w:t>
            </w:r>
          </w:p>
        </w:tc>
        <w:tc>
          <w:tcPr>
            <w:tcW w:w="96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9,999,928</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9,999,590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w:t>
            </w:r>
          </w:p>
        </w:tc>
      </w:tr>
      <w:tr>
        <w:trPr>
          <w:trHeight w:val="130"/>
        </w:trPr>
        <w:tc>
          <w:tcPr>
            <w:tcW w:w="154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The rSmart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Group, Inc.</w:t>
            </w: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1,074,654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1,267,240</w:t>
            </w:r>
          </w:p>
        </w:tc>
        <w:tc>
          <w:tcPr>
            <w:tcW w:w="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192,586</w:t>
            </w: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(1,074,654)</w:t>
            </w:r>
          </w:p>
        </w:tc>
      </w:tr>
      <w:tr>
        <w:trPr>
          <w:trHeight w:val="189"/>
        </w:trPr>
        <w:tc>
          <w:tcPr>
            <w:tcW w:w="154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2,061,609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235,235,099</w:t>
            </w:r>
          </w:p>
        </w:tc>
        <w:tc>
          <w:tcPr>
            <w:tcW w:w="160" w:type="dxa"/>
            <w:vAlign w:val="bottom"/>
            <w:tcBorders>
              <w:left w:val="single" w:sz="8" w:color="CCEEFF"/>
            </w:tcBorders>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92"/>
              </w:rPr>
              <w:t>245,583,825</w:t>
            </w:r>
          </w:p>
        </w:tc>
        <w:tc>
          <w:tcPr>
            <w:tcW w:w="96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10,348,726</w:t>
            </w:r>
          </w:p>
        </w:tc>
        <w:tc>
          <w:tcPr>
            <w:tcW w:w="9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304,070,935</w:t>
            </w: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95"/>
              </w:rPr>
              <w:t>312,358,052</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8,287,117</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1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Totals</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58,014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1"/>
              </w:rPr>
              <w:t>$ 308,530,878</w:t>
            </w:r>
          </w:p>
        </w:tc>
        <w:tc>
          <w:tcPr>
            <w:tcW w:w="1020" w:type="dxa"/>
            <w:vAlign w:val="bottom"/>
            <w:gridSpan w:val="2"/>
          </w:tcPr>
          <w:p>
            <w:pPr>
              <w:jc w:val="right"/>
              <w:ind w:right="49"/>
              <w:spacing w:after="0" w:line="142" w:lineRule="exact"/>
              <w:rPr>
                <w:sz w:val="20"/>
                <w:szCs w:val="20"/>
                <w:color w:val="auto"/>
              </w:rPr>
            </w:pPr>
            <w:r>
              <w:rPr>
                <w:rFonts w:ascii="Arial" w:cs="Arial" w:eastAsia="Arial" w:hAnsi="Arial"/>
                <w:sz w:val="14"/>
                <w:szCs w:val="14"/>
                <w:color w:val="auto"/>
                <w:w w:val="98"/>
              </w:rPr>
              <w:t>$ 378,471,594</w:t>
            </w:r>
          </w:p>
        </w:tc>
        <w:tc>
          <w:tcPr>
            <w:tcW w:w="960" w:type="dxa"/>
            <w:vAlign w:val="bottom"/>
          </w:tcPr>
          <w:p>
            <w:pPr>
              <w:jc w:val="right"/>
              <w:ind w:right="110"/>
              <w:spacing w:after="0" w:line="142" w:lineRule="exact"/>
              <w:rPr>
                <w:sz w:val="20"/>
                <w:szCs w:val="20"/>
                <w:color w:val="auto"/>
              </w:rPr>
            </w:pPr>
            <w:r>
              <w:rPr>
                <w:rFonts w:ascii="Arial" w:cs="Arial" w:eastAsia="Arial" w:hAnsi="Arial"/>
                <w:sz w:val="14"/>
                <w:szCs w:val="14"/>
                <w:color w:val="auto"/>
                <w:w w:val="92"/>
              </w:rPr>
              <w:t>$ 69,940,716</w:t>
            </w:r>
          </w:p>
        </w:tc>
        <w:tc>
          <w:tcPr>
            <w:tcW w:w="960" w:type="dxa"/>
            <w:vAlign w:val="bottom"/>
          </w:tcPr>
          <w:p>
            <w:pPr>
              <w:jc w:val="right"/>
              <w:ind w:right="49"/>
              <w:spacing w:after="0" w:line="142" w:lineRule="exact"/>
              <w:rPr>
                <w:sz w:val="20"/>
                <w:szCs w:val="20"/>
                <w:color w:val="auto"/>
              </w:rPr>
            </w:pPr>
            <w:r>
              <w:rPr>
                <w:rFonts w:ascii="Arial" w:cs="Arial" w:eastAsia="Arial" w:hAnsi="Arial"/>
                <w:sz w:val="14"/>
                <w:szCs w:val="14"/>
                <w:color w:val="auto"/>
                <w:w w:val="91"/>
              </w:rPr>
              <w:t>$ 408,399,713</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ind w:right="49"/>
              <w:spacing w:after="0" w:line="142" w:lineRule="exact"/>
              <w:rPr>
                <w:sz w:val="20"/>
                <w:szCs w:val="20"/>
                <w:color w:val="auto"/>
              </w:rPr>
            </w:pPr>
            <w:r>
              <w:rPr>
                <w:rFonts w:ascii="Arial" w:cs="Arial" w:eastAsia="Arial" w:hAnsi="Arial"/>
                <w:sz w:val="14"/>
                <w:szCs w:val="14"/>
                <w:color w:val="auto"/>
                <w:w w:val="95"/>
              </w:rPr>
              <w:t>478,282,415</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69,882,702</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-2880995</wp:posOffset>
            </wp:positionV>
            <wp:extent cx="5213985" cy="2701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3985" cy="2701290"/>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342" w:lineRule="auto"/>
        <w:tabs>
          <w:tab w:leader="none" w:pos="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represents all investments (including U.S. Treasury Bills and U.S. Treasury Strips) whose individual change in unrealized appreciation/(depreciation) was less than $1,000,000 for each of the nine months ended September 30, 2016 and 2015.</w:t>
      </w:r>
    </w:p>
    <w:p>
      <w:pPr>
        <w:spacing w:after="0" w:line="200" w:lineRule="exact"/>
        <w:rPr>
          <w:sz w:val="20"/>
          <w:szCs w:val="20"/>
          <w:color w:val="auto"/>
        </w:rPr>
      </w:pPr>
    </w:p>
    <w:p>
      <w:pPr>
        <w:spacing w:after="0" w:line="26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 w:right="739" w:firstLine="270"/>
        <w:spacing w:after="0" w:line="264" w:lineRule="auto"/>
        <w:rPr>
          <w:sz w:val="20"/>
          <w:szCs w:val="20"/>
          <w:color w:val="auto"/>
        </w:rPr>
      </w:pPr>
      <w:r>
        <w:rPr>
          <w:rFonts w:ascii="Arial" w:cs="Arial" w:eastAsia="Arial" w:hAnsi="Arial"/>
          <w:sz w:val="18"/>
          <w:szCs w:val="18"/>
          <w:color w:val="auto"/>
        </w:rPr>
        <w:t>Our liquidity and capital resources are generated primarily from sales of our investments as well as advances from our Credit Facility. In management’s view, we have sufficient liquidity and capital resources to pay our operating expenses and conduct investment activities.</w:t>
      </w:r>
    </w:p>
    <w:p>
      <w:pPr>
        <w:spacing w:after="0" w:line="73" w:lineRule="exact"/>
        <w:rPr>
          <w:sz w:val="20"/>
          <w:szCs w:val="20"/>
          <w:color w:val="auto"/>
        </w:rPr>
      </w:pPr>
    </w:p>
    <w:p>
      <w:pPr>
        <w:ind w:left="60" w:right="659" w:firstLine="270"/>
        <w:spacing w:after="0" w:line="342" w:lineRule="auto"/>
        <w:rPr>
          <w:sz w:val="20"/>
          <w:szCs w:val="20"/>
          <w:color w:val="auto"/>
        </w:rPr>
      </w:pPr>
      <w:r>
        <w:rPr>
          <w:rFonts w:ascii="Arial" w:cs="Arial" w:eastAsia="Arial" w:hAnsi="Arial"/>
          <w:sz w:val="16"/>
          <w:szCs w:val="16"/>
          <w:color w:val="auto"/>
        </w:rPr>
        <w:t>Our primary uses of cash are to make investments, pay our operating expenses and make distributions to our stockholders. For the nine months ended September 30, 2016 and 2015, our operating expenses were $5,261,869 and $25,325,131, respectively.</w:t>
      </w:r>
    </w:p>
    <w:p>
      <w:pPr>
        <w:spacing w:after="0" w:line="16" w:lineRule="exact"/>
        <w:rPr>
          <w:sz w:val="20"/>
          <w:szCs w:val="20"/>
          <w:color w:val="auto"/>
        </w:rPr>
      </w:pPr>
    </w:p>
    <w:p>
      <w:pPr>
        <w:jc w:val="both"/>
        <w:ind w:left="60" w:right="899" w:firstLine="270"/>
        <w:spacing w:after="0" w:line="264" w:lineRule="auto"/>
        <w:rPr>
          <w:sz w:val="20"/>
          <w:szCs w:val="20"/>
          <w:color w:val="auto"/>
        </w:rPr>
      </w:pPr>
      <w:r>
        <w:rPr>
          <w:rFonts w:ascii="Arial" w:cs="Arial" w:eastAsia="Arial" w:hAnsi="Arial"/>
          <w:sz w:val="18"/>
          <w:szCs w:val="18"/>
          <w:color w:val="auto"/>
        </w:rPr>
        <w:t>For the nine months ended September 30, 2016, our total cash reserves and liquid securities decreased approximately 35%, primarily due to the sales of our unrestricted portfolio investments. We believe that even with this decrease, our current liquid assets are sufficient to meet our short-term and medium-term financing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51968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5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Cash Reserves and Liquid Securities</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11,445,113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13,349,877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Amounts available for borrowing under the Credit Facility</w:t>
            </w:r>
            <w:r>
              <w:rPr>
                <w:rFonts w:ascii="Arial" w:cs="Arial" w:eastAsia="Arial" w:hAnsi="Arial"/>
                <w:sz w:val="28"/>
                <w:szCs w:val="28"/>
                <w:color w:val="auto"/>
                <w:vertAlign w:val="superscript"/>
              </w:rPr>
              <w:t>(1)</w:t>
            </w: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18,000,000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18,000,000</w:t>
            </w:r>
          </w:p>
        </w:tc>
        <w:tc>
          <w:tcPr>
            <w:tcW w:w="0" w:type="dxa"/>
            <w:vAlign w:val="bottom"/>
          </w:tcPr>
          <w:p>
            <w:pPr>
              <w:spacing w:after="0"/>
              <w:rPr>
                <w:sz w:val="1"/>
                <w:szCs w:val="1"/>
                <w:color w:val="auto"/>
              </w:rPr>
            </w:pPr>
          </w:p>
        </w:tc>
      </w:tr>
      <w:tr>
        <w:trPr>
          <w:trHeight w:val="250"/>
        </w:trPr>
        <w:tc>
          <w:tcPr>
            <w:tcW w:w="582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Securities of publicly traded portfolio companies</w:t>
            </w:r>
            <w:r>
              <w:rPr>
                <w:rFonts w:ascii="Arial" w:cs="Arial" w:eastAsia="Arial" w:hAnsi="Arial"/>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Unrestricted securities</w:t>
            </w:r>
            <w:r>
              <w:rPr>
                <w:rFonts w:ascii="Arial" w:cs="Arial" w:eastAsia="Arial" w:hAnsi="Arial"/>
                <w:sz w:val="29"/>
                <w:szCs w:val="29"/>
                <w:color w:val="auto"/>
                <w:vertAlign w:val="superscript"/>
              </w:rPr>
              <w:t>(3)</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8,385,995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26,486,074</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80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Subject to other sales restrictions</w:t>
            </w:r>
            <w:r>
              <w:rPr>
                <w:rFonts w:ascii="Arial" w:cs="Arial" w:eastAsia="Arial" w:hAnsi="Arial"/>
                <w:sz w:val="29"/>
                <w:szCs w:val="29"/>
                <w:color w:val="auto"/>
                <w:vertAlign w:val="superscript"/>
              </w:rPr>
              <w:t>(4)</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67,296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8,385,995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26,553,370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cash reserves and liquid securities</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37,831,108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57,903,247</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48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-1183005</wp:posOffset>
            </wp:positionV>
            <wp:extent cx="5213985" cy="1803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-513715</wp:posOffset>
            </wp:positionV>
            <wp:extent cx="5213985"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308" w:lineRule="auto"/>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Subject to leverage and borrowing base restrictions under the Credit Facility. Refer to “Note 9 — Long-Term Liabilities” to our condensed consolidated financial statements as of September 30, 2016, for details regarding the Credit Facility.</w:t>
      </w:r>
    </w:p>
    <w:p>
      <w:pPr>
        <w:spacing w:after="0" w:line="38" w:lineRule="exact"/>
        <w:rPr>
          <w:rFonts w:ascii="Arial" w:cs="Arial" w:eastAsia="Arial" w:hAnsi="Arial"/>
          <w:sz w:val="17"/>
          <w:szCs w:val="17"/>
          <w:color w:val="auto"/>
        </w:rPr>
      </w:pPr>
    </w:p>
    <w:p>
      <w:pPr>
        <w:ind w:left="300" w:right="779" w:hanging="272"/>
        <w:spacing w:after="0" w:line="277"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portfolio investments are pledged as collateral to secure any borrowings under the Credit Facility. We may incur losses if we liquidate these positions to pay operating expenses or fund new investments.</w:t>
      </w:r>
    </w:p>
    <w:p>
      <w:pPr>
        <w:spacing w:after="0" w:line="62" w:lineRule="exact"/>
        <w:rPr>
          <w:rFonts w:ascii="Arial" w:cs="Arial" w:eastAsia="Arial" w:hAnsi="Arial"/>
          <w:sz w:val="18"/>
          <w:szCs w:val="18"/>
          <w:color w:val="auto"/>
        </w:rPr>
      </w:pPr>
    </w:p>
    <w:p>
      <w:pPr>
        <w:ind w:left="300" w:right="579" w:hanging="272"/>
        <w:spacing w:after="0" w:line="277"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“Unrestricted securities” represents common stock of our publicly traded companies that are not subject to any restrictions upon sale.</w:t>
      </w:r>
    </w:p>
    <w:p>
      <w:pPr>
        <w:spacing w:after="0" w:line="62" w:lineRule="exact"/>
        <w:rPr>
          <w:rFonts w:ascii="Arial" w:cs="Arial" w:eastAsia="Arial" w:hAnsi="Arial"/>
          <w:sz w:val="18"/>
          <w:szCs w:val="18"/>
          <w:color w:val="auto"/>
        </w:rPr>
      </w:pPr>
    </w:p>
    <w:p>
      <w:pPr>
        <w:ind w:left="300" w:right="559" w:hanging="272"/>
        <w:spacing w:after="0" w:line="259"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December 31, 2015, this balance represents our shares of common stock of Cricket Media (f/k/a ePals Inc.). These shares are freely tradable, however, at certain times in the past, these shares may have been subject to black-out periods as a result of Michael Moe’s previously held seat on the board of directors of Cricket Media. Mr. Moe resigned from his position as a director of Cricket Media in May 2016.</w:t>
      </w:r>
    </w:p>
    <w:p>
      <w:pPr>
        <w:spacing w:after="0" w:line="79" w:lineRule="exact"/>
        <w:rPr>
          <w:sz w:val="20"/>
          <w:szCs w:val="20"/>
          <w:color w:val="auto"/>
        </w:rPr>
      </w:pPr>
    </w:p>
    <w:p>
      <w:pPr>
        <w:ind w:left="60" w:right="539" w:firstLine="270"/>
        <w:spacing w:after="0" w:line="276" w:lineRule="auto"/>
        <w:rPr>
          <w:sz w:val="20"/>
          <w:szCs w:val="20"/>
          <w:color w:val="auto"/>
        </w:rPr>
      </w:pPr>
      <w:r>
        <w:rPr>
          <w:rFonts w:ascii="Arial" w:cs="Arial" w:eastAsia="Arial" w:hAnsi="Arial"/>
          <w:sz w:val="17"/>
          <w:szCs w:val="17"/>
          <w:color w:val="auto"/>
        </w:rPr>
        <w:t>During the nine months ended September 30, 2016, cash decreased to $11,445,113 at the end of the period, from $13,349,877 at the beginning of the period. The decline in cash was primarily due to $4,993,660 and $5,465,622 in payments to GSV Asset Management for earned incentive and management fees, respectively. Additionally, our cash balance increased due to $12,611,245 of net sales of investments, excluding treasury strips. During the nine months ended September 30, 2016, we paid a distribution on realized gains of $887,240, which caused our cash and cash equivalents to decline.</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Issuances and Debt Capital Activities</w:t>
      </w:r>
    </w:p>
    <w:p>
      <w:pPr>
        <w:spacing w:after="0" w:line="117" w:lineRule="exact"/>
        <w:rPr>
          <w:sz w:val="20"/>
          <w:szCs w:val="20"/>
          <w:color w:val="auto"/>
        </w:rPr>
      </w:pPr>
    </w:p>
    <w:p>
      <w:pPr>
        <w:ind w:left="60" w:right="1059" w:firstLine="270"/>
        <w:spacing w:after="0" w:line="277" w:lineRule="auto"/>
        <w:rPr>
          <w:sz w:val="20"/>
          <w:szCs w:val="20"/>
          <w:color w:val="auto"/>
        </w:rPr>
      </w:pPr>
      <w:r>
        <w:rPr>
          <w:rFonts w:ascii="Arial" w:cs="Arial" w:eastAsia="Arial" w:hAnsi="Arial"/>
          <w:sz w:val="18"/>
          <w:szCs w:val="18"/>
          <w:color w:val="auto"/>
        </w:rPr>
        <w:t>There were no sales of our equity or debt securities during the nine months ended September 30, 2016, or the year ended December 31, 2015.</w:t>
      </w:r>
    </w:p>
    <w:p>
      <w:pPr>
        <w:spacing w:after="0" w:line="62" w:lineRule="exact"/>
        <w:rPr>
          <w:sz w:val="20"/>
          <w:szCs w:val="20"/>
          <w:color w:val="auto"/>
        </w:rPr>
      </w:pPr>
    </w:p>
    <w:p>
      <w:pPr>
        <w:ind w:left="60" w:right="1519" w:firstLine="270"/>
        <w:spacing w:after="0" w:line="277" w:lineRule="auto"/>
        <w:rPr>
          <w:sz w:val="20"/>
          <w:szCs w:val="20"/>
          <w:color w:val="auto"/>
        </w:rPr>
      </w:pPr>
      <w:r>
        <w:rPr>
          <w:rFonts w:ascii="Arial" w:cs="Arial" w:eastAsia="Arial" w:hAnsi="Arial"/>
          <w:sz w:val="18"/>
          <w:szCs w:val="18"/>
          <w:color w:val="auto"/>
        </w:rPr>
        <w:t>As a result of our distribution, paid on December 31, 2015, we issued 2,860,903 shares of common stock. Refer to “— Distributions” below for details of our distributions paid.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2016, we had no borrowings under the Credit Facility.</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5" w:name="page56"/>
    <w:bookmarkEnd w:id="5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9"/>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jc w:val="right"/>
              <w:ind w:right="148"/>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0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Less than</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1 – 3 years</w:t>
            </w:r>
          </w:p>
        </w:tc>
        <w:tc>
          <w:tcPr>
            <w:tcW w:w="160" w:type="dxa"/>
            <w:vAlign w:val="bottom"/>
          </w:tcPr>
          <w:p>
            <w:pPr>
              <w:spacing w:after="0"/>
              <w:rPr>
                <w:sz w:val="10"/>
                <w:szCs w:val="10"/>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2"/>
              </w:rPr>
              <w:t>3 – 5 years</w:t>
            </w:r>
          </w:p>
        </w:tc>
        <w:tc>
          <w:tcPr>
            <w:tcW w:w="160" w:type="dxa"/>
            <w:vAlign w:val="bottom"/>
          </w:tcPr>
          <w:p>
            <w:pPr>
              <w:spacing w:after="0"/>
              <w:rPr>
                <w:sz w:val="10"/>
                <w:szCs w:val="10"/>
                <w:color w:val="auto"/>
              </w:rPr>
            </w:pPr>
          </w:p>
        </w:tc>
        <w:tc>
          <w:tcPr>
            <w:tcW w:w="8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840" w:type="dxa"/>
            <w:vAlign w:val="bottom"/>
            <w:gridSpan w:val="3"/>
            <w:vMerge w:val="restart"/>
          </w:tcPr>
          <w:p>
            <w:pPr>
              <w:ind w:left="20"/>
              <w:spacing w:after="0"/>
              <w:rPr>
                <w:sz w:val="20"/>
                <w:szCs w:val="20"/>
                <w:color w:val="auto"/>
              </w:rPr>
            </w:pPr>
            <w:r>
              <w:rPr>
                <w:rFonts w:ascii="Arial" w:cs="Arial" w:eastAsia="Arial" w:hAnsi="Arial"/>
                <w:sz w:val="18"/>
                <w:szCs w:val="18"/>
                <w:color w:val="auto"/>
              </w:rPr>
              <w:t>Payable for securities purchased</w:t>
            </w:r>
            <w:r>
              <w:rPr>
                <w:rFonts w:ascii="Arial" w:cs="Arial" w:eastAsia="Arial" w:hAnsi="Arial"/>
                <w:sz w:val="30"/>
                <w:szCs w:val="30"/>
                <w:color w:val="auto"/>
                <w:vertAlign w:val="superscript"/>
              </w:rPr>
              <w:t>(1)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8"/>
              </w:rPr>
              <w:t>1 year</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3840" w:type="dxa"/>
            <w:vAlign w:val="bottom"/>
            <w:gridSpan w:val="3"/>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42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Convertible Senior Notes</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Credit Facility</w:t>
            </w:r>
            <w:r>
              <w:rPr>
                <w:rFonts w:ascii="Arial" w:cs="Arial" w:eastAsia="Arial" w:hAnsi="Arial"/>
                <w:sz w:val="29"/>
                <w:szCs w:val="29"/>
                <w:color w:val="auto"/>
                <w:vertAlign w:val="superscript"/>
              </w:rPr>
              <w:t>(3)(4)</w:t>
            </w:r>
          </w:p>
        </w:tc>
        <w:tc>
          <w:tcPr>
            <w:tcW w:w="16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42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284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799" w:hanging="272"/>
        <w:spacing w:after="0" w:line="264"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“Payable for securities purchased” relates to the purchase of the United States Treasury Bill on margin. The payable for securities purchased was subsequently repaid on October 6, 2016, when the United States Treasury Bill matured and the $3.5 million margin deposit that was posted as collateral was returned.</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balance shown for the Convertible Senior Notes reflects the principal balance payable to investors. Refer to “Note</w:t>
      </w:r>
    </w:p>
    <w:p>
      <w:pPr>
        <w:spacing w:after="0" w:line="34"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6"/>
          <w:szCs w:val="16"/>
          <w:color w:val="auto"/>
        </w:rPr>
        <w:t>9 — Long-Term Liabilities” to our condensed consolidated financial statements as of September 30, 2016 for more information.</w:t>
      </w:r>
    </w:p>
    <w:p>
      <w:pPr>
        <w:spacing w:after="0" w:line="125" w:lineRule="exact"/>
        <w:rPr>
          <w:rFonts w:ascii="Arial" w:cs="Arial" w:eastAsia="Arial" w:hAnsi="Arial"/>
          <w:sz w:val="17"/>
          <w:szCs w:val="17"/>
          <w:color w:val="auto"/>
        </w:rPr>
      </w:pPr>
    </w:p>
    <w:p>
      <w:pPr>
        <w:ind w:left="300" w:hanging="272"/>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total unused amount available under the Credit Facility as of September 30, 2016, was $18,000,000.</w:t>
      </w:r>
    </w:p>
    <w:p>
      <w:pPr>
        <w:spacing w:after="0" w:line="117" w:lineRule="exact"/>
        <w:rPr>
          <w:rFonts w:ascii="Arial" w:cs="Arial" w:eastAsia="Arial" w:hAnsi="Arial"/>
          <w:sz w:val="18"/>
          <w:szCs w:val="18"/>
          <w:color w:val="auto"/>
        </w:rPr>
      </w:pPr>
    </w:p>
    <w:p>
      <w:pPr>
        <w:ind w:left="300" w:right="899" w:hanging="272"/>
        <w:spacing w:after="0" w:line="277"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weighted-average interest rates incurred under the Credit Facility were 2.04% and 6.09% for the three and nine months ended September 30, 2016, respectively.</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0" w:right="599" w:firstLine="270"/>
        <w:spacing w:after="0" w:line="308" w:lineRule="auto"/>
        <w:rPr>
          <w:sz w:val="20"/>
          <w:szCs w:val="20"/>
          <w:color w:val="auto"/>
        </w:rPr>
      </w:pPr>
      <w:r>
        <w:rPr>
          <w:rFonts w:ascii="Arial" w:cs="Arial" w:eastAsia="Arial" w:hAnsi="Arial"/>
          <w:sz w:val="17"/>
          <w:szCs w:val="17"/>
          <w:color w:val="auto"/>
        </w:rPr>
        <w:t>As of September 30, 2016, we had no off-balance sheet arrangements, including any risk management of commodity pricing or other hedging practices. However, we may employ hedging and other risk management techniques in the future.</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September 30, 2016. The table is divided by fiscal year according to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47510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8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84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9"/>
              </w:rPr>
              <w:t>per Share</w:t>
            </w:r>
          </w:p>
        </w:tc>
        <w:tc>
          <w:tcPr>
            <w:tcW w:w="0" w:type="dxa"/>
            <w:vAlign w:val="bottom"/>
          </w:tcPr>
          <w:p>
            <w:pPr>
              <w:spacing w:after="0"/>
              <w:rPr>
                <w:sz w:val="1"/>
                <w:szCs w:val="1"/>
                <w:color w:val="auto"/>
              </w:rPr>
            </w:pPr>
          </w:p>
        </w:tc>
      </w:tr>
      <w:tr>
        <w:trPr>
          <w:trHeight w:val="210"/>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November 4, 2015</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November 16, 2015</w:t>
            </w:r>
          </w:p>
        </w:tc>
        <w:tc>
          <w:tcPr>
            <w:tcW w:w="18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December 31, 2015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2016:</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August 3, 2016</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August 16, 2016</w:t>
            </w:r>
          </w:p>
        </w:tc>
        <w:tc>
          <w:tcPr>
            <w:tcW w:w="18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August 24, 2016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80</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8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6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6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475107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2" w:lineRule="auto"/>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69" w:lineRule="exact"/>
        <w:rPr>
          <w:rFonts w:ascii="Arial" w:cs="Arial" w:eastAsia="Arial" w:hAnsi="Arial"/>
          <w:sz w:val="17"/>
          <w:szCs w:val="17"/>
          <w:color w:val="auto"/>
        </w:rPr>
      </w:pPr>
    </w:p>
    <w:p>
      <w:pPr>
        <w:ind w:left="300" w:hanging="272"/>
        <w:spacing w:after="0"/>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distribution paid on August 24, 2016 is not expected to result in a return of capital.</w:t>
      </w:r>
    </w:p>
    <w:p>
      <w:pPr>
        <w:spacing w:after="0" w:line="117" w:lineRule="exact"/>
        <w:rPr>
          <w:sz w:val="20"/>
          <w:szCs w:val="20"/>
          <w:color w:val="auto"/>
        </w:rPr>
      </w:pPr>
    </w:p>
    <w:p>
      <w:pPr>
        <w:ind w:left="60" w:right="1039" w:firstLine="270"/>
        <w:spacing w:after="0" w:line="259"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business development companies that primarily make debt</w:t>
      </w:r>
    </w:p>
    <w:p>
      <w:pPr>
        <w:spacing w:after="0" w:line="200" w:lineRule="exact"/>
        <w:rPr>
          <w:sz w:val="20"/>
          <w:szCs w:val="20"/>
          <w:color w:val="auto"/>
        </w:rPr>
      </w:pPr>
    </w:p>
    <w:p>
      <w:pPr>
        <w:spacing w:after="0" w:line="3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959"/>
        <w:spacing w:after="0" w:line="342" w:lineRule="auto"/>
        <w:rPr>
          <w:sz w:val="20"/>
          <w:szCs w:val="20"/>
          <w:color w:val="auto"/>
        </w:rPr>
      </w:pPr>
      <w:r>
        <w:rPr>
          <w:rFonts w:ascii="Arial" w:cs="Arial" w:eastAsia="Arial" w:hAnsi="Arial"/>
          <w:sz w:val="16"/>
          <w:szCs w:val="16"/>
          <w:color w:val="auto"/>
        </w:rPr>
        <w:t>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6" w:lineRule="exact"/>
        <w:rPr>
          <w:sz w:val="20"/>
          <w:szCs w:val="20"/>
          <w:color w:val="auto"/>
        </w:rPr>
      </w:pPr>
    </w:p>
    <w:p>
      <w:pPr>
        <w:ind w:left="40" w:right="519" w:firstLine="270"/>
        <w:spacing w:after="0" w:line="287" w:lineRule="auto"/>
        <w:rPr>
          <w:sz w:val="20"/>
          <w:szCs w:val="20"/>
          <w:color w:val="auto"/>
        </w:rPr>
      </w:pPr>
      <w:r>
        <w:rPr>
          <w:rFonts w:ascii="Arial" w:cs="Arial" w:eastAsia="Arial" w:hAnsi="Arial"/>
          <w:sz w:val="16"/>
          <w:szCs w:val="16"/>
          <w:color w:val="auto"/>
        </w:rPr>
        <w:t>Our current intention is to make any future distributions out of assets legally available therefrom in additional shares of our common stock under our dividend reinvestment plan, unless a stockholder elects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our investment adviser, GSV Asset Management. Stockholders who hold shares in the name of a broker or financial intermediary should contact the broker or financial intermediary regarding any election to receive distributions in cash.</w:t>
      </w:r>
    </w:p>
    <w:p>
      <w:pPr>
        <w:spacing w:after="0" w:line="6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Although we elected to be treated as a RIC under Subchapter M of the Code for the 2014 taxable year and continue to qualify to be treated as a RIC, we were taxed as a C Corporation under the Code for our 2013 taxable year. So long as we qualify and maintain our status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Included in our condensed consolidated financial statements, the GSVC Holdings are taxable subsidiaries, regardless of whether we are a RIC. These taxable subsidiaries are not consolidated for income tax purposes and may generate income tax expenses as a result of their ownership of the portfolio companies. Such income tax expenses and deferred taxes, if any, will be reflected in our condensed consolidated financial statements.</w:t>
      </w:r>
    </w:p>
    <w:p>
      <w:pPr>
        <w:spacing w:after="0" w:line="74" w:lineRule="exact"/>
        <w:rPr>
          <w:sz w:val="20"/>
          <w:szCs w:val="20"/>
          <w:color w:val="auto"/>
        </w:rPr>
      </w:pPr>
    </w:p>
    <w:p>
      <w:pPr>
        <w:ind w:left="40" w:right="659" w:firstLine="270"/>
        <w:spacing w:after="0" w:line="293" w:lineRule="auto"/>
        <w:rPr>
          <w:sz w:val="20"/>
          <w:szCs w:val="20"/>
          <w:color w:val="auto"/>
        </w:rPr>
      </w:pPr>
      <w:r>
        <w:rPr>
          <w:rFonts w:ascii="Arial" w:cs="Arial" w:eastAsia="Arial" w:hAnsi="Arial"/>
          <w:sz w:val="16"/>
          <w:szCs w:val="16"/>
          <w:color w:val="auto"/>
        </w:rPr>
        <w:t>We have also qualified to be treated as a RIC for the 2015 taxable year and continue to operate in a manner so as to qualify for the tax treatment applicable to RICs. In order to qualify as a RIC and to avoid corporate-level tax on the income we distribute to our stockholders, we are required, under Subchapter M of the Code, to distribute at least 90% of our ordinary income and short-term capital gains to our stockholders on an annual basis. See “Note 1 — Nature of Operations and Significant Accounting Policies — Summary of Significant Accounting Policies — U.S. Federal and State Income Taxes” and “Note 8 — Income Taxes” to our condensed consolidated financial statements as of September 30, 2016 for more information.</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ind w:left="40" w:right="639" w:firstLine="270"/>
        <w:spacing w:after="0" w:line="284" w:lineRule="auto"/>
        <w:rPr>
          <w:sz w:val="20"/>
          <w:szCs w:val="20"/>
          <w:color w:val="auto"/>
        </w:rPr>
      </w:pPr>
      <w:r>
        <w:rPr>
          <w:rFonts w:ascii="Arial" w:cs="Arial" w:eastAsia="Arial" w:hAnsi="Arial"/>
          <w:sz w:val="16"/>
          <w:szCs w:val="16"/>
          <w:color w:val="auto"/>
        </w:rPr>
        <w:t>On September 17, 2013, we issued $69 million aggregate principal amount of Convertible Senior Notes (including $9 million aggregate principal amount issued pursuant to the exercise of the initial purchasers’ option to purchase additional Convertible Senior Notes), which bear interest at a fixed rate of 5.25% per year, are payable semi-annually and mature on September 15, 2018, unless previously repurchased or converted in accordance with their terms. We do not have the right to redeem the Convertible Senior Notes prior to maturity. As of September 30, 2016, the Convertible Senior Notes were convertible into shares of our common stock based on a conversion rate of 83.3596 shares of our common stock per $1,000 principal amount of the Convertible Senior Notes, which is equivalent to a conversion price of approximately $12.00 per share of common stock. Refer to “Note 1 — Nature of Operations and Significant Accounting Policies — Summary of Significant Accounting Policies” and “Note</w:t>
      </w:r>
    </w:p>
    <w:p>
      <w:pPr>
        <w:spacing w:after="0" w:line="1" w:lineRule="exact"/>
        <w:rPr>
          <w:sz w:val="20"/>
          <w:szCs w:val="20"/>
          <w:color w:val="auto"/>
        </w:rPr>
      </w:pPr>
    </w:p>
    <w:p>
      <w:pPr>
        <w:ind w:left="40" w:right="839"/>
        <w:spacing w:after="0" w:line="261" w:lineRule="auto"/>
        <w:rPr>
          <w:sz w:val="20"/>
          <w:szCs w:val="20"/>
          <w:color w:val="auto"/>
        </w:rPr>
      </w:pPr>
      <w:r>
        <w:rPr>
          <w:rFonts w:ascii="Arial" w:cs="Arial" w:eastAsia="Arial" w:hAnsi="Arial"/>
          <w:sz w:val="18"/>
          <w:szCs w:val="18"/>
          <w:color w:val="auto"/>
        </w:rPr>
        <w:t>9 — Long-Term Liabilities” to our condensed consolidated financial statements as of September 30, 2016 for more information regarding the Convertible Senior Notes.</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We entered into the Loan Agreement, effective December 31, 2013, with Silicon Valley Bank to provide us with an $18 million Credit Facility, which matures on December 31, 2016 and bears interest at a per annum rate equal to the greater of (i) the prime rate plus 4.75% or (ii) 8.0% on amounts drawn. As of September 30, 2016, we had no borrowings under the Credit Facility. Refer to “Note 9 — Long-Term Liabilities” to our condensed consolidated financial statements as of September 30, 2016 for a detailed discussion of the Credit Facility.</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We have entered into the Advisory Agreement with GSV Asset Management. See “Note 2 — Related-Party Arrangements” to our condensed consolidated financial statements as of September 30, 2016 for more information about the Advisory Agreement. GSV Asset Management is controlled by Michael T. Moe, our Chief Executive Officer and Chair of our board of directors. Mr. Moe, through his ownership interest in GSV Asset Management, is entitled to a portion of any profits earned by GSV Asset Management in performing its services under the Advisory Agreement. Mr. Moe, William Tanona, our Chief Financial Officer, Treasurer and Secretary, and Mark Flynn, our President, as principals of GSV Asset Management, collectively manage the business and internal affairs of GSV Asset Management. Mark Klein, a member of our board of directors, or entities with which he is affiliated, receives fees from GSV Asset Management in connection with any offering of our securities and, from time to time, for consulting or non-investment advisory services pursuant to a consulting agreement with GSV Asset Management.</w:t>
      </w:r>
    </w:p>
    <w:p>
      <w:pPr>
        <w:spacing w:after="0" w:line="59" w:lineRule="exact"/>
        <w:rPr>
          <w:sz w:val="20"/>
          <w:szCs w:val="20"/>
          <w:color w:val="auto"/>
        </w:rPr>
      </w:pPr>
    </w:p>
    <w:p>
      <w:pPr>
        <w:ind w:left="40" w:right="599" w:firstLine="270"/>
        <w:spacing w:after="0" w:line="254" w:lineRule="auto"/>
        <w:rPr>
          <w:sz w:val="20"/>
          <w:szCs w:val="20"/>
          <w:color w:val="auto"/>
        </w:rPr>
      </w:pPr>
      <w:r>
        <w:rPr>
          <w:rFonts w:ascii="Arial" w:cs="Arial" w:eastAsia="Arial" w:hAnsi="Arial"/>
          <w:sz w:val="18"/>
          <w:szCs w:val="18"/>
          <w:color w:val="auto"/>
        </w:rPr>
        <w:t>We have entered into the Administration Agreement with GSV Capital Service Company to provide administrative services, including furnishing us with office facilities, equipment, clerical, bookkeeping services and other administrative services. GSV Asset Management controls GSV Capital Service Company. We reimburse GSV Capital Service Company an allocable portion of overhead and other expenses in performing its obligations under the Administration Agreement. While there is no limit on the total amount of expenses we may be required to reimburse GSV Capital Service Company, our administrator will only charge us for the actual expenses it incurs on our behalf, or our allocable portion thereof, without any profit to GSV Capital Service Company. See “Note 2 — Related-Party Arrangements” to our condensed consolidated financial statements as of September 30, 2016 for more information.</w:t>
      </w:r>
    </w:p>
    <w:p>
      <w:pPr>
        <w:spacing w:after="0" w:line="84"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Mark Moe, who is the brother of our Chief Executive Officer, Michael Moe, serves as Vice President of Business Development, Global Expansion for NestGSV, Inc. (d/b/a GSV Labs, Inc.), one of our portfolio companies. Diane Flynn, who is the spouse of our President, Mark Flynn, serves as Chief Marketing Officer of NestGSV, Inc. Ron Johnson, the Chief Executive Officer of Enjoy Technology, Inc., one of our portfolio companies, is the brother-in-law of our President, Mark Flynn. As of September 30, 2016, the fair values of our investments in NestGSV, Inc. and Enjoy Technology, Inc. were $7,979,205 and $5,439,400, respectively. Another one of our portfolio companies, SPBRX, INC. (f/k/a GSV Sustainability Partners, Inc.), previously utilized office space paid for by GSV Asset Management without paying GSV Asset Management or us any consideration for rent. We did not consider this an arms-length transaction. In August 2016, SPBRX, INC. (f/k/a GSV Sustainability Partners, Inc.) moved out of the office space paid for by GSV Asset Management.</w:t>
      </w:r>
    </w:p>
    <w:p>
      <w:pPr>
        <w:spacing w:after="0" w:line="74"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For example, as of November 8, 2016, GSV Asset Management also manages Coursera@GSV Fund, LP and Coursera@GSV-EDBI Fund, LP, special purpose vehicles each comprised of an underlying investment in Coursera stock (the “Coursera Funds”), and serves as sub-adviser for certain investment series of GSV Ventures I LLC, GSV Ventures II LLC, GSV Ventures III LLC, GSV Ventures IV LLC, GSV Ventures V LLC and GSV Ventures VI LLC, each a venture capital and growth equity fund (collectively, the “GSV Ventures Funds”), and will likely manage one or more private funds, or series within such private funds, in the future. We have no ownership interests in the Coursera Funds or the GSV Ventures Funds sub-advised by GSV Asset Management.</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While the investment focus of each of these entities, including the Coursera Funds and the GSV Ventures Funds,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GSV Asset Management,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us and the other funds that are currently, or in the future may be, managed by GSV Asset Management, to the extent it does identify such opportunities, GSV Asset Management has established an allocation policy to ensure that we have priority over such other funds. Our board of directors will monitor on a quarterly basis any such allocation of investment opportunities between us and any such other funds.</w:t>
      </w:r>
    </w:p>
    <w:p>
      <w:pPr>
        <w:spacing w:after="0" w:line="75"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color w:val="auto"/>
        </w:rPr>
        <w:t>Further, under the Advisory Agreement, there are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our portfolio companies). GSV Asset Management has, however, adopted an internal policy whereby any fees or compensation received by a manager, partner, officer or employee of GSV Asset Management in exchange for serving as a director of, or providing consulting services to, any of our portfolio companies will be transferred to GSV Capital Corp., net of any personal taxes incurred, upon such receipt for the benefit of GSV Capital Corp. and our stockholders.</w:t>
      </w:r>
    </w:p>
    <w:p>
      <w:pPr>
        <w:spacing w:after="0" w:line="84"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interests of us or our stockholders and may result in actual or perceived conflicts of interest.</w:t>
      </w:r>
    </w:p>
    <w:p>
      <w:pPr>
        <w:spacing w:after="0" w:line="64"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In the ordinary course of business, we may enter into transactions with portfolio companies that may be considered related-party transactions.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w:t>
      </w:r>
    </w:p>
    <w:p>
      <w:pPr>
        <w:spacing w:after="0" w:line="46"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We also adopted a code of ethics which applies to, among others, our senior officers, including our Chief Executive Officer, President, Chief Financial Officer and Chief Compliance Officer, as well as any of our other officers, directors and employees. Our code of ethics requires that all employees and directors avoid any conflict, or the appearance of a conflict, between an individual’s personal interests and our interests. Pursuant to our code of ethics, each officer,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condensed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We believe that the following discussion addresses our most</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119"/>
        <w:spacing w:after="0" w:line="277" w:lineRule="auto"/>
        <w:rPr>
          <w:sz w:val="20"/>
          <w:szCs w:val="20"/>
          <w:color w:val="auto"/>
        </w:rPr>
      </w:pPr>
      <w:r>
        <w:rPr>
          <w:rFonts w:ascii="Arial" w:cs="Arial" w:eastAsia="Arial" w:hAnsi="Arial"/>
          <w:sz w:val="18"/>
          <w:szCs w:val="18"/>
          <w:color w:val="auto"/>
        </w:rPr>
        <w:t>critical accounting policies, which are those that are most important to the portrayal of our financial condition and results of operations and require management’s most difficult, subjective and complex judgments.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left="40" w:right="1119" w:firstLine="270"/>
        <w:spacing w:after="0" w:line="308" w:lineRule="auto"/>
        <w:rPr>
          <w:sz w:val="20"/>
          <w:szCs w:val="20"/>
          <w:color w:val="auto"/>
        </w:rPr>
      </w:pPr>
      <w:r>
        <w:rPr>
          <w:rFonts w:ascii="Arial" w:cs="Arial" w:eastAsia="Arial" w:hAnsi="Arial"/>
          <w:sz w:val="17"/>
          <w:szCs w:val="17"/>
          <w:color w:val="auto"/>
        </w:rPr>
        <w:t>We apply fair value accounting in accordance with GAAP and the AICPA’s Audit and Accounting Guide for Investment Companies. We value our assets on a quarterly basis, or more frequently if required under the 1940 Act.</w:t>
      </w:r>
    </w:p>
    <w:p>
      <w:pPr>
        <w:spacing w:after="0" w:line="38"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ind w:left="40" w:right="73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for identical assets or liabilities in an active market that we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access at the measurement date.</w:t>
      </w:r>
    </w:p>
    <w:p>
      <w:pPr>
        <w:spacing w:after="0" w:line="54" w:lineRule="exact"/>
        <w:rPr>
          <w:sz w:val="20"/>
          <w:szCs w:val="20"/>
          <w:color w:val="auto"/>
        </w:rPr>
      </w:pPr>
    </w:p>
    <w:p>
      <w:pPr>
        <w:ind w:left="40" w:right="899" w:firstLine="270"/>
        <w:spacing w:after="0" w:line="28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based on observable inputs other than Level 1 prices, such as quoted prices for similar assets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quoted prices in markets that are not active; or other inputs that are observable or can be corroborated by observable market data at the measurement date for substantially the full term of the assets or liabilities.</w:t>
      </w:r>
    </w:p>
    <w:p>
      <w:pPr>
        <w:spacing w:after="0" w:line="50" w:lineRule="exact"/>
        <w:rPr>
          <w:sz w:val="20"/>
          <w:szCs w:val="20"/>
          <w:color w:val="auto"/>
        </w:rPr>
      </w:pPr>
    </w:p>
    <w:p>
      <w:pPr>
        <w:ind w:left="40" w:right="61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unobservable inputs that reflect management’s best estimate of what market participants would</w:t>
      </w:r>
      <w:r>
        <w:rPr>
          <w:rFonts w:ascii="Arial" w:cs="Arial" w:eastAsia="Arial" w:hAnsi="Arial"/>
          <w:sz w:val="18"/>
          <w:szCs w:val="18"/>
          <w:b w:val="1"/>
          <w:bCs w:val="1"/>
          <w:color w:val="auto"/>
        </w:rPr>
        <w:t xml:space="preserve"> </w:t>
      </w:r>
      <w:r>
        <w:rPr>
          <w:rFonts w:ascii="Arial" w:cs="Arial" w:eastAsia="Arial" w:hAnsi="Arial"/>
          <w:sz w:val="18"/>
          <w:szCs w:val="18"/>
          <w:color w:val="auto"/>
        </w:rPr>
        <w:t>use in pricing the asset or liability at the measurement date. Consideration is given to the risk inherent in the valuation technique and the risk inherent in the inputs to the model.</w:t>
      </w:r>
    </w:p>
    <w:p>
      <w:pPr>
        <w:spacing w:after="0" w:line="72" w:lineRule="exact"/>
        <w:rPr>
          <w:sz w:val="20"/>
          <w:szCs w:val="20"/>
          <w:color w:val="auto"/>
        </w:rPr>
      </w:pPr>
    </w:p>
    <w:p>
      <w:pPr>
        <w:jc w:val="both"/>
        <w:ind w:left="40" w:right="799" w:firstLine="270"/>
        <w:spacing w:after="0" w:line="288"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w:t>
      </w:r>
    </w:p>
    <w:p>
      <w:pPr>
        <w:jc w:val="both"/>
        <w:ind w:left="40" w:right="519"/>
        <w:spacing w:after="0" w:line="255" w:lineRule="auto"/>
        <w:rPr>
          <w:sz w:val="20"/>
          <w:szCs w:val="20"/>
          <w:color w:val="auto"/>
        </w:rPr>
      </w:pPr>
      <w:r>
        <w:rPr>
          <w:rFonts w:ascii="Arial" w:cs="Arial" w:eastAsia="Arial" w:hAnsi="Arial"/>
          <w:sz w:val="18"/>
          <w:szCs w:val="18"/>
          <w:color w:val="auto"/>
        </w:rPr>
        <w:t>Therefore, gains and losses for such assets and liabilities categorized within the Level 3 table set forth in “Note 3 — Investments at Fair Value” to our condensed consolidated financial statements as of September 30, 2016, may include changes in fair value that are attributable to both observable inputs (Levels 1 and 2) and unobservable inputs (Level 3).</w:t>
      </w:r>
    </w:p>
    <w:p>
      <w:pPr>
        <w:spacing w:after="0" w:line="82" w:lineRule="exact"/>
        <w:rPr>
          <w:sz w:val="20"/>
          <w:szCs w:val="20"/>
          <w:color w:val="auto"/>
        </w:rPr>
      </w:pPr>
    </w:p>
    <w:p>
      <w:pPr>
        <w:ind w:left="40" w:right="639" w:firstLine="270"/>
        <w:spacing w:after="0" w:line="273" w:lineRule="auto"/>
        <w:rPr>
          <w:sz w:val="20"/>
          <w:szCs w:val="20"/>
          <w:color w:val="auto"/>
        </w:rPr>
      </w:pPr>
      <w:r>
        <w:rPr>
          <w:rFonts w:ascii="Arial" w:cs="Arial" w:eastAsia="Arial" w:hAnsi="Arial"/>
          <w:sz w:val="17"/>
          <w:szCs w:val="17"/>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end of the quarter in which the reclassifications occur. Refer to “Note 1 — Nature of Operations and Significant Accounting Policies — Levelling Policy” to our condensed consolidated financial statements as of September 30, 2016, for a detailed discussion of the levelling of our financial assets or liabilities and events that may cause a reclassification within the fair value hierarchy.</w:t>
      </w:r>
    </w:p>
    <w:p>
      <w:pPr>
        <w:spacing w:after="0" w:line="70"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Securities for which market quotations are readily available on an exchange are valued at the closing price of such security on the valuation date; however, if they are subject to restrictions upon sale (such as lock-up restrictions), they may be discounted accordingly. We may also obtain quotes with respect to certain of our investments from pricing services, brokers or dealers in order to value assets. When doing so, we determine whether the quote obtained is sufficient according to GAAP to determine the fair value of the security. If determined to be adequate, we use the quote obtained.</w:t>
      </w:r>
    </w:p>
    <w:p>
      <w:pPr>
        <w:spacing w:after="0" w:line="64" w:lineRule="exact"/>
        <w:rPr>
          <w:sz w:val="20"/>
          <w:szCs w:val="20"/>
          <w:color w:val="auto"/>
        </w:rPr>
      </w:pPr>
    </w:p>
    <w:p>
      <w:pPr>
        <w:ind w:left="40" w:right="699" w:firstLine="270"/>
        <w:spacing w:after="0" w:line="286"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GSV Asset Management, our board of directors or the Valuation Committee, does not reliably represent fair value, shall each be valued as follows:</w:t>
      </w:r>
    </w:p>
    <w:p>
      <w:pPr>
        <w:spacing w:after="0" w:line="57" w:lineRule="exact"/>
        <w:rPr>
          <w:sz w:val="20"/>
          <w:szCs w:val="20"/>
          <w:color w:val="auto"/>
        </w:rPr>
      </w:pPr>
    </w:p>
    <w:p>
      <w:pPr>
        <w:ind w:left="540" w:right="699" w:hanging="262"/>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0" w:name="page61"/>
    <w:bookmarkEnd w:id="6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560" w:hanging="262"/>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ind w:left="560" w:right="639" w:hanging="262"/>
        <w:spacing w:after="0" w:line="264"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the Valuation Committee to conduct independent appraisals and review management’s preliminary valuations and make its own independent assessment, for all investments for which there are no readily available market quotations;</w:t>
      </w:r>
    </w:p>
    <w:p>
      <w:pPr>
        <w:spacing w:after="0" w:line="73" w:lineRule="exact"/>
        <w:rPr>
          <w:rFonts w:ascii="Arial" w:cs="Arial" w:eastAsia="Arial" w:hAnsi="Arial"/>
          <w:sz w:val="18"/>
          <w:szCs w:val="18"/>
          <w:color w:val="auto"/>
        </w:rPr>
      </w:pPr>
    </w:p>
    <w:p>
      <w:pPr>
        <w:ind w:left="560" w:right="519" w:hanging="262"/>
        <w:spacing w:after="0" w:line="342" w:lineRule="auto"/>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Valuation Committee discusses the valuations and recommends to our board of directors a fair value for each investment in the portfolio based on the input of GSV Asset Management and the independent third-party valuation firm; and</w:t>
      </w:r>
    </w:p>
    <w:p>
      <w:pPr>
        <w:spacing w:after="0" w:line="15" w:lineRule="exact"/>
        <w:rPr>
          <w:rFonts w:ascii="Arial" w:cs="Arial" w:eastAsia="Arial" w:hAnsi="Arial"/>
          <w:sz w:val="16"/>
          <w:szCs w:val="16"/>
          <w:color w:val="auto"/>
        </w:rPr>
      </w:pPr>
    </w:p>
    <w:p>
      <w:pPr>
        <w:ind w:left="560" w:right="559" w:hanging="262"/>
        <w:spacing w:after="0" w:line="277"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board of directors then discusses the valuations recommended by the Valuation Committee and determines in good faith the fair value of each investment in the portfolio.</w:t>
      </w:r>
    </w:p>
    <w:p>
      <w:pPr>
        <w:spacing w:after="0" w:line="62"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In making a good faith determination of the fair value of investments, we consider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We assign a weighting based upon the relevance of each method to determine the fair value of each investment.</w:t>
      </w:r>
    </w:p>
    <w:p>
      <w:pPr>
        <w:spacing w:after="0" w:line="81" w:lineRule="exact"/>
        <w:rPr>
          <w:sz w:val="20"/>
          <w:szCs w:val="20"/>
          <w:color w:val="auto"/>
        </w:rPr>
      </w:pPr>
    </w:p>
    <w:p>
      <w:pPr>
        <w:ind w:left="60" w:right="599" w:firstLine="270"/>
        <w:spacing w:after="0" w:line="286" w:lineRule="auto"/>
        <w:rPr>
          <w:sz w:val="20"/>
          <w:szCs w:val="20"/>
          <w:color w:val="auto"/>
        </w:rPr>
      </w:pPr>
      <w:r>
        <w:rPr>
          <w:rFonts w:ascii="Arial" w:cs="Arial" w:eastAsia="Arial" w:hAnsi="Arial"/>
          <w:sz w:val="17"/>
          <w:szCs w:val="17"/>
          <w:color w:val="auto"/>
        </w:rPr>
        <w:t>The Valuation Committee engages at least one independent valuation firm to perform valuations of our investments that are not publicly traded or for which there are no readily available market quotations. Our board of directors considers the independent valuations provided by the valuation firm(s), among other factors, in making our fair value determinations.</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Portfolio Activity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September 30, 2016 through November 8, 2016, we did not purchase any investments.</w:t>
      </w:r>
    </w:p>
    <w:p>
      <w:pPr>
        <w:spacing w:after="0" w:line="117" w:lineRule="exact"/>
        <w:rPr>
          <w:sz w:val="20"/>
          <w:szCs w:val="20"/>
          <w:color w:val="auto"/>
        </w:rPr>
      </w:pPr>
    </w:p>
    <w:p>
      <w:pPr>
        <w:ind w:left="60" w:right="559" w:firstLine="270"/>
        <w:spacing w:after="0" w:line="277" w:lineRule="auto"/>
        <w:rPr>
          <w:sz w:val="20"/>
          <w:szCs w:val="20"/>
          <w:color w:val="auto"/>
        </w:rPr>
      </w:pPr>
      <w:r>
        <w:rPr>
          <w:rFonts w:ascii="Arial" w:cs="Arial" w:eastAsia="Arial" w:hAnsi="Arial"/>
          <w:sz w:val="18"/>
          <w:szCs w:val="18"/>
          <w:color w:val="auto"/>
        </w:rPr>
        <w:t>From September 30, 2016 through November 8, 2016, we sold investments of $108,530 net of transaction costs as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80" w:type="dxa"/>
            <w:vAlign w:val="bottom"/>
          </w:tcPr>
          <w:p>
            <w:pPr>
              <w:spacing w:after="0"/>
              <w:rPr>
                <w:sz w:val="16"/>
                <w:szCs w:val="16"/>
                <w:color w:val="auto"/>
              </w:rPr>
            </w:pP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Average Net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76"/>
        </w:trPr>
        <w:tc>
          <w:tcPr>
            <w:tcW w:w="2620" w:type="dxa"/>
            <w:vAlign w:val="bottom"/>
            <w:tcBorders>
              <w:bottom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5"/>
                <w:szCs w:val="15"/>
                <w:color w:val="auto"/>
              </w:rPr>
            </w:pP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Sold</w:t>
            </w:r>
          </w:p>
        </w:tc>
        <w:tc>
          <w:tcPr>
            <w:tcW w:w="8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w w:val="97"/>
              </w:rPr>
              <w:t>Share Price</w:t>
            </w:r>
            <w:r>
              <w:rPr>
                <w:rFonts w:ascii="Arial" w:cs="Arial" w:eastAsia="Arial" w:hAnsi="Arial"/>
                <w:sz w:val="20"/>
                <w:szCs w:val="20"/>
                <w:b w:val="1"/>
                <w:bCs w:val="1"/>
                <w:color w:val="auto"/>
                <w:w w:val="97"/>
                <w:vertAlign w:val="superscript"/>
              </w:rPr>
              <w:t>(1)</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Proceeds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95"/>
        </w:trPr>
        <w:tc>
          <w:tcPr>
            <w:tcW w:w="2620" w:type="dxa"/>
            <w:vAlign w:val="bottom"/>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rPr>
              <w:t>Upwork Global Inc.</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(f/k/a Odesk Corporation)</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27, 2016</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25,159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108,530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(77,819)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gridSpan w:val="3"/>
          </w:tcPr>
          <w:p>
            <w:pPr>
              <w:ind w:left="20"/>
              <w:spacing w:after="0"/>
              <w:rPr>
                <w:sz w:val="20"/>
                <w:szCs w:val="20"/>
                <w:color w:val="auto"/>
              </w:rPr>
            </w:pPr>
            <w:r>
              <w:rPr>
                <w:rFonts w:ascii="Arial" w:cs="Arial" w:eastAsia="Arial" w:hAnsi="Arial"/>
                <w:sz w:val="18"/>
                <w:szCs w:val="18"/>
                <w:color w:val="auto"/>
              </w:rPr>
              <w:t>Totals</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108,530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(77,819)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average net share price is the net share price realized after deducting all commissions and fees on the sale(s).</w:t>
      </w:r>
    </w:p>
    <w:p>
      <w:pPr>
        <w:spacing w:after="0" w:line="117" w:lineRule="exact"/>
        <w:rPr>
          <w:sz w:val="20"/>
          <w:szCs w:val="20"/>
          <w:color w:val="auto"/>
        </w:rPr>
      </w:pPr>
    </w:p>
    <w:p>
      <w:pPr>
        <w:ind w:left="60" w:right="519" w:firstLine="270"/>
        <w:spacing w:after="0" w:line="255" w:lineRule="auto"/>
        <w:rPr>
          <w:sz w:val="20"/>
          <w:szCs w:val="20"/>
          <w:color w:val="auto"/>
        </w:rPr>
      </w:pPr>
      <w:r>
        <w:rPr>
          <w:rFonts w:ascii="Arial" w:cs="Arial" w:eastAsia="Arial" w:hAnsi="Arial"/>
          <w:sz w:val="18"/>
          <w:szCs w:val="18"/>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85" w:lineRule="exact"/>
        <w:rPr>
          <w:sz w:val="20"/>
          <w:szCs w:val="20"/>
          <w:color w:val="auto"/>
        </w:rPr>
      </w:pPr>
    </w:p>
    <w:p>
      <w:pPr>
        <w:ind w:left="60" w:right="539" w:firstLine="270"/>
        <w:spacing w:after="0" w:line="286" w:lineRule="auto"/>
        <w:rPr>
          <w:sz w:val="20"/>
          <w:szCs w:val="20"/>
          <w:color w:val="auto"/>
        </w:rPr>
      </w:pPr>
      <w:r>
        <w:rPr>
          <w:rFonts w:ascii="Arial" w:cs="Arial" w:eastAsia="Arial" w:hAnsi="Arial"/>
          <w:sz w:val="17"/>
          <w:szCs w:val="17"/>
          <w:color w:val="auto"/>
        </w:rPr>
        <w:t>On October 5, 2016, we placed $249,999 in escrow with Signature Bank to allow us to participate in the next round of financing by Beamreach Solar, Inc. (f/k/a Solexel, Inc.). Upon satisfaction of the applicable closing conditions, the escrow accounts will close and our equity or debt investments in Beamreach Solar, Inc., as applicable, will be effectuated.</w:t>
      </w: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1" w:name="page62"/>
    <w:bookmarkEnd w:id="6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Escrow</w:t>
      </w:r>
    </w:p>
    <w:p>
      <w:pPr>
        <w:spacing w:after="0" w:line="117" w:lineRule="exact"/>
        <w:rPr>
          <w:sz w:val="20"/>
          <w:szCs w:val="20"/>
          <w:color w:val="auto"/>
        </w:rPr>
      </w:pPr>
    </w:p>
    <w:p>
      <w:pPr>
        <w:ind w:left="60" w:right="659" w:firstLine="270"/>
        <w:spacing w:after="0" w:line="257" w:lineRule="auto"/>
        <w:rPr>
          <w:sz w:val="20"/>
          <w:szCs w:val="20"/>
          <w:color w:val="auto"/>
        </w:rPr>
      </w:pPr>
      <w:r>
        <w:rPr>
          <w:rFonts w:ascii="Arial" w:cs="Arial" w:eastAsia="Arial" w:hAnsi="Arial"/>
          <w:sz w:val="18"/>
          <w:szCs w:val="18"/>
          <w:color w:val="auto"/>
        </w:rPr>
        <w:t>In October 2016, in connection with the completion of the first six scheduled interest payments on the Convertible Senior Notes, and pursuant to a request made by us made under the Pledge and Escrow Agreement, U.S. Bank N.A. released and transferred to us the excess funds, in an amount of approximately $90,431, that had remained in the Interest Escrow. As a result of such release and transfer, the $90,431 will no longer be included as restricted cash on our Condensed Consolidated Statements of Assets and Liabilities on a going-forward basis.</w:t>
      </w:r>
    </w:p>
    <w:p>
      <w:pPr>
        <w:spacing w:after="0" w:line="117" w:lineRule="exact"/>
        <w:rPr>
          <w:sz w:val="20"/>
          <w:szCs w:val="20"/>
          <w:color w:val="auto"/>
        </w:rPr>
      </w:pPr>
    </w:p>
    <w:p>
      <w:pPr>
        <w:ind w:left="60" w:right="4819"/>
        <w:spacing w:after="0" w:line="401"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Market Risk</w:t>
      </w:r>
    </w:p>
    <w:p>
      <w:pPr>
        <w:spacing w:after="0" w:line="1" w:lineRule="exact"/>
        <w:rPr>
          <w:sz w:val="20"/>
          <w:szCs w:val="20"/>
          <w:color w:val="auto"/>
        </w:rPr>
      </w:pPr>
    </w:p>
    <w:p>
      <w:pPr>
        <w:ind w:left="60" w:right="559" w:firstLine="270"/>
        <w:spacing w:after="0" w:line="291" w:lineRule="auto"/>
        <w:rPr>
          <w:sz w:val="20"/>
          <w:szCs w:val="20"/>
          <w:color w:val="auto"/>
        </w:rPr>
      </w:pPr>
      <w:r>
        <w:rPr>
          <w:rFonts w:ascii="Arial" w:cs="Arial" w:eastAsia="Arial" w:hAnsi="Arial"/>
          <w:sz w:val="16"/>
          <w:szCs w:val="16"/>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such as the recent market volatility in China, geopolitical unrest in the Middle East and as a result of the referendum vote relating to the United Kingdom’s exit from the European Union.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0" w:right="599" w:firstLine="270"/>
        <w:spacing w:after="0" w:line="257"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80" w:lineRule="exact"/>
        <w:rPr>
          <w:sz w:val="20"/>
          <w:szCs w:val="20"/>
          <w:color w:val="auto"/>
        </w:rPr>
      </w:pPr>
    </w:p>
    <w:p>
      <w:pPr>
        <w:ind w:left="60" w:right="699" w:firstLine="270"/>
        <w:spacing w:after="0" w:line="279" w:lineRule="auto"/>
        <w:rPr>
          <w:sz w:val="20"/>
          <w:szCs w:val="20"/>
          <w:color w:val="auto"/>
        </w:rPr>
      </w:pPr>
      <w:r>
        <w:rPr>
          <w:rFonts w:ascii="Arial" w:cs="Arial" w:eastAsia="Arial" w:hAnsi="Arial"/>
          <w:sz w:val="17"/>
          <w:szCs w:val="17"/>
          <w:color w:val="auto"/>
        </w:rPr>
        <w:t>As of September 30, 2016, all of our debt investments bore a fixed rate of interest. As of September 30, 2016, all of our borrowings bore a fixed rate of interest with the exception of the Credit Facility, which is indexed to the prime rate. We do not expect a significant impact on net investment income or loss due to changes in the prime rate, based on its historical stability. The table below, however, indicates the impact on our net investment income or loss should the prime rate rise.</w:t>
      </w:r>
    </w:p>
    <w:p>
      <w:pPr>
        <w:spacing w:after="0" w:line="63" w:lineRule="exact"/>
        <w:rPr>
          <w:sz w:val="20"/>
          <w:szCs w:val="20"/>
          <w:color w:val="auto"/>
        </w:rPr>
      </w:pPr>
    </w:p>
    <w:p>
      <w:pPr>
        <w:ind w:left="60" w:right="719" w:firstLine="270"/>
        <w:spacing w:after="0" w:line="286" w:lineRule="auto"/>
        <w:rPr>
          <w:sz w:val="20"/>
          <w:szCs w:val="20"/>
          <w:color w:val="auto"/>
        </w:rPr>
      </w:pPr>
      <w:r>
        <w:rPr>
          <w:rFonts w:ascii="Arial" w:cs="Arial" w:eastAsia="Arial" w:hAnsi="Arial"/>
          <w:sz w:val="17"/>
          <w:szCs w:val="17"/>
          <w:color w:val="auto"/>
        </w:rPr>
        <w:t>Based on our September 30, 2016 Condensed Consolidated Statement of Assets and Liabilities, the following table shows the maximum impact of changes in interest rates on our net income or loss related to the Credit Facility for the nine months ended September 30, 2016, assuming no changes in our investment income and borrowing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47510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Basis Point Change</w:t>
            </w:r>
            <w:r>
              <w:rPr>
                <w:rFonts w:ascii="Arial" w:cs="Arial" w:eastAsia="Arial" w:hAnsi="Arial"/>
                <w:sz w:val="23"/>
                <w:szCs w:val="23"/>
                <w:b w:val="1"/>
                <w:bCs w:val="1"/>
                <w:color w:val="auto"/>
                <w:vertAlign w:val="superscript"/>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2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300 Basis points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1,485,000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(1,485,000)</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1,350,000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1"/>
              </w:rPr>
              <w:t>(1,350,000)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100 Basis points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1,215,000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(1,215,000)</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Down 100 Basis points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Down 200 Basis points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Down 300 Basis points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00" w:right="519" w:hanging="272"/>
        <w:spacing w:after="0" w:line="264"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Assumes we have borrowed $18 million under the Credit Facility for the nine months ended September 30, 2016. Our actual borrowings under the Credit Facility will vary based on our needs throughout the year. For the nine months ended September 30, 2016, our actual average borrowings under the Credit Facility were $140,511.</w:t>
      </w:r>
    </w:p>
    <w:p>
      <w:pPr>
        <w:spacing w:after="0" w:line="73" w:lineRule="exact"/>
        <w:rPr>
          <w:sz w:val="20"/>
          <w:szCs w:val="20"/>
          <w:color w:val="auto"/>
        </w:rPr>
      </w:pPr>
    </w:p>
    <w:p>
      <w:pPr>
        <w:ind w:left="60" w:right="779" w:firstLine="270"/>
        <w:spacing w:after="0" w:line="312" w:lineRule="auto"/>
        <w:rPr>
          <w:sz w:val="20"/>
          <w:szCs w:val="20"/>
          <w:color w:val="auto"/>
        </w:rPr>
      </w:pPr>
      <w:r>
        <w:rPr>
          <w:rFonts w:ascii="Arial" w:cs="Arial" w:eastAsia="Arial" w:hAnsi="Arial"/>
          <w:sz w:val="16"/>
          <w:szCs w:val="16"/>
          <w:color w:val="auto"/>
        </w:rPr>
        <w:t>Although we believe that this measure is indicative of our maximum sensitivity to interest rate changes, it does not reflect potential changes in credit quality, size and composition of the assets on our statement of assets and liabilities and other business developments that could affect net increase or decrease in net assets resulting from operations, or net income or loss.</w:t>
      </w:r>
    </w:p>
    <w:p>
      <w:pPr>
        <w:spacing w:after="0" w:line="200" w:lineRule="exact"/>
        <w:rPr>
          <w:sz w:val="20"/>
          <w:szCs w:val="20"/>
          <w:color w:val="auto"/>
        </w:rPr>
      </w:pPr>
    </w:p>
    <w:p>
      <w:pPr>
        <w:spacing w:after="0" w:line="2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40" w:right="619" w:firstLine="270"/>
        <w:spacing w:after="0" w:line="288" w:lineRule="auto"/>
        <w:rPr>
          <w:sz w:val="20"/>
          <w:szCs w:val="20"/>
          <w:color w:val="auto"/>
        </w:rPr>
      </w:pPr>
      <w:r>
        <w:rPr>
          <w:rFonts w:ascii="Arial" w:cs="Arial" w:eastAsia="Arial" w:hAnsi="Arial"/>
          <w:sz w:val="16"/>
          <w:szCs w:val="16"/>
          <w:color w:val="auto"/>
        </w:rPr>
        <w:t>As of September 30, 2016, we,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61"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quarter ended September 30, 2016, that have materially affected, or are reasonably likely to materially affect, our internal control over financial reporting.</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60" w:right="559" w:firstLine="270"/>
        <w:spacing w:after="0" w:line="273" w:lineRule="auto"/>
        <w:rPr>
          <w:sz w:val="20"/>
          <w:szCs w:val="20"/>
          <w:color w:val="auto"/>
        </w:rPr>
      </w:pPr>
      <w:r>
        <w:rPr>
          <w:rFonts w:ascii="Arial" w:cs="Arial" w:eastAsia="Arial" w:hAnsi="Arial"/>
          <w:sz w:val="17"/>
          <w:szCs w:val="17"/>
          <w:color w:val="auto"/>
        </w:rPr>
        <w:t>Although we and GSV Asset Management may, from time to time, be involved in litigation arising out of our and GSV Asset Management’s operations in the normal course of business or otherwise, except as set forth in “Item 3. Legal Proceedings” of our annual report on Form 10-K for the year ended December 31, 2015, filed with the SEC on March 15, 2016, neither we nor GSV Asset Management is currently a party to any pending material legal proceedings. There have been no material developments in the legal proceedings described in “Item 3. Legal Proceedings” of our annual report on Form 10-K for the fiscal year ended December 31, 2015, since the date such report was filed with the SEC.</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60" w:right="519" w:firstLine="270"/>
        <w:spacing w:after="0" w:line="272"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“Item 1A. Risk Factors” in our annual report on Form 10-K for the fiscal year ended December 31, 2015, filed with the SEC on March 15, 2016, which could materially affect our business, financial condition and/or operating results. The risks described in our annual report on Form 10-K are not the only risks we face. Additional risks and uncertainties not currently known to us, or that we currently deem to be immaterial, also may materially and adversely affect our business, financial condition and/or operating results. During the nine months ended September 30, 2016, there have been no material changes to the risk factors discussed in “Item 1A. Risk Factors” of our annual report on Form 10-K for the fiscal year ended December 31, 2015.</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engage in unregistered sales of equity securities during the nine months ended September 30, 2016.</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ind w:left="60" w:right="619" w:firstLine="270"/>
        <w:spacing w:after="0" w:line="259" w:lineRule="auto"/>
        <w:rPr>
          <w:sz w:val="20"/>
          <w:szCs w:val="20"/>
          <w:color w:val="auto"/>
        </w:rPr>
      </w:pPr>
      <w:r>
        <w:rPr>
          <w:rFonts w:ascii="Arial" w:cs="Arial" w:eastAsia="Arial" w:hAnsi="Arial"/>
          <w:sz w:val="18"/>
          <w:szCs w:val="18"/>
          <w:color w:val="auto"/>
        </w:rPr>
        <w:t>For the three months ended September 30, 2016, as a part of the dividend reinvestment plan for our common stockholders, we purchased 5,616 shares of our common stock in the open market for an average price of approximately $5.05 per share pursuant to the reinvestment component of the dividend reinvestment plan. The following chart summarizes these purchases of our common stock for the three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2139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Part of</w:t>
            </w: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2"/>
              </w:rPr>
              <w:t>Average Price</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3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Month</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Plans</w:t>
            </w: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306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1"/>
              </w:rPr>
              <w:t>Paid per Share</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6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10"/>
        </w:trPr>
        <w:tc>
          <w:tcPr>
            <w:tcW w:w="3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July 1 through July 31, 2016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3060" w:type="dxa"/>
            <w:vAlign w:val="bottom"/>
            <w:gridSpan w:val="3"/>
          </w:tcPr>
          <w:p>
            <w:pPr>
              <w:ind w:left="20"/>
              <w:spacing w:after="0"/>
              <w:rPr>
                <w:sz w:val="20"/>
                <w:szCs w:val="20"/>
                <w:color w:val="auto"/>
              </w:rPr>
            </w:pPr>
            <w:r>
              <w:rPr>
                <w:rFonts w:ascii="Arial" w:cs="Arial" w:eastAsia="Arial" w:hAnsi="Arial"/>
                <w:sz w:val="18"/>
                <w:szCs w:val="18"/>
                <w:color w:val="auto"/>
              </w:rPr>
              <w:t>Aug. 1 through Aug. 31, 2016</w:t>
            </w:r>
          </w:p>
        </w:tc>
        <w:tc>
          <w:tcPr>
            <w:tcW w:w="1300" w:type="dxa"/>
            <w:vAlign w:val="bottom"/>
            <w:gridSpan w:val="3"/>
          </w:tcPr>
          <w:p>
            <w:pPr>
              <w:jc w:val="right"/>
              <w:ind w:right="220"/>
              <w:spacing w:after="0" w:line="256" w:lineRule="exact"/>
              <w:rPr>
                <w:sz w:val="20"/>
                <w:szCs w:val="20"/>
                <w:color w:val="auto"/>
              </w:rPr>
            </w:pPr>
            <w:r>
              <w:rPr>
                <w:rFonts w:ascii="Arial" w:cs="Arial" w:eastAsia="Arial" w:hAnsi="Arial"/>
                <w:sz w:val="18"/>
                <w:szCs w:val="18"/>
                <w:color w:val="auto"/>
              </w:rPr>
              <w:t>5,616</w:t>
            </w:r>
            <w:r>
              <w:rPr>
                <w:rFonts w:ascii="Arial" w:cs="Arial" w:eastAsia="Arial" w:hAnsi="Arial"/>
                <w:sz w:val="29"/>
                <w:szCs w:val="29"/>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22"/>
                <w:szCs w:val="22"/>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Sept. 1 through Sept. 30, 2016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5,616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5.05</w:t>
            </w:r>
          </w:p>
        </w:tc>
        <w:tc>
          <w:tcPr>
            <w:tcW w:w="160" w:type="dxa"/>
            <w:vAlign w:val="bottom"/>
          </w:tcPr>
          <w:p>
            <w:pPr>
              <w:spacing w:after="0"/>
              <w:rPr>
                <w:sz w:val="18"/>
                <w:szCs w:val="18"/>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right="559" w:hanging="272"/>
        <w:spacing w:after="0" w:line="277"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shares were purchased in the open market pursuant to the terms of our dividend reinvestment plan, which has been approved by our board of directors.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51796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48" w:lineRule="exact"/>
        <w:rPr>
          <w:sz w:val="20"/>
          <w:szCs w:val="20"/>
          <w:color w:val="auto"/>
        </w:rPr>
      </w:pPr>
    </w:p>
    <w:tbl>
      <w:tblPr>
        <w:tblLayout w:type="fixed"/>
        <w:tblInd w:w="220" w:type="dxa"/>
        <w:tblCellMar>
          <w:top w:w="0" w:type="dxa"/>
          <w:left w:w="0" w:type="dxa"/>
          <w:bottom w:w="0" w:type="dxa"/>
          <w:right w:w="0" w:type="dxa"/>
        </w:tblCellMar>
      </w:tblPr>
      <w:tr>
        <w:trPr>
          <w:trHeight w:val="345"/>
        </w:trPr>
        <w:tc>
          <w:tcPr>
            <w:tcW w:w="500" w:type="dxa"/>
            <w:vAlign w:val="bottom"/>
          </w:tcPr>
          <w:p>
            <w:pPr>
              <w:jc w:val="center"/>
              <w:ind w:right="70"/>
              <w:spacing w:after="0"/>
              <w:rPr>
                <w:sz w:val="20"/>
                <w:szCs w:val="20"/>
                <w:color w:val="auto"/>
              </w:rPr>
            </w:pPr>
            <w:r>
              <w:rPr>
                <w:rFonts w:ascii="Arial" w:cs="Arial" w:eastAsia="Arial" w:hAnsi="Arial"/>
                <w:sz w:val="18"/>
                <w:szCs w:val="18"/>
                <w:color w:val="auto"/>
                <w:w w:val="87"/>
              </w:rPr>
              <w:t>3.1</w:t>
            </w:r>
          </w:p>
        </w:tc>
        <w:tc>
          <w:tcPr>
            <w:tcW w:w="7460" w:type="dxa"/>
            <w:vAlign w:val="bottom"/>
          </w:tcPr>
          <w:p>
            <w:pPr>
              <w:ind w:left="200"/>
              <w:spacing w:after="0"/>
              <w:rPr>
                <w:sz w:val="20"/>
                <w:szCs w:val="20"/>
                <w:color w:val="auto"/>
              </w:rPr>
            </w:pPr>
            <w:r>
              <w:rPr>
                <w:rFonts w:ascii="Arial" w:cs="Arial" w:eastAsia="Arial" w:hAnsi="Arial"/>
                <w:sz w:val="18"/>
                <w:szCs w:val="18"/>
                <w:color w:val="auto"/>
              </w:rPr>
              <w:t>Articles of Amendment and Restatement</w:t>
            </w:r>
            <w:r>
              <w:rPr>
                <w:rFonts w:ascii="Arial" w:cs="Arial" w:eastAsia="Arial" w:hAnsi="Arial"/>
                <w:sz w:val="30"/>
                <w:szCs w:val="30"/>
                <w:color w:val="auto"/>
                <w:vertAlign w:val="superscript"/>
              </w:rPr>
              <w:t>(1)</w:t>
            </w:r>
          </w:p>
        </w:tc>
      </w:tr>
      <w:tr>
        <w:trPr>
          <w:trHeight w:val="257"/>
        </w:trPr>
        <w:tc>
          <w:tcPr>
            <w:tcW w:w="500" w:type="dxa"/>
            <w:vAlign w:val="bottom"/>
          </w:tcPr>
          <w:p>
            <w:pPr>
              <w:jc w:val="center"/>
              <w:ind w:right="70"/>
              <w:spacing w:after="0"/>
              <w:rPr>
                <w:sz w:val="20"/>
                <w:szCs w:val="20"/>
                <w:color w:val="auto"/>
              </w:rPr>
            </w:pPr>
            <w:r>
              <w:rPr>
                <w:rFonts w:ascii="Arial" w:cs="Arial" w:eastAsia="Arial" w:hAnsi="Arial"/>
                <w:sz w:val="18"/>
                <w:szCs w:val="18"/>
                <w:color w:val="auto"/>
                <w:w w:val="87"/>
              </w:rPr>
              <w:t>3.2</w:t>
            </w:r>
          </w:p>
        </w:tc>
        <w:tc>
          <w:tcPr>
            <w:tcW w:w="7460" w:type="dxa"/>
            <w:vAlign w:val="bottom"/>
          </w:tcPr>
          <w:p>
            <w:pPr>
              <w:ind w:left="200"/>
              <w:spacing w:after="0" w:line="256" w:lineRule="exact"/>
              <w:rPr>
                <w:sz w:val="20"/>
                <w:szCs w:val="20"/>
                <w:color w:val="auto"/>
              </w:rPr>
            </w:pPr>
            <w:r>
              <w:rPr>
                <w:rFonts w:ascii="Arial" w:cs="Arial" w:eastAsia="Arial" w:hAnsi="Arial"/>
                <w:sz w:val="18"/>
                <w:szCs w:val="18"/>
                <w:color w:val="auto"/>
              </w:rPr>
              <w:t>Articles of Amendment</w:t>
            </w:r>
            <w:r>
              <w:rPr>
                <w:rFonts w:ascii="Arial" w:cs="Arial" w:eastAsia="Arial" w:hAnsi="Arial"/>
                <w:sz w:val="29"/>
                <w:szCs w:val="29"/>
                <w:color w:val="auto"/>
                <w:vertAlign w:val="superscript"/>
              </w:rPr>
              <w:t>(2)</w:t>
            </w:r>
          </w:p>
        </w:tc>
      </w:tr>
      <w:tr>
        <w:trPr>
          <w:trHeight w:val="257"/>
        </w:trPr>
        <w:tc>
          <w:tcPr>
            <w:tcW w:w="500" w:type="dxa"/>
            <w:vAlign w:val="bottom"/>
          </w:tcPr>
          <w:p>
            <w:pPr>
              <w:jc w:val="center"/>
              <w:ind w:right="70"/>
              <w:spacing w:after="0"/>
              <w:rPr>
                <w:sz w:val="20"/>
                <w:szCs w:val="20"/>
                <w:color w:val="auto"/>
              </w:rPr>
            </w:pPr>
            <w:r>
              <w:rPr>
                <w:rFonts w:ascii="Arial" w:cs="Arial" w:eastAsia="Arial" w:hAnsi="Arial"/>
                <w:sz w:val="18"/>
                <w:szCs w:val="18"/>
                <w:color w:val="auto"/>
                <w:w w:val="87"/>
              </w:rPr>
              <w:t>3.3</w:t>
            </w:r>
          </w:p>
        </w:tc>
        <w:tc>
          <w:tcPr>
            <w:tcW w:w="7460" w:type="dxa"/>
            <w:vAlign w:val="bottom"/>
          </w:tcPr>
          <w:p>
            <w:pPr>
              <w:ind w:left="200"/>
              <w:spacing w:after="0" w:line="256" w:lineRule="exact"/>
              <w:rPr>
                <w:sz w:val="20"/>
                <w:szCs w:val="20"/>
                <w:color w:val="auto"/>
              </w:rPr>
            </w:pPr>
            <w:r>
              <w:rPr>
                <w:rFonts w:ascii="Arial" w:cs="Arial" w:eastAsia="Arial" w:hAnsi="Arial"/>
                <w:sz w:val="18"/>
                <w:szCs w:val="18"/>
                <w:color w:val="auto"/>
              </w:rPr>
              <w:t>Bylaws</w:t>
            </w:r>
            <w:r>
              <w:rPr>
                <w:rFonts w:ascii="Arial" w:cs="Arial" w:eastAsia="Arial" w:hAnsi="Arial"/>
                <w:sz w:val="29"/>
                <w:szCs w:val="29"/>
                <w:color w:val="auto"/>
                <w:vertAlign w:val="superscript"/>
              </w:rPr>
              <w:t>(1)</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11.1</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Computation of Per Share Earnings (Included in “Note 5 — Net Increase/(Decrease) in Net Assets</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Resulting from Operations per Common Share — Basic and Diluted” to our Condensed</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Consolidated Financial Statements contained in this report)</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31.1</w:t>
            </w:r>
          </w:p>
        </w:tc>
        <w:tc>
          <w:tcPr>
            <w:tcW w:w="7460" w:type="dxa"/>
            <w:vAlign w:val="bottom"/>
          </w:tcPr>
          <w:p>
            <w:pPr>
              <w:ind w:left="200"/>
              <w:spacing w:after="0"/>
              <w:rPr>
                <w:sz w:val="20"/>
                <w:szCs w:val="20"/>
                <w:color w:val="auto"/>
              </w:rPr>
            </w:pPr>
            <w:r>
              <w:rPr>
                <w:rFonts w:ascii="Arial" w:cs="Arial" w:eastAsia="Arial" w:hAnsi="Arial"/>
                <w:sz w:val="18"/>
                <w:szCs w:val="18"/>
                <w:color w:val="auto"/>
                <w:w w:val="93"/>
              </w:rPr>
              <w:t>Certification of Chief Executive Officer pursuant to Rule 13a-14 of the Securities Exchange Act of</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1934, as amended*</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31.2</w:t>
            </w:r>
          </w:p>
        </w:tc>
        <w:tc>
          <w:tcPr>
            <w:tcW w:w="7460" w:type="dxa"/>
            <w:vAlign w:val="bottom"/>
          </w:tcPr>
          <w:p>
            <w:pPr>
              <w:ind w:left="200"/>
              <w:spacing w:after="0"/>
              <w:rPr>
                <w:sz w:val="20"/>
                <w:szCs w:val="20"/>
                <w:color w:val="auto"/>
              </w:rPr>
            </w:pPr>
            <w:r>
              <w:rPr>
                <w:rFonts w:ascii="Arial" w:cs="Arial" w:eastAsia="Arial" w:hAnsi="Arial"/>
                <w:sz w:val="18"/>
                <w:szCs w:val="18"/>
                <w:color w:val="auto"/>
                <w:w w:val="94"/>
              </w:rPr>
              <w:t>Certification of Chief Financial Officer pursuant to Rule 13a-14 of the Securities Exchange Act of</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1934, as amended*</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32.1</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r>
      <w:tr>
        <w:trPr>
          <w:trHeight w:val="230"/>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32.2</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80" w:right="859" w:hanging="272"/>
        <w:spacing w:after="0" w:line="277"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62" w:lineRule="exact"/>
        <w:rPr>
          <w:rFonts w:ascii="Arial" w:cs="Arial" w:eastAsia="Arial" w:hAnsi="Arial"/>
          <w:sz w:val="18"/>
          <w:szCs w:val="18"/>
          <w:color w:val="auto"/>
        </w:rPr>
      </w:pPr>
    </w:p>
    <w:p>
      <w:pPr>
        <w:ind w:left="280" w:right="819" w:hanging="272"/>
        <w:spacing w:after="0" w:line="277"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spacing w:after="0" w:line="6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September 30, 2016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Investment To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Non-Control/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12"/>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Non-Affiliate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September 30,</w:t>
            </w:r>
          </w:p>
        </w:tc>
      </w:tr>
      <w:tr>
        <w:trPr>
          <w:trHeight w:val="153"/>
        </w:trPr>
        <w:tc>
          <w:tcPr>
            <w:tcW w:w="1880" w:type="dxa"/>
            <w:vAlign w:val="bottom"/>
            <w:tcBorders>
              <w:bottom w:val="single" w:sz="8" w:color="auto"/>
            </w:tcBorders>
            <w:gridSpan w:val="12"/>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89"/>
              </w:rPr>
              <w:t>2015</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Purchases</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2016</w:t>
            </w:r>
          </w:p>
        </w:tc>
      </w:tr>
      <w:tr>
        <w:trPr>
          <w:trHeight w:val="129"/>
        </w:trPr>
        <w:tc>
          <w:tcPr>
            <w:tcW w:w="1880" w:type="dxa"/>
            <w:vAlign w:val="bottom"/>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Control Investments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69"/>
        </w:trPr>
        <w:tc>
          <w:tcPr>
            <w:tcW w:w="1880" w:type="dxa"/>
            <w:vAlign w:val="bottom"/>
            <w:gridSpan w:val="12"/>
          </w:tcPr>
          <w:p>
            <w:pPr>
              <w:ind w:left="20"/>
              <w:spacing w:after="0" w:line="169" w:lineRule="exact"/>
              <w:rPr>
                <w:sz w:val="20"/>
                <w:szCs w:val="20"/>
                <w:color w:val="auto"/>
              </w:rPr>
            </w:pPr>
            <w:r>
              <w:rPr>
                <w:rFonts w:ascii="Arial" w:cs="Arial" w:eastAsia="Arial" w:hAnsi="Arial"/>
                <w:sz w:val="12"/>
                <w:szCs w:val="12"/>
                <w:b w:val="1"/>
                <w:bCs w:val="1"/>
                <w:color w:val="auto"/>
              </w:rPr>
              <w:t>StormWind, LLC</w:t>
            </w:r>
            <w:r>
              <w:rPr>
                <w:rFonts w:ascii="Arial" w:cs="Arial" w:eastAsia="Arial" w:hAnsi="Arial"/>
                <w:sz w:val="19"/>
                <w:szCs w:val="19"/>
                <w:color w:val="auto"/>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4,599,718</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51,120</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4,650,838</w:t>
            </w:r>
          </w:p>
        </w:tc>
      </w:tr>
      <w:tr>
        <w:trPr>
          <w:trHeight w:val="149"/>
        </w:trPr>
        <w:tc>
          <w:tcPr>
            <w:tcW w:w="18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4,633,228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(162,825)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4,470,403</w:t>
            </w:r>
          </w:p>
        </w:tc>
      </w:tr>
      <w:tr>
        <w:trPr>
          <w:trHeight w:val="149"/>
        </w:trPr>
        <w:tc>
          <w:tcPr>
            <w:tcW w:w="18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518,000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(18,204)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499,796</w:t>
            </w:r>
          </w:p>
        </w:tc>
      </w:tr>
      <w:tr>
        <w:trPr>
          <w:trHeight w:val="135"/>
        </w:trPr>
        <w:tc>
          <w:tcPr>
            <w:tcW w:w="1880" w:type="dxa"/>
            <w:vAlign w:val="bottom"/>
            <w:gridSpan w:val="12"/>
          </w:tcPr>
          <w:p>
            <w:pPr>
              <w:ind w:left="20"/>
              <w:spacing w:after="0" w:line="135" w:lineRule="exact"/>
              <w:rPr>
                <w:sz w:val="20"/>
                <w:szCs w:val="20"/>
                <w:color w:val="auto"/>
              </w:rPr>
            </w:pPr>
            <w:r>
              <w:rPr>
                <w:rFonts w:ascii="Arial" w:cs="Arial" w:eastAsia="Arial" w:hAnsi="Arial"/>
                <w:sz w:val="14"/>
                <w:szCs w:val="14"/>
                <w:b w:val="1"/>
                <w:bCs w:val="1"/>
                <w:color w:val="auto"/>
              </w:rPr>
              <w:t>NestGSV, Inc. (d/b/a GSV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2"/>
              </w:rPr>
              <w:t>Labs, Inc.)</w:t>
            </w:r>
          </w:p>
        </w:tc>
        <w:tc>
          <w:tcPr>
            <w:tcW w:w="740" w:type="dxa"/>
            <w:vAlign w:val="bottom"/>
            <w:tcBorders>
              <w:top w:val="single" w:sz="8" w:color="auto"/>
            </w:tcBorders>
            <w:gridSpan w:val="5"/>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3"/>
        </w:trPr>
        <w:tc>
          <w:tcPr>
            <w:tcW w:w="1880" w:type="dxa"/>
            <w:vAlign w:val="bottom"/>
            <w:gridSpan w:val="12"/>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r>
      <w:tr>
        <w:trPr>
          <w:trHeight w:val="167"/>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gridSpan w:val="10"/>
            <w:shd w:val="clear" w:color="auto" w:fill="CCEEFF"/>
          </w:tcPr>
          <w:p>
            <w:pPr>
              <w:spacing w:after="0"/>
              <w:rPr>
                <w:sz w:val="20"/>
                <w:szCs w:val="20"/>
                <w:color w:val="auto"/>
              </w:rPr>
            </w:pPr>
            <w:r>
              <w:rPr>
                <w:rFonts w:ascii="Arial" w:cs="Arial" w:eastAsia="Arial" w:hAnsi="Arial"/>
                <w:sz w:val="14"/>
                <w:szCs w:val="14"/>
                <w:color w:val="auto"/>
              </w:rPr>
              <w:t>8% Due 07/31/2017***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25,222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502,280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(74,380)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427,900</w:t>
            </w:r>
          </w:p>
        </w:tc>
      </w:tr>
      <w:tr>
        <w:trPr>
          <w:trHeight w:val="130"/>
        </w:trPr>
        <w:tc>
          <w:tcPr>
            <w:tcW w:w="1880" w:type="dxa"/>
            <w:vAlign w:val="bottom"/>
            <w:gridSpan w:val="12"/>
          </w:tcPr>
          <w:p>
            <w:pPr>
              <w:ind w:left="20"/>
              <w:spacing w:after="0" w:line="130" w:lineRule="exact"/>
              <w:rPr>
                <w:sz w:val="20"/>
                <w:szCs w:val="20"/>
                <w:color w:val="auto"/>
              </w:rPr>
            </w:pPr>
            <w:r>
              <w:rPr>
                <w:rFonts w:ascii="Arial" w:cs="Arial" w:eastAsia="Arial" w:hAnsi="Arial"/>
                <w:sz w:val="14"/>
                <w:szCs w:val="14"/>
                <w:color w:val="auto"/>
              </w:rPr>
              <w:t>Promissory Note 10% Due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w w:val="91"/>
              </w:rPr>
              <w:t>11/23/2016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18,195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500,000</w:t>
            </w:r>
          </w:p>
        </w:tc>
      </w:tr>
      <w:tr>
        <w:trPr>
          <w:trHeight w:val="149"/>
        </w:trPr>
        <w:tc>
          <w:tcPr>
            <w:tcW w:w="18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4,960,565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(472,951)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4,487,614</w:t>
            </w:r>
          </w:p>
        </w:tc>
      </w:tr>
      <w:tr>
        <w:trPr>
          <w:trHeight w:val="149"/>
        </w:trPr>
        <w:tc>
          <w:tcPr>
            <w:tcW w:w="18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1,733,404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(159,723)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1,573,681</w:t>
            </w:r>
          </w:p>
        </w:tc>
      </w:tr>
      <w:tr>
        <w:trPr>
          <w:trHeight w:val="149"/>
        </w:trPr>
        <w:tc>
          <w:tcPr>
            <w:tcW w:w="18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271,398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271,398</w:t>
            </w:r>
          </w:p>
        </w:tc>
      </w:tr>
      <w:tr>
        <w:trPr>
          <w:trHeight w:val="149"/>
        </w:trPr>
        <w:tc>
          <w:tcPr>
            <w:tcW w:w="18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454,237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454,237</w:t>
            </w:r>
          </w:p>
        </w:tc>
      </w:tr>
      <w:tr>
        <w:trPr>
          <w:trHeight w:val="149"/>
        </w:trPr>
        <w:tc>
          <w:tcPr>
            <w:tcW w:w="18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12"/>
          </w:tcPr>
          <w:p>
            <w:pPr>
              <w:ind w:left="20"/>
              <w:spacing w:after="0" w:line="130" w:lineRule="exact"/>
              <w:rPr>
                <w:sz w:val="20"/>
                <w:szCs w:val="20"/>
                <w:color w:val="auto"/>
              </w:rPr>
            </w:pPr>
            <w:r>
              <w:rPr>
                <w:rFonts w:ascii="Arial" w:cs="Arial" w:eastAsia="Arial" w:hAnsi="Arial"/>
                <w:sz w:val="14"/>
                <w:szCs w:val="14"/>
                <w:color w:val="auto"/>
                <w:w w:val="97"/>
              </w:rPr>
              <w:t>Preferred warrants, Series C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10"/>
          </w:tcPr>
          <w:p>
            <w:pPr>
              <w:spacing w:after="0" w:line="149" w:lineRule="exact"/>
              <w:rPr>
                <w:sz w:val="20"/>
                <w:szCs w:val="20"/>
                <w:color w:val="auto"/>
              </w:rPr>
            </w:pPr>
            <w:r>
              <w:rPr>
                <w:rFonts w:ascii="Arial" w:cs="Arial" w:eastAsia="Arial" w:hAnsi="Arial"/>
                <w:sz w:val="14"/>
                <w:szCs w:val="14"/>
                <w:color w:val="auto"/>
              </w:rPr>
              <w:t>$1.33 Strike Price,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10"/>
          </w:tcPr>
          <w:p>
            <w:pPr>
              <w:spacing w:after="0"/>
              <w:rPr>
                <w:sz w:val="20"/>
                <w:szCs w:val="20"/>
                <w:color w:val="auto"/>
              </w:rPr>
            </w:pPr>
            <w:r>
              <w:rPr>
                <w:rFonts w:ascii="Arial" w:cs="Arial" w:eastAsia="Arial" w:hAnsi="Arial"/>
                <w:sz w:val="14"/>
                <w:szCs w:val="14"/>
                <w:color w:val="auto"/>
              </w:rPr>
              <w:t>Expiration Date 4/4/2019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31,875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31,875</w:t>
            </w:r>
          </w:p>
        </w:tc>
      </w:tr>
      <w:tr>
        <w:trPr>
          <w:trHeight w:val="130"/>
        </w:trPr>
        <w:tc>
          <w:tcPr>
            <w:tcW w:w="1880" w:type="dxa"/>
            <w:vAlign w:val="bottom"/>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Preferred warrants, Series D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$1.33 Strike Price,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gridSpan w:val="10"/>
            <w:shd w:val="clear" w:color="auto" w:fill="CCEEFF"/>
          </w:tcPr>
          <w:p>
            <w:pPr>
              <w:spacing w:after="0"/>
              <w:rPr>
                <w:sz w:val="20"/>
                <w:szCs w:val="20"/>
                <w:color w:val="auto"/>
              </w:rPr>
            </w:pPr>
            <w:r>
              <w:rPr>
                <w:rFonts w:ascii="Arial" w:cs="Arial" w:eastAsia="Arial" w:hAnsi="Arial"/>
                <w:sz w:val="14"/>
                <w:szCs w:val="14"/>
                <w:color w:val="auto"/>
              </w:rPr>
              <w:t>Expiration Date 10/6/2019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155,000</w:t>
            </w:r>
          </w:p>
        </w:tc>
      </w:tr>
      <w:tr>
        <w:trPr>
          <w:trHeight w:val="130"/>
        </w:trPr>
        <w:tc>
          <w:tcPr>
            <w:tcW w:w="1880" w:type="dxa"/>
            <w:vAlign w:val="bottom"/>
            <w:gridSpan w:val="12"/>
          </w:tcPr>
          <w:p>
            <w:pPr>
              <w:ind w:left="20"/>
              <w:spacing w:after="0" w:line="130" w:lineRule="exact"/>
              <w:rPr>
                <w:sz w:val="20"/>
                <w:szCs w:val="20"/>
                <w:color w:val="auto"/>
              </w:rPr>
            </w:pPr>
            <w:r>
              <w:rPr>
                <w:rFonts w:ascii="Arial" w:cs="Arial" w:eastAsia="Arial" w:hAnsi="Arial"/>
                <w:sz w:val="14"/>
                <w:szCs w:val="14"/>
                <w:color w:val="auto"/>
                <w:w w:val="99"/>
              </w:rPr>
              <w:t>Preferred warrants Series D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10"/>
          </w:tcPr>
          <w:p>
            <w:pPr>
              <w:spacing w:after="0" w:line="149" w:lineRule="exact"/>
              <w:rPr>
                <w:sz w:val="20"/>
                <w:szCs w:val="20"/>
                <w:color w:val="auto"/>
              </w:rPr>
            </w:pPr>
            <w:r>
              <w:rPr>
                <w:rFonts w:ascii="Arial" w:cs="Arial" w:eastAsia="Arial" w:hAnsi="Arial"/>
                <w:sz w:val="14"/>
                <w:szCs w:val="14"/>
                <w:color w:val="auto"/>
              </w:rPr>
              <w:t>Strike Price $1.33,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10"/>
          </w:tcPr>
          <w:p>
            <w:pPr>
              <w:spacing w:after="0"/>
              <w:rPr>
                <w:sz w:val="20"/>
                <w:szCs w:val="20"/>
                <w:color w:val="auto"/>
              </w:rPr>
            </w:pPr>
            <w:r>
              <w:rPr>
                <w:rFonts w:ascii="Arial" w:cs="Arial" w:eastAsia="Arial" w:hAnsi="Arial"/>
                <w:sz w:val="14"/>
                <w:szCs w:val="14"/>
                <w:color w:val="auto"/>
              </w:rPr>
              <w:t>Expiration Date 7/18/2021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74,380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3,120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77,500</w:t>
            </w:r>
          </w:p>
        </w:tc>
      </w:tr>
      <w:tr>
        <w:trPr>
          <w:trHeight w:val="135"/>
        </w:trPr>
        <w:tc>
          <w:tcPr>
            <w:tcW w:w="18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SPBRX, INC. (f/k/a GSV</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29"/>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spacing w:after="0"/>
              <w:rPr>
                <w:sz w:val="11"/>
                <w:szCs w:val="11"/>
                <w:color w:val="auto"/>
              </w:rPr>
            </w:pPr>
          </w:p>
        </w:tc>
        <w:tc>
          <w:tcPr>
            <w:tcW w:w="1360" w:type="dxa"/>
            <w:vAlign w:val="bottom"/>
            <w:tcBorders>
              <w:top w:val="single" w:sz="8" w:color="auto"/>
              <w:bottom w:val="single" w:sz="8" w:color="auto"/>
            </w:tcBorders>
            <w:gridSpan w:val="6"/>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6"/>
              </w:rPr>
              <w:t>Sustainability Partners,</w:t>
            </w:r>
          </w:p>
        </w:tc>
        <w:tc>
          <w:tcPr>
            <w:tcW w:w="80" w:type="dxa"/>
            <w:vAlign w:val="bottom"/>
            <w:tcBorders>
              <w:top w:val="single" w:sz="8" w:color="CCEEFF"/>
              <w:bottom w:val="single" w:sz="8" w:color="auto"/>
            </w:tcBorders>
            <w:gridSpan w:val="2"/>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r>
      <w:tr>
        <w:trPr>
          <w:trHeight w:val="129"/>
        </w:trPr>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Inc.)</w:t>
            </w:r>
          </w:p>
        </w:tc>
        <w:tc>
          <w:tcPr>
            <w:tcW w:w="1160" w:type="dxa"/>
            <w:vAlign w:val="bottom"/>
            <w:tcBorders>
              <w:bottom w:val="single" w:sz="8" w:color="CCEEFF"/>
            </w:tcBorders>
            <w:gridSpan w:val="7"/>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right w:val="single" w:sz="8" w:color="CCEEFF"/>
            </w:tcBorders>
            <w:shd w:val="clear" w:color="auto" w:fill="CCEEFF"/>
          </w:tcPr>
          <w:p>
            <w:pPr>
              <w:spacing w:after="0"/>
              <w:rPr>
                <w:sz w:val="11"/>
                <w:szCs w:val="11"/>
                <w:color w:val="auto"/>
              </w:rPr>
            </w:pPr>
          </w:p>
        </w:tc>
      </w:tr>
      <w:tr>
        <w:trPr>
          <w:trHeight w:val="142"/>
        </w:trPr>
        <w:tc>
          <w:tcPr>
            <w:tcW w:w="18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6,250,000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(1,799,396)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4,450,604</w:t>
            </w:r>
          </w:p>
        </w:tc>
      </w:tr>
      <w:tr>
        <w:trPr>
          <w:trHeight w:val="149"/>
        </w:trPr>
        <w:tc>
          <w:tcPr>
            <w:tcW w:w="18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r>
      <w:tr>
        <w:trPr>
          <w:trHeight w:val="142"/>
        </w:trPr>
        <w:tc>
          <w:tcPr>
            <w:tcW w:w="1880" w:type="dxa"/>
            <w:vAlign w:val="bottom"/>
            <w:gridSpan w:val="12"/>
          </w:tcPr>
          <w:p>
            <w:pPr>
              <w:ind w:left="20"/>
              <w:spacing w:after="0" w:line="142" w:lineRule="exact"/>
              <w:rPr>
                <w:sz w:val="20"/>
                <w:szCs w:val="20"/>
                <w:color w:val="auto"/>
              </w:rPr>
            </w:pPr>
            <w:r>
              <w:rPr>
                <w:rFonts w:ascii="Arial" w:cs="Arial" w:eastAsia="Arial" w:hAnsi="Arial"/>
                <w:sz w:val="14"/>
                <w:szCs w:val="14"/>
                <w:b w:val="1"/>
                <w:bCs w:val="1"/>
                <w:color w:val="auto"/>
              </w:rPr>
              <w:t>Total Control Investments</w:t>
            </w:r>
          </w:p>
        </w:tc>
        <w:tc>
          <w:tcPr>
            <w:tcW w:w="8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43,417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4"/>
              </w:rPr>
              <w:t>22,871,790</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89"/>
              </w:rPr>
              <w:t>1,076,660</w:t>
            </w:r>
          </w:p>
        </w:tc>
        <w:tc>
          <w:tcPr>
            <w:tcW w:w="2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(74,380)</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(1,823,224)</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22,050,846</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1880" w:type="dxa"/>
            <w:vAlign w:val="bottom"/>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Affiliate Investments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29"/>
        </w:trPr>
        <w:tc>
          <w:tcPr>
            <w:tcW w:w="1880" w:type="dxa"/>
            <w:vAlign w:val="bottom"/>
            <w:gridSpan w:val="12"/>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133,978</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(133,978)</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191,993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(191,993)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$1.00 Strike Price,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gridSpan w:val="10"/>
            <w:shd w:val="clear" w:color="auto" w:fill="CCEEFF"/>
          </w:tcPr>
          <w:p>
            <w:pPr>
              <w:spacing w:after="0"/>
              <w:rPr>
                <w:sz w:val="20"/>
                <w:szCs w:val="20"/>
                <w:color w:val="auto"/>
              </w:rPr>
            </w:pPr>
            <w:r>
              <w:rPr>
                <w:rFonts w:ascii="Arial" w:cs="Arial" w:eastAsia="Arial" w:hAnsi="Arial"/>
                <w:sz w:val="14"/>
                <w:szCs w:val="14"/>
                <w:color w:val="auto"/>
              </w:rPr>
              <w:t>Expiration Date 1/9/2017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1880" w:type="dxa"/>
            <w:vAlign w:val="bottom"/>
            <w:gridSpan w:val="12"/>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3,000,000</w:t>
            </w:r>
          </w:p>
        </w:tc>
      </w:tr>
      <w:tr>
        <w:trPr>
          <w:trHeight w:val="149"/>
        </w:trPr>
        <w:tc>
          <w:tcPr>
            <w:tcW w:w="18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r>
      <w:tr>
        <w:trPr>
          <w:trHeight w:val="135"/>
        </w:trPr>
        <w:tc>
          <w:tcPr>
            <w:tcW w:w="18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w w:val="98"/>
              </w:rPr>
              <w:t>Circle Media (f/k/a S3 Digital</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gridSpan w:val="9"/>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Corp. (d/b/a S3i))</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23"/>
        </w:trPr>
        <w:tc>
          <w:tcPr>
            <w:tcW w:w="1880" w:type="dxa"/>
            <w:vAlign w:val="bottom"/>
            <w:gridSpan w:val="12"/>
          </w:tcPr>
          <w:p>
            <w:pPr>
              <w:ind w:left="20"/>
              <w:spacing w:after="0" w:line="123" w:lineRule="exact"/>
              <w:rPr>
                <w:sz w:val="20"/>
                <w:szCs w:val="20"/>
                <w:color w:val="auto"/>
              </w:rPr>
            </w:pPr>
            <w:r>
              <w:rPr>
                <w:rFonts w:ascii="Arial" w:cs="Arial" w:eastAsia="Arial" w:hAnsi="Arial"/>
                <w:sz w:val="14"/>
                <w:szCs w:val="14"/>
                <w:color w:val="auto"/>
              </w:rPr>
              <w:t>Promissory Note, 12%,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67"/>
        </w:trPr>
        <w:tc>
          <w:tcPr>
            <w:tcW w:w="1100" w:type="dxa"/>
            <w:vAlign w:val="bottom"/>
            <w:gridSpan w:val="6"/>
          </w:tcPr>
          <w:p>
            <w:pPr>
              <w:ind w:left="200"/>
              <w:spacing w:after="0"/>
              <w:rPr>
                <w:sz w:val="20"/>
                <w:szCs w:val="20"/>
                <w:color w:val="auto"/>
              </w:rPr>
            </w:pPr>
            <w:r>
              <w:rPr>
                <w:rFonts w:ascii="Arial" w:cs="Arial" w:eastAsia="Arial" w:hAnsi="Arial"/>
                <w:sz w:val="14"/>
                <w:szCs w:val="14"/>
                <w:color w:val="auto"/>
              </w:rPr>
              <w:t>11/17/2016***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2,252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1,104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26,544</w:t>
            </w:r>
          </w:p>
        </w:tc>
      </w:tr>
      <w:tr>
        <w:trPr>
          <w:trHeight w:val="149"/>
        </w:trPr>
        <w:tc>
          <w:tcPr>
            <w:tcW w:w="18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1,156,175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(485,152)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671,023</w:t>
            </w:r>
          </w:p>
        </w:tc>
      </w:tr>
      <w:tr>
        <w:trPr>
          <w:trHeight w:val="130"/>
        </w:trPr>
        <w:tc>
          <w:tcPr>
            <w:tcW w:w="1880" w:type="dxa"/>
            <w:vAlign w:val="bottom"/>
            <w:gridSpan w:val="12"/>
          </w:tcPr>
          <w:p>
            <w:pPr>
              <w:ind w:left="20"/>
              <w:spacing w:after="0" w:line="130"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10"/>
          </w:tcPr>
          <w:p>
            <w:pPr>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w w:val="91"/>
              </w:rPr>
              <w:t>11/18/2022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r>
      <w:tr>
        <w:trPr>
          <w:trHeight w:val="167"/>
        </w:trPr>
        <w:tc>
          <w:tcPr>
            <w:tcW w:w="8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8/29/2021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(14,065)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-2143125</wp:posOffset>
            </wp:positionV>
            <wp:extent cx="5213985"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September 30, 2016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9"/>
              <w:spacing w:after="0"/>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Investment To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Non-Control/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6"/>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Non-Affiliate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September 30,</w:t>
            </w:r>
          </w:p>
        </w:tc>
      </w:tr>
      <w:tr>
        <w:trPr>
          <w:trHeight w:val="153"/>
        </w:trPr>
        <w:tc>
          <w:tcPr>
            <w:tcW w:w="1880" w:type="dxa"/>
            <w:vAlign w:val="bottom"/>
            <w:gridSpan w:val="6"/>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48"/>
              <w:spacing w:after="0"/>
              <w:rPr>
                <w:sz w:val="20"/>
                <w:szCs w:val="20"/>
                <w:color w:val="auto"/>
              </w:rPr>
            </w:pPr>
            <w:r>
              <w:rPr>
                <w:rFonts w:ascii="Arial" w:cs="Arial" w:eastAsia="Arial" w:hAnsi="Arial"/>
                <w:sz w:val="13"/>
                <w:szCs w:val="13"/>
                <w:b w:val="1"/>
                <w:bCs w:val="1"/>
                <w:color w:val="auto"/>
                <w:w w:val="89"/>
              </w:rPr>
              <w:t>2015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29"/>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Purchases</w:t>
            </w:r>
          </w:p>
        </w:tc>
        <w:tc>
          <w:tcPr>
            <w:tcW w:w="600" w:type="dxa"/>
            <w:vAlign w:val="bottom"/>
          </w:tcPr>
          <w:p>
            <w:pPr>
              <w:ind w:left="8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2"/>
              </w:rPr>
              <w:t>2016</w:t>
            </w:r>
          </w:p>
        </w:tc>
      </w:tr>
      <w:tr>
        <w:trPr>
          <w:trHeight w:val="123"/>
        </w:trPr>
        <w:tc>
          <w:tcPr>
            <w:tcW w:w="1880" w:type="dxa"/>
            <w:vAlign w:val="bottom"/>
            <w:tcBorders>
              <w:top w:val="single" w:sz="8" w:color="auto"/>
            </w:tcBorders>
            <w:gridSpan w:val="6"/>
            <w:shd w:val="clear" w:color="auto" w:fill="CCEEFF"/>
          </w:tcPr>
          <w:p>
            <w:pPr>
              <w:ind w:left="20"/>
              <w:spacing w:after="0" w:line="123"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99"/>
              </w:rPr>
              <w:t>6/26/2021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2"/>
          </w:tcPr>
          <w:p>
            <w:pPr>
              <w:ind w:left="200"/>
              <w:spacing w:after="0"/>
              <w:rPr>
                <w:sz w:val="20"/>
                <w:szCs w:val="20"/>
                <w:color w:val="auto"/>
              </w:rPr>
            </w:pPr>
            <w:r>
              <w:rPr>
                <w:rFonts w:ascii="Arial" w:cs="Arial" w:eastAsia="Arial" w:hAnsi="Arial"/>
                <w:sz w:val="14"/>
                <w:szCs w:val="14"/>
                <w:color w:val="auto"/>
                <w:w w:val="99"/>
              </w:rPr>
              <w:t>9/30/2020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12,864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Preferred warrants, $1.00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88"/>
              </w:rPr>
              <w:t>11/21/2017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6"/>
          </w:tcPr>
          <w:p>
            <w:pPr>
              <w:ind w:left="20"/>
              <w:spacing w:after="0" w:line="135" w:lineRule="exact"/>
              <w:rPr>
                <w:sz w:val="20"/>
                <w:szCs w:val="20"/>
                <w:color w:val="auto"/>
              </w:rPr>
            </w:pPr>
            <w:r>
              <w:rPr>
                <w:rFonts w:ascii="Arial" w:cs="Arial" w:eastAsia="Arial" w:hAnsi="Arial"/>
                <w:sz w:val="14"/>
                <w:szCs w:val="14"/>
                <w:b w:val="1"/>
                <w:bCs w:val="1"/>
                <w:color w:val="auto"/>
              </w:rPr>
              <w:t>CUX, Inc. (d/b/a CorpU)</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23"/>
        </w:trPr>
        <w:tc>
          <w:tcPr>
            <w:tcW w:w="1880" w:type="dxa"/>
            <w:vAlign w:val="bottom"/>
            <w:gridSpan w:val="6"/>
            <w:shd w:val="clear" w:color="auto" w:fill="CCEEFF"/>
          </w:tcPr>
          <w:p>
            <w:pPr>
              <w:ind w:left="20"/>
              <w:spacing w:after="0" w:line="123" w:lineRule="exact"/>
              <w:rPr>
                <w:sz w:val="20"/>
                <w:szCs w:val="20"/>
                <w:color w:val="auto"/>
              </w:rPr>
            </w:pPr>
            <w:r>
              <w:rPr>
                <w:rFonts w:ascii="Arial" w:cs="Arial" w:eastAsia="Arial" w:hAnsi="Arial"/>
                <w:sz w:val="14"/>
                <w:szCs w:val="14"/>
                <w:color w:val="auto"/>
              </w:rPr>
              <w:t>Senior Subordinated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58"/>
        </w:trPr>
        <w:tc>
          <w:tcPr>
            <w:tcW w:w="20" w:type="dxa"/>
            <w:vAlign w:val="bottom"/>
            <w:shd w:val="clear" w:color="auto" w:fill="CCEEFF"/>
          </w:tcPr>
          <w:p>
            <w:pPr>
              <w:spacing w:after="0"/>
              <w:rPr>
                <w:sz w:val="13"/>
                <w:szCs w:val="13"/>
                <w:color w:val="auto"/>
              </w:rPr>
            </w:pPr>
          </w:p>
        </w:tc>
        <w:tc>
          <w:tcPr>
            <w:tcW w:w="1860" w:type="dxa"/>
            <w:vAlign w:val="bottom"/>
            <w:gridSpan w:val="5"/>
            <w:shd w:val="clear" w:color="auto" w:fill="CCEEFF"/>
          </w:tcPr>
          <w:p>
            <w:pPr>
              <w:ind w:left="180"/>
              <w:spacing w:after="0" w:line="159" w:lineRule="exact"/>
              <w:rPr>
                <w:sz w:val="20"/>
                <w:szCs w:val="20"/>
                <w:color w:val="auto"/>
              </w:rPr>
            </w:pPr>
            <w:r>
              <w:rPr>
                <w:rFonts w:ascii="Arial" w:cs="Arial" w:eastAsia="Arial" w:hAnsi="Arial"/>
                <w:sz w:val="14"/>
                <w:szCs w:val="14"/>
                <w:color w:val="auto"/>
                <w:w w:val="93"/>
              </w:rPr>
              <w:t>Convertible Promissory Note</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98"/>
        </w:trPr>
        <w:tc>
          <w:tcPr>
            <w:tcW w:w="20" w:type="dxa"/>
            <w:vAlign w:val="bottom"/>
            <w:shd w:val="clear" w:color="auto" w:fill="CCEEFF"/>
          </w:tcPr>
          <w:p>
            <w:pPr>
              <w:spacing w:after="0"/>
              <w:rPr>
                <w:sz w:val="17"/>
                <w:szCs w:val="17"/>
                <w:color w:val="auto"/>
              </w:rPr>
            </w:pPr>
          </w:p>
        </w:tc>
        <w:tc>
          <w:tcPr>
            <w:tcW w:w="1860" w:type="dxa"/>
            <w:vAlign w:val="bottom"/>
            <w:gridSpan w:val="5"/>
            <w:shd w:val="clear" w:color="auto" w:fill="CCEEFF"/>
          </w:tcPr>
          <w:p>
            <w:pPr>
              <w:ind w:left="180"/>
              <w:spacing w:after="0" w:line="198" w:lineRule="exact"/>
              <w:rPr>
                <w:sz w:val="20"/>
                <w:szCs w:val="20"/>
                <w:color w:val="auto"/>
              </w:rPr>
            </w:pPr>
            <w:r>
              <w:rPr>
                <w:rFonts w:ascii="Arial" w:cs="Arial" w:eastAsia="Arial" w:hAnsi="Arial"/>
                <w:sz w:val="14"/>
                <w:szCs w:val="14"/>
                <w:color w:val="auto"/>
              </w:rPr>
              <w:t>8% Due 11/26/2018 ***</w:t>
            </w:r>
            <w:r>
              <w:rPr>
                <w:rFonts w:ascii="Arial" w:cs="Arial" w:eastAsia="Arial" w:hAnsi="Arial"/>
                <w:sz w:val="22"/>
                <w:szCs w:val="22"/>
                <w:color w:val="auto"/>
                <w:vertAlign w:val="superscript"/>
              </w:rPr>
              <w:t>(4)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64,859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1,080,000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1,080,000</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860" w:type="dxa"/>
            <w:vAlign w:val="bottom"/>
            <w:gridSpan w:val="5"/>
          </w:tcPr>
          <w:p>
            <w:pPr>
              <w:ind w:left="180"/>
              <w:spacing w:after="0"/>
              <w:rPr>
                <w:sz w:val="20"/>
                <w:szCs w:val="20"/>
                <w:color w:val="auto"/>
              </w:rPr>
            </w:pPr>
            <w:r>
              <w:rPr>
                <w:rFonts w:ascii="Arial" w:cs="Arial" w:eastAsia="Arial" w:hAnsi="Arial"/>
                <w:sz w:val="14"/>
                <w:szCs w:val="14"/>
                <w:color w:val="auto"/>
              </w:rPr>
              <w:t>Series 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775,861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775,861</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86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Series C</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1,959,127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(45,643)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1,913,484</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2"/>
              </w:rPr>
              <w:t>Preferred warrants, $4.59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2"/>
          </w:tcPr>
          <w:p>
            <w:pPr>
              <w:ind w:left="200"/>
              <w:spacing w:after="0"/>
              <w:rPr>
                <w:sz w:val="20"/>
                <w:szCs w:val="20"/>
                <w:color w:val="auto"/>
              </w:rPr>
            </w:pPr>
            <w:r>
              <w:rPr>
                <w:rFonts w:ascii="Arial" w:cs="Arial" w:eastAsia="Arial" w:hAnsi="Arial"/>
                <w:sz w:val="14"/>
                <w:szCs w:val="14"/>
                <w:color w:val="auto"/>
                <w:w w:val="99"/>
              </w:rPr>
              <w:t>2/25/2018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3,888</w:t>
            </w:r>
          </w:p>
        </w:tc>
      </w:tr>
      <w:tr>
        <w:trPr>
          <w:trHeight w:val="135"/>
        </w:trPr>
        <w:tc>
          <w:tcPr>
            <w:tcW w:w="18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Curious.com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9"/>
              </w:rPr>
              <w:t>9,996,311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89"/>
              </w:rPr>
              <w:t>2,000,003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(659,882)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11,336,432</w:t>
            </w:r>
          </w:p>
        </w:tc>
      </w:tr>
      <w:tr>
        <w:trPr>
          <w:trHeight w:val="135"/>
        </w:trPr>
        <w:tc>
          <w:tcPr>
            <w:tcW w:w="18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Declara,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3"/>
        </w:trPr>
        <w:tc>
          <w:tcPr>
            <w:tcW w:w="188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1860" w:type="dxa"/>
            <w:vAlign w:val="bottom"/>
            <w:gridSpan w:val="5"/>
          </w:tcPr>
          <w:p>
            <w:pPr>
              <w:ind w:left="180"/>
              <w:spacing w:after="0"/>
              <w:rPr>
                <w:sz w:val="20"/>
                <w:szCs w:val="20"/>
                <w:color w:val="auto"/>
              </w:rPr>
            </w:pPr>
            <w:r>
              <w:rPr>
                <w:rFonts w:ascii="Arial" w:cs="Arial" w:eastAsia="Arial" w:hAnsi="Arial"/>
                <w:sz w:val="14"/>
                <w:szCs w:val="14"/>
                <w:color w:val="auto"/>
              </w:rPr>
              <w:t>6% Due 12/30/2016***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90,082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2,000,000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2,000,000</w:t>
            </w:r>
          </w:p>
        </w:tc>
      </w:tr>
      <w:tr>
        <w:trPr>
          <w:trHeight w:val="149"/>
        </w:trPr>
        <w:tc>
          <w:tcPr>
            <w:tcW w:w="1880" w:type="dxa"/>
            <w:vAlign w:val="bottom"/>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9,999,999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r>
      <w:tr>
        <w:trPr>
          <w:trHeight w:val="135"/>
        </w:trPr>
        <w:tc>
          <w:tcPr>
            <w:tcW w:w="1880" w:type="dxa"/>
            <w:vAlign w:val="bottom"/>
            <w:gridSpan w:val="6"/>
          </w:tcPr>
          <w:p>
            <w:pPr>
              <w:ind w:left="20"/>
              <w:spacing w:after="0" w:line="135" w:lineRule="exact"/>
              <w:rPr>
                <w:sz w:val="20"/>
                <w:szCs w:val="20"/>
                <w:color w:val="auto"/>
              </w:rPr>
            </w:pPr>
            <w:r>
              <w:rPr>
                <w:rFonts w:ascii="Arial" w:cs="Arial" w:eastAsia="Arial" w:hAnsi="Arial"/>
                <w:sz w:val="14"/>
                <w:szCs w:val="14"/>
                <w:b w:val="1"/>
                <w:bCs w:val="1"/>
                <w:color w:val="auto"/>
              </w:rPr>
              <w:t>EdSurge,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6"/>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27,542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527,942</w:t>
            </w:r>
          </w:p>
        </w:tc>
      </w:tr>
      <w:tr>
        <w:trPr>
          <w:trHeight w:val="149"/>
        </w:trPr>
        <w:tc>
          <w:tcPr>
            <w:tcW w:w="188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524,867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21,841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546,708</w:t>
            </w:r>
          </w:p>
        </w:tc>
      </w:tr>
      <w:tr>
        <w:trPr>
          <w:trHeight w:val="135"/>
        </w:trPr>
        <w:tc>
          <w:tcPr>
            <w:tcW w:w="18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Fullbridge,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33"/>
        </w:trPr>
        <w:tc>
          <w:tcPr>
            <w:tcW w:w="1880" w:type="dxa"/>
            <w:vAlign w:val="bottom"/>
            <w:gridSpan w:val="6"/>
          </w:tcPr>
          <w:p>
            <w:pPr>
              <w:ind w:left="20"/>
              <w:spacing w:after="0" w:line="133" w:lineRule="exact"/>
              <w:rPr>
                <w:sz w:val="20"/>
                <w:szCs w:val="20"/>
                <w:color w:val="auto"/>
              </w:rPr>
            </w:pPr>
            <w:r>
              <w:rPr>
                <w:rFonts w:ascii="Arial" w:cs="Arial" w:eastAsia="Arial" w:hAnsi="Arial"/>
                <w:sz w:val="14"/>
                <w:szCs w:val="14"/>
                <w:color w:val="auto"/>
              </w:rPr>
              <w:t>Convertible Promissory Note,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1860" w:type="dxa"/>
            <w:vAlign w:val="bottom"/>
            <w:gridSpan w:val="5"/>
          </w:tcPr>
          <w:p>
            <w:pPr>
              <w:ind w:left="180"/>
              <w:spacing w:after="0" w:line="198" w:lineRule="exact"/>
              <w:rPr>
                <w:sz w:val="20"/>
                <w:szCs w:val="20"/>
                <w:color w:val="auto"/>
              </w:rPr>
            </w:pPr>
            <w:r>
              <w:rPr>
                <w:rFonts w:ascii="Arial" w:cs="Arial" w:eastAsia="Arial" w:hAnsi="Arial"/>
                <w:sz w:val="14"/>
                <w:szCs w:val="14"/>
                <w:color w:val="auto"/>
              </w:rPr>
              <w:t>10% Due 3/2/2016</w:t>
            </w:r>
            <w:r>
              <w:rPr>
                <w:rFonts w:ascii="Arial" w:cs="Arial" w:eastAsia="Arial" w:hAnsi="Arial"/>
                <w:sz w:val="22"/>
                <w:szCs w:val="22"/>
                <w:color w:val="auto"/>
                <w:vertAlign w:val="superscript"/>
              </w:rPr>
              <w:t>(3)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(85,829)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1,020,859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(667,184)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354,075</w:t>
            </w:r>
          </w:p>
        </w:tc>
      </w:tr>
      <w:tr>
        <w:trPr>
          <w:trHeight w:val="140"/>
        </w:trPr>
        <w:tc>
          <w:tcPr>
            <w:tcW w:w="1880" w:type="dxa"/>
            <w:vAlign w:val="bottom"/>
            <w:gridSpan w:val="6"/>
            <w:shd w:val="clear" w:color="auto" w:fill="CCEEFF"/>
          </w:tcPr>
          <w:p>
            <w:pPr>
              <w:ind w:left="20"/>
              <w:spacing w:after="0" w:line="140" w:lineRule="exact"/>
              <w:rPr>
                <w:sz w:val="20"/>
                <w:szCs w:val="20"/>
                <w:color w:val="auto"/>
              </w:rPr>
            </w:pPr>
            <w:r>
              <w:rPr>
                <w:rFonts w:ascii="Arial" w:cs="Arial" w:eastAsia="Arial" w:hAnsi="Arial"/>
                <w:sz w:val="14"/>
                <w:szCs w:val="14"/>
                <w:color w:val="auto"/>
              </w:rPr>
              <w:t>Convertible Promissory Note,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98"/>
        </w:trPr>
        <w:tc>
          <w:tcPr>
            <w:tcW w:w="20" w:type="dxa"/>
            <w:vAlign w:val="bottom"/>
            <w:shd w:val="clear" w:color="auto" w:fill="CCEEFF"/>
          </w:tcPr>
          <w:p>
            <w:pPr>
              <w:spacing w:after="0"/>
              <w:rPr>
                <w:sz w:val="17"/>
                <w:szCs w:val="17"/>
                <w:color w:val="auto"/>
              </w:rPr>
            </w:pPr>
          </w:p>
        </w:tc>
        <w:tc>
          <w:tcPr>
            <w:tcW w:w="1860" w:type="dxa"/>
            <w:vAlign w:val="bottom"/>
            <w:gridSpan w:val="5"/>
            <w:shd w:val="clear" w:color="auto" w:fill="CCEEFF"/>
          </w:tcPr>
          <w:p>
            <w:pPr>
              <w:ind w:left="180"/>
              <w:spacing w:after="0" w:line="198" w:lineRule="exact"/>
              <w:rPr>
                <w:sz w:val="20"/>
                <w:szCs w:val="20"/>
                <w:color w:val="auto"/>
              </w:rPr>
            </w:pPr>
            <w:r>
              <w:rPr>
                <w:rFonts w:ascii="Arial" w:cs="Arial" w:eastAsia="Arial" w:hAnsi="Arial"/>
                <w:sz w:val="14"/>
                <w:szCs w:val="14"/>
                <w:color w:val="auto"/>
              </w:rPr>
              <w:t>10% Due 3/14/2017</w:t>
            </w:r>
            <w:r>
              <w:rPr>
                <w:rFonts w:ascii="Arial" w:cs="Arial" w:eastAsia="Arial" w:hAnsi="Arial"/>
                <w:sz w:val="22"/>
                <w:szCs w:val="22"/>
                <w:color w:val="auto"/>
                <w:vertAlign w:val="superscript"/>
              </w:rPr>
              <w:t>(3)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1,000,000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(64,151)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935,849</w:t>
            </w:r>
          </w:p>
        </w:tc>
      </w:tr>
      <w:tr>
        <w:trPr>
          <w:trHeight w:val="149"/>
        </w:trPr>
        <w:tc>
          <w:tcPr>
            <w:tcW w:w="188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9"/>
              </w:rPr>
              <w:t>3,111,714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1,040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(3,112,754)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1,625,001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(1,625,001)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2"/>
          </w:tcPr>
          <w:p>
            <w:pPr>
              <w:ind w:left="200"/>
              <w:spacing w:after="0"/>
              <w:rPr>
                <w:sz w:val="20"/>
                <w:szCs w:val="20"/>
                <w:color w:val="auto"/>
              </w:rPr>
            </w:pPr>
            <w:r>
              <w:rPr>
                <w:rFonts w:ascii="Arial" w:cs="Arial" w:eastAsia="Arial" w:hAnsi="Arial"/>
                <w:sz w:val="14"/>
                <w:szCs w:val="14"/>
                <w:color w:val="auto"/>
              </w:rPr>
              <w:t>3/2/2020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99"/>
              </w:rPr>
              <w:t>3/22/2020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2"/>
          </w:tcPr>
          <w:p>
            <w:pPr>
              <w:ind w:left="200"/>
              <w:spacing w:after="0"/>
              <w:rPr>
                <w:sz w:val="20"/>
                <w:szCs w:val="20"/>
                <w:color w:val="auto"/>
              </w:rPr>
            </w:pPr>
            <w:r>
              <w:rPr>
                <w:rFonts w:ascii="Arial" w:cs="Arial" w:eastAsia="Arial" w:hAnsi="Arial"/>
                <w:sz w:val="14"/>
                <w:szCs w:val="14"/>
                <w:color w:val="auto"/>
                <w:w w:val="99"/>
              </w:rPr>
              <w:t>5/16/2019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4/3/2019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2"/>
          </w:tcPr>
          <w:p>
            <w:pPr>
              <w:ind w:left="200"/>
              <w:spacing w:after="0"/>
              <w:rPr>
                <w:sz w:val="20"/>
                <w:szCs w:val="20"/>
                <w:color w:val="auto"/>
              </w:rPr>
            </w:pPr>
            <w:r>
              <w:rPr>
                <w:rFonts w:ascii="Arial" w:cs="Arial" w:eastAsia="Arial" w:hAnsi="Arial"/>
                <w:sz w:val="14"/>
                <w:szCs w:val="14"/>
                <w:color w:val="auto"/>
                <w:w w:val="88"/>
              </w:rPr>
              <w:t>10/10/2018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88"/>
              </w:rPr>
              <w:t>12/11/2018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2"/>
        </w:trPr>
        <w:tc>
          <w:tcPr>
            <w:tcW w:w="860" w:type="dxa"/>
            <w:vAlign w:val="bottom"/>
            <w:gridSpan w:val="2"/>
          </w:tcPr>
          <w:p>
            <w:pPr>
              <w:ind w:left="200"/>
              <w:spacing w:after="0"/>
              <w:rPr>
                <w:sz w:val="20"/>
                <w:szCs w:val="20"/>
                <w:color w:val="auto"/>
              </w:rPr>
            </w:pPr>
            <w:r>
              <w:rPr>
                <w:rFonts w:ascii="Arial" w:cs="Arial" w:eastAsia="Arial" w:hAnsi="Arial"/>
                <w:sz w:val="14"/>
                <w:szCs w:val="14"/>
                <w:color w:val="auto"/>
                <w:w w:val="99"/>
              </w:rPr>
              <w:t>2/18/2019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32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7" w:name="page68"/>
    <w:bookmarkEnd w:id="6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1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September 30, 2016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80"/>
              <w:spacing w:after="0" w:line="121" w:lineRule="exact"/>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Investment To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Non-Control/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10"/>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Non-Affiliate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September 30,</w:t>
            </w:r>
          </w:p>
        </w:tc>
      </w:tr>
      <w:tr>
        <w:trPr>
          <w:trHeight w:val="153"/>
        </w:trPr>
        <w:tc>
          <w:tcPr>
            <w:tcW w:w="1880" w:type="dxa"/>
            <w:vAlign w:val="bottom"/>
            <w:tcBorders>
              <w:bottom w:val="single" w:sz="8" w:color="auto"/>
            </w:tcBorders>
            <w:gridSpan w:val="10"/>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2015</w:t>
            </w: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82"/>
              </w:rPr>
              <w:t>Purchases</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2016</w:t>
            </w:r>
          </w:p>
        </w:tc>
        <w:tc>
          <w:tcPr>
            <w:tcW w:w="60" w:type="dxa"/>
            <w:vAlign w:val="bottom"/>
            <w:tcBorders>
              <w:bottom w:val="single" w:sz="8" w:color="auto"/>
            </w:tcBorders>
          </w:tcPr>
          <w:p>
            <w:pPr>
              <w:spacing w:after="0"/>
              <w:rPr>
                <w:sz w:val="13"/>
                <w:szCs w:val="13"/>
                <w:color w:val="auto"/>
              </w:rPr>
            </w:pPr>
          </w:p>
        </w:tc>
      </w:tr>
      <w:tr>
        <w:trPr>
          <w:trHeight w:val="129"/>
        </w:trPr>
        <w:tc>
          <w:tcPr>
            <w:tcW w:w="1880" w:type="dxa"/>
            <w:vAlign w:val="bottom"/>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Global Education Learning</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1680" w:type="dxa"/>
            <w:vAlign w:val="bottom"/>
            <w:tcBorders>
              <w:top w:val="single" w:sz="8" w:color="auto"/>
            </w:tcBorders>
            <w:gridSpan w:val="8"/>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(Holdings) Ltd. **</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120</w:t>
            </w:r>
          </w:p>
        </w:tc>
        <w:tc>
          <w:tcPr>
            <w:tcW w:w="2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(120)</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Maven Research,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1,999,998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1,999,998</w:t>
            </w:r>
          </w:p>
        </w:tc>
      </w:tr>
      <w:tr>
        <w:trPr>
          <w:trHeight w:val="149"/>
        </w:trPr>
        <w:tc>
          <w:tcPr>
            <w:tcW w:w="18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249,691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249,691</w:t>
            </w:r>
          </w:p>
        </w:tc>
      </w:tr>
      <w:tr>
        <w:trPr>
          <w:trHeight w:val="135"/>
        </w:trPr>
        <w:tc>
          <w:tcPr>
            <w:tcW w:w="1880" w:type="dxa"/>
            <w:vAlign w:val="bottom"/>
            <w:gridSpan w:val="10"/>
          </w:tcPr>
          <w:p>
            <w:pPr>
              <w:ind w:left="20"/>
              <w:spacing w:after="0" w:line="135" w:lineRule="exact"/>
              <w:rPr>
                <w:sz w:val="20"/>
                <w:szCs w:val="20"/>
                <w:color w:val="auto"/>
              </w:rPr>
            </w:pPr>
            <w:r>
              <w:rPr>
                <w:rFonts w:ascii="Arial" w:cs="Arial" w:eastAsia="Arial" w:hAnsi="Arial"/>
                <w:sz w:val="14"/>
                <w:szCs w:val="14"/>
                <w:b w:val="1"/>
                <w:bCs w:val="1"/>
                <w:color w:val="auto"/>
              </w:rPr>
              <w:t>Orchestra One, Inc. (f/k/a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580" w:type="dxa"/>
            <w:vAlign w:val="bottom"/>
            <w:tcBorders>
              <w:top w:val="single" w:sz="8" w:color="auto"/>
            </w:tcBorders>
            <w:gridSpan w:val="6"/>
          </w:tcPr>
          <w:p>
            <w:pPr>
              <w:ind w:left="180"/>
              <w:spacing w:after="0" w:line="169" w:lineRule="exact"/>
              <w:rPr>
                <w:sz w:val="20"/>
                <w:szCs w:val="20"/>
                <w:color w:val="auto"/>
              </w:rPr>
            </w:pPr>
            <w:r>
              <w:rPr>
                <w:rFonts w:ascii="Arial" w:cs="Arial" w:eastAsia="Arial" w:hAnsi="Arial"/>
                <w:sz w:val="12"/>
                <w:szCs w:val="12"/>
                <w:b w:val="1"/>
                <w:bCs w:val="1"/>
                <w:color w:val="auto"/>
              </w:rPr>
              <w:t>Learnist Inc.)</w:t>
            </w:r>
            <w:r>
              <w:rPr>
                <w:rFonts w:ascii="Arial" w:cs="Arial" w:eastAsia="Arial" w:hAnsi="Arial"/>
                <w:sz w:val="19"/>
                <w:szCs w:val="19"/>
                <w:b w:val="1"/>
                <w:bCs w:val="1"/>
                <w:color w:val="auto"/>
                <w:vertAlign w:val="superscript"/>
              </w:rPr>
              <w:t>(5)</w:t>
            </w:r>
          </w:p>
        </w:tc>
        <w:tc>
          <w:tcPr>
            <w:tcW w:w="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4,364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(4,364)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10"/>
          </w:tcPr>
          <w:p>
            <w:pPr>
              <w:ind w:left="20"/>
              <w:spacing w:after="0" w:line="135" w:lineRule="exact"/>
              <w:rPr>
                <w:sz w:val="20"/>
                <w:szCs w:val="20"/>
                <w:color w:val="auto"/>
              </w:rPr>
            </w:pPr>
            <w:r>
              <w:rPr>
                <w:rFonts w:ascii="Arial" w:cs="Arial" w:eastAsia="Arial" w:hAnsi="Arial"/>
                <w:sz w:val="14"/>
                <w:szCs w:val="14"/>
                <w:b w:val="1"/>
                <w:bCs w:val="1"/>
                <w:color w:val="auto"/>
              </w:rPr>
              <w:t>Ozy Media,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1880" w:type="dxa"/>
            <w:vAlign w:val="bottom"/>
            <w:gridSpan w:val="10"/>
            <w:shd w:val="clear" w:color="auto" w:fill="CCEEFF"/>
          </w:tcPr>
          <w:p>
            <w:pPr>
              <w:ind w:left="20"/>
              <w:spacing w:after="0" w:line="133" w:lineRule="exact"/>
              <w:rPr>
                <w:sz w:val="20"/>
                <w:szCs w:val="20"/>
                <w:color w:val="auto"/>
              </w:rPr>
            </w:pPr>
            <w:r>
              <w:rPr>
                <w:rFonts w:ascii="Arial" w:cs="Arial" w:eastAsia="Arial" w:hAnsi="Arial"/>
                <w:sz w:val="14"/>
                <w:szCs w:val="14"/>
                <w:color w:val="auto"/>
              </w:rPr>
              <w:t>Convertible Promissory Note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98"/>
        </w:trPr>
        <w:tc>
          <w:tcPr>
            <w:tcW w:w="20" w:type="dxa"/>
            <w:vAlign w:val="bottom"/>
            <w:shd w:val="clear" w:color="auto" w:fill="CCEEFF"/>
          </w:tcPr>
          <w:p>
            <w:pPr>
              <w:spacing w:after="0"/>
              <w:rPr>
                <w:sz w:val="17"/>
                <w:szCs w:val="17"/>
                <w:color w:val="auto"/>
              </w:rPr>
            </w:pPr>
          </w:p>
        </w:tc>
        <w:tc>
          <w:tcPr>
            <w:tcW w:w="1860" w:type="dxa"/>
            <w:vAlign w:val="bottom"/>
            <w:gridSpan w:val="9"/>
            <w:shd w:val="clear" w:color="auto" w:fill="CCEEFF"/>
          </w:tcPr>
          <w:p>
            <w:pPr>
              <w:ind w:left="180"/>
              <w:spacing w:after="0" w:line="198" w:lineRule="exact"/>
              <w:rPr>
                <w:sz w:val="20"/>
                <w:szCs w:val="20"/>
                <w:color w:val="auto"/>
              </w:rPr>
            </w:pPr>
            <w:r>
              <w:rPr>
                <w:rFonts w:ascii="Arial" w:cs="Arial" w:eastAsia="Arial" w:hAnsi="Arial"/>
                <w:sz w:val="14"/>
                <w:szCs w:val="14"/>
                <w:color w:val="auto"/>
              </w:rPr>
              <w:t>5%, Due 02/28/2018</w:t>
            </w:r>
            <w:r>
              <w:rPr>
                <w:rFonts w:ascii="Arial" w:cs="Arial" w:eastAsia="Arial" w:hAnsi="Arial"/>
                <w:sz w:val="22"/>
                <w:szCs w:val="22"/>
                <w:color w:val="auto"/>
                <w:vertAlign w:val="superscript"/>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8,494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2,000,000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2,000,000</w:t>
            </w:r>
          </w:p>
        </w:tc>
      </w:tr>
      <w:tr>
        <w:trPr>
          <w:trHeight w:val="149"/>
        </w:trPr>
        <w:tc>
          <w:tcPr>
            <w:tcW w:w="1880" w:type="dxa"/>
            <w:vAlign w:val="bottom"/>
            <w:gridSpan w:val="10"/>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4,690,178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(32,967)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4,657,211</w:t>
            </w:r>
          </w:p>
        </w:tc>
      </w:tr>
      <w:tr>
        <w:trPr>
          <w:trHeight w:val="149"/>
        </w:trPr>
        <w:tc>
          <w:tcPr>
            <w:tcW w:w="18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3,907,004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(27,462)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3,879,542</w:t>
            </w:r>
          </w:p>
        </w:tc>
      </w:tr>
      <w:tr>
        <w:trPr>
          <w:trHeight w:val="149"/>
        </w:trPr>
        <w:tc>
          <w:tcPr>
            <w:tcW w:w="1880" w:type="dxa"/>
            <w:vAlign w:val="bottom"/>
            <w:gridSpan w:val="10"/>
          </w:tcPr>
          <w:p>
            <w:pPr>
              <w:ind w:left="20"/>
              <w:spacing w:after="0" w:line="149" w:lineRule="exact"/>
              <w:rPr>
                <w:sz w:val="20"/>
                <w:szCs w:val="20"/>
                <w:color w:val="auto"/>
              </w:rPr>
            </w:pPr>
            <w:r>
              <w:rPr>
                <w:rFonts w:ascii="Arial" w:cs="Arial" w:eastAsia="Arial" w:hAnsi="Arial"/>
                <w:sz w:val="14"/>
                <w:szCs w:val="14"/>
                <w:color w:val="auto"/>
                <w:w w:val="97"/>
              </w:rPr>
              <w:t>Preferred shares, Series Seed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1,531,812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(10,767)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1,521,045</w:t>
            </w:r>
          </w:p>
        </w:tc>
      </w:tr>
      <w:tr>
        <w:trPr>
          <w:trHeight w:val="135"/>
        </w:trPr>
        <w:tc>
          <w:tcPr>
            <w:tcW w:w="18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PayNearMe,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94"/>
              </w:rPr>
              <w:t>13,974,887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13,974,887</w:t>
            </w:r>
          </w:p>
        </w:tc>
      </w:tr>
      <w:tr>
        <w:trPr>
          <w:trHeight w:val="135"/>
        </w:trPr>
        <w:tc>
          <w:tcPr>
            <w:tcW w:w="18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Strategic Data Command,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gridSpan w:val="7"/>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LLC</w:t>
            </w:r>
            <w:r>
              <w:rPr>
                <w:rFonts w:ascii="Arial" w:cs="Arial" w:eastAsia="Arial" w:hAnsi="Arial"/>
                <w:sz w:val="19"/>
                <w:szCs w:val="19"/>
                <w:b w:val="1"/>
                <w:bCs w:val="1"/>
                <w:color w:val="auto"/>
                <w:vertAlign w:val="superscript"/>
              </w:rPr>
              <w:t>(6)</w:t>
            </w:r>
          </w:p>
        </w:tc>
        <w:tc>
          <w:tcPr>
            <w:tcW w:w="26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1,001,650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165,900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1,167,550</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88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Affiliate Investments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79,858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4"/>
              </w:rPr>
              <w:t>66,075,585</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(4,364)</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u w:val="single" w:color="auto"/>
                <w:color w:val="auto"/>
              </w:rPr>
              <w:t>$</w:t>
            </w: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5,002,403</w:t>
            </w:r>
          </w:p>
        </w:tc>
        <w:tc>
          <w:tcPr>
            <w:tcW w:w="2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(6,951,895)</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64,121,729</w:t>
            </w:r>
          </w:p>
        </w:tc>
      </w:tr>
      <w:tr>
        <w:trPr>
          <w:trHeight w:val="264"/>
        </w:trPr>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bottom w:val="single" w:sz="8" w:color="auto"/>
            </w:tcBorders>
          </w:tcPr>
          <w:p>
            <w:pPr>
              <w:spacing w:after="0"/>
              <w:rPr>
                <w:sz w:val="22"/>
                <w:szCs w:val="22"/>
                <w:color w:val="auto"/>
              </w:rPr>
            </w:pPr>
          </w:p>
        </w:tc>
        <w:tc>
          <w:tcPr>
            <w:tcW w:w="280" w:type="dxa"/>
            <w:vAlign w:val="bottom"/>
            <w:tcBorders>
              <w:top w:val="single" w:sz="8" w:color="CCEEFF"/>
              <w:bottom w:val="single" w:sz="8" w:color="auto"/>
            </w:tcBorders>
          </w:tcPr>
          <w:p>
            <w:pPr>
              <w:spacing w:after="0"/>
              <w:rPr>
                <w:sz w:val="22"/>
                <w:szCs w:val="22"/>
                <w:color w:val="auto"/>
              </w:rPr>
            </w:pPr>
          </w:p>
        </w:tc>
        <w:tc>
          <w:tcPr>
            <w:tcW w:w="520" w:type="dxa"/>
            <w:vAlign w:val="bottom"/>
            <w:tcBorders>
              <w:top w:val="single" w:sz="8" w:color="CCEEFF"/>
              <w:bottom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819" w:hanging="272"/>
        <w:spacing w:after="0" w:line="277" w:lineRule="auto"/>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939" w:hanging="272"/>
        <w:spacing w:after="0" w:line="277"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jc w:val="both"/>
        <w:ind w:left="300" w:right="559" w:hanging="272"/>
        <w:spacing w:after="0" w:line="264"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Investments were on non-accrual status as of September 30, 2016.</w:t>
      </w:r>
    </w:p>
    <w:p>
      <w:pPr>
        <w:spacing w:after="0" w:line="117" w:lineRule="exact"/>
        <w:rPr>
          <w:rFonts w:ascii="Arial" w:cs="Arial" w:eastAsia="Arial" w:hAnsi="Arial"/>
          <w:sz w:val="18"/>
          <w:szCs w:val="18"/>
          <w:color w:val="auto"/>
        </w:rPr>
      </w:pPr>
    </w:p>
    <w:p>
      <w:pPr>
        <w:ind w:left="300" w:right="739" w:hanging="272"/>
        <w:spacing w:after="0" w:line="264"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CUX, Inc. (d/b/a CorpU), or (b) the maturity of the note (November 26, 2018). Interest began compounding annually on November 26, 2015.</w:t>
      </w:r>
    </w:p>
    <w:p>
      <w:pPr>
        <w:spacing w:after="0" w:line="73" w:lineRule="exact"/>
        <w:rPr>
          <w:rFonts w:ascii="Arial" w:cs="Arial" w:eastAsia="Arial" w:hAnsi="Arial"/>
          <w:sz w:val="18"/>
          <w:szCs w:val="18"/>
          <w:color w:val="auto"/>
        </w:rPr>
      </w:pPr>
    </w:p>
    <w:p>
      <w:pPr>
        <w:ind w:left="300" w:right="639" w:hanging="272"/>
        <w:spacing w:after="0" w:line="257"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GSV Capital Corp.’s ownership percentage in Orchestra One, Inc. (f/k/a Learnist Inc.) decreased to below 5% and, as such, Orchestra One, Inc. is no longer classified as an “affiliate investment” as of September 30, 2016. As such, the Company has reflected a “transfer out” of the “Affiliate Investment” category above as of September 30, 2016 to indicate that the investment in Orchestra One, Inc., while still held as of September 30, 2016, does not meet the criteria of an affiliate investment as defined in the Investment Company Act of 1940, as amended.</w:t>
      </w:r>
    </w:p>
    <w:p>
      <w:pPr>
        <w:spacing w:after="0" w:line="80" w:lineRule="exact"/>
        <w:rPr>
          <w:rFonts w:ascii="Arial" w:cs="Arial" w:eastAsia="Arial" w:hAnsi="Arial"/>
          <w:sz w:val="18"/>
          <w:szCs w:val="18"/>
          <w:color w:val="auto"/>
        </w:rPr>
      </w:pPr>
    </w:p>
    <w:p>
      <w:pPr>
        <w:ind w:left="300" w:right="759" w:hanging="272"/>
        <w:spacing w:after="0" w:line="277"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8" w:name="page69"/>
    <w:bookmarkEnd w:id="6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2015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13"/>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To 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1880" w:type="dxa"/>
            <w:vAlign w:val="bottom"/>
            <w:tcBorders>
              <w:bottom w:val="single" w:sz="8" w:color="auto"/>
            </w:tcBorders>
            <w:gridSpan w:val="13"/>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82"/>
              </w:rPr>
              <w:t>Purchases</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2015</w:t>
            </w:r>
          </w:p>
        </w:tc>
        <w:tc>
          <w:tcPr>
            <w:tcW w:w="60" w:type="dxa"/>
            <w:vAlign w:val="bottom"/>
            <w:tcBorders>
              <w:bottom w:val="single" w:sz="8" w:color="auto"/>
            </w:tcBorders>
          </w:tcPr>
          <w:p>
            <w:pPr>
              <w:spacing w:after="0"/>
              <w:rPr>
                <w:sz w:val="13"/>
                <w:szCs w:val="13"/>
                <w:color w:val="auto"/>
              </w:rPr>
            </w:pPr>
          </w:p>
        </w:tc>
      </w:tr>
      <w:tr>
        <w:trPr>
          <w:trHeight w:val="129"/>
        </w:trPr>
        <w:tc>
          <w:tcPr>
            <w:tcW w:w="18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Control Investments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29"/>
        </w:trPr>
        <w:tc>
          <w:tcPr>
            <w:tcW w:w="1880" w:type="dxa"/>
            <w:vAlign w:val="bottom"/>
            <w:gridSpan w:val="13"/>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629,309</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(629,309)</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491,252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(491,252)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gridSpan w:val="11"/>
            <w:shd w:val="clear" w:color="auto" w:fill="CCEEFF"/>
          </w:tcPr>
          <w:p>
            <w:pPr>
              <w:spacing w:after="0" w:line="149" w:lineRule="exact"/>
              <w:rPr>
                <w:sz w:val="20"/>
                <w:szCs w:val="20"/>
                <w:color w:val="auto"/>
              </w:rPr>
            </w:pPr>
            <w:r>
              <w:rPr>
                <w:rFonts w:ascii="Arial" w:cs="Arial" w:eastAsia="Arial" w:hAnsi="Arial"/>
                <w:sz w:val="14"/>
                <w:szCs w:val="14"/>
                <w:color w:val="auto"/>
              </w:rPr>
              <w:t>$1.00 Strike Price,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Expiration 1/9/2017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1880" w:type="dxa"/>
            <w:vAlign w:val="bottom"/>
            <w:gridSpan w:val="13"/>
          </w:tcPr>
          <w:p>
            <w:pPr>
              <w:ind w:left="20"/>
              <w:spacing w:after="0" w:line="176" w:lineRule="exact"/>
              <w:rPr>
                <w:sz w:val="20"/>
                <w:szCs w:val="20"/>
                <w:color w:val="auto"/>
              </w:rPr>
            </w:pPr>
            <w:r>
              <w:rPr>
                <w:rFonts w:ascii="Arial" w:cs="Arial" w:eastAsia="Arial" w:hAnsi="Arial"/>
                <w:sz w:val="13"/>
                <w:szCs w:val="13"/>
                <w:b w:val="1"/>
                <w:bCs w:val="1"/>
                <w:color w:val="auto"/>
              </w:rPr>
              <w:t>StormWind, LLC</w:t>
            </w:r>
            <w:r>
              <w:rPr>
                <w:rFonts w:ascii="Arial" w:cs="Arial" w:eastAsia="Arial" w:hAnsi="Arial"/>
                <w:sz w:val="20"/>
                <w:szCs w:val="20"/>
                <w:b w:val="1"/>
                <w:bCs w:val="1"/>
                <w:color w:val="auto"/>
                <w:vertAlign w:val="superscript"/>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4,338,830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260,888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4,599,718</w:t>
            </w:r>
          </w:p>
        </w:tc>
      </w:tr>
      <w:tr>
        <w:trPr>
          <w:trHeight w:val="149"/>
        </w:trPr>
        <w:tc>
          <w:tcPr>
            <w:tcW w:w="18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4,347,608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285,620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4,633,228</w:t>
            </w:r>
          </w:p>
        </w:tc>
      </w:tr>
      <w:tr>
        <w:trPr>
          <w:trHeight w:val="149"/>
        </w:trPr>
        <w:tc>
          <w:tcPr>
            <w:tcW w:w="18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391,592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126,408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518,000</w:t>
            </w:r>
          </w:p>
        </w:tc>
      </w:tr>
      <w:tr>
        <w:trPr>
          <w:trHeight w:val="135"/>
        </w:trPr>
        <w:tc>
          <w:tcPr>
            <w:tcW w:w="18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NestGSV, Inc. (d/b/a GSV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2"/>
              </w:rPr>
              <w:t>Labs, Inc.)</w:t>
            </w:r>
          </w:p>
        </w:tc>
        <w:tc>
          <w:tcPr>
            <w:tcW w:w="740" w:type="dxa"/>
            <w:vAlign w:val="bottom"/>
            <w:tcBorders>
              <w:top w:val="single" w:sz="8" w:color="auto"/>
            </w:tcBorders>
            <w:gridSpan w:val="6"/>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2"/>
        </w:trPr>
        <w:tc>
          <w:tcPr>
            <w:tcW w:w="18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1,460,557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89"/>
              </w:rPr>
              <w:t>3,499,999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4,960,565</w:t>
            </w:r>
          </w:p>
        </w:tc>
      </w:tr>
      <w:tr>
        <w:trPr>
          <w:trHeight w:val="149"/>
        </w:trPr>
        <w:tc>
          <w:tcPr>
            <w:tcW w:w="18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1,503,832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229,572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1,733,404</w:t>
            </w:r>
          </w:p>
        </w:tc>
      </w:tr>
      <w:tr>
        <w:trPr>
          <w:trHeight w:val="149"/>
        </w:trPr>
        <w:tc>
          <w:tcPr>
            <w:tcW w:w="18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265,980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(265,980)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13"/>
          </w:tcPr>
          <w:p>
            <w:pPr>
              <w:ind w:left="20"/>
              <w:spacing w:after="0" w:line="130" w:lineRule="exact"/>
              <w:rPr>
                <w:sz w:val="20"/>
                <w:szCs w:val="20"/>
                <w:color w:val="auto"/>
              </w:rPr>
            </w:pPr>
            <w:r>
              <w:rPr>
                <w:rFonts w:ascii="Arial" w:cs="Arial" w:eastAsia="Arial" w:hAnsi="Arial"/>
                <w:sz w:val="14"/>
                <w:szCs w:val="14"/>
                <w:color w:val="auto"/>
                <w:w w:val="99"/>
              </w:rPr>
              <w:t>Preferred warrants Series D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11"/>
          </w:tcPr>
          <w:p>
            <w:pPr>
              <w:ind w:left="40"/>
              <w:spacing w:after="0" w:line="149" w:lineRule="exact"/>
              <w:rPr>
                <w:sz w:val="20"/>
                <w:szCs w:val="20"/>
                <w:color w:val="auto"/>
              </w:rPr>
            </w:pPr>
            <w:r>
              <w:rPr>
                <w:rFonts w:ascii="Arial" w:cs="Arial" w:eastAsia="Arial" w:hAnsi="Arial"/>
                <w:sz w:val="14"/>
                <w:szCs w:val="14"/>
                <w:color w:val="auto"/>
              </w:rPr>
              <w:t>$1.33 Strike Price,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11"/>
          </w:tcPr>
          <w:p>
            <w:pPr>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rPr>
              <w:t>10/6/2019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65,000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145,000</w:t>
            </w:r>
          </w:p>
        </w:tc>
      </w:tr>
      <w:tr>
        <w:trPr>
          <w:trHeight w:val="130"/>
        </w:trPr>
        <w:tc>
          <w:tcPr>
            <w:tcW w:w="18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Preferred warrants, Series C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gridSpan w:val="11"/>
            <w:shd w:val="clear" w:color="auto" w:fill="CCEEFF"/>
          </w:tcPr>
          <w:p>
            <w:pPr>
              <w:ind w:left="40"/>
              <w:spacing w:after="0" w:line="149" w:lineRule="exact"/>
              <w:rPr>
                <w:sz w:val="20"/>
                <w:szCs w:val="20"/>
                <w:color w:val="auto"/>
              </w:rPr>
            </w:pPr>
            <w:r>
              <w:rPr>
                <w:rFonts w:ascii="Arial" w:cs="Arial" w:eastAsia="Arial" w:hAnsi="Arial"/>
                <w:sz w:val="14"/>
                <w:szCs w:val="14"/>
                <w:color w:val="auto"/>
              </w:rPr>
              <w:t>$1.33 Strike Price,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gridSpan w:val="11"/>
            <w:shd w:val="clear" w:color="auto" w:fill="CCEEFF"/>
          </w:tcPr>
          <w:p>
            <w:pPr>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4/9/2019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24,375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31,875</w:t>
            </w:r>
          </w:p>
        </w:tc>
      </w:tr>
      <w:tr>
        <w:trPr>
          <w:trHeight w:val="135"/>
        </w:trPr>
        <w:tc>
          <w:tcPr>
            <w:tcW w:w="18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SPBRX, INC. (f/k/a GSV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bottom w:val="single" w:sz="8" w:color="auto"/>
            </w:tcBorders>
            <w:gridSpan w:val="7"/>
          </w:tcPr>
          <w:p>
            <w:pPr>
              <w:spacing w:after="0" w:line="129" w:lineRule="exact"/>
              <w:rPr>
                <w:sz w:val="20"/>
                <w:szCs w:val="20"/>
                <w:color w:val="auto"/>
              </w:rPr>
            </w:pPr>
            <w:r>
              <w:rPr>
                <w:rFonts w:ascii="Arial" w:cs="Arial" w:eastAsia="Arial" w:hAnsi="Arial"/>
                <w:sz w:val="14"/>
                <w:szCs w:val="14"/>
                <w:b w:val="1"/>
                <w:bCs w:val="1"/>
                <w:color w:val="auto"/>
                <w:w w:val="86"/>
              </w:rPr>
              <w:t>Sustainability Partners,</w:t>
            </w:r>
          </w:p>
        </w:tc>
        <w:tc>
          <w:tcPr>
            <w:tcW w:w="80" w:type="dxa"/>
            <w:vAlign w:val="bottom"/>
            <w:tcBorders>
              <w:bottom w:val="single" w:sz="8" w:color="auto"/>
            </w:tcBorders>
            <w:gridSpan w:val="2"/>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Inc.)</w:t>
            </w:r>
          </w:p>
        </w:tc>
        <w:tc>
          <w:tcPr>
            <w:tcW w:w="1160" w:type="dxa"/>
            <w:vAlign w:val="bottom"/>
            <w:gridSpan w:val="8"/>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2"/>
        </w:trPr>
        <w:tc>
          <w:tcPr>
            <w:tcW w:w="18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4,850,000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89"/>
              </w:rPr>
              <w:t>2,300,156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(900,156)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6,250,000</w:t>
            </w:r>
          </w:p>
        </w:tc>
      </w:tr>
      <w:tr>
        <w:trPr>
          <w:trHeight w:val="149"/>
        </w:trPr>
        <w:tc>
          <w:tcPr>
            <w:tcW w:w="18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8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Control Investments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4"/>
              </w:rPr>
              <w:t>18,819,335</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2"/>
              </w:rPr>
              <w:t>(1,120,561)</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u w:val="single" w:color="auto"/>
                <w:color w:val="auto"/>
              </w:rPr>
              <w:t>$</w:t>
            </w: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5,800,155</w:t>
            </w:r>
          </w:p>
        </w:tc>
        <w:tc>
          <w:tcPr>
            <w:tcW w:w="2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(627,139)</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22,871,790</w:t>
            </w:r>
          </w:p>
        </w:tc>
      </w:tr>
      <w:tr>
        <w:trPr>
          <w:trHeight w:val="129"/>
        </w:trPr>
        <w:tc>
          <w:tcPr>
            <w:tcW w:w="1880" w:type="dxa"/>
            <w:vAlign w:val="bottom"/>
            <w:tcBorders>
              <w:top w:val="single" w:sz="8" w:color="CCEEFF"/>
            </w:tcBorders>
            <w:gridSpan w:val="13"/>
          </w:tcPr>
          <w:p>
            <w:pPr>
              <w:ind w:left="20"/>
              <w:spacing w:after="0" w:line="129" w:lineRule="exact"/>
              <w:rPr>
                <w:sz w:val="20"/>
                <w:szCs w:val="20"/>
                <w:color w:val="auto"/>
              </w:rPr>
            </w:pPr>
            <w:r>
              <w:rPr>
                <w:rFonts w:ascii="Arial" w:cs="Arial" w:eastAsia="Arial" w:hAnsi="Arial"/>
                <w:sz w:val="14"/>
                <w:szCs w:val="14"/>
                <w:b w:val="1"/>
                <w:bCs w:val="1"/>
                <w:color w:val="auto"/>
              </w:rPr>
              <w:t>Affiliate Investments</w:t>
            </w: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8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629,309</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(437,316)</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191,993</w:t>
            </w:r>
          </w:p>
        </w:tc>
      </w:tr>
      <w:tr>
        <w:trPr>
          <w:trHeight w:val="149"/>
        </w:trPr>
        <w:tc>
          <w:tcPr>
            <w:tcW w:w="18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491,252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(357,594)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133,978</w:t>
            </w:r>
          </w:p>
        </w:tc>
      </w:tr>
      <w:tr>
        <w:trPr>
          <w:trHeight w:val="130"/>
        </w:trPr>
        <w:tc>
          <w:tcPr>
            <w:tcW w:w="18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Series 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11"/>
          </w:tcPr>
          <w:p>
            <w:pPr>
              <w:spacing w:after="0" w:line="149" w:lineRule="exact"/>
              <w:rPr>
                <w:sz w:val="20"/>
                <w:szCs w:val="20"/>
                <w:color w:val="auto"/>
              </w:rPr>
            </w:pPr>
            <w:r>
              <w:rPr>
                <w:rFonts w:ascii="Arial" w:cs="Arial" w:eastAsia="Arial" w:hAnsi="Arial"/>
                <w:sz w:val="14"/>
                <w:szCs w:val="14"/>
                <w:color w:val="auto"/>
              </w:rPr>
              <w:t>$1.00 Strike Price,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11"/>
          </w:tcPr>
          <w:p>
            <w:pPr>
              <w:spacing w:after="0"/>
              <w:rPr>
                <w:sz w:val="20"/>
                <w:szCs w:val="20"/>
                <w:color w:val="auto"/>
              </w:rPr>
            </w:pPr>
            <w:r>
              <w:rPr>
                <w:rFonts w:ascii="Arial" w:cs="Arial" w:eastAsia="Arial" w:hAnsi="Arial"/>
                <w:sz w:val="14"/>
                <w:szCs w:val="14"/>
                <w:color w:val="auto"/>
              </w:rPr>
              <w:t>Expiration Date 1/9/2017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1880" w:type="dxa"/>
            <w:vAlign w:val="bottom"/>
            <w:gridSpan w:val="13"/>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3,000,000</w:t>
            </w:r>
          </w:p>
        </w:tc>
      </w:tr>
      <w:tr>
        <w:trPr>
          <w:trHeight w:val="149"/>
        </w:trPr>
        <w:tc>
          <w:tcPr>
            <w:tcW w:w="18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1,500,000</w:t>
            </w:r>
          </w:p>
        </w:tc>
      </w:tr>
      <w:tr>
        <w:trPr>
          <w:trHeight w:val="135"/>
        </w:trPr>
        <w:tc>
          <w:tcPr>
            <w:tcW w:w="18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w w:val="98"/>
              </w:rPr>
              <w:t>Circle Media (f/k/a S3 Digital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10"/>
          </w:tcPr>
          <w:p>
            <w:pPr>
              <w:spacing w:after="0" w:line="129" w:lineRule="exact"/>
              <w:rPr>
                <w:sz w:val="20"/>
                <w:szCs w:val="20"/>
                <w:color w:val="auto"/>
              </w:rPr>
            </w:pPr>
            <w:r>
              <w:rPr>
                <w:rFonts w:ascii="Arial" w:cs="Arial" w:eastAsia="Arial" w:hAnsi="Arial"/>
                <w:sz w:val="14"/>
                <w:szCs w:val="14"/>
                <w:b w:val="1"/>
                <w:bCs w:val="1"/>
                <w:color w:val="auto"/>
              </w:rPr>
              <w:t>Corp. (d/b/a S3i))</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1,705,006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293,558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(842,389)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1,156,175</w:t>
            </w:r>
          </w:p>
        </w:tc>
      </w:tr>
      <w:tr>
        <w:trPr>
          <w:trHeight w:val="130"/>
        </w:trPr>
        <w:tc>
          <w:tcPr>
            <w:tcW w:w="18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Term Loan, 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1100" w:type="dxa"/>
            <w:vAlign w:val="bottom"/>
            <w:gridSpan w:val="6"/>
          </w:tcPr>
          <w:p>
            <w:pPr>
              <w:ind w:left="200"/>
              <w:spacing w:after="0"/>
              <w:rPr>
                <w:sz w:val="20"/>
                <w:szCs w:val="20"/>
                <w:color w:val="auto"/>
              </w:rPr>
            </w:pPr>
            <w:r>
              <w:rPr>
                <w:rFonts w:ascii="Arial" w:cs="Arial" w:eastAsia="Arial" w:hAnsi="Arial"/>
                <w:sz w:val="14"/>
                <w:szCs w:val="14"/>
                <w:color w:val="auto"/>
              </w:rPr>
              <w:t>09/30/2015***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(6,440)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288,114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(292,798)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4,684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40"/>
        </w:trPr>
        <w:tc>
          <w:tcPr>
            <w:tcW w:w="1880" w:type="dxa"/>
            <w:vAlign w:val="bottom"/>
            <w:gridSpan w:val="13"/>
            <w:shd w:val="clear" w:color="auto" w:fill="CCEEFF"/>
          </w:tcPr>
          <w:p>
            <w:pPr>
              <w:ind w:left="20"/>
              <w:spacing w:after="0" w:line="140" w:lineRule="exact"/>
              <w:rPr>
                <w:sz w:val="20"/>
                <w:szCs w:val="20"/>
                <w:color w:val="auto"/>
              </w:rPr>
            </w:pPr>
            <w:r>
              <w:rPr>
                <w:rFonts w:ascii="Arial" w:cs="Arial" w:eastAsia="Arial" w:hAnsi="Arial"/>
                <w:sz w:val="14"/>
                <w:szCs w:val="14"/>
                <w:color w:val="auto"/>
              </w:rPr>
              <w:t>Term Loan, 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98"/>
        </w:trPr>
        <w:tc>
          <w:tcPr>
            <w:tcW w:w="1260" w:type="dxa"/>
            <w:vAlign w:val="bottom"/>
            <w:gridSpan w:val="7"/>
            <w:shd w:val="clear" w:color="auto" w:fill="CCEEFF"/>
          </w:tcPr>
          <w:p>
            <w:pPr>
              <w:ind w:left="200"/>
              <w:spacing w:after="0" w:line="198" w:lineRule="exact"/>
              <w:rPr>
                <w:sz w:val="20"/>
                <w:szCs w:val="20"/>
                <w:color w:val="auto"/>
              </w:rPr>
            </w:pPr>
            <w:r>
              <w:rPr>
                <w:rFonts w:ascii="Arial" w:cs="Arial" w:eastAsia="Arial" w:hAnsi="Arial"/>
                <w:sz w:val="14"/>
                <w:szCs w:val="14"/>
                <w:color w:val="auto"/>
                <w:w w:val="97"/>
              </w:rPr>
              <w:t>11/18/2016***</w:t>
            </w:r>
            <w:r>
              <w:rPr>
                <w:rFonts w:ascii="Arial" w:cs="Arial" w:eastAsia="Arial" w:hAnsi="Arial"/>
                <w:sz w:val="22"/>
                <w:szCs w:val="22"/>
                <w:color w:val="auto"/>
                <w:w w:val="97"/>
                <w:vertAlign w:val="superscript"/>
              </w:rPr>
              <w:t>(7)</w:t>
            </w: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26,104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25,000</w:t>
            </w:r>
          </w:p>
        </w:tc>
      </w:tr>
      <w:tr>
        <w:trPr>
          <w:trHeight w:val="130"/>
        </w:trPr>
        <w:tc>
          <w:tcPr>
            <w:tcW w:w="1880" w:type="dxa"/>
            <w:vAlign w:val="bottom"/>
            <w:gridSpan w:val="13"/>
          </w:tcPr>
          <w:p>
            <w:pPr>
              <w:ind w:left="20"/>
              <w:spacing w:after="0" w:line="130" w:lineRule="exact"/>
              <w:rPr>
                <w:sz w:val="20"/>
                <w:szCs w:val="20"/>
                <w:color w:val="auto"/>
              </w:rPr>
            </w:pPr>
            <w:r>
              <w:rPr>
                <w:rFonts w:ascii="Arial" w:cs="Arial" w:eastAsia="Arial" w:hAnsi="Arial"/>
                <w:sz w:val="14"/>
                <w:szCs w:val="14"/>
                <w:color w:val="auto"/>
                <w:w w:val="92"/>
              </w:rPr>
              <w:t>Preferred warrants, $1.00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11"/>
          </w:tcPr>
          <w:p>
            <w:pPr>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2"/>
        </w:trPr>
        <w:tc>
          <w:tcPr>
            <w:tcW w:w="860" w:type="dxa"/>
            <w:vAlign w:val="bottom"/>
            <w:gridSpan w:val="4"/>
          </w:tcPr>
          <w:p>
            <w:pPr>
              <w:ind w:left="200"/>
              <w:spacing w:after="0"/>
              <w:rPr>
                <w:sz w:val="20"/>
                <w:szCs w:val="20"/>
                <w:color w:val="auto"/>
              </w:rPr>
            </w:pPr>
            <w:r>
              <w:rPr>
                <w:rFonts w:ascii="Arial" w:cs="Arial" w:eastAsia="Arial" w:hAnsi="Arial"/>
                <w:sz w:val="14"/>
                <w:szCs w:val="14"/>
                <w:color w:val="auto"/>
                <w:w w:val="91"/>
              </w:rPr>
              <w:t>11/21/2017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165,000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(110,000)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-1981200</wp:posOffset>
            </wp:positionV>
            <wp:extent cx="5213985"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9" w:name="page70"/>
    <w:bookmarkEnd w:id="6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1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2015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9"/>
              <w:spacing w:after="0" w:line="121" w:lineRule="exact"/>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9"/>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2"/>
              </w:rPr>
              <w:t>To 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1880" w:type="dxa"/>
            <w:vAlign w:val="bottom"/>
            <w:gridSpan w:val="9"/>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28"/>
              <w:spacing w:after="0"/>
              <w:rPr>
                <w:sz w:val="20"/>
                <w:szCs w:val="20"/>
                <w:color w:val="auto"/>
              </w:rPr>
            </w:pPr>
            <w:r>
              <w:rPr>
                <w:rFonts w:ascii="Arial" w:cs="Arial" w:eastAsia="Arial" w:hAnsi="Arial"/>
                <w:sz w:val="13"/>
                <w:szCs w:val="13"/>
                <w:b w:val="1"/>
                <w:bCs w:val="1"/>
                <w:color w:val="auto"/>
                <w:w w:val="89"/>
              </w:rPr>
              <w:t>2014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29"/>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Purchases</w:t>
            </w:r>
          </w:p>
        </w:tc>
        <w:tc>
          <w:tcPr>
            <w:tcW w:w="600" w:type="dxa"/>
            <w:vAlign w:val="bottom"/>
          </w:tcPr>
          <w:p>
            <w:pPr>
              <w:ind w:left="8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2"/>
              </w:rPr>
              <w:t>2015</w:t>
            </w:r>
          </w:p>
        </w:tc>
      </w:tr>
      <w:tr>
        <w:trPr>
          <w:trHeight w:val="123"/>
        </w:trPr>
        <w:tc>
          <w:tcPr>
            <w:tcW w:w="1880" w:type="dxa"/>
            <w:vAlign w:val="bottom"/>
            <w:tcBorders>
              <w:top w:val="single" w:sz="8" w:color="auto"/>
            </w:tcBorders>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w w:val="89"/>
              </w:rPr>
              <w:t>8/29/2021</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(43,954)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14,065</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00" w:type="dxa"/>
            <w:vAlign w:val="bottom"/>
            <w:gridSpan w:val="4"/>
          </w:tcPr>
          <w:p>
            <w:pPr>
              <w:ind w:left="200"/>
              <w:spacing w:after="0"/>
              <w:rPr>
                <w:sz w:val="20"/>
                <w:szCs w:val="20"/>
                <w:color w:val="auto"/>
              </w:rPr>
            </w:pPr>
            <w:r>
              <w:rPr>
                <w:rFonts w:ascii="Arial" w:cs="Arial" w:eastAsia="Arial" w:hAnsi="Arial"/>
                <w:sz w:val="14"/>
                <w:szCs w:val="14"/>
                <w:color w:val="auto"/>
                <w:w w:val="89"/>
              </w:rPr>
              <w:t>9/30/2020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64,322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(51,458)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12,864</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w w:val="89"/>
              </w:rPr>
              <w:t>6/26/2021</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(9,648)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3,088</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00" w:type="dxa"/>
            <w:vAlign w:val="bottom"/>
            <w:gridSpan w:val="4"/>
          </w:tcPr>
          <w:p>
            <w:pPr>
              <w:ind w:left="200"/>
              <w:spacing w:after="0"/>
              <w:rPr>
                <w:sz w:val="20"/>
                <w:szCs w:val="20"/>
                <w:color w:val="auto"/>
              </w:rPr>
            </w:pPr>
            <w:r>
              <w:rPr>
                <w:rFonts w:ascii="Arial" w:cs="Arial" w:eastAsia="Arial" w:hAnsi="Arial"/>
                <w:sz w:val="14"/>
                <w:szCs w:val="14"/>
                <w:color w:val="auto"/>
                <w:w w:val="79"/>
              </w:rPr>
              <w:t>11/18/2022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429</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CUX, Inc. (d/b/a CorpU)</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3"/>
        </w:trPr>
        <w:tc>
          <w:tcPr>
            <w:tcW w:w="18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Senior Subordinated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8"/>
        </w:trPr>
        <w:tc>
          <w:tcPr>
            <w:tcW w:w="20" w:type="dxa"/>
            <w:vAlign w:val="bottom"/>
          </w:tcPr>
          <w:p>
            <w:pPr>
              <w:spacing w:after="0"/>
              <w:rPr>
                <w:sz w:val="13"/>
                <w:szCs w:val="13"/>
                <w:color w:val="auto"/>
              </w:rPr>
            </w:pPr>
          </w:p>
        </w:tc>
        <w:tc>
          <w:tcPr>
            <w:tcW w:w="1860" w:type="dxa"/>
            <w:vAlign w:val="bottom"/>
            <w:gridSpan w:val="8"/>
          </w:tcPr>
          <w:p>
            <w:pPr>
              <w:ind w:left="180"/>
              <w:spacing w:after="0" w:line="159" w:lineRule="exact"/>
              <w:rPr>
                <w:sz w:val="20"/>
                <w:szCs w:val="20"/>
                <w:color w:val="auto"/>
              </w:rPr>
            </w:pPr>
            <w:r>
              <w:rPr>
                <w:rFonts w:ascii="Arial" w:cs="Arial" w:eastAsia="Arial" w:hAnsi="Arial"/>
                <w:sz w:val="14"/>
                <w:szCs w:val="14"/>
                <w:color w:val="auto"/>
                <w:w w:val="93"/>
              </w:rPr>
              <w:t>Convertible Promissory Note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1860" w:type="dxa"/>
            <w:vAlign w:val="bottom"/>
            <w:gridSpan w:val="8"/>
          </w:tcPr>
          <w:p>
            <w:pPr>
              <w:ind w:left="180"/>
              <w:spacing w:after="0" w:line="198" w:lineRule="exact"/>
              <w:rPr>
                <w:sz w:val="20"/>
                <w:szCs w:val="20"/>
                <w:color w:val="auto"/>
              </w:rPr>
            </w:pPr>
            <w:r>
              <w:rPr>
                <w:rFonts w:ascii="Arial" w:cs="Arial" w:eastAsia="Arial" w:hAnsi="Arial"/>
                <w:sz w:val="14"/>
                <w:szCs w:val="14"/>
                <w:color w:val="auto"/>
              </w:rPr>
              <w:t>8% Due 11/26/2018 ***</w:t>
            </w:r>
            <w:r>
              <w:rPr>
                <w:rFonts w:ascii="Arial" w:cs="Arial" w:eastAsia="Arial" w:hAnsi="Arial"/>
                <w:sz w:val="22"/>
                <w:szCs w:val="22"/>
                <w:color w:val="auto"/>
                <w:vertAlign w:val="superscript"/>
              </w:rPr>
              <w:t>(5)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80,631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1,007,671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(7,671)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1,080,000</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8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Series C</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2,292,582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(333,455)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1,959,127</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860" w:type="dxa"/>
            <w:vAlign w:val="bottom"/>
            <w:gridSpan w:val="8"/>
          </w:tcPr>
          <w:p>
            <w:pPr>
              <w:ind w:left="180"/>
              <w:spacing w:after="0"/>
              <w:rPr>
                <w:sz w:val="20"/>
                <w:szCs w:val="20"/>
                <w:color w:val="auto"/>
              </w:rPr>
            </w:pPr>
            <w:r>
              <w:rPr>
                <w:rFonts w:ascii="Arial" w:cs="Arial" w:eastAsia="Arial" w:hAnsi="Arial"/>
                <w:sz w:val="14"/>
                <w:szCs w:val="14"/>
                <w:color w:val="auto"/>
              </w:rPr>
              <w:t>Series 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716,066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59,795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775,861</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Preferred warrants, $4.59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w w:val="89"/>
              </w:rPr>
              <w:t>2/25/2018</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(2,366)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10,142</w:t>
            </w:r>
          </w:p>
        </w:tc>
      </w:tr>
      <w:tr>
        <w:trPr>
          <w:trHeight w:val="135"/>
        </w:trPr>
        <w:tc>
          <w:tcPr>
            <w:tcW w:w="18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Cricket Media (f/k/a ePals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600" w:type="dxa"/>
            <w:vAlign w:val="bottom"/>
            <w:tcBorders>
              <w:top w:val="single" w:sz="8" w:color="auto"/>
            </w:tcBorders>
            <w:gridSpan w:val="7"/>
          </w:tcPr>
          <w:p>
            <w:pPr>
              <w:ind w:left="180"/>
              <w:spacing w:after="0" w:line="169" w:lineRule="exact"/>
              <w:rPr>
                <w:sz w:val="20"/>
                <w:szCs w:val="20"/>
                <w:color w:val="auto"/>
              </w:rPr>
            </w:pPr>
            <w:r>
              <w:rPr>
                <w:rFonts w:ascii="Arial" w:cs="Arial" w:eastAsia="Arial" w:hAnsi="Arial"/>
                <w:sz w:val="12"/>
                <w:szCs w:val="12"/>
                <w:b w:val="1"/>
                <w:bCs w:val="1"/>
                <w:color w:val="auto"/>
              </w:rPr>
              <w:t>Inc.)**</w:t>
            </w:r>
            <w:r>
              <w:rPr>
                <w:rFonts w:ascii="Arial" w:cs="Arial" w:eastAsia="Arial" w:hAnsi="Arial"/>
                <w:sz w:val="19"/>
                <w:szCs w:val="19"/>
                <w:b w:val="1"/>
                <w:bCs w:val="1"/>
                <w:color w:val="auto"/>
                <w:vertAlign w:val="superscript"/>
              </w:rPr>
              <w:t>(4)(6)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331,126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(331,126)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Curious.com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9,996,311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9,996,311</w:t>
            </w:r>
          </w:p>
        </w:tc>
      </w:tr>
      <w:tr>
        <w:trPr>
          <w:trHeight w:val="135"/>
        </w:trPr>
        <w:tc>
          <w:tcPr>
            <w:tcW w:w="18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Declara,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23"/>
        </w:trPr>
        <w:tc>
          <w:tcPr>
            <w:tcW w:w="188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67"/>
        </w:trPr>
        <w:tc>
          <w:tcPr>
            <w:tcW w:w="20" w:type="dxa"/>
            <w:vAlign w:val="bottom"/>
            <w:shd w:val="clear" w:color="auto" w:fill="CCEEFF"/>
          </w:tcPr>
          <w:p>
            <w:pPr>
              <w:spacing w:after="0"/>
              <w:rPr>
                <w:sz w:val="14"/>
                <w:szCs w:val="14"/>
                <w:color w:val="auto"/>
              </w:rPr>
            </w:pPr>
          </w:p>
        </w:tc>
        <w:tc>
          <w:tcPr>
            <w:tcW w:w="18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6% Due 12/30/2016***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2,000,000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r>
      <w:tr>
        <w:trPr>
          <w:trHeight w:val="149"/>
        </w:trPr>
        <w:tc>
          <w:tcPr>
            <w:tcW w:w="18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10,019,825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(19,826)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9,999,999</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EdSurge,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505,328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9"/>
              <w:spacing w:after="0" w:line="142" w:lineRule="exact"/>
              <w:rPr>
                <w:sz w:val="20"/>
                <w:szCs w:val="20"/>
                <w:color w:val="auto"/>
              </w:rPr>
            </w:pPr>
            <w:r>
              <w:rPr>
                <w:rFonts w:ascii="Arial" w:cs="Arial" w:eastAsia="Arial" w:hAnsi="Arial"/>
                <w:sz w:val="14"/>
                <w:szCs w:val="14"/>
                <w:color w:val="auto"/>
              </w:rPr>
              <w:t>19,539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524,867</w:t>
            </w:r>
          </w:p>
        </w:tc>
      </w:tr>
      <w:tr>
        <w:trPr>
          <w:trHeight w:val="149"/>
        </w:trPr>
        <w:tc>
          <w:tcPr>
            <w:tcW w:w="18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500,960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(960)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r>
      <w:tr>
        <w:trPr>
          <w:trHeight w:val="135"/>
        </w:trPr>
        <w:tc>
          <w:tcPr>
            <w:tcW w:w="18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Fullbridge,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23"/>
        </w:trPr>
        <w:tc>
          <w:tcPr>
            <w:tcW w:w="188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67"/>
        </w:trPr>
        <w:tc>
          <w:tcPr>
            <w:tcW w:w="20" w:type="dxa"/>
            <w:vAlign w:val="bottom"/>
            <w:shd w:val="clear" w:color="auto" w:fill="CCEEFF"/>
          </w:tcPr>
          <w:p>
            <w:pPr>
              <w:spacing w:after="0"/>
              <w:rPr>
                <w:sz w:val="14"/>
                <w:szCs w:val="14"/>
                <w:color w:val="auto"/>
              </w:rPr>
            </w:pPr>
          </w:p>
        </w:tc>
        <w:tc>
          <w:tcPr>
            <w:tcW w:w="18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10% Due 3/2/2016***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142,645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1,014,395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6,464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1,020,859</w:t>
            </w:r>
          </w:p>
        </w:tc>
      </w:tr>
      <w:tr>
        <w:trPr>
          <w:trHeight w:val="149"/>
        </w:trPr>
        <w:tc>
          <w:tcPr>
            <w:tcW w:w="18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3,111,714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3,111,714</w:t>
            </w:r>
          </w:p>
        </w:tc>
      </w:tr>
      <w:tr>
        <w:trPr>
          <w:trHeight w:val="149"/>
        </w:trPr>
        <w:tc>
          <w:tcPr>
            <w:tcW w:w="18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1,625,001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1,625,001</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00" w:type="dxa"/>
            <w:vAlign w:val="bottom"/>
            <w:gridSpan w:val="4"/>
          </w:tcPr>
          <w:p>
            <w:pPr>
              <w:ind w:left="200"/>
              <w:spacing w:after="0"/>
              <w:rPr>
                <w:sz w:val="20"/>
                <w:szCs w:val="20"/>
                <w:color w:val="auto"/>
              </w:rPr>
            </w:pPr>
            <w:r>
              <w:rPr>
                <w:rFonts w:ascii="Arial" w:cs="Arial" w:eastAsia="Arial" w:hAnsi="Arial"/>
                <w:sz w:val="14"/>
                <w:szCs w:val="14"/>
                <w:color w:val="auto"/>
                <w:w w:val="89"/>
              </w:rPr>
              <w:t>2/18/2019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5,281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7,143</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4/3/2019</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3,297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00" w:type="dxa"/>
            <w:vAlign w:val="bottom"/>
            <w:gridSpan w:val="4"/>
          </w:tcPr>
          <w:p>
            <w:pPr>
              <w:ind w:left="200"/>
              <w:spacing w:after="0"/>
              <w:rPr>
                <w:sz w:val="20"/>
                <w:szCs w:val="20"/>
                <w:color w:val="auto"/>
              </w:rPr>
            </w:pPr>
            <w:r>
              <w:rPr>
                <w:rFonts w:ascii="Arial" w:cs="Arial" w:eastAsia="Arial" w:hAnsi="Arial"/>
                <w:sz w:val="14"/>
                <w:szCs w:val="14"/>
                <w:color w:val="auto"/>
              </w:rPr>
              <w:t>3/2/2020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2,831</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w w:val="89"/>
              </w:rPr>
              <w:t>5/16/2019</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2"/>
        </w:trPr>
        <w:tc>
          <w:tcPr>
            <w:tcW w:w="800" w:type="dxa"/>
            <w:vAlign w:val="bottom"/>
            <w:gridSpan w:val="4"/>
          </w:tcPr>
          <w:p>
            <w:pPr>
              <w:ind w:left="200"/>
              <w:spacing w:after="0"/>
              <w:rPr>
                <w:sz w:val="20"/>
                <w:szCs w:val="20"/>
                <w:color w:val="auto"/>
              </w:rPr>
            </w:pPr>
            <w:r>
              <w:rPr>
                <w:rFonts w:ascii="Arial" w:cs="Arial" w:eastAsia="Arial" w:hAnsi="Arial"/>
                <w:sz w:val="14"/>
                <w:szCs w:val="14"/>
                <w:color w:val="auto"/>
                <w:w w:val="89"/>
              </w:rPr>
              <w:t>3/22/2020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(5,281)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1,862</w:t>
            </w:r>
          </w:p>
        </w:tc>
      </w:tr>
    </w:tbl>
    <w:p>
      <w:pPr>
        <w:spacing w:after="0" w:line="200" w:lineRule="exact"/>
        <w:rPr>
          <w:sz w:val="20"/>
          <w:szCs w:val="20"/>
          <w:color w:val="auto"/>
        </w:rPr>
      </w:pPr>
    </w:p>
    <w:p>
      <w:pPr>
        <w:spacing w:after="0" w:line="32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0" w:name="page71"/>
    <w:bookmarkEnd w:id="7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1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2015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60"/>
              <w:spacing w:after="0" w:line="121" w:lineRule="exact"/>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80"/>
              <w:spacing w:after="0" w:line="121" w:lineRule="exact"/>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12"/>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To 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1880" w:type="dxa"/>
            <w:vAlign w:val="bottom"/>
            <w:tcBorders>
              <w:bottom w:val="single" w:sz="8" w:color="auto"/>
            </w:tcBorders>
            <w:gridSpan w:val="12"/>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89"/>
              </w:rPr>
              <w:t>2014</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Purchases</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Sales</w:t>
            </w:r>
          </w:p>
        </w:tc>
        <w:tc>
          <w:tcPr>
            <w:tcW w:w="80" w:type="dxa"/>
            <w:vAlign w:val="bottom"/>
          </w:tcPr>
          <w:p>
            <w:pPr>
              <w:spacing w:after="0"/>
              <w:rPr>
                <w:sz w:val="13"/>
                <w:szCs w:val="13"/>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2015</w:t>
            </w:r>
          </w:p>
        </w:tc>
      </w:tr>
      <w:tr>
        <w:trPr>
          <w:trHeight w:val="123"/>
        </w:trPr>
        <w:tc>
          <w:tcPr>
            <w:tcW w:w="1880" w:type="dxa"/>
            <w:vAlign w:val="bottom"/>
            <w:gridSpan w:val="12"/>
            <w:shd w:val="clear" w:color="auto" w:fill="CCEEFF"/>
          </w:tcPr>
          <w:p>
            <w:pPr>
              <w:ind w:left="20"/>
              <w:spacing w:after="0" w:line="123"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11"/>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r>
      <w:tr>
        <w:trPr>
          <w:trHeight w:val="167"/>
        </w:trPr>
        <w:tc>
          <w:tcPr>
            <w:tcW w:w="10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rPr>
              <w:t>10/10/2018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w:t>
            </w:r>
          </w:p>
        </w:tc>
      </w:tr>
      <w:tr>
        <w:trPr>
          <w:trHeight w:val="130"/>
        </w:trPr>
        <w:tc>
          <w:tcPr>
            <w:tcW w:w="1880" w:type="dxa"/>
            <w:vAlign w:val="bottom"/>
            <w:gridSpan w:val="12"/>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11"/>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1060" w:type="dxa"/>
            <w:vAlign w:val="bottom"/>
            <w:gridSpan w:val="4"/>
          </w:tcPr>
          <w:p>
            <w:pPr>
              <w:ind w:left="200"/>
              <w:spacing w:after="0"/>
              <w:rPr>
                <w:sz w:val="20"/>
                <w:szCs w:val="20"/>
                <w:color w:val="auto"/>
              </w:rPr>
            </w:pPr>
            <w:r>
              <w:rPr>
                <w:rFonts w:ascii="Arial" w:cs="Arial" w:eastAsia="Arial" w:hAnsi="Arial"/>
                <w:sz w:val="14"/>
                <w:szCs w:val="14"/>
                <w:color w:val="auto"/>
              </w:rPr>
              <w:t>12/11/2018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824</w:t>
            </w:r>
          </w:p>
        </w:tc>
      </w:tr>
      <w:tr>
        <w:trPr>
          <w:trHeight w:val="135"/>
        </w:trPr>
        <w:tc>
          <w:tcPr>
            <w:tcW w:w="18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Global Education Learning</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1680" w:type="dxa"/>
            <w:vAlign w:val="bottom"/>
            <w:tcBorders>
              <w:top w:val="single" w:sz="8" w:color="auto"/>
            </w:tcBorders>
            <w:gridSpan w:val="10"/>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(Holdings) Ltd. **</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3,995,221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92"/>
              </w:rPr>
              <w:t>(3,660,394)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(334,827)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Orchestra One, Inc. (f/k/a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gridSpan w:val="8"/>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Learnist Inc.)</w:t>
            </w: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83"/>
        </w:trPr>
        <w:tc>
          <w:tcPr>
            <w:tcW w:w="1880" w:type="dxa"/>
            <w:vAlign w:val="bottom"/>
            <w:gridSpan w:val="12"/>
          </w:tcPr>
          <w:p>
            <w:pPr>
              <w:ind w:left="20"/>
              <w:spacing w:after="0" w:line="183" w:lineRule="exact"/>
              <w:rPr>
                <w:sz w:val="20"/>
                <w:szCs w:val="20"/>
                <w:color w:val="auto"/>
              </w:rPr>
            </w:pPr>
            <w:r>
              <w:rPr>
                <w:rFonts w:ascii="Arial" w:cs="Arial" w:eastAsia="Arial" w:hAnsi="Arial"/>
                <w:sz w:val="13"/>
                <w:szCs w:val="13"/>
                <w:color w:val="auto"/>
              </w:rPr>
              <w:t>Common shares</w:t>
            </w:r>
            <w:r>
              <w:rPr>
                <w:rFonts w:ascii="Arial" w:cs="Arial" w:eastAsia="Arial" w:hAnsi="Arial"/>
                <w:sz w:val="21"/>
                <w:szCs w:val="21"/>
                <w:color w:val="auto"/>
                <w:vertAlign w:val="superscript"/>
              </w:rPr>
              <w:t>(7)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5,379,310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(5,374,946)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4,364</w:t>
            </w:r>
          </w:p>
        </w:tc>
      </w:tr>
      <w:tr>
        <w:trPr>
          <w:trHeight w:val="149"/>
        </w:trPr>
        <w:tc>
          <w:tcPr>
            <w:tcW w:w="18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2,319,014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2"/>
              </w:rPr>
              <w:t>(2,319,014)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Preferred shares, Series 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1,610,296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2"/>
              </w:rPr>
              <w:t>(1,610,296)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F</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2"/>
              </w:rPr>
              <w:t>(1,450,000)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12"/>
          </w:tcPr>
          <w:p>
            <w:pPr>
              <w:ind w:left="20"/>
              <w:spacing w:after="0" w:line="135" w:lineRule="exact"/>
              <w:rPr>
                <w:sz w:val="20"/>
                <w:szCs w:val="20"/>
                <w:color w:val="auto"/>
              </w:rPr>
            </w:pPr>
            <w:r>
              <w:rPr>
                <w:rFonts w:ascii="Arial" w:cs="Arial" w:eastAsia="Arial" w:hAnsi="Arial"/>
                <w:sz w:val="14"/>
                <w:szCs w:val="14"/>
                <w:b w:val="1"/>
                <w:bCs w:val="1"/>
                <w:color w:val="auto"/>
              </w:rPr>
              <w:t>Maven Research,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1,999,998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1,999,998</w:t>
            </w:r>
          </w:p>
        </w:tc>
      </w:tr>
      <w:tr>
        <w:trPr>
          <w:trHeight w:val="149"/>
        </w:trPr>
        <w:tc>
          <w:tcPr>
            <w:tcW w:w="18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249,691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249,691</w:t>
            </w:r>
          </w:p>
        </w:tc>
      </w:tr>
      <w:tr>
        <w:trPr>
          <w:trHeight w:val="135"/>
        </w:trPr>
        <w:tc>
          <w:tcPr>
            <w:tcW w:w="18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Ozy Media,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4,999,999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(309,821)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4,690,178</w:t>
            </w:r>
          </w:p>
        </w:tc>
      </w:tr>
      <w:tr>
        <w:trPr>
          <w:trHeight w:val="149"/>
        </w:trPr>
        <w:tc>
          <w:tcPr>
            <w:tcW w:w="18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4,165,091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(258,087)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3,907,004</w:t>
            </w:r>
          </w:p>
        </w:tc>
      </w:tr>
      <w:tr>
        <w:trPr>
          <w:trHeight w:val="149"/>
        </w:trPr>
        <w:tc>
          <w:tcPr>
            <w:tcW w:w="1880" w:type="dxa"/>
            <w:vAlign w:val="bottom"/>
            <w:gridSpan w:val="12"/>
          </w:tcPr>
          <w:p>
            <w:pPr>
              <w:ind w:left="20"/>
              <w:spacing w:after="0" w:line="149" w:lineRule="exact"/>
              <w:rPr>
                <w:sz w:val="20"/>
                <w:szCs w:val="20"/>
                <w:color w:val="auto"/>
              </w:rPr>
            </w:pPr>
            <w:r>
              <w:rPr>
                <w:rFonts w:ascii="Arial" w:cs="Arial" w:eastAsia="Arial" w:hAnsi="Arial"/>
                <w:sz w:val="14"/>
                <w:szCs w:val="14"/>
                <w:color w:val="auto"/>
                <w:w w:val="97"/>
              </w:rPr>
              <w:t>Preferred shares, Series Seed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1,573,000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(41,188)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1,531,812</w:t>
            </w:r>
          </w:p>
        </w:tc>
      </w:tr>
      <w:tr>
        <w:trPr>
          <w:trHeight w:val="135"/>
        </w:trPr>
        <w:tc>
          <w:tcPr>
            <w:tcW w:w="18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PayNearMe,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9,982,064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89"/>
              </w:rPr>
              <w:t>3,999,998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(7,175)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13,974,887</w:t>
            </w:r>
          </w:p>
        </w:tc>
      </w:tr>
      <w:tr>
        <w:trPr>
          <w:trHeight w:val="135"/>
        </w:trPr>
        <w:tc>
          <w:tcPr>
            <w:tcW w:w="18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The rSmart Group,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192,586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1,920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(189,506)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Strategic Data Command,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gridSpan w:val="9"/>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LLC</w:t>
            </w:r>
            <w:r>
              <w:rPr>
                <w:rFonts w:ascii="Arial" w:cs="Arial" w:eastAsia="Arial" w:hAnsi="Arial"/>
                <w:sz w:val="19"/>
                <w:szCs w:val="19"/>
                <w:b w:val="1"/>
                <w:bCs w:val="1"/>
                <w:color w:val="auto"/>
                <w:vertAlign w:val="superscript"/>
              </w:rPr>
              <w:t>(3)</w:t>
            </w:r>
          </w:p>
        </w:tc>
        <w:tc>
          <w:tcPr>
            <w:tcW w:w="26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right w:val="single" w:sz="8" w:color="CCEEFF"/>
            </w:tcBorders>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(12,373)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14,023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1,001,650</w:t>
            </w:r>
          </w:p>
        </w:tc>
      </w:tr>
      <w:tr>
        <w:trPr>
          <w:trHeight w:val="135"/>
        </w:trPr>
        <w:tc>
          <w:tcPr>
            <w:tcW w:w="18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Totus Solutions,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23"/>
        </w:trPr>
        <w:tc>
          <w:tcPr>
            <w:tcW w:w="1880" w:type="dxa"/>
            <w:vAlign w:val="bottom"/>
            <w:gridSpan w:val="12"/>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860" w:type="dxa"/>
            <w:vAlign w:val="bottom"/>
            <w:gridSpan w:val="11"/>
          </w:tcPr>
          <w:p>
            <w:pPr>
              <w:ind w:left="180"/>
              <w:spacing w:after="0" w:line="149" w:lineRule="exact"/>
              <w:rPr>
                <w:sz w:val="20"/>
                <w:szCs w:val="20"/>
                <w:color w:val="auto"/>
              </w:rPr>
            </w:pPr>
            <w:r>
              <w:rPr>
                <w:rFonts w:ascii="Arial" w:cs="Arial" w:eastAsia="Arial" w:hAnsi="Arial"/>
                <w:sz w:val="14"/>
                <w:szCs w:val="14"/>
                <w:color w:val="auto"/>
              </w:rPr>
              <w:t>6%,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1060" w:type="dxa"/>
            <w:vAlign w:val="bottom"/>
            <w:gridSpan w:val="4"/>
          </w:tcPr>
          <w:p>
            <w:pPr>
              <w:ind w:left="200"/>
              <w:spacing w:after="0"/>
              <w:rPr>
                <w:sz w:val="20"/>
                <w:szCs w:val="20"/>
                <w:color w:val="auto"/>
              </w:rPr>
            </w:pPr>
            <w:r>
              <w:rPr>
                <w:rFonts w:ascii="Arial" w:cs="Arial" w:eastAsia="Arial" w:hAnsi="Arial"/>
                <w:sz w:val="14"/>
                <w:szCs w:val="14"/>
                <w:color w:val="auto"/>
              </w:rPr>
              <w:t>4/1/2016***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(3,074)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78,425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(29,185)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128,902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(128,902)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r>
      <w:tr>
        <w:trPr>
          <w:trHeight w:val="142"/>
        </w:trPr>
        <w:tc>
          <w:tcPr>
            <w:tcW w:w="1880" w:type="dxa"/>
            <w:vAlign w:val="bottom"/>
            <w:gridSpan w:val="12"/>
          </w:tcPr>
          <w:p>
            <w:pPr>
              <w:ind w:left="20"/>
              <w:spacing w:after="0" w:line="142" w:lineRule="exact"/>
              <w:rPr>
                <w:sz w:val="20"/>
                <w:szCs w:val="20"/>
                <w:color w:val="auto"/>
              </w:rPr>
            </w:pPr>
            <w:r>
              <w:rPr>
                <w:rFonts w:ascii="Arial" w:cs="Arial" w:eastAsia="Arial" w:hAnsi="Arial"/>
                <w:sz w:val="14"/>
                <w:szCs w:val="14"/>
                <w:b w:val="1"/>
                <w:bCs w:val="1"/>
                <w:color w:val="auto"/>
              </w:rPr>
              <w:t>Total Affiliate Investments</w:t>
            </w:r>
          </w:p>
        </w:tc>
        <w:tc>
          <w:tcPr>
            <w:tcW w:w="8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214,420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4"/>
              </w:rPr>
              <w:t>70,172,313</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789,435</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89"/>
              </w:rPr>
              <w:t>7,918,591</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92"/>
              </w:rPr>
              <w:t>(4,020,565)</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(8,784,189)</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66,075,585</w:t>
            </w:r>
          </w:p>
        </w:tc>
      </w:tr>
      <w:tr>
        <w:trPr>
          <w:trHeight w:val="264"/>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213985" cy="1117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36" w:lineRule="exact"/>
        <w:rPr>
          <w:sz w:val="20"/>
          <w:szCs w:val="20"/>
          <w:color w:val="auto"/>
        </w:rPr>
      </w:pPr>
    </w:p>
    <w:p>
      <w:pPr>
        <w:ind w:left="300" w:right="819" w:hanging="272"/>
        <w:spacing w:after="0" w:line="277"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939" w:hanging="272"/>
        <w:spacing w:after="0" w:line="277" w:lineRule="auto"/>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GSV Capital Corp.’s investment in StormWind, LLC is held through its wholly owned subsidiary GSVC SW Holdings, Inc.</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Schedule 12-14 — Schedule of Investments in and Advances to Affiliates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 of December 31, 2015 – (continued)</w:t>
      </w:r>
    </w:p>
    <w:p>
      <w:pPr>
        <w:spacing w:after="0" w:line="103" w:lineRule="exact"/>
        <w:rPr>
          <w:sz w:val="20"/>
          <w:szCs w:val="20"/>
          <w:color w:val="auto"/>
        </w:rPr>
      </w:pPr>
    </w:p>
    <w:p>
      <w:pPr>
        <w:ind w:left="280" w:right="839"/>
        <w:spacing w:after="0" w:line="308" w:lineRule="auto"/>
        <w:rPr>
          <w:sz w:val="20"/>
          <w:szCs w:val="20"/>
          <w:color w:val="auto"/>
        </w:rPr>
      </w:pPr>
      <w:r>
        <w:rPr>
          <w:rFonts w:ascii="Arial" w:cs="Arial" w:eastAsia="Arial" w:hAnsi="Arial"/>
          <w:sz w:val="17"/>
          <w:szCs w:val="17"/>
          <w:color w:val="auto"/>
        </w:rPr>
        <w:t>GSVC WS Holdings, Inc. Whittle Schools, LLC is an investment that is collateralized by Avenues Global Holdings, LLC as well as the personal collateral of Chris Whittle, the former chairman of Avenues Global Holdings, LLC.</w:t>
      </w:r>
    </w:p>
    <w:p>
      <w:pPr>
        <w:spacing w:after="0" w:line="38" w:lineRule="exact"/>
        <w:rPr>
          <w:sz w:val="20"/>
          <w:szCs w:val="20"/>
          <w:color w:val="auto"/>
        </w:rPr>
      </w:pPr>
    </w:p>
    <w:p>
      <w:pPr>
        <w:ind w:left="280" w:right="759" w:hanging="272"/>
        <w:spacing w:after="0" w:line="277" w:lineRule="auto"/>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739" w:hanging="272"/>
        <w:spacing w:after="0" w:line="279" w:lineRule="auto"/>
        <w:tabs>
          <w:tab w:leader="none" w:pos="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October 22, 2013, Cricket Media (f/k/a ePals Inc.) priced its initial public offering, selling 40,267,333 shares at a price of CAD $0.075 per share. At December 31, 2015, GSV Capital Corp. valued Cricket Media based on its December 31, 2015 closing price. GSV Capital Corp.’s Chief Executive Officer, Michael Moe, serves on the board of directors for Cricket Media, which subjects GSV Capital Corp. to insider trading restrictions under Canadian securities law.</w:t>
      </w:r>
    </w:p>
    <w:p>
      <w:pPr>
        <w:spacing w:after="0" w:line="63" w:lineRule="exact"/>
        <w:rPr>
          <w:rFonts w:ascii="Arial" w:cs="Arial" w:eastAsia="Arial" w:hAnsi="Arial"/>
          <w:sz w:val="17"/>
          <w:szCs w:val="17"/>
          <w:color w:val="auto"/>
        </w:rPr>
      </w:pPr>
    </w:p>
    <w:p>
      <w:pPr>
        <w:ind w:left="280" w:right="739" w:hanging="272"/>
        <w:spacing w:after="0" w:line="264" w:lineRule="auto"/>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CUX, Inc. (d/b/a CorpU), or (b) the maturity of the note (November 26, 2018). Interest will compound annually beginning on November 26, 2015.</w:t>
      </w:r>
    </w:p>
    <w:p>
      <w:pPr>
        <w:spacing w:after="0" w:line="73" w:lineRule="exact"/>
        <w:rPr>
          <w:rFonts w:ascii="Arial" w:cs="Arial" w:eastAsia="Arial" w:hAnsi="Arial"/>
          <w:sz w:val="18"/>
          <w:szCs w:val="18"/>
          <w:color w:val="auto"/>
        </w:rPr>
      </w:pPr>
    </w:p>
    <w:p>
      <w:pPr>
        <w:ind w:left="280" w:right="599" w:hanging="272"/>
        <w:spacing w:after="0" w:line="273" w:lineRule="auto"/>
        <w:tabs>
          <w:tab w:leader="none" w:pos="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Subsequent to the filing of its annual report on Form 10-K for the fiscal year ended December 31, 2015, GSV Capital Corp. identified that its investment in Cricket Media was inappropriately included as an affiliate as of December 31, 2015 in the accompanying Schedule of Investments in and Advances to Affiliates. Therefore, the Schedule of Investments in and Advances to Affiliates included in this quarterly report has been corrected to remove all Cricket Media balances related to the year ended December 31, 2015, including the total fair value of $67,296. Management does not consider these amounts to be material to its previously issued Schedule of Investments in and Advances to Affiliates.</w:t>
      </w:r>
    </w:p>
    <w:p>
      <w:pPr>
        <w:spacing w:after="0" w:line="70" w:lineRule="exact"/>
        <w:rPr>
          <w:rFonts w:ascii="Arial" w:cs="Arial" w:eastAsia="Arial" w:hAnsi="Arial"/>
          <w:sz w:val="17"/>
          <w:szCs w:val="17"/>
          <w:color w:val="auto"/>
        </w:rPr>
      </w:pPr>
    </w:p>
    <w:p>
      <w:pPr>
        <w:ind w:left="280" w:right="619" w:hanging="272"/>
        <w:spacing w:after="0" w:line="286" w:lineRule="auto"/>
        <w:tabs>
          <w:tab w:leader="none" w:pos="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Subsequent to the filing of GSV Capital Corp.’s annual report on Form 10-K for the fiscal year ended December 31, 2015, certain typographical formatting matters were identified where Schedule of Investments in and Advances to Affiliates activities were formatted in the incorrect columns. Such formatting matters have been corrected in this presentation.</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8858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92"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8, 2016</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Michael T. Moe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-130810</wp:posOffset>
            </wp:positionV>
            <wp:extent cx="24872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Executive Officer and Chairman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of the Board of Directors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3920" w:right="4419" w:hanging="4289"/>
        <w:spacing w:after="0" w:line="273" w:lineRule="auto"/>
        <w:tabs>
          <w:tab w:leader="none" w:pos="390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8, 2016</w:t>
      </w:r>
      <w:r>
        <w:rPr>
          <w:sz w:val="20"/>
          <w:szCs w:val="20"/>
          <w:color w:val="auto"/>
        </w:rPr>
        <w:tab/>
      </w:r>
      <w:r>
        <w:rPr>
          <w:rFonts w:ascii="Arial" w:cs="Arial" w:eastAsia="Arial" w:hAnsi="Arial"/>
          <w:sz w:val="17"/>
          <w:szCs w:val="17"/>
          <w:b w:val="1"/>
          <w:bCs w:val="1"/>
          <w:color w:val="auto"/>
        </w:rPr>
        <w:t xml:space="preserve">By: </w:t>
      </w:r>
      <w:r>
        <w:rPr>
          <w:rFonts w:ascii="Arial" w:cs="Arial" w:eastAsia="Arial" w:hAnsi="Arial"/>
          <w:sz w:val="17"/>
          <w:szCs w:val="17"/>
          <w:color w:val="auto"/>
        </w:rPr>
        <w:t>/s/ William Tanona</w:t>
      </w:r>
      <w:r>
        <w:rPr>
          <w:rFonts w:ascii="Arial" w:cs="Arial" w:eastAsia="Arial" w:hAnsi="Arial"/>
          <w:sz w:val="17"/>
          <w:szCs w:val="17"/>
          <w:b w:val="1"/>
          <w:bCs w:val="1"/>
          <w:color w:val="auto"/>
        </w:rPr>
        <w:t xml:space="preserve"> </w:t>
      </w:r>
      <w:r>
        <w:rPr>
          <w:rFonts w:ascii="Arial" w:cs="Arial" w:eastAsia="Arial" w:hAnsi="Arial"/>
          <w:sz w:val="17"/>
          <w:szCs w:val="17"/>
          <w:color w:val="auto"/>
        </w:rPr>
        <w:t>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-144780</wp:posOffset>
            </wp:positionV>
            <wp:extent cx="24872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8"/>
          <w:szCs w:val="18"/>
          <w:color w:val="auto"/>
        </w:rPr>
        <w:t>Chief Financial Officer, Treasurer and Secretary</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3" w:name="page74"/>
    <w:bookmarkEnd w:id="73"/>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540" w:hanging="26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40" w:right="879" w:hanging="262"/>
        <w:spacing w:after="0" w:line="286"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20" w:right="719" w:hanging="272"/>
        <w:spacing w:after="0" w:line="259" w:lineRule="auto"/>
        <w:tabs>
          <w:tab w:leader="none" w:pos="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819" w:hanging="262"/>
        <w:spacing w:after="0" w:line="264"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79" w:hanging="272"/>
        <w:spacing w:after="0" w:line="264" w:lineRule="auto"/>
        <w:tabs>
          <w:tab w:leader="none" w:pos="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959" w:hanging="272"/>
        <w:spacing w:after="0" w:line="277" w:lineRule="auto"/>
        <w:tabs>
          <w:tab w:leader="none" w:pos="8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33794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74" w:name="page75"/>
    <w:bookmarkEnd w:id="74"/>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William Tanona, certify that:</w:t>
      </w:r>
    </w:p>
    <w:p>
      <w:pPr>
        <w:spacing w:after="0" w:line="117" w:lineRule="exact"/>
        <w:rPr>
          <w:sz w:val="20"/>
          <w:szCs w:val="20"/>
          <w:color w:val="auto"/>
        </w:rPr>
      </w:pPr>
    </w:p>
    <w:p>
      <w:pPr>
        <w:ind w:left="540" w:hanging="26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40" w:right="879" w:hanging="262"/>
        <w:spacing w:after="0" w:line="286"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20" w:right="719" w:hanging="272"/>
        <w:spacing w:after="0" w:line="259" w:lineRule="auto"/>
        <w:tabs>
          <w:tab w:leader="none" w:pos="8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819" w:hanging="262"/>
        <w:spacing w:after="0" w:line="264"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79" w:hanging="272"/>
        <w:spacing w:after="0" w:line="264" w:lineRule="auto"/>
        <w:tabs>
          <w:tab w:leader="none" w:pos="8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959" w:hanging="272"/>
        <w:spacing w:after="0" w:line="277" w:lineRule="auto"/>
        <w:tabs>
          <w:tab w:leader="none" w:pos="8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33794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William Tanona</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75" w:name="page76"/>
    <w:bookmarkEnd w:id="75"/>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ind w:right="659" w:firstLine="270"/>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September 30, 2016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Michael T. Moe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76" w:name="page77"/>
    <w:bookmarkEnd w:id="76"/>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ind w:right="659" w:firstLine="270"/>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September 30, 2016 (the “Report”) of GSV Capital Corp. (the “Registrant”), as filed with the Securities and Exchange Commission on the date hereof, I, William Tanona, the Chief Financial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William Tanona</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2"/>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6"/>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6"/>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ldblquote"/>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2"/>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3"/>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2019-12-29T09:58:49Z</dcterms:created>
  <dcterms:modified xsi:type="dcterms:W3CDTF">2019-12-29T09:58:49Z</dcterms:modified>
</cp:coreProperties>
</file>