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234950</wp:posOffset>
            </wp:positionH>
            <wp:positionV relativeFrom="page">
              <wp:posOffset>706120</wp:posOffset>
            </wp:positionV>
            <wp:extent cx="60718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71870" cy="17145"/>
                    </a:xfrm>
                    <a:prstGeom prst="rect">
                      <a:avLst/>
                    </a:prstGeom>
                    <a:noFill/>
                  </pic:spPr>
                </pic:pic>
              </a:graphicData>
            </a:graphic>
          </wp:anchor>
        </w:drawing>
        <w:drawing>
          <wp:anchor simplePos="0" relativeHeight="251657728" behindDoc="1" locked="0" layoutInCell="0" allowOverlap="1">
            <wp:simplePos x="0" y="0"/>
            <wp:positionH relativeFrom="page">
              <wp:posOffset>234950</wp:posOffset>
            </wp:positionH>
            <wp:positionV relativeFrom="page">
              <wp:posOffset>732155</wp:posOffset>
            </wp:positionV>
            <wp:extent cx="60718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71870" cy="17145"/>
                    </a:xfrm>
                    <a:prstGeom prst="rect">
                      <a:avLst/>
                    </a:prstGeom>
                    <a:noFill/>
                  </pic:spPr>
                </pic:pic>
              </a:graphicData>
            </a:graphic>
          </wp:anchor>
        </w:drawing>
      </w:r>
    </w:p>
    <w:p>
      <w:pPr>
        <w:jc w:val="center"/>
        <w:ind w:right="5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2257425</wp:posOffset>
            </wp:positionH>
            <wp:positionV relativeFrom="paragraph">
              <wp:posOffset>194310</wp:posOffset>
            </wp:positionV>
            <wp:extent cx="154368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4368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2257425</wp:posOffset>
            </wp:positionH>
            <wp:positionV relativeFrom="paragraph">
              <wp:posOffset>206375</wp:posOffset>
            </wp:positionV>
            <wp:extent cx="15436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4368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360680</wp:posOffset>
            </wp:positionV>
            <wp:extent cx="42195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195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1120" w:hanging="685"/>
        <w:spacing w:after="0"/>
        <w:tabs>
          <w:tab w:leader="none" w:pos="112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w:t>
      </w:r>
    </w:p>
    <w:p>
      <w:pPr>
        <w:spacing w:after="0" w:line="9" w:lineRule="exact"/>
        <w:rPr>
          <w:rFonts w:ascii="Arial" w:cs="Arial" w:eastAsia="Arial" w:hAnsi="Arial"/>
          <w:sz w:val="18"/>
          <w:szCs w:val="18"/>
          <w:b w:val="1"/>
          <w:bCs w:val="1"/>
          <w:color w:val="auto"/>
        </w:rPr>
      </w:pPr>
    </w:p>
    <w:p>
      <w:pPr>
        <w:ind w:left="11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OF THE SECURITIES EXCHANGE ACT OF 1934</w:t>
      </w:r>
    </w:p>
    <w:p>
      <w:pPr>
        <w:spacing w:after="0" w:line="9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March 31,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43180</wp:posOffset>
            </wp:positionV>
            <wp:extent cx="42195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19575" cy="8890"/>
                    </a:xfrm>
                    <a:prstGeom prst="rect">
                      <a:avLst/>
                    </a:prstGeom>
                    <a:noFill/>
                  </pic:spPr>
                </pic:pic>
              </a:graphicData>
            </a:graphic>
          </wp:anchor>
        </w:drawing>
      </w:r>
    </w:p>
    <w:p>
      <w:pPr>
        <w:spacing w:after="0" w:line="151" w:lineRule="exact"/>
        <w:rPr>
          <w:sz w:val="24"/>
          <w:szCs w:val="24"/>
          <w:color w:val="auto"/>
        </w:rPr>
      </w:pPr>
    </w:p>
    <w:p>
      <w:pPr>
        <w:ind w:left="1120" w:hanging="685"/>
        <w:spacing w:after="0"/>
        <w:tabs>
          <w:tab w:leader="none" w:pos="11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w:t>
      </w:r>
    </w:p>
    <w:p>
      <w:pPr>
        <w:spacing w:after="0" w:line="27" w:lineRule="exact"/>
        <w:rPr>
          <w:rFonts w:ascii="Arial" w:cs="Arial" w:eastAsia="Arial" w:hAnsi="Arial"/>
          <w:sz w:val="18"/>
          <w:szCs w:val="18"/>
          <w:b w:val="1"/>
          <w:bCs w:val="1"/>
          <w:color w:val="auto"/>
        </w:rPr>
      </w:pPr>
    </w:p>
    <w:p>
      <w:pPr>
        <w:ind w:left="11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ind w:left="3060"/>
        <w:spacing w:after="0"/>
        <w:rPr>
          <w:sz w:val="20"/>
          <w:szCs w:val="20"/>
          <w:color w:val="auto"/>
        </w:rPr>
      </w:pPr>
      <w:r>
        <w:rPr>
          <w:rFonts w:ascii="Arial" w:cs="Arial" w:eastAsia="Arial" w:hAnsi="Arial"/>
          <w:sz w:val="18"/>
          <w:szCs w:val="18"/>
          <w:b w:val="1"/>
          <w:bCs w:val="1"/>
          <w:color w:val="auto"/>
        </w:rPr>
        <w:t>COMMISSION FILE NUMBER: 814-00852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2257425</wp:posOffset>
            </wp:positionH>
            <wp:positionV relativeFrom="paragraph">
              <wp:posOffset>206375</wp:posOffset>
            </wp:positionV>
            <wp:extent cx="15436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tbl>
      <w:tblPr>
        <w:tblLayout w:type="fixed"/>
        <w:tblInd w:w="1080" w:type="dxa"/>
        <w:tblCellMar>
          <w:top w:w="0" w:type="dxa"/>
          <w:left w:w="0" w:type="dxa"/>
          <w:bottom w:w="0" w:type="dxa"/>
          <w:right w:w="0" w:type="dxa"/>
        </w:tblCellMar>
      </w:tblPr>
      <w:tr>
        <w:trPr>
          <w:trHeight w:val="421"/>
        </w:trPr>
        <w:tc>
          <w:tcPr>
            <w:tcW w:w="2320" w:type="dxa"/>
            <w:vAlign w:val="bottom"/>
          </w:tcPr>
          <w:p>
            <w:pPr>
              <w:spacing w:after="0"/>
              <w:rPr>
                <w:sz w:val="24"/>
                <w:szCs w:val="24"/>
                <w:color w:val="auto"/>
              </w:rPr>
            </w:pPr>
          </w:p>
        </w:tc>
        <w:tc>
          <w:tcPr>
            <w:tcW w:w="4480" w:type="dxa"/>
            <w:vAlign w:val="bottom"/>
            <w:gridSpan w:val="3"/>
          </w:tcPr>
          <w:p>
            <w:pPr>
              <w:jc w:val="center"/>
              <w:ind w:right="1668"/>
              <w:spacing w:after="0"/>
              <w:rPr>
                <w:sz w:val="20"/>
                <w:szCs w:val="20"/>
                <w:color w:val="auto"/>
              </w:rPr>
            </w:pPr>
            <w:r>
              <w:rPr>
                <w:rFonts w:ascii="Arial" w:cs="Arial" w:eastAsia="Arial" w:hAnsi="Arial"/>
                <w:sz w:val="32"/>
                <w:szCs w:val="32"/>
                <w:b w:val="1"/>
                <w:bCs w:val="1"/>
                <w:color w:val="auto"/>
                <w:w w:val="96"/>
              </w:rPr>
              <w:t>GSV Capital Corp.</w:t>
            </w:r>
          </w:p>
        </w:tc>
      </w:tr>
      <w:tr>
        <w:trPr>
          <w:trHeight w:val="257"/>
        </w:trPr>
        <w:tc>
          <w:tcPr>
            <w:tcW w:w="6800" w:type="dxa"/>
            <w:vAlign w:val="bottom"/>
            <w:gridSpan w:val="4"/>
          </w:tcPr>
          <w:p>
            <w:pPr>
              <w:ind w:left="2140"/>
              <w:spacing w:after="0"/>
              <w:rPr>
                <w:sz w:val="20"/>
                <w:szCs w:val="20"/>
                <w:color w:val="auto"/>
              </w:rPr>
            </w:pPr>
            <w:r>
              <w:rPr>
                <w:rFonts w:ascii="Arial" w:cs="Arial" w:eastAsia="Arial" w:hAnsi="Arial"/>
                <w:sz w:val="14"/>
                <w:szCs w:val="14"/>
                <w:b w:val="1"/>
                <w:bCs w:val="1"/>
                <w:color w:val="auto"/>
              </w:rPr>
              <w:t>(Exact name of registrant as specified in its charter)</w:t>
            </w:r>
          </w:p>
        </w:tc>
      </w:tr>
      <w:tr>
        <w:trPr>
          <w:trHeight w:val="303"/>
        </w:trPr>
        <w:tc>
          <w:tcPr>
            <w:tcW w:w="2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1900" w:type="dxa"/>
            <w:vAlign w:val="bottom"/>
          </w:tcPr>
          <w:p>
            <w:pPr>
              <w:spacing w:after="0"/>
              <w:rPr>
                <w:sz w:val="24"/>
                <w:szCs w:val="24"/>
                <w:color w:val="auto"/>
              </w:rPr>
            </w:pPr>
          </w:p>
        </w:tc>
      </w:tr>
      <w:tr>
        <w:trPr>
          <w:trHeight w:val="481"/>
        </w:trPr>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96"/>
              </w:rPr>
              <w:t>Maryland</w:t>
            </w:r>
          </w:p>
        </w:tc>
        <w:tc>
          <w:tcPr>
            <w:tcW w:w="4480" w:type="dxa"/>
            <w:vAlign w:val="bottom"/>
            <w:gridSpan w:val="3"/>
          </w:tcPr>
          <w:p>
            <w:pPr>
              <w:jc w:val="right"/>
              <w:ind w:right="528"/>
              <w:spacing w:after="0"/>
              <w:rPr>
                <w:sz w:val="20"/>
                <w:szCs w:val="20"/>
                <w:color w:val="auto"/>
              </w:rPr>
            </w:pPr>
            <w:r>
              <w:rPr>
                <w:rFonts w:ascii="Arial" w:cs="Arial" w:eastAsia="Arial" w:hAnsi="Arial"/>
                <w:sz w:val="18"/>
                <w:szCs w:val="18"/>
                <w:b w:val="1"/>
                <w:bCs w:val="1"/>
                <w:color w:val="auto"/>
              </w:rPr>
              <w:t>27-4443543</w:t>
            </w:r>
          </w:p>
        </w:tc>
      </w:tr>
      <w:tr>
        <w:trPr>
          <w:trHeight w:val="182"/>
        </w:trPr>
        <w:tc>
          <w:tcPr>
            <w:tcW w:w="2320" w:type="dxa"/>
            <w:vAlign w:val="bottom"/>
          </w:tcPr>
          <w:p>
            <w:pPr>
              <w:jc w:val="center"/>
              <w:spacing w:after="0"/>
              <w:rPr>
                <w:sz w:val="20"/>
                <w:szCs w:val="20"/>
                <w:color w:val="auto"/>
              </w:rPr>
            </w:pPr>
            <w:r>
              <w:rPr>
                <w:rFonts w:ascii="Arial" w:cs="Arial" w:eastAsia="Arial" w:hAnsi="Arial"/>
                <w:sz w:val="14"/>
                <w:szCs w:val="14"/>
                <w:color w:val="auto"/>
                <w:w w:val="95"/>
              </w:rPr>
              <w:t>(State of incorporation)</w:t>
            </w:r>
          </w:p>
        </w:tc>
        <w:tc>
          <w:tcPr>
            <w:tcW w:w="160" w:type="dxa"/>
            <w:vAlign w:val="bottom"/>
          </w:tcPr>
          <w:p>
            <w:pPr>
              <w:spacing w:after="0"/>
              <w:rPr>
                <w:sz w:val="15"/>
                <w:szCs w:val="15"/>
                <w:color w:val="auto"/>
              </w:rPr>
            </w:pPr>
          </w:p>
        </w:tc>
        <w:tc>
          <w:tcPr>
            <w:tcW w:w="4320" w:type="dxa"/>
            <w:vAlign w:val="bottom"/>
            <w:gridSpan w:val="2"/>
          </w:tcPr>
          <w:p>
            <w:pPr>
              <w:jc w:val="center"/>
              <w:ind w:left="2168"/>
              <w:spacing w:after="0"/>
              <w:rPr>
                <w:sz w:val="20"/>
                <w:szCs w:val="20"/>
                <w:color w:val="auto"/>
              </w:rPr>
            </w:pPr>
            <w:r>
              <w:rPr>
                <w:rFonts w:ascii="Arial" w:cs="Arial" w:eastAsia="Arial" w:hAnsi="Arial"/>
                <w:sz w:val="14"/>
                <w:szCs w:val="14"/>
                <w:color w:val="auto"/>
                <w:w w:val="96"/>
              </w:rPr>
              <w:t>(I.R.S. Employer Identification No.)</w:t>
            </w:r>
          </w:p>
        </w:tc>
      </w:tr>
      <w:tr>
        <w:trPr>
          <w:trHeight w:val="277"/>
        </w:trPr>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88"/>
              </w:rPr>
              <w:t>2925 Woodside Road</w:t>
            </w:r>
          </w:p>
        </w:tc>
        <w:tc>
          <w:tcPr>
            <w:tcW w:w="1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16"/>
        </w:trPr>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90"/>
              </w:rPr>
              <w:t>Woodside, CA</w:t>
            </w:r>
          </w:p>
        </w:tc>
        <w:tc>
          <w:tcPr>
            <w:tcW w:w="4480" w:type="dxa"/>
            <w:vAlign w:val="bottom"/>
            <w:gridSpan w:val="3"/>
          </w:tcPr>
          <w:p>
            <w:pPr>
              <w:jc w:val="right"/>
              <w:ind w:right="748"/>
              <w:spacing w:after="0"/>
              <w:rPr>
                <w:sz w:val="20"/>
                <w:szCs w:val="20"/>
                <w:color w:val="auto"/>
              </w:rPr>
            </w:pPr>
            <w:r>
              <w:rPr>
                <w:rFonts w:ascii="Arial" w:cs="Arial" w:eastAsia="Arial" w:hAnsi="Arial"/>
                <w:sz w:val="18"/>
                <w:szCs w:val="18"/>
                <w:b w:val="1"/>
                <w:bCs w:val="1"/>
                <w:color w:val="auto"/>
              </w:rPr>
              <w:t>94062</w:t>
            </w:r>
          </w:p>
        </w:tc>
      </w:tr>
      <w:tr>
        <w:trPr>
          <w:trHeight w:val="182"/>
        </w:trPr>
        <w:tc>
          <w:tcPr>
            <w:tcW w:w="2320" w:type="dxa"/>
            <w:vAlign w:val="bottom"/>
          </w:tcPr>
          <w:p>
            <w:pPr>
              <w:jc w:val="center"/>
              <w:spacing w:after="0"/>
              <w:rPr>
                <w:sz w:val="20"/>
                <w:szCs w:val="20"/>
                <w:color w:val="auto"/>
              </w:rPr>
            </w:pPr>
            <w:r>
              <w:rPr>
                <w:rFonts w:ascii="Arial" w:cs="Arial" w:eastAsia="Arial" w:hAnsi="Arial"/>
                <w:sz w:val="14"/>
                <w:szCs w:val="14"/>
                <w:color w:val="auto"/>
                <w:w w:val="95"/>
              </w:rPr>
              <w:t>(Address of principal executive offices)</w:t>
            </w:r>
          </w:p>
        </w:tc>
        <w:tc>
          <w:tcPr>
            <w:tcW w:w="1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900" w:type="dxa"/>
            <w:vAlign w:val="bottom"/>
          </w:tcPr>
          <w:p>
            <w:pPr>
              <w:jc w:val="center"/>
              <w:ind w:right="108"/>
              <w:spacing w:after="0"/>
              <w:rPr>
                <w:sz w:val="20"/>
                <w:szCs w:val="20"/>
                <w:color w:val="auto"/>
              </w:rPr>
            </w:pPr>
            <w:r>
              <w:rPr>
                <w:rFonts w:ascii="Arial" w:cs="Arial" w:eastAsia="Arial" w:hAnsi="Arial"/>
                <w:sz w:val="14"/>
                <w:szCs w:val="14"/>
                <w:color w:val="auto"/>
                <w:w w:val="96"/>
              </w:rPr>
              <w:t>(Zip Code)</w:t>
            </w:r>
          </w:p>
        </w:tc>
      </w:tr>
      <w:tr>
        <w:trPr>
          <w:trHeight w:val="417"/>
        </w:trPr>
        <w:tc>
          <w:tcPr>
            <w:tcW w:w="2320" w:type="dxa"/>
            <w:vAlign w:val="bottom"/>
          </w:tcPr>
          <w:p>
            <w:pPr>
              <w:spacing w:after="0"/>
              <w:rPr>
                <w:sz w:val="24"/>
                <w:szCs w:val="24"/>
                <w:color w:val="auto"/>
              </w:rPr>
            </w:pPr>
          </w:p>
        </w:tc>
        <w:tc>
          <w:tcPr>
            <w:tcW w:w="2580" w:type="dxa"/>
            <w:vAlign w:val="bottom"/>
            <w:gridSpan w:val="2"/>
          </w:tcPr>
          <w:p>
            <w:pPr>
              <w:jc w:val="right"/>
              <w:ind w:right="568"/>
              <w:spacing w:after="0"/>
              <w:rPr>
                <w:sz w:val="20"/>
                <w:szCs w:val="20"/>
                <w:color w:val="auto"/>
              </w:rPr>
            </w:pPr>
            <w:r>
              <w:rPr>
                <w:rFonts w:ascii="Arial" w:cs="Arial" w:eastAsia="Arial" w:hAnsi="Arial"/>
                <w:sz w:val="18"/>
                <w:szCs w:val="18"/>
                <w:b w:val="1"/>
                <w:bCs w:val="1"/>
                <w:color w:val="auto"/>
              </w:rPr>
              <w:t>(650) 235-4769</w:t>
            </w:r>
          </w:p>
        </w:tc>
        <w:tc>
          <w:tcPr>
            <w:tcW w:w="19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-985520</wp:posOffset>
            </wp:positionV>
            <wp:extent cx="57461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461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-694055</wp:posOffset>
            </wp:positionV>
            <wp:extent cx="57461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46115" cy="8890"/>
                    </a:xfrm>
                    <a:prstGeom prst="rect">
                      <a:avLst/>
                    </a:prstGeom>
                    <a:noFill/>
                  </pic:spPr>
                </pic:pic>
              </a:graphicData>
            </a:graphic>
          </wp:anchor>
        </w:drawing>
      </w:r>
    </w:p>
    <w:p>
      <w:pPr>
        <w:spacing w:after="0" w:line="83" w:lineRule="exact"/>
        <w:rPr>
          <w:sz w:val="24"/>
          <w:szCs w:val="24"/>
          <w:color w:val="auto"/>
        </w:rPr>
      </w:pPr>
    </w:p>
    <w:p>
      <w:pPr>
        <w:ind w:left="3280"/>
        <w:spacing w:after="0"/>
        <w:rPr>
          <w:sz w:val="20"/>
          <w:szCs w:val="20"/>
          <w:color w:val="auto"/>
        </w:rPr>
      </w:pPr>
      <w:r>
        <w:rPr>
          <w:rFonts w:ascii="Arial" w:cs="Arial" w:eastAsia="Arial" w:hAnsi="Arial"/>
          <w:sz w:val="14"/>
          <w:szCs w:val="14"/>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2257425</wp:posOffset>
            </wp:positionH>
            <wp:positionV relativeFrom="paragraph">
              <wp:posOffset>201295</wp:posOffset>
            </wp:positionV>
            <wp:extent cx="15436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4"/>
          <w:szCs w:val="24"/>
          <w:color w:val="auto"/>
        </w:rPr>
      </w:pPr>
    </w:p>
    <w:p>
      <w:pPr>
        <w:spacing w:after="0" w:line="393" w:lineRule="exact"/>
        <w:rPr>
          <w:sz w:val="24"/>
          <w:szCs w:val="24"/>
          <w:color w:val="auto"/>
        </w:rPr>
      </w:pPr>
    </w:p>
    <w:p>
      <w:pPr>
        <w:ind w:left="40" w:right="639" w:firstLine="270"/>
        <w:spacing w:after="0" w:line="286"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days.Yes x No o</w:t>
      </w:r>
    </w:p>
    <w:p>
      <w:pPr>
        <w:spacing w:after="0" w:line="57" w:lineRule="exact"/>
        <w:rPr>
          <w:sz w:val="24"/>
          <w:szCs w:val="24"/>
          <w:color w:val="auto"/>
        </w:rPr>
      </w:pPr>
    </w:p>
    <w:p>
      <w:pPr>
        <w:ind w:left="40" w:right="599" w:firstLine="270"/>
        <w:spacing w:after="0" w:line="312"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files).Yes o No o</w:t>
      </w:r>
    </w:p>
    <w:p>
      <w:pPr>
        <w:spacing w:after="0" w:line="39" w:lineRule="exact"/>
        <w:rPr>
          <w:sz w:val="24"/>
          <w:szCs w:val="24"/>
          <w:color w:val="auto"/>
        </w:rPr>
      </w:pPr>
    </w:p>
    <w:p>
      <w:pPr>
        <w:ind w:left="40" w:right="559" w:firstLine="27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57632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63260" cy="8890"/>
                    </a:xfrm>
                    <a:prstGeom prst="rect">
                      <a:avLst/>
                    </a:prstGeom>
                    <a:noFill/>
                  </pic:spPr>
                </pic:pic>
              </a:graphicData>
            </a:graphic>
          </wp:anchor>
        </w:drawing>
      </w:r>
    </w:p>
    <w:p>
      <w:pPr>
        <w:sectPr>
          <w:pgSz w:w="11900" w:h="16838" w:orient="portrait"/>
          <w:cols w:equalWidth="0" w:num="1">
            <w:col w:w="10079"/>
          </w:cols>
          <w:pgMar w:left="380" w:top="1440" w:right="1440" w:bottom="1440" w:gutter="0" w:footer="0" w:header="0"/>
        </w:sectPr>
      </w:pPr>
    </w:p>
    <w:p>
      <w:pPr>
        <w:spacing w:after="0" w:line="118" w:lineRule="exact"/>
        <w:rPr>
          <w:sz w:val="24"/>
          <w:szCs w:val="24"/>
          <w:color w:val="auto"/>
        </w:rPr>
      </w:pPr>
    </w:p>
    <w:p>
      <w:pPr>
        <w:spacing w:after="0"/>
        <w:rPr>
          <w:sz w:val="20"/>
          <w:szCs w:val="20"/>
          <w:color w:val="auto"/>
        </w:rPr>
      </w:pPr>
      <w:r>
        <w:rPr>
          <w:rFonts w:ascii="Arial" w:cs="Arial" w:eastAsia="Arial" w:hAnsi="Arial"/>
          <w:sz w:val="14"/>
          <w:szCs w:val="14"/>
          <w:color w:val="auto"/>
        </w:rPr>
        <w:t>Large accelerated filer o</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 x</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Non-accelerated filer o</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 o</w:t>
      </w:r>
    </w:p>
    <w:p>
      <w:pPr>
        <w:spacing w:after="0" w:line="347" w:lineRule="exact"/>
        <w:rPr>
          <w:sz w:val="24"/>
          <w:szCs w:val="24"/>
          <w:color w:val="auto"/>
        </w:rPr>
      </w:pPr>
    </w:p>
    <w:p>
      <w:pPr>
        <w:sectPr>
          <w:pgSz w:w="11900" w:h="16838" w:orient="portrait"/>
          <w:cols w:equalWidth="0" w:num="4">
            <w:col w:w="1580" w:space="620"/>
            <w:col w:w="1200" w:space="400"/>
            <w:col w:w="2980" w:space="280"/>
            <w:col w:w="3019"/>
          </w:cols>
          <w:pgMar w:left="380" w:top="1440" w:right="1440" w:bottom="1440" w:gutter="0" w:footer="0" w:header="0"/>
          <w:type w:val="continuous"/>
        </w:sectPr>
      </w:pPr>
    </w:p>
    <w:p>
      <w:pPr>
        <w:ind w:left="320" w:right="779"/>
        <w:spacing w:after="0" w:line="440" w:lineRule="auto"/>
        <w:rPr>
          <w:sz w:val="20"/>
          <w:szCs w:val="20"/>
          <w:color w:val="auto"/>
        </w:rPr>
      </w:pPr>
      <w:r>
        <w:rPr>
          <w:rFonts w:ascii="Arial" w:cs="Arial" w:eastAsia="Arial" w:hAnsi="Arial"/>
          <w:sz w:val="17"/>
          <w:szCs w:val="17"/>
          <w:color w:val="auto"/>
        </w:rPr>
        <w:t>Indicate by check mark whether the registrant is a shell company (as defined in Rule 12b-2 of the Exchange Act).Yes o No x The issuer had 22,181,003 shares of common stock, $0.01 par value per share, outstanding as of May 10,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681990</wp:posOffset>
            </wp:positionV>
            <wp:extent cx="6114415"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14415" cy="596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-67945</wp:posOffset>
            </wp:positionV>
            <wp:extent cx="607187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71870"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-42545</wp:posOffset>
            </wp:positionV>
            <wp:extent cx="60718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71870" cy="17145"/>
                    </a:xfrm>
                    <a:prstGeom prst="rect">
                      <a:avLst/>
                    </a:prstGeom>
                    <a:noFill/>
                  </pic:spPr>
                </pic:pic>
              </a:graphicData>
            </a:graphic>
          </wp:anchor>
        </w:drawing>
      </w:r>
    </w:p>
    <w:p>
      <w:pPr>
        <w:sectPr>
          <w:pgSz w:w="11900" w:h="16838" w:orient="portrait"/>
          <w:cols w:equalWidth="0" w:num="1">
            <w:col w:w="10079"/>
          </w:cols>
          <w:pgMar w:left="380" w:top="1440" w:right="1440" w:bottom="1440" w:gutter="0" w:footer="0" w:header="0"/>
          <w:type w:val="continuous"/>
        </w:sectPr>
      </w:pPr>
    </w:p>
    <w:bookmarkStart w:id="1" w:name="page2"/>
    <w:bookmarkEnd w:id="1"/>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GSV CAPITAL CORP.</w:t>
      </w:r>
    </w:p>
    <w:p>
      <w:pPr>
        <w:spacing w:after="0" w:line="22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PAGE</w:t>
            </w:r>
          </w:p>
        </w:tc>
      </w:tr>
      <w:tr>
        <w:trPr>
          <w:trHeight w:val="210"/>
        </w:trPr>
        <w:tc>
          <w:tcPr>
            <w:tcW w:w="7680" w:type="dxa"/>
            <w:vAlign w:val="bottom"/>
            <w:gridSpan w:val="38"/>
            <w:shd w:val="clear" w:color="auto" w:fill="CCEEFF"/>
          </w:tcPr>
          <w:p>
            <w:pPr>
              <w:ind w:left="200"/>
              <w:spacing w:after="0"/>
              <w:rPr>
                <w:sz w:val="20"/>
                <w:szCs w:val="20"/>
                <w:color w:val="auto"/>
              </w:rPr>
            </w:pPr>
            <w:r>
              <w:rPr>
                <w:rFonts w:ascii="Arial" w:cs="Arial" w:eastAsia="Arial" w:hAnsi="Arial"/>
                <w:sz w:val="18"/>
                <w:szCs w:val="18"/>
                <w:b w:val="1"/>
                <w:bCs w:val="1"/>
                <w:color w:val="auto"/>
              </w:rPr>
              <w:t>PART I. FINANCIAL INFORMATION</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6"/>
        </w:trPr>
        <w:tc>
          <w:tcPr>
            <w:tcW w:w="7680" w:type="dxa"/>
            <w:vAlign w:val="bottom"/>
            <w:gridSpan w:val="38"/>
          </w:tcPr>
          <w:p>
            <w:pPr>
              <w:ind w:left="20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Item 1.   Condensed Consolidated Financial Statements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1"/>
        </w:trPr>
        <w:tc>
          <w:tcPr>
            <w:tcW w:w="20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6000" w:type="dxa"/>
            <w:vAlign w:val="bottom"/>
            <w:tcBorders>
              <w:bottom w:val="single" w:sz="8" w:color="0000EE"/>
            </w:tcBorders>
            <w:gridSpan w:val="31"/>
            <w:shd w:val="clear" w:color="auto" w:fill="CCEEFF"/>
          </w:tcPr>
          <w:p>
            <w:pPr>
              <w:spacing w:after="0" w:line="17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Assets and Liabilities as of March 31, 2016</w:t>
              </w:r>
            </w:hyperlink>
          </w:p>
        </w:tc>
        <w:tc>
          <w:tcPr>
            <w:tcW w:w="760" w:type="dxa"/>
            <w:vAlign w:val="bottom"/>
            <w:tcBorders>
              <w:bottom w:val="single" w:sz="8" w:color="CCEEFF"/>
            </w:tcBorders>
            <w:gridSpan w:val="4"/>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r>
      <w:tr>
        <w:trPr>
          <w:trHeight w:val="196"/>
        </w:trPr>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760" w:type="dxa"/>
            <w:vAlign w:val="bottom"/>
            <w:gridSpan w:val="35"/>
            <w:shd w:val="clear" w:color="auto" w:fill="CCEEFF"/>
          </w:tcPr>
          <w:p>
            <w:pPr>
              <w:ind w:left="18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(unaudited) and December 31, 2015</w:t>
              </w:r>
            </w:hyperlink>
          </w:p>
        </w:tc>
        <w:tc>
          <w:tcPr>
            <w:tcW w:w="540" w:type="dxa"/>
            <w:vAlign w:val="bottom"/>
            <w:gridSpan w:val="4"/>
            <w:shd w:val="clear" w:color="auto" w:fill="CCEEFF"/>
          </w:tcPr>
          <w:p>
            <w:pPr>
              <w:jc w:val="right"/>
              <w:ind w:right="10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20" w:type="dxa"/>
            <w:vAlign w:val="bottom"/>
            <w:tcBorders>
              <w:bottom w:val="single" w:sz="8" w:color="0000EE"/>
            </w:tcBorders>
            <w:gridSpan w:val="33"/>
          </w:tcPr>
          <w:p>
            <w:pPr>
              <w:spacing w:after="0" w:line="17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Operations for the three months ended March 31,</w:t>
              </w:r>
            </w:hyperlink>
          </w:p>
        </w:tc>
        <w:tc>
          <w:tcPr>
            <w:tcW w:w="340" w:type="dxa"/>
            <w:vAlign w:val="bottom"/>
            <w:gridSpan w:val="2"/>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60" w:type="dxa"/>
            <w:vAlign w:val="bottom"/>
            <w:gridSpan w:val="35"/>
          </w:tcPr>
          <w:p>
            <w:pPr>
              <w:ind w:left="180"/>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2016 and 2015 (unaudited)</w:t>
              </w:r>
            </w:hyperlink>
          </w:p>
        </w:tc>
        <w:tc>
          <w:tcPr>
            <w:tcW w:w="540" w:type="dxa"/>
            <w:vAlign w:val="bottom"/>
            <w:gridSpan w:val="4"/>
          </w:tcPr>
          <w:p>
            <w:pPr>
              <w:jc w:val="right"/>
              <w:ind w:right="100"/>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3</w:t>
              </w:r>
            </w:hyperlink>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760" w:type="dxa"/>
            <w:vAlign w:val="bottom"/>
            <w:gridSpan w:val="35"/>
            <w:shd w:val="clear" w:color="auto" w:fill="CCEEFF"/>
          </w:tcPr>
          <w:p>
            <w:pPr>
              <w:spacing w:after="0" w:line="176" w:lineRule="exact"/>
              <w:rPr>
                <w:rFonts w:ascii="Arial" w:cs="Arial" w:eastAsia="Arial" w:hAnsi="Arial"/>
                <w:sz w:val="18"/>
                <w:szCs w:val="18"/>
                <w:color w:val="0000EE"/>
                <w:w w:val="92"/>
              </w:rPr>
            </w:pPr>
            <w:hyperlink w:anchor="page7">
              <w:r>
                <w:rPr>
                  <w:rFonts w:ascii="Arial" w:cs="Arial" w:eastAsia="Arial" w:hAnsi="Arial"/>
                  <w:sz w:val="18"/>
                  <w:szCs w:val="18"/>
                  <w:color w:val="0000EE"/>
                  <w:w w:val="92"/>
                </w:rPr>
                <w:t>Condensed Consolidated Statements of Changes in Net Assets for the three months ended</w:t>
              </w:r>
            </w:hyperlink>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96"/>
        </w:trPr>
        <w:tc>
          <w:tcPr>
            <w:tcW w:w="2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460" w:type="dxa"/>
            <w:vAlign w:val="bottom"/>
            <w:tcBorders>
              <w:top w:val="single" w:sz="8" w:color="0000EE"/>
            </w:tcBorders>
            <w:gridSpan w:val="34"/>
            <w:shd w:val="clear" w:color="auto" w:fill="CCEEFF"/>
          </w:tcPr>
          <w:p>
            <w:pPr>
              <w:ind w:left="180"/>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March 31, 2016 and 2015 (unaudited)</w:t>
              </w:r>
            </w:hyperlink>
          </w:p>
        </w:tc>
        <w:tc>
          <w:tcPr>
            <w:tcW w:w="3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gridSpan w:val="4"/>
            <w:shd w:val="clear" w:color="auto" w:fill="CCEEFF"/>
          </w:tcPr>
          <w:p>
            <w:pPr>
              <w:jc w:val="right"/>
              <w:ind w:right="100"/>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4</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760" w:type="dxa"/>
            <w:vAlign w:val="bottom"/>
            <w:gridSpan w:val="35"/>
          </w:tcPr>
          <w:p>
            <w:pPr>
              <w:spacing w:after="0" w:line="176" w:lineRule="exact"/>
              <w:rPr>
                <w:rFonts w:ascii="Arial" w:cs="Arial" w:eastAsia="Arial" w:hAnsi="Arial"/>
                <w:sz w:val="18"/>
                <w:szCs w:val="18"/>
                <w:color w:val="0000EE"/>
                <w:w w:val="93"/>
              </w:rPr>
            </w:pPr>
            <w:hyperlink w:anchor="page8">
              <w:r>
                <w:rPr>
                  <w:rFonts w:ascii="Arial" w:cs="Arial" w:eastAsia="Arial" w:hAnsi="Arial"/>
                  <w:sz w:val="18"/>
                  <w:szCs w:val="18"/>
                  <w:color w:val="0000EE"/>
                  <w:w w:val="93"/>
                </w:rPr>
                <w:t>Condensed Consolidated Statements of Cash Flows for the three months ended March 31,</w:t>
              </w:r>
            </w:hyperlink>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60" w:type="dxa"/>
            <w:vAlign w:val="bottom"/>
            <w:tcBorders>
              <w:top w:val="single" w:sz="8" w:color="0000EE"/>
            </w:tcBorders>
            <w:gridSpan w:val="34"/>
          </w:tcPr>
          <w:p>
            <w:pPr>
              <w:ind w:left="180"/>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2016 and 2015 (unaudited)</w:t>
              </w:r>
            </w:hyperlink>
          </w:p>
        </w:tc>
        <w:tc>
          <w:tcPr>
            <w:tcW w:w="300" w:type="dxa"/>
            <w:vAlign w:val="bottom"/>
          </w:tcPr>
          <w:p>
            <w:pPr>
              <w:spacing w:after="0"/>
              <w:rPr>
                <w:sz w:val="17"/>
                <w:szCs w:val="17"/>
                <w:color w:val="auto"/>
              </w:rPr>
            </w:pPr>
          </w:p>
        </w:tc>
        <w:tc>
          <w:tcPr>
            <w:tcW w:w="540" w:type="dxa"/>
            <w:vAlign w:val="bottom"/>
            <w:gridSpan w:val="4"/>
          </w:tcPr>
          <w:p>
            <w:pPr>
              <w:jc w:val="right"/>
              <w:ind w:right="100"/>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5</w:t>
              </w:r>
            </w:hyperlink>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060" w:type="dxa"/>
            <w:vAlign w:val="bottom"/>
            <w:tcBorders>
              <w:bottom w:val="single" w:sz="8" w:color="0000EE"/>
            </w:tcBorders>
            <w:gridSpan w:val="32"/>
            <w:shd w:val="clear" w:color="auto" w:fill="CCEEFF"/>
          </w:tcPr>
          <w:p>
            <w:pPr>
              <w:spacing w:after="0" w:line="176"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Condensed Consolidated Schedule of Investments as of March 31, 2016 (unaudited)</w:t>
              </w:r>
            </w:hyperlink>
          </w:p>
        </w:tc>
        <w:tc>
          <w:tcPr>
            <w:tcW w:w="700" w:type="dxa"/>
            <w:vAlign w:val="bottom"/>
            <w:tcBorders>
              <w:bottom w:val="single" w:sz="8" w:color="CCEEFF"/>
            </w:tcBorders>
            <w:gridSpan w:val="3"/>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spacing w:after="0"/>
              <w:rPr>
                <w:sz w:val="17"/>
                <w:szCs w:val="17"/>
                <w:color w:val="auto"/>
              </w:rPr>
            </w:pPr>
          </w:p>
        </w:tc>
        <w:tc>
          <w:tcPr>
            <w:tcW w:w="10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6</w:t>
              </w:r>
            </w:hyperlink>
          </w:p>
        </w:tc>
        <w:tc>
          <w:tcPr>
            <w:tcW w:w="100" w:type="dxa"/>
            <w:vAlign w:val="bottom"/>
            <w:tcBorders>
              <w:bottom w:val="single" w:sz="8" w:color="CCEEFF"/>
            </w:tcBorders>
            <w:shd w:val="clear" w:color="auto" w:fill="CCEEFF"/>
          </w:tcPr>
          <w:p>
            <w:pPr>
              <w:spacing w:after="0"/>
              <w:rPr>
                <w:sz w:val="17"/>
                <w:szCs w:val="17"/>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760" w:type="dxa"/>
            <w:vAlign w:val="bottom"/>
            <w:gridSpan w:val="35"/>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Condensed Consolidated Schedule of Investments as of December 31, 2015</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12</w:t>
              </w:r>
            </w:hyperlink>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5840" w:type="dxa"/>
            <w:vAlign w:val="bottom"/>
            <w:tcBorders>
              <w:bottom w:val="single" w:sz="8" w:color="0000EE"/>
            </w:tcBorders>
            <w:gridSpan w:val="29"/>
            <w:shd w:val="clear" w:color="auto" w:fill="CCEEFF"/>
          </w:tcPr>
          <w:p>
            <w:pPr>
              <w:spacing w:after="0" w:line="17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Notes to the Condensed Consolidated Financial Statements as of March 31, 2016</w:t>
              </w:r>
            </w:hyperlink>
          </w:p>
        </w:tc>
        <w:tc>
          <w:tcPr>
            <w:tcW w:w="920" w:type="dxa"/>
            <w:vAlign w:val="bottom"/>
            <w:tcBorders>
              <w:bottom w:val="single" w:sz="8" w:color="CCEEFF"/>
            </w:tcBorders>
            <w:gridSpan w:val="6"/>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r>
      <w:tr>
        <w:trPr>
          <w:trHeight w:val="196"/>
        </w:trPr>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760" w:type="dxa"/>
            <w:vAlign w:val="bottom"/>
            <w:gridSpan w:val="35"/>
            <w:shd w:val="clear" w:color="auto" w:fill="CCEEFF"/>
          </w:tcPr>
          <w:p>
            <w:pPr>
              <w:ind w:left="180"/>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(unaudited)</w:t>
              </w:r>
            </w:hyperlink>
          </w:p>
        </w:tc>
        <w:tc>
          <w:tcPr>
            <w:tcW w:w="540" w:type="dxa"/>
            <w:vAlign w:val="bottom"/>
            <w:gridSpan w:val="4"/>
            <w:shd w:val="clear" w:color="auto" w:fill="CCEEFF"/>
          </w:tcPr>
          <w:p>
            <w:pPr>
              <w:jc w:val="right"/>
              <w:ind w:right="100"/>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18</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760" w:type="dxa"/>
            <w:vAlign w:val="bottom"/>
            <w:gridSpan w:val="35"/>
          </w:tcPr>
          <w:p>
            <w:pPr>
              <w:ind w:left="180"/>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Note 1 — Nature of Operations and Significant Accounting Policies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18</w:t>
              </w:r>
            </w:hyperlink>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760" w:type="dxa"/>
            <w:vAlign w:val="bottom"/>
            <w:gridSpan w:val="35"/>
            <w:shd w:val="clear" w:color="auto" w:fill="CCEEFF"/>
          </w:tcPr>
          <w:p>
            <w:pPr>
              <w:ind w:left="180"/>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Note 2 — Related-Party Arrangements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26</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760" w:type="dxa"/>
            <w:vAlign w:val="bottom"/>
            <w:gridSpan w:val="35"/>
          </w:tcPr>
          <w:p>
            <w:pPr>
              <w:ind w:left="180"/>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Note 3 — Investments at Fair Value</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28</w:t>
              </w:r>
            </w:hyperlink>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760" w:type="dxa"/>
            <w:vAlign w:val="bottom"/>
            <w:gridSpan w:val="35"/>
            <w:shd w:val="clear" w:color="auto" w:fill="CCEEFF"/>
          </w:tcPr>
          <w:p>
            <w:pPr>
              <w:ind w:left="180"/>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Note 4 — Equity Offerings and Related Expenses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33</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760" w:type="dxa"/>
            <w:vAlign w:val="bottom"/>
            <w:gridSpan w:val="35"/>
          </w:tcPr>
          <w:p>
            <w:pPr>
              <w:ind w:left="180"/>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Note 5 — Net Increase/(Decrease) in Net Assets Resulting from Operations per</w:t>
              </w:r>
            </w:hyperlink>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5540" w:type="dxa"/>
            <w:vAlign w:val="bottom"/>
            <w:tcBorders>
              <w:top w:val="single" w:sz="8" w:color="0000EE"/>
            </w:tcBorders>
            <w:gridSpan w:val="28"/>
          </w:tcPr>
          <w:p>
            <w:pPr>
              <w:ind w:left="300"/>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Common Share — Basic and Diluted</w:t>
              </w:r>
            </w:hyperlink>
          </w:p>
        </w:tc>
        <w:tc>
          <w:tcPr>
            <w:tcW w:w="860" w:type="dxa"/>
            <w:vAlign w:val="bottom"/>
            <w:gridSpan w:val="5"/>
          </w:tcPr>
          <w:p>
            <w:pPr>
              <w:spacing w:after="0"/>
              <w:rPr>
                <w:sz w:val="17"/>
                <w:szCs w:val="17"/>
                <w:color w:val="auto"/>
              </w:rPr>
            </w:pPr>
          </w:p>
        </w:tc>
        <w:tc>
          <w:tcPr>
            <w:tcW w:w="540" w:type="dxa"/>
            <w:vAlign w:val="bottom"/>
            <w:gridSpan w:val="4"/>
          </w:tcPr>
          <w:p>
            <w:pPr>
              <w:jc w:val="right"/>
              <w:ind w:right="100"/>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33</w:t>
              </w:r>
            </w:hyperlink>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760" w:type="dxa"/>
            <w:vAlign w:val="bottom"/>
            <w:gridSpan w:val="35"/>
            <w:shd w:val="clear" w:color="auto" w:fill="CCEEFF"/>
          </w:tcPr>
          <w:p>
            <w:pPr>
              <w:ind w:left="180"/>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Note 6 — Commitments and Contingencies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34</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760" w:type="dxa"/>
            <w:vAlign w:val="bottom"/>
            <w:gridSpan w:val="35"/>
          </w:tcPr>
          <w:p>
            <w:pPr>
              <w:ind w:left="180"/>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Note 7 — Financial Highlights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34</w:t>
              </w:r>
            </w:hyperlink>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760" w:type="dxa"/>
            <w:vAlign w:val="bottom"/>
            <w:gridSpan w:val="35"/>
            <w:shd w:val="clear" w:color="auto" w:fill="CCEEFF"/>
          </w:tcPr>
          <w:p>
            <w:pPr>
              <w:ind w:left="180"/>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Note 8 — Income Taxes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35</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760" w:type="dxa"/>
            <w:vAlign w:val="bottom"/>
            <w:gridSpan w:val="35"/>
          </w:tcPr>
          <w:p>
            <w:pPr>
              <w:ind w:left="180"/>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Note 9 — Long Term Liabilities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36</w:t>
              </w:r>
            </w:hyperlink>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760" w:type="dxa"/>
            <w:vAlign w:val="bottom"/>
            <w:gridSpan w:val="35"/>
            <w:shd w:val="clear" w:color="auto" w:fill="CCEEFF"/>
          </w:tcPr>
          <w:p>
            <w:pPr>
              <w:ind w:left="180"/>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Note 10 — Subsequent Events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38</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680" w:type="dxa"/>
            <w:vAlign w:val="bottom"/>
            <w:gridSpan w:val="38"/>
          </w:tcPr>
          <w:p>
            <w:pPr>
              <w:ind w:left="200"/>
              <w:spacing w:after="0" w:line="176" w:lineRule="exact"/>
              <w:rPr>
                <w:rFonts w:ascii="Arial" w:cs="Arial" w:eastAsia="Arial" w:hAnsi="Arial"/>
                <w:sz w:val="18"/>
                <w:szCs w:val="18"/>
                <w:color w:val="0000EE"/>
                <w:w w:val="95"/>
              </w:rPr>
            </w:pPr>
            <w:hyperlink w:anchor="page42">
              <w:r>
                <w:rPr>
                  <w:rFonts w:ascii="Arial" w:cs="Arial" w:eastAsia="Arial" w:hAnsi="Arial"/>
                  <w:sz w:val="18"/>
                  <w:szCs w:val="18"/>
                  <w:color w:val="0000EE"/>
                  <w:w w:val="95"/>
                </w:rPr>
                <w:t>Item 2.   Management’s Discussion and Analysis of Financial Condition and Results of Operations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39</w:t>
              </w:r>
            </w:hyperlink>
          </w:p>
        </w:tc>
      </w:tr>
      <w:tr>
        <w:trPr>
          <w:trHeight w:val="21"/>
        </w:trPr>
        <w:tc>
          <w:tcPr>
            <w:tcW w:w="20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760" w:type="dxa"/>
            <w:vAlign w:val="bottom"/>
            <w:gridSpan w:val="35"/>
            <w:shd w:val="clear" w:color="auto" w:fill="CCEEFF"/>
          </w:tcPr>
          <w:p>
            <w:pPr>
              <w:ind w:left="180"/>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Forward-Looking Statements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39</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760" w:type="dxa"/>
            <w:vAlign w:val="bottom"/>
            <w:gridSpan w:val="35"/>
          </w:tcPr>
          <w:p>
            <w:pPr>
              <w:ind w:left="180"/>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Overview</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40</w:t>
              </w:r>
            </w:hyperlink>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580" w:type="dxa"/>
            <w:vAlign w:val="bottom"/>
            <w:gridSpan w:val="34"/>
            <w:shd w:val="clear" w:color="auto" w:fill="CCEEFF"/>
          </w:tcPr>
          <w:p>
            <w:pPr>
              <w:ind w:left="180"/>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Investments — (Portfolio Activity)</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41</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760" w:type="dxa"/>
            <w:vAlign w:val="bottom"/>
            <w:gridSpan w:val="35"/>
          </w:tcPr>
          <w:p>
            <w:pPr>
              <w:ind w:left="180"/>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Results of Operations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42</w:t>
              </w:r>
            </w:hyperlink>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760" w:type="dxa"/>
            <w:vAlign w:val="bottom"/>
            <w:gridSpan w:val="35"/>
            <w:shd w:val="clear" w:color="auto" w:fill="CCEEFF"/>
          </w:tcPr>
          <w:p>
            <w:pPr>
              <w:ind w:left="180"/>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Liquidity and Capital Resources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44</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580" w:type="dxa"/>
            <w:vAlign w:val="bottom"/>
            <w:gridSpan w:val="34"/>
          </w:tcPr>
          <w:p>
            <w:pPr>
              <w:ind w:left="180"/>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Equity Issuances &amp; Debt Capital Activities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44</w:t>
              </w:r>
            </w:hyperlink>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580" w:type="dxa"/>
            <w:vAlign w:val="bottom"/>
            <w:gridSpan w:val="34"/>
            <w:shd w:val="clear" w:color="auto" w:fill="CCEEFF"/>
          </w:tcPr>
          <w:p>
            <w:pPr>
              <w:ind w:left="180"/>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Contractual Obligations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45</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580" w:type="dxa"/>
            <w:vAlign w:val="bottom"/>
            <w:gridSpan w:val="34"/>
          </w:tcPr>
          <w:p>
            <w:pPr>
              <w:ind w:left="180"/>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Off-Balance Sheet Arrangements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45</w:t>
              </w:r>
            </w:hyperlink>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580" w:type="dxa"/>
            <w:vAlign w:val="bottom"/>
            <w:gridSpan w:val="34"/>
            <w:shd w:val="clear" w:color="auto" w:fill="CCEEFF"/>
          </w:tcPr>
          <w:p>
            <w:pPr>
              <w:ind w:left="180"/>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Distributions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45</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580" w:type="dxa"/>
            <w:vAlign w:val="bottom"/>
            <w:gridSpan w:val="34"/>
          </w:tcPr>
          <w:p>
            <w:pPr>
              <w:ind w:left="180"/>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Borrowings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46</w:t>
              </w:r>
            </w:hyperlink>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760" w:type="dxa"/>
            <w:vAlign w:val="bottom"/>
            <w:gridSpan w:val="35"/>
            <w:shd w:val="clear" w:color="auto" w:fill="CCEEFF"/>
          </w:tcPr>
          <w:p>
            <w:pPr>
              <w:ind w:left="180"/>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Related-Party Transactions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47</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760" w:type="dxa"/>
            <w:vAlign w:val="bottom"/>
            <w:gridSpan w:val="35"/>
          </w:tcPr>
          <w:p>
            <w:pPr>
              <w:ind w:left="180"/>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Critical Accounting Policies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49</w:t>
              </w:r>
            </w:hyperlink>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760" w:type="dxa"/>
            <w:vAlign w:val="bottom"/>
            <w:gridSpan w:val="35"/>
            <w:shd w:val="clear" w:color="auto" w:fill="CCEEFF"/>
          </w:tcPr>
          <w:p>
            <w:pPr>
              <w:ind w:left="180"/>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Recent Developments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51</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680" w:type="dxa"/>
            <w:vAlign w:val="bottom"/>
            <w:gridSpan w:val="38"/>
          </w:tcPr>
          <w:p>
            <w:pPr>
              <w:ind w:left="200"/>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Item 3.   Quantitative and Qualitative Disclosures About Market Risk</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51</w:t>
              </w:r>
            </w:hyperlink>
          </w:p>
        </w:tc>
      </w:tr>
      <w:tr>
        <w:trPr>
          <w:trHeight w:val="21"/>
        </w:trPr>
        <w:tc>
          <w:tcPr>
            <w:tcW w:w="20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7680" w:type="dxa"/>
            <w:vAlign w:val="bottom"/>
            <w:gridSpan w:val="38"/>
            <w:shd w:val="clear" w:color="auto" w:fill="CCEEFF"/>
          </w:tcPr>
          <w:p>
            <w:pPr>
              <w:ind w:left="200"/>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Item 4.   Controls and Procedures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52</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7680" w:type="dxa"/>
            <w:vAlign w:val="bottom"/>
            <w:gridSpan w:val="18"/>
          </w:tcPr>
          <w:p>
            <w:pPr>
              <w:ind w:left="20"/>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45"/>
        </w:trPr>
        <w:tc>
          <w:tcPr>
            <w:tcW w:w="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PAGE</w:t>
            </w:r>
          </w:p>
        </w:tc>
      </w:tr>
      <w:tr>
        <w:trPr>
          <w:trHeight w:val="210"/>
        </w:trPr>
        <w:tc>
          <w:tcPr>
            <w:tcW w:w="20" w:type="dxa"/>
            <w:vAlign w:val="bottom"/>
            <w:shd w:val="clear" w:color="auto" w:fill="CCEEFF"/>
          </w:tcPr>
          <w:p>
            <w:pPr>
              <w:spacing w:after="0"/>
              <w:rPr>
                <w:sz w:val="18"/>
                <w:szCs w:val="18"/>
                <w:color w:val="auto"/>
              </w:rPr>
            </w:pPr>
          </w:p>
        </w:tc>
        <w:tc>
          <w:tcPr>
            <w:tcW w:w="7660" w:type="dxa"/>
            <w:vAlign w:val="bottom"/>
            <w:gridSpan w:val="17"/>
            <w:shd w:val="clear" w:color="auto" w:fill="CCEEFF"/>
          </w:tcPr>
          <w:p>
            <w:pPr>
              <w:ind w:left="180"/>
              <w:spacing w:after="0"/>
              <w:rPr>
                <w:sz w:val="20"/>
                <w:szCs w:val="20"/>
                <w:color w:val="auto"/>
              </w:rPr>
            </w:pPr>
            <w:r>
              <w:rPr>
                <w:rFonts w:ascii="Arial" w:cs="Arial" w:eastAsia="Arial" w:hAnsi="Arial"/>
                <w:sz w:val="18"/>
                <w:szCs w:val="18"/>
                <w:b w:val="1"/>
                <w:bCs w:val="1"/>
                <w:color w:val="auto"/>
              </w:rPr>
              <w:t>PART II.OTHER INFORMATION</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6"/>
        </w:trPr>
        <w:tc>
          <w:tcPr>
            <w:tcW w:w="20" w:type="dxa"/>
            <w:vAlign w:val="bottom"/>
          </w:tcPr>
          <w:p>
            <w:pPr>
              <w:spacing w:after="0"/>
              <w:rPr>
                <w:sz w:val="15"/>
                <w:szCs w:val="15"/>
                <w:color w:val="auto"/>
              </w:rPr>
            </w:pPr>
          </w:p>
        </w:tc>
        <w:tc>
          <w:tcPr>
            <w:tcW w:w="820" w:type="dxa"/>
            <w:vAlign w:val="bottom"/>
            <w:gridSpan w:val="3"/>
          </w:tcPr>
          <w:p>
            <w:pPr>
              <w:ind w:left="180"/>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Item 1.</w:t>
              </w:r>
            </w:hyperlink>
          </w:p>
        </w:tc>
        <w:tc>
          <w:tcPr>
            <w:tcW w:w="6840" w:type="dxa"/>
            <w:vAlign w:val="bottom"/>
            <w:gridSpan w:val="14"/>
          </w:tcPr>
          <w:p>
            <w:pPr>
              <w:ind w:left="80"/>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Legal Proceedings</w:t>
              </w:r>
            </w:hyperlink>
          </w:p>
        </w:tc>
        <w:tc>
          <w:tcPr>
            <w:tcW w:w="540" w:type="dxa"/>
            <w:vAlign w:val="bottom"/>
            <w:gridSpan w:val="3"/>
          </w:tcPr>
          <w:p>
            <w:pPr>
              <w:jc w:val="right"/>
              <w:ind w:right="100"/>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53</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820" w:type="dxa"/>
            <w:vAlign w:val="bottom"/>
            <w:gridSpan w:val="3"/>
            <w:shd w:val="clear" w:color="auto" w:fill="CCEEFF"/>
          </w:tcPr>
          <w:p>
            <w:pPr>
              <w:ind w:left="180"/>
              <w:spacing w:after="0" w:line="176" w:lineRule="exact"/>
              <w:rPr>
                <w:rFonts w:ascii="Arial" w:cs="Arial" w:eastAsia="Arial" w:hAnsi="Arial"/>
                <w:sz w:val="18"/>
                <w:szCs w:val="18"/>
                <w:color w:val="0000EE"/>
                <w:w w:val="92"/>
              </w:rPr>
            </w:pPr>
            <w:hyperlink w:anchor="page56">
              <w:r>
                <w:rPr>
                  <w:rFonts w:ascii="Arial" w:cs="Arial" w:eastAsia="Arial" w:hAnsi="Arial"/>
                  <w:sz w:val="18"/>
                  <w:szCs w:val="18"/>
                  <w:color w:val="0000EE"/>
                  <w:w w:val="92"/>
                </w:rPr>
                <w:t>Item 1A.</w:t>
              </w:r>
            </w:hyperlink>
          </w:p>
        </w:tc>
        <w:tc>
          <w:tcPr>
            <w:tcW w:w="6840" w:type="dxa"/>
            <w:vAlign w:val="bottom"/>
            <w:gridSpan w:val="14"/>
            <w:shd w:val="clear" w:color="auto" w:fill="CCEEFF"/>
          </w:tcPr>
          <w:p>
            <w:pPr>
              <w:ind w:left="80"/>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Risk Factors</w:t>
              </w:r>
            </w:hyperlink>
          </w:p>
        </w:tc>
        <w:tc>
          <w:tcPr>
            <w:tcW w:w="540" w:type="dxa"/>
            <w:vAlign w:val="bottom"/>
            <w:gridSpan w:val="3"/>
            <w:shd w:val="clear" w:color="auto" w:fill="CCEEFF"/>
          </w:tcPr>
          <w:p>
            <w:pPr>
              <w:jc w:val="right"/>
              <w:ind w:right="100"/>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53</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3"/>
          </w:tcPr>
          <w:p>
            <w:pPr>
              <w:ind w:left="180"/>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Item 2.</w:t>
              </w:r>
            </w:hyperlink>
          </w:p>
        </w:tc>
        <w:tc>
          <w:tcPr>
            <w:tcW w:w="6840" w:type="dxa"/>
            <w:vAlign w:val="bottom"/>
            <w:gridSpan w:val="14"/>
          </w:tcPr>
          <w:p>
            <w:pPr>
              <w:ind w:left="80"/>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Unregistered Sales of Equity Securities and Use of Proceeds</w:t>
              </w:r>
            </w:hyperlink>
          </w:p>
        </w:tc>
        <w:tc>
          <w:tcPr>
            <w:tcW w:w="540" w:type="dxa"/>
            <w:vAlign w:val="bottom"/>
            <w:gridSpan w:val="3"/>
          </w:tcPr>
          <w:p>
            <w:pPr>
              <w:jc w:val="right"/>
              <w:ind w:right="100"/>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53</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820" w:type="dxa"/>
            <w:vAlign w:val="bottom"/>
            <w:gridSpan w:val="3"/>
            <w:shd w:val="clear" w:color="auto" w:fill="CCEEFF"/>
          </w:tcPr>
          <w:p>
            <w:pPr>
              <w:ind w:left="180"/>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Item 3.</w:t>
              </w:r>
            </w:hyperlink>
          </w:p>
        </w:tc>
        <w:tc>
          <w:tcPr>
            <w:tcW w:w="6840" w:type="dxa"/>
            <w:vAlign w:val="bottom"/>
            <w:gridSpan w:val="14"/>
            <w:shd w:val="clear" w:color="auto" w:fill="CCEEFF"/>
          </w:tcPr>
          <w:p>
            <w:pPr>
              <w:ind w:left="80"/>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Defaults Upon Senior Securities</w:t>
              </w:r>
            </w:hyperlink>
          </w:p>
        </w:tc>
        <w:tc>
          <w:tcPr>
            <w:tcW w:w="540" w:type="dxa"/>
            <w:vAlign w:val="bottom"/>
            <w:gridSpan w:val="3"/>
            <w:shd w:val="clear" w:color="auto" w:fill="CCEEFF"/>
          </w:tcPr>
          <w:p>
            <w:pPr>
              <w:jc w:val="right"/>
              <w:ind w:right="100"/>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53</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3"/>
          </w:tcPr>
          <w:p>
            <w:pPr>
              <w:ind w:left="180"/>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Item 4.</w:t>
              </w:r>
            </w:hyperlink>
          </w:p>
        </w:tc>
        <w:tc>
          <w:tcPr>
            <w:tcW w:w="6840" w:type="dxa"/>
            <w:vAlign w:val="bottom"/>
            <w:gridSpan w:val="14"/>
          </w:tcPr>
          <w:p>
            <w:pPr>
              <w:ind w:left="80"/>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Mine Safety Disclosure</w:t>
              </w:r>
            </w:hyperlink>
          </w:p>
        </w:tc>
        <w:tc>
          <w:tcPr>
            <w:tcW w:w="540" w:type="dxa"/>
            <w:vAlign w:val="bottom"/>
            <w:gridSpan w:val="3"/>
          </w:tcPr>
          <w:p>
            <w:pPr>
              <w:jc w:val="right"/>
              <w:ind w:right="100"/>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53</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820" w:type="dxa"/>
            <w:vAlign w:val="bottom"/>
            <w:gridSpan w:val="3"/>
            <w:shd w:val="clear" w:color="auto" w:fill="CCEEFF"/>
          </w:tcPr>
          <w:p>
            <w:pPr>
              <w:ind w:left="180"/>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Item 5.</w:t>
              </w:r>
            </w:hyperlink>
          </w:p>
        </w:tc>
        <w:tc>
          <w:tcPr>
            <w:tcW w:w="6840" w:type="dxa"/>
            <w:vAlign w:val="bottom"/>
            <w:gridSpan w:val="14"/>
            <w:shd w:val="clear" w:color="auto" w:fill="CCEEFF"/>
          </w:tcPr>
          <w:p>
            <w:pPr>
              <w:ind w:left="80"/>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Other Information</w:t>
              </w:r>
            </w:hyperlink>
          </w:p>
        </w:tc>
        <w:tc>
          <w:tcPr>
            <w:tcW w:w="540" w:type="dxa"/>
            <w:vAlign w:val="bottom"/>
            <w:gridSpan w:val="3"/>
            <w:shd w:val="clear" w:color="auto" w:fill="CCEEFF"/>
          </w:tcPr>
          <w:p>
            <w:pPr>
              <w:jc w:val="right"/>
              <w:ind w:right="100"/>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53</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3"/>
          </w:tcPr>
          <w:p>
            <w:pPr>
              <w:ind w:left="180"/>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Item 6.</w:t>
              </w:r>
            </w:hyperlink>
          </w:p>
        </w:tc>
        <w:tc>
          <w:tcPr>
            <w:tcW w:w="6840" w:type="dxa"/>
            <w:vAlign w:val="bottom"/>
            <w:gridSpan w:val="14"/>
          </w:tcPr>
          <w:p>
            <w:pPr>
              <w:ind w:left="80"/>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Exhibits</w:t>
              </w:r>
            </w:hyperlink>
          </w:p>
        </w:tc>
        <w:tc>
          <w:tcPr>
            <w:tcW w:w="540" w:type="dxa"/>
            <w:vAlign w:val="bottom"/>
            <w:gridSpan w:val="3"/>
          </w:tcPr>
          <w:p>
            <w:pPr>
              <w:jc w:val="right"/>
              <w:ind w:right="100"/>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54</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74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90"/>
              </w:rPr>
            </w:pPr>
            <w:hyperlink w:anchor="page58">
              <w:r>
                <w:rPr>
                  <w:rFonts w:ascii="Arial" w:cs="Arial" w:eastAsia="Arial" w:hAnsi="Arial"/>
                  <w:sz w:val="18"/>
                  <w:szCs w:val="18"/>
                  <w:color w:val="0000EE"/>
                  <w:w w:val="90"/>
                </w:rPr>
                <w:t>Schedules of Investments in and Advances to Affiliates (Schedules 12-14) as of</w:t>
              </w:r>
            </w:hyperlink>
          </w:p>
        </w:tc>
        <w:tc>
          <w:tcPr>
            <w:tcW w:w="10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r>
      <w:tr>
        <w:trPr>
          <w:trHeight w:val="196"/>
        </w:trPr>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760" w:type="dxa"/>
            <w:vAlign w:val="bottom"/>
            <w:gridSpan w:val="13"/>
            <w:shd w:val="clear" w:color="auto" w:fill="CCEEFF"/>
          </w:tcPr>
          <w:p>
            <w:pPr>
              <w:ind w:left="180"/>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March 31, 2016 (unaudited) and December 31, 2015</w:t>
              </w:r>
            </w:hyperlink>
          </w:p>
        </w:tc>
        <w:tc>
          <w:tcPr>
            <w:tcW w:w="540" w:type="dxa"/>
            <w:vAlign w:val="bottom"/>
            <w:gridSpan w:val="3"/>
            <w:shd w:val="clear" w:color="auto" w:fill="CCEEFF"/>
          </w:tcPr>
          <w:p>
            <w:pPr>
              <w:jc w:val="right"/>
              <w:ind w:right="100"/>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55</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6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4"/>
          </w:tcPr>
          <w:p>
            <w:pPr>
              <w:spacing w:after="0" w:line="176" w:lineRule="exact"/>
              <w:rPr>
                <w:rFonts w:ascii="Arial" w:cs="Arial" w:eastAsia="Arial" w:hAnsi="Arial"/>
                <w:sz w:val="18"/>
                <w:szCs w:val="18"/>
                <w:color w:val="0000EE"/>
                <w:w w:val="85"/>
              </w:rPr>
            </w:pPr>
            <w:hyperlink w:anchor="page65">
              <w:r>
                <w:rPr>
                  <w:rFonts w:ascii="Arial" w:cs="Arial" w:eastAsia="Arial" w:hAnsi="Arial"/>
                  <w:sz w:val="18"/>
                  <w:szCs w:val="18"/>
                  <w:color w:val="0000EE"/>
                  <w:w w:val="85"/>
                </w:rPr>
                <w:t>Signatures</w:t>
              </w:r>
            </w:hyperlink>
          </w:p>
        </w:tc>
        <w:tc>
          <w:tcPr>
            <w:tcW w:w="6000" w:type="dxa"/>
            <w:vAlign w:val="bottom"/>
            <w:gridSpan w:val="9"/>
          </w:tcPr>
          <w:p>
            <w:pPr>
              <w:spacing w:after="0"/>
              <w:rPr>
                <w:sz w:val="15"/>
                <w:szCs w:val="15"/>
                <w:color w:val="auto"/>
              </w:rPr>
            </w:pPr>
          </w:p>
        </w:tc>
        <w:tc>
          <w:tcPr>
            <w:tcW w:w="540" w:type="dxa"/>
            <w:vAlign w:val="bottom"/>
            <w:gridSpan w:val="3"/>
          </w:tcPr>
          <w:p>
            <w:pPr>
              <w:jc w:val="right"/>
              <w:ind w:right="100"/>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62</w:t>
              </w:r>
            </w:hyperlink>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-1706245</wp:posOffset>
            </wp:positionV>
            <wp:extent cx="52139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89" w:right="1440" w:bottom="1440" w:gutter="0" w:footer="0" w:header="0"/>
        </w:sectPr>
      </w:pPr>
    </w:p>
    <w:bookmarkStart w:id="3" w:name="page4"/>
    <w:bookmarkEnd w:id="3"/>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CONDENSED CONSOLIDATED STATEMENTS OF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59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(Unaudited)</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5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at fair value:</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920" w:type="dxa"/>
            <w:vAlign w:val="bottom"/>
          </w:tcPr>
          <w:p>
            <w:pPr>
              <w:ind w:left="200"/>
              <w:spacing w:after="0" w:line="206" w:lineRule="exact"/>
              <w:rPr>
                <w:sz w:val="20"/>
                <w:szCs w:val="20"/>
                <w:color w:val="auto"/>
              </w:rPr>
            </w:pPr>
            <w:r>
              <w:rPr>
                <w:rFonts w:ascii="Arial" w:cs="Arial" w:eastAsia="Arial" w:hAnsi="Arial"/>
                <w:sz w:val="18"/>
                <w:szCs w:val="18"/>
                <w:color w:val="auto"/>
                <w:w w:val="95"/>
              </w:rPr>
              <w:t>Investments in controlled securities (cost of $22,330,392 and $21,830,392,</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5920" w:type="dxa"/>
            <w:vAlign w:val="bottom"/>
          </w:tcPr>
          <w:p>
            <w:pPr>
              <w:ind w:left="380"/>
              <w:spacing w:after="0" w:line="266" w:lineRule="exact"/>
              <w:rPr>
                <w:sz w:val="20"/>
                <w:szCs w:val="20"/>
                <w:color w:val="auto"/>
              </w:rPr>
            </w:pPr>
            <w:r>
              <w:rPr>
                <w:rFonts w:ascii="Arial" w:cs="Arial" w:eastAsia="Arial" w:hAnsi="Arial"/>
                <w:sz w:val="18"/>
                <w:szCs w:val="18"/>
                <w:color w:val="auto"/>
              </w:rPr>
              <w:t>respectively)</w:t>
            </w:r>
            <w:r>
              <w:rPr>
                <w:rFonts w:ascii="Arial" w:cs="Arial" w:eastAsia="Arial" w:hAnsi="Arial"/>
                <w:sz w:val="30"/>
                <w:szCs w:val="30"/>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23,105,062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22,871,790</w:t>
            </w:r>
          </w:p>
        </w:tc>
        <w:tc>
          <w:tcPr>
            <w:tcW w:w="0" w:type="dxa"/>
            <w:vAlign w:val="bottom"/>
          </w:tcPr>
          <w:p>
            <w:pPr>
              <w:spacing w:after="0"/>
              <w:rPr>
                <w:sz w:val="1"/>
                <w:szCs w:val="1"/>
                <w:color w:val="auto"/>
              </w:rPr>
            </w:pPr>
          </w:p>
        </w:tc>
      </w:tr>
      <w:tr>
        <w:trPr>
          <w:trHeight w:val="205"/>
        </w:trPr>
        <w:tc>
          <w:tcPr>
            <w:tcW w:w="5920" w:type="dxa"/>
            <w:vAlign w:val="bottom"/>
            <w:shd w:val="clear" w:color="auto" w:fill="CCEEFF"/>
          </w:tcPr>
          <w:p>
            <w:pPr>
              <w:ind w:left="200"/>
              <w:spacing w:after="0" w:line="206" w:lineRule="exact"/>
              <w:rPr>
                <w:sz w:val="20"/>
                <w:szCs w:val="20"/>
                <w:color w:val="auto"/>
              </w:rPr>
            </w:pPr>
            <w:r>
              <w:rPr>
                <w:rFonts w:ascii="Arial" w:cs="Arial" w:eastAsia="Arial" w:hAnsi="Arial"/>
                <w:sz w:val="18"/>
                <w:szCs w:val="18"/>
                <w:color w:val="auto"/>
                <w:w w:val="97"/>
              </w:rPr>
              <w:t>Investments in affiliated securities (cost of $71,994,560 and $73,942,123,</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5920" w:type="dxa"/>
            <w:vAlign w:val="bottom"/>
            <w:shd w:val="clear" w:color="auto" w:fill="CCEEFF"/>
          </w:tcPr>
          <w:p>
            <w:pPr>
              <w:ind w:left="380"/>
              <w:spacing w:after="0" w:line="266" w:lineRule="exact"/>
              <w:rPr>
                <w:sz w:val="20"/>
                <w:szCs w:val="20"/>
                <w:color w:val="auto"/>
              </w:rPr>
            </w:pPr>
            <w:r>
              <w:rPr>
                <w:rFonts w:ascii="Arial" w:cs="Arial" w:eastAsia="Arial" w:hAnsi="Arial"/>
                <w:sz w:val="18"/>
                <w:szCs w:val="18"/>
                <w:color w:val="auto"/>
              </w:rPr>
              <w:t>respectively)</w:t>
            </w:r>
            <w:r>
              <w:rPr>
                <w:rFonts w:ascii="Arial" w:cs="Arial" w:eastAsia="Arial" w:hAnsi="Arial"/>
                <w:sz w:val="30"/>
                <w:szCs w:val="30"/>
                <w:color w:val="auto"/>
                <w:vertAlign w:val="superscript"/>
              </w:rPr>
              <w:t>(1)</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67,935,085</w:t>
            </w:r>
          </w:p>
        </w:tc>
        <w:tc>
          <w:tcPr>
            <w:tcW w:w="220" w:type="dxa"/>
            <w:vAlign w:val="bottom"/>
            <w:tcBorders>
              <w:lef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66,075,585</w:t>
            </w:r>
          </w:p>
        </w:tc>
        <w:tc>
          <w:tcPr>
            <w:tcW w:w="0" w:type="dxa"/>
            <w:vAlign w:val="bottom"/>
          </w:tcPr>
          <w:p>
            <w:pPr>
              <w:spacing w:after="0"/>
              <w:rPr>
                <w:sz w:val="1"/>
                <w:szCs w:val="1"/>
                <w:color w:val="auto"/>
              </w:rPr>
            </w:pPr>
          </w:p>
        </w:tc>
      </w:tr>
      <w:tr>
        <w:trPr>
          <w:trHeight w:val="202"/>
        </w:trPr>
        <w:tc>
          <w:tcPr>
            <w:tcW w:w="5920" w:type="dxa"/>
            <w:vAlign w:val="bottom"/>
          </w:tcPr>
          <w:p>
            <w:pPr>
              <w:ind w:left="200"/>
              <w:spacing w:after="0" w:line="201" w:lineRule="exact"/>
              <w:rPr>
                <w:sz w:val="20"/>
                <w:szCs w:val="20"/>
                <w:color w:val="auto"/>
              </w:rPr>
            </w:pPr>
            <w:r>
              <w:rPr>
                <w:rFonts w:ascii="Arial" w:cs="Arial" w:eastAsia="Arial" w:hAnsi="Arial"/>
                <w:sz w:val="18"/>
                <w:szCs w:val="18"/>
                <w:color w:val="auto"/>
                <w:w w:val="94"/>
              </w:rPr>
              <w:t>Investments in non-controlled/non-affiliated securities (cost of $193,925,756</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20" w:type="dxa"/>
            <w:vAlign w:val="bottom"/>
          </w:tcPr>
          <w:p>
            <w:pPr>
              <w:ind w:left="380"/>
              <w:spacing w:after="0"/>
              <w:rPr>
                <w:sz w:val="20"/>
                <w:szCs w:val="20"/>
                <w:color w:val="auto"/>
              </w:rPr>
            </w:pPr>
            <w:r>
              <w:rPr>
                <w:rFonts w:ascii="Arial" w:cs="Arial" w:eastAsia="Arial" w:hAnsi="Arial"/>
                <w:sz w:val="18"/>
                <w:szCs w:val="18"/>
                <w:color w:val="auto"/>
              </w:rPr>
              <w:t>and $197,577,328, respectively)</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234,248,249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260,861,392</w:t>
            </w:r>
          </w:p>
        </w:tc>
        <w:tc>
          <w:tcPr>
            <w:tcW w:w="0" w:type="dxa"/>
            <w:vAlign w:val="bottom"/>
          </w:tcPr>
          <w:p>
            <w:pPr>
              <w:spacing w:after="0"/>
              <w:rPr>
                <w:sz w:val="1"/>
                <w:szCs w:val="1"/>
                <w:color w:val="auto"/>
              </w:rPr>
            </w:pPr>
          </w:p>
        </w:tc>
      </w:tr>
      <w:tr>
        <w:trPr>
          <w:trHeight w:val="202"/>
        </w:trPr>
        <w:tc>
          <w:tcPr>
            <w:tcW w:w="59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Investments in treasury bill (cost of $29,999,883 and $29,999,968,</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respectively)</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29,999,883</w:t>
            </w:r>
          </w:p>
        </w:tc>
        <w:tc>
          <w:tcPr>
            <w:tcW w:w="22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30,000,000</w:t>
            </w:r>
          </w:p>
        </w:tc>
        <w:tc>
          <w:tcPr>
            <w:tcW w:w="0" w:type="dxa"/>
            <w:vAlign w:val="bottom"/>
          </w:tcPr>
          <w:p>
            <w:pPr>
              <w:spacing w:after="0"/>
              <w:rPr>
                <w:sz w:val="1"/>
                <w:szCs w:val="1"/>
                <w:color w:val="auto"/>
              </w:rPr>
            </w:pPr>
          </w:p>
        </w:tc>
      </w:tr>
      <w:tr>
        <w:trPr>
          <w:trHeight w:val="205"/>
        </w:trPr>
        <w:tc>
          <w:tcPr>
            <w:tcW w:w="5920" w:type="dxa"/>
            <w:vAlign w:val="bottom"/>
          </w:tcPr>
          <w:p>
            <w:pPr>
              <w:ind w:left="200"/>
              <w:spacing w:after="0" w:line="206" w:lineRule="exact"/>
              <w:rPr>
                <w:sz w:val="20"/>
                <w:szCs w:val="20"/>
                <w:color w:val="auto"/>
              </w:rPr>
            </w:pPr>
            <w:r>
              <w:rPr>
                <w:rFonts w:ascii="Arial" w:cs="Arial" w:eastAsia="Arial" w:hAnsi="Arial"/>
                <w:sz w:val="18"/>
                <w:szCs w:val="18"/>
                <w:color w:val="auto"/>
              </w:rPr>
              <w:t>Investments owned and pledged (amortized cost of $1,845,845 and</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5920" w:type="dxa"/>
            <w:vAlign w:val="bottom"/>
          </w:tcPr>
          <w:p>
            <w:pPr>
              <w:ind w:left="380"/>
              <w:spacing w:after="0" w:line="266" w:lineRule="exact"/>
              <w:rPr>
                <w:sz w:val="20"/>
                <w:szCs w:val="20"/>
                <w:color w:val="auto"/>
              </w:rPr>
            </w:pPr>
            <w:r>
              <w:rPr>
                <w:rFonts w:ascii="Arial" w:cs="Arial" w:eastAsia="Arial" w:hAnsi="Arial"/>
                <w:sz w:val="18"/>
                <w:szCs w:val="18"/>
                <w:color w:val="auto"/>
              </w:rPr>
              <w:t>$3,675,192, respectively)</w:t>
            </w:r>
            <w:r>
              <w:rPr>
                <w:rFonts w:ascii="Arial" w:cs="Arial" w:eastAsia="Arial" w:hAnsi="Arial"/>
                <w:sz w:val="30"/>
                <w:szCs w:val="30"/>
                <w:color w:val="auto"/>
                <w:vertAlign w:val="superscript"/>
              </w:rPr>
              <w:t>(2)</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1,847,613</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3,676,693</w:t>
            </w:r>
          </w:p>
        </w:tc>
        <w:tc>
          <w:tcPr>
            <w:tcW w:w="0" w:type="dxa"/>
            <w:vAlign w:val="bottom"/>
          </w:tcPr>
          <w:p>
            <w:pPr>
              <w:spacing w:after="0"/>
              <w:rPr>
                <w:sz w:val="1"/>
                <w:szCs w:val="1"/>
                <w:color w:val="auto"/>
              </w:rPr>
            </w:pPr>
          </w:p>
        </w:tc>
      </w:tr>
      <w:tr>
        <w:trPr>
          <w:trHeight w:val="195"/>
        </w:trPr>
        <w:tc>
          <w:tcPr>
            <w:tcW w:w="5920" w:type="dxa"/>
            <w:vAlign w:val="bottom"/>
            <w:shd w:val="clear" w:color="auto" w:fill="CCEEFF"/>
          </w:tcPr>
          <w:p>
            <w:pPr>
              <w:ind w:left="200"/>
              <w:spacing w:after="0" w:line="195" w:lineRule="exact"/>
              <w:rPr>
                <w:sz w:val="20"/>
                <w:szCs w:val="20"/>
                <w:color w:val="auto"/>
              </w:rPr>
            </w:pPr>
            <w:r>
              <w:rPr>
                <w:rFonts w:ascii="Arial" w:cs="Arial" w:eastAsia="Arial" w:hAnsi="Arial"/>
                <w:sz w:val="18"/>
                <w:szCs w:val="18"/>
                <w:color w:val="auto"/>
              </w:rPr>
              <w:t>Total Investments (cost of $320,096,436 and $327,025,003,</w:t>
            </w: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tcBorders>
              <w:lef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respectively)</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357,135,892</w:t>
            </w:r>
          </w:p>
        </w:tc>
        <w:tc>
          <w:tcPr>
            <w:tcW w:w="22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383,485,460</w:t>
            </w:r>
          </w:p>
        </w:tc>
        <w:tc>
          <w:tcPr>
            <w:tcW w:w="0" w:type="dxa"/>
            <w:vAlign w:val="bottom"/>
          </w:tcPr>
          <w:p>
            <w:pPr>
              <w:spacing w:after="0"/>
              <w:rPr>
                <w:sz w:val="1"/>
                <w:szCs w:val="1"/>
                <w:color w:val="auto"/>
              </w:rPr>
            </w:pPr>
          </w:p>
        </w:tc>
      </w:tr>
      <w:tr>
        <w:trPr>
          <w:trHeight w:val="216"/>
        </w:trPr>
        <w:tc>
          <w:tcPr>
            <w:tcW w:w="5920" w:type="dxa"/>
            <w:vAlign w:val="bottom"/>
          </w:tcPr>
          <w:p>
            <w:pPr>
              <w:ind w:left="20"/>
              <w:spacing w:after="0"/>
              <w:rPr>
                <w:sz w:val="20"/>
                <w:szCs w:val="20"/>
                <w:color w:val="auto"/>
              </w:rPr>
            </w:pPr>
            <w:r>
              <w:rPr>
                <w:rFonts w:ascii="Arial" w:cs="Arial" w:eastAsia="Arial" w:hAnsi="Arial"/>
                <w:sz w:val="18"/>
                <w:szCs w:val="18"/>
                <w:color w:val="auto"/>
              </w:rPr>
              <w:t>Cash</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4,381,411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13,349,877</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75,681</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52,931</w:t>
            </w:r>
          </w:p>
        </w:tc>
        <w:tc>
          <w:tcPr>
            <w:tcW w:w="0" w:type="dxa"/>
            <w:vAlign w:val="bottom"/>
          </w:tcPr>
          <w:p>
            <w:pPr>
              <w:spacing w:after="0"/>
              <w:rPr>
                <w:sz w:val="1"/>
                <w:szCs w:val="1"/>
                <w:color w:val="auto"/>
              </w:rPr>
            </w:pPr>
          </w:p>
        </w:tc>
      </w:tr>
      <w:tr>
        <w:trPr>
          <w:trHeight w:val="216"/>
        </w:trPr>
        <w:tc>
          <w:tcPr>
            <w:tcW w:w="5920" w:type="dxa"/>
            <w:vAlign w:val="bottom"/>
          </w:tcPr>
          <w:p>
            <w:pPr>
              <w:ind w:left="20"/>
              <w:spacing w:after="0"/>
              <w:rPr>
                <w:sz w:val="20"/>
                <w:szCs w:val="20"/>
                <w:color w:val="auto"/>
              </w:rPr>
            </w:pPr>
            <w:r>
              <w:rPr>
                <w:rFonts w:ascii="Arial" w:cs="Arial" w:eastAsia="Arial" w:hAnsi="Arial"/>
                <w:sz w:val="18"/>
                <w:szCs w:val="18"/>
                <w:color w:val="auto"/>
              </w:rPr>
              <w:t>Due from:</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920" w:type="dxa"/>
            <w:vAlign w:val="bottom"/>
            <w:shd w:val="clear" w:color="auto" w:fill="CCEEFF"/>
          </w:tcPr>
          <w:p>
            <w:pPr>
              <w:ind w:left="200"/>
              <w:spacing w:after="0" w:line="256" w:lineRule="exact"/>
              <w:rPr>
                <w:sz w:val="20"/>
                <w:szCs w:val="20"/>
                <w:color w:val="auto"/>
              </w:rPr>
            </w:pPr>
            <w:r>
              <w:rPr>
                <w:rFonts w:ascii="Arial" w:cs="Arial" w:eastAsia="Arial" w:hAnsi="Arial"/>
                <w:sz w:val="18"/>
                <w:szCs w:val="18"/>
                <w:color w:val="auto"/>
              </w:rPr>
              <w:t>GSV Asset Management</w:t>
            </w:r>
            <w:r>
              <w:rPr>
                <w:rFonts w:ascii="Arial" w:cs="Arial" w:eastAsia="Arial" w:hAnsi="Arial"/>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220" w:type="dxa"/>
            <w:vAlign w:val="bottom"/>
            <w:tcBorders>
              <w:lef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220,770</w:t>
            </w:r>
          </w:p>
        </w:tc>
        <w:tc>
          <w:tcPr>
            <w:tcW w:w="0" w:type="dxa"/>
            <w:vAlign w:val="bottom"/>
          </w:tcPr>
          <w:p>
            <w:pPr>
              <w:spacing w:after="0"/>
              <w:rPr>
                <w:sz w:val="1"/>
                <w:szCs w:val="1"/>
                <w:color w:val="auto"/>
              </w:rPr>
            </w:pPr>
          </w:p>
        </w:tc>
      </w:tr>
      <w:tr>
        <w:trPr>
          <w:trHeight w:val="257"/>
        </w:trPr>
        <w:tc>
          <w:tcPr>
            <w:tcW w:w="5920" w:type="dxa"/>
            <w:vAlign w:val="bottom"/>
          </w:tcPr>
          <w:p>
            <w:pPr>
              <w:ind w:left="200"/>
              <w:spacing w:after="0" w:line="256" w:lineRule="exact"/>
              <w:rPr>
                <w:sz w:val="20"/>
                <w:szCs w:val="20"/>
                <w:color w:val="auto"/>
              </w:rPr>
            </w:pPr>
            <w:r>
              <w:rPr>
                <w:rFonts w:ascii="Arial" w:cs="Arial" w:eastAsia="Arial" w:hAnsi="Arial"/>
                <w:sz w:val="18"/>
                <w:szCs w:val="18"/>
                <w:color w:val="auto"/>
              </w:rPr>
              <w:t>Portfolio companies</w:t>
            </w:r>
            <w:r>
              <w:rPr>
                <w:rFonts w:ascii="Arial" w:cs="Arial" w:eastAsia="Arial" w:hAnsi="Arial"/>
                <w:sz w:val="29"/>
                <w:szCs w:val="29"/>
                <w:color w:val="auto"/>
                <w:vertAlign w:val="superscript"/>
              </w:rPr>
              <w:t>(1)</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52,491</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56,371</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dividends receivable</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185,534</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97,183</w:t>
            </w:r>
          </w:p>
        </w:tc>
        <w:tc>
          <w:tcPr>
            <w:tcW w:w="0" w:type="dxa"/>
            <w:vAlign w:val="bottom"/>
          </w:tcPr>
          <w:p>
            <w:pPr>
              <w:spacing w:after="0"/>
              <w:rPr>
                <w:sz w:val="1"/>
                <w:szCs w:val="1"/>
                <w:color w:val="auto"/>
              </w:rPr>
            </w:pPr>
          </w:p>
        </w:tc>
      </w:tr>
      <w:tr>
        <w:trPr>
          <w:trHeight w:val="216"/>
        </w:trPr>
        <w:tc>
          <w:tcPr>
            <w:tcW w:w="5920" w:type="dxa"/>
            <w:vAlign w:val="bottom"/>
          </w:tcPr>
          <w:p>
            <w:pPr>
              <w:ind w:left="2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161,223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227,826</w:t>
            </w:r>
          </w:p>
        </w:tc>
        <w:tc>
          <w:tcPr>
            <w:tcW w:w="0" w:type="dxa"/>
            <w:vAlign w:val="bottom"/>
          </w:tcPr>
          <w:p>
            <w:pPr>
              <w:spacing w:after="0"/>
              <w:rPr>
                <w:sz w:val="1"/>
                <w:szCs w:val="1"/>
                <w:color w:val="auto"/>
              </w:rPr>
            </w:pPr>
          </w:p>
        </w:tc>
      </w:tr>
      <w:tr>
        <w:trPr>
          <w:trHeight w:val="257"/>
        </w:trPr>
        <w:tc>
          <w:tcPr>
            <w:tcW w:w="592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Deferred financing costs</w:t>
            </w:r>
            <w:r>
              <w:rPr>
                <w:rFonts w:ascii="Arial" w:cs="Arial" w:eastAsia="Arial" w:hAnsi="Arial"/>
                <w:sz w:val="29"/>
                <w:szCs w:val="29"/>
                <w:color w:val="auto"/>
                <w:vertAlign w:val="superscript"/>
              </w:rPr>
              <w:t>(3)</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328,820</w:t>
            </w:r>
          </w:p>
        </w:tc>
        <w:tc>
          <w:tcPr>
            <w:tcW w:w="220" w:type="dxa"/>
            <w:vAlign w:val="bottom"/>
            <w:tcBorders>
              <w:lef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352,653</w:t>
            </w:r>
          </w:p>
        </w:tc>
        <w:tc>
          <w:tcPr>
            <w:tcW w:w="0" w:type="dxa"/>
            <w:vAlign w:val="bottom"/>
          </w:tcPr>
          <w:p>
            <w:pPr>
              <w:spacing w:after="0"/>
              <w:rPr>
                <w:sz w:val="1"/>
                <w:szCs w:val="1"/>
                <w:color w:val="auto"/>
              </w:rPr>
            </w:pPr>
          </w:p>
        </w:tc>
      </w:tr>
      <w:tr>
        <w:trPr>
          <w:trHeight w:val="20"/>
        </w:trPr>
        <w:tc>
          <w:tcPr>
            <w:tcW w:w="59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20" w:type="dxa"/>
            <w:vAlign w:val="bottom"/>
          </w:tcPr>
          <w:p>
            <w:pPr>
              <w:ind w:left="38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362,322,675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397,843,071</w:t>
            </w:r>
          </w:p>
        </w:tc>
        <w:tc>
          <w:tcPr>
            <w:tcW w:w="0" w:type="dxa"/>
            <w:vAlign w:val="bottom"/>
          </w:tcPr>
          <w:p>
            <w:pPr>
              <w:spacing w:after="0"/>
              <w:rPr>
                <w:sz w:val="1"/>
                <w:szCs w:val="1"/>
                <w:color w:val="auto"/>
              </w:rPr>
            </w:pPr>
          </w:p>
        </w:tc>
      </w:tr>
      <w:tr>
        <w:trPr>
          <w:trHeight w:val="210"/>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20"/>
              <w:spacing w:after="0"/>
              <w:rPr>
                <w:sz w:val="20"/>
                <w:szCs w:val="20"/>
                <w:color w:val="auto"/>
              </w:rPr>
            </w:pPr>
            <w:r>
              <w:rPr>
                <w:rFonts w:ascii="Arial" w:cs="Arial" w:eastAsia="Arial" w:hAnsi="Arial"/>
                <w:sz w:val="18"/>
                <w:szCs w:val="18"/>
                <w:color w:val="auto"/>
              </w:rPr>
              <w:t>Due to:</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920" w:type="dxa"/>
            <w:vAlign w:val="bottom"/>
            <w:shd w:val="clear" w:color="auto" w:fill="CCEEFF"/>
          </w:tcPr>
          <w:p>
            <w:pPr>
              <w:ind w:left="200"/>
              <w:spacing w:after="0" w:line="256" w:lineRule="exact"/>
              <w:rPr>
                <w:sz w:val="20"/>
                <w:szCs w:val="20"/>
                <w:color w:val="auto"/>
              </w:rPr>
            </w:pPr>
            <w:r>
              <w:rPr>
                <w:rFonts w:ascii="Arial" w:cs="Arial" w:eastAsia="Arial" w:hAnsi="Arial"/>
                <w:sz w:val="18"/>
                <w:szCs w:val="18"/>
                <w:color w:val="auto"/>
              </w:rPr>
              <w:t>GSV Asset Management</w:t>
            </w:r>
            <w:r>
              <w:rPr>
                <w:rFonts w:ascii="Arial" w:cs="Arial" w:eastAsia="Arial" w:hAnsi="Arial"/>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25,690</w:t>
            </w:r>
          </w:p>
        </w:tc>
        <w:tc>
          <w:tcPr>
            <w:tcW w:w="220" w:type="dxa"/>
            <w:vAlign w:val="bottom"/>
            <w:tcBorders>
              <w:lef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5,047,429</w:t>
            </w:r>
          </w:p>
        </w:tc>
        <w:tc>
          <w:tcPr>
            <w:tcW w:w="0" w:type="dxa"/>
            <w:vAlign w:val="bottom"/>
          </w:tcPr>
          <w:p>
            <w:pPr>
              <w:spacing w:after="0"/>
              <w:rPr>
                <w:sz w:val="1"/>
                <w:szCs w:val="1"/>
                <w:color w:val="auto"/>
              </w:rPr>
            </w:pPr>
          </w:p>
        </w:tc>
      </w:tr>
      <w:tr>
        <w:trPr>
          <w:trHeight w:val="216"/>
        </w:trPr>
        <w:tc>
          <w:tcPr>
            <w:tcW w:w="5920" w:type="dxa"/>
            <w:vAlign w:val="bottom"/>
          </w:tcPr>
          <w:p>
            <w:pPr>
              <w:ind w:left="2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393,161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105,587</w:t>
            </w:r>
          </w:p>
        </w:tc>
        <w:tc>
          <w:tcPr>
            <w:tcW w:w="0" w:type="dxa"/>
            <w:vAlign w:val="bottom"/>
          </w:tcPr>
          <w:p>
            <w:pPr>
              <w:spacing w:after="0"/>
              <w:rPr>
                <w:sz w:val="1"/>
                <w:szCs w:val="1"/>
                <w:color w:val="auto"/>
              </w:rPr>
            </w:pPr>
          </w:p>
        </w:tc>
      </w:tr>
      <w:tr>
        <w:trPr>
          <w:trHeight w:val="257"/>
        </w:trPr>
        <w:tc>
          <w:tcPr>
            <w:tcW w:w="592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Accrued incentive fees</w:t>
            </w:r>
            <w:r>
              <w:rPr>
                <w:rFonts w:ascii="Arial" w:cs="Arial" w:eastAsia="Arial" w:hAnsi="Arial"/>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12,195,980</w:t>
            </w:r>
          </w:p>
        </w:tc>
        <w:tc>
          <w:tcPr>
            <w:tcW w:w="220" w:type="dxa"/>
            <w:vAlign w:val="bottom"/>
            <w:tcBorders>
              <w:lef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17,314,565</w:t>
            </w:r>
          </w:p>
        </w:tc>
        <w:tc>
          <w:tcPr>
            <w:tcW w:w="0" w:type="dxa"/>
            <w:vAlign w:val="bottom"/>
          </w:tcPr>
          <w:p>
            <w:pPr>
              <w:spacing w:after="0"/>
              <w:rPr>
                <w:sz w:val="1"/>
                <w:szCs w:val="1"/>
                <w:color w:val="auto"/>
              </w:rPr>
            </w:pPr>
          </w:p>
        </w:tc>
      </w:tr>
      <w:tr>
        <w:trPr>
          <w:trHeight w:val="257"/>
        </w:trPr>
        <w:tc>
          <w:tcPr>
            <w:tcW w:w="5920" w:type="dxa"/>
            <w:vAlign w:val="bottom"/>
          </w:tcPr>
          <w:p>
            <w:pPr>
              <w:ind w:left="20"/>
              <w:spacing w:after="0" w:line="256" w:lineRule="exact"/>
              <w:rPr>
                <w:sz w:val="20"/>
                <w:szCs w:val="20"/>
                <w:color w:val="auto"/>
              </w:rPr>
            </w:pPr>
            <w:r>
              <w:rPr>
                <w:rFonts w:ascii="Arial" w:cs="Arial" w:eastAsia="Arial" w:hAnsi="Arial"/>
                <w:sz w:val="18"/>
                <w:szCs w:val="18"/>
                <w:color w:val="auto"/>
              </w:rPr>
              <w:t>Accrued management fees</w:t>
            </w:r>
            <w:r>
              <w:rPr>
                <w:rFonts w:ascii="Arial" w:cs="Arial" w:eastAsia="Arial" w:hAnsi="Arial"/>
                <w:sz w:val="29"/>
                <w:szCs w:val="29"/>
                <w:color w:val="auto"/>
                <w:vertAlign w:val="superscript"/>
              </w:rPr>
              <w:t>(1)</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655,912</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683,423</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interest payable</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150,938</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1,056,563</w:t>
            </w:r>
          </w:p>
        </w:tc>
        <w:tc>
          <w:tcPr>
            <w:tcW w:w="0" w:type="dxa"/>
            <w:vAlign w:val="bottom"/>
          </w:tcPr>
          <w:p>
            <w:pPr>
              <w:spacing w:after="0"/>
              <w:rPr>
                <w:sz w:val="1"/>
                <w:szCs w:val="1"/>
                <w:color w:val="auto"/>
              </w:rPr>
            </w:pPr>
          </w:p>
        </w:tc>
      </w:tr>
      <w:tr>
        <w:trPr>
          <w:trHeight w:val="216"/>
        </w:trPr>
        <w:tc>
          <w:tcPr>
            <w:tcW w:w="5920" w:type="dxa"/>
            <w:vAlign w:val="bottom"/>
          </w:tcPr>
          <w:p>
            <w:pPr>
              <w:ind w:left="20"/>
              <w:spacing w:after="0"/>
              <w:rPr>
                <w:sz w:val="20"/>
                <w:szCs w:val="20"/>
                <w:color w:val="auto"/>
              </w:rPr>
            </w:pPr>
            <w:r>
              <w:rPr>
                <w:rFonts w:ascii="Arial" w:cs="Arial" w:eastAsia="Arial" w:hAnsi="Arial"/>
                <w:sz w:val="18"/>
                <w:szCs w:val="18"/>
                <w:color w:val="auto"/>
              </w:rPr>
              <w:t>Payable for securities purchased</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26,499,883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26,499,357</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12,476,155</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12,476,155</w:t>
            </w:r>
          </w:p>
        </w:tc>
        <w:tc>
          <w:tcPr>
            <w:tcW w:w="0" w:type="dxa"/>
            <w:vAlign w:val="bottom"/>
          </w:tcPr>
          <w:p>
            <w:pPr>
              <w:spacing w:after="0"/>
              <w:rPr>
                <w:sz w:val="1"/>
                <w:szCs w:val="1"/>
                <w:color w:val="auto"/>
              </w:rPr>
            </w:pPr>
          </w:p>
        </w:tc>
      </w:tr>
      <w:tr>
        <w:trPr>
          <w:trHeight w:val="257"/>
        </w:trPr>
        <w:tc>
          <w:tcPr>
            <w:tcW w:w="5920" w:type="dxa"/>
            <w:vAlign w:val="bottom"/>
          </w:tcPr>
          <w:p>
            <w:pPr>
              <w:ind w:left="20"/>
              <w:spacing w:after="0" w:line="256" w:lineRule="exact"/>
              <w:rPr>
                <w:sz w:val="20"/>
                <w:szCs w:val="20"/>
                <w:color w:val="auto"/>
              </w:rPr>
            </w:pPr>
            <w:r>
              <w:rPr>
                <w:rFonts w:ascii="Arial" w:cs="Arial" w:eastAsia="Arial" w:hAnsi="Arial"/>
                <w:sz w:val="18"/>
                <w:szCs w:val="18"/>
                <w:color w:val="auto"/>
              </w:rPr>
              <w:t>Convertible Senior Notes payable 5.25% due September 15, 2018</w:t>
            </w:r>
            <w:r>
              <w:rPr>
                <w:rFonts w:ascii="Arial" w:cs="Arial" w:eastAsia="Arial" w:hAnsi="Arial"/>
                <w:sz w:val="29"/>
                <w:szCs w:val="29"/>
                <w:color w:val="auto"/>
                <w:vertAlign w:val="superscript"/>
              </w:rPr>
              <w:t>(2)(3)</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66,863,075</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66,649,047</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2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119,260,794</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129,832,126</w:t>
            </w:r>
          </w:p>
        </w:tc>
        <w:tc>
          <w:tcPr>
            <w:tcW w:w="0" w:type="dxa"/>
            <w:vAlign w:val="bottom"/>
          </w:tcPr>
          <w:p>
            <w:pPr>
              <w:spacing w:after="0"/>
              <w:rPr>
                <w:sz w:val="1"/>
                <w:szCs w:val="1"/>
                <w:color w:val="auto"/>
              </w:rPr>
            </w:pPr>
          </w:p>
        </w:tc>
      </w:tr>
      <w:tr>
        <w:trPr>
          <w:trHeight w:val="210"/>
        </w:trPr>
        <w:tc>
          <w:tcPr>
            <w:tcW w:w="592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Commitments and contingencies (Note 6)</w:t>
            </w: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243,061,881</w:t>
            </w:r>
          </w:p>
        </w:tc>
        <w:tc>
          <w:tcPr>
            <w:tcW w:w="3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268,010,945</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-2091690</wp:posOffset>
            </wp:positionV>
            <wp:extent cx="5213985"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-316865</wp:posOffset>
            </wp:positionV>
            <wp:extent cx="5213985"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620"/>
        <w:spacing w:after="0"/>
        <w:rPr>
          <w:sz w:val="20"/>
          <w:szCs w:val="20"/>
          <w:color w:val="auto"/>
        </w:rPr>
      </w:pPr>
      <w:r>
        <w:rPr>
          <w:rFonts w:ascii="Arial" w:cs="Arial" w:eastAsia="Arial" w:hAnsi="Arial"/>
          <w:sz w:val="18"/>
          <w:szCs w:val="18"/>
          <w:i w:val="1"/>
          <w:iCs w:val="1"/>
          <w:color w:val="auto"/>
        </w:rPr>
        <w:t>See notes to the condensed consolidated financial statements</w:t>
      </w:r>
    </w:p>
    <w:p>
      <w:pPr>
        <w:spacing w:after="0" w:line="200" w:lineRule="exact"/>
        <w:rPr>
          <w:sz w:val="20"/>
          <w:szCs w:val="20"/>
          <w:color w:val="auto"/>
        </w:rPr>
      </w:pPr>
    </w:p>
    <w:p>
      <w:pPr>
        <w:spacing w:after="0" w:line="37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4" w:name="page5"/>
    <w:bookmarkEnd w:id="4"/>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CONDENSED CONSOLIDATED STATEMENTS OF ASSETS AND LIABILITIES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1968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March 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584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NET ASSETS</w:t>
            </w:r>
          </w:p>
        </w:tc>
        <w:tc>
          <w:tcPr>
            <w:tcW w:w="100" w:type="dxa"/>
            <w:vAlign w:val="bottom"/>
          </w:tcPr>
          <w:p>
            <w:pPr>
              <w:spacing w:after="0"/>
              <w:rPr>
                <w:sz w:val="19"/>
                <w:szCs w:val="19"/>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(Unaudited)</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584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40" w:type="dxa"/>
            <w:vAlign w:val="bottom"/>
            <w:gridSpan w:val="3"/>
            <w:shd w:val="clear" w:color="auto" w:fill="CCEEFF"/>
          </w:tcPr>
          <w:p>
            <w:pPr>
              <w:ind w:left="20"/>
              <w:spacing w:after="0" w:line="201" w:lineRule="exact"/>
              <w:rPr>
                <w:sz w:val="20"/>
                <w:szCs w:val="20"/>
                <w:color w:val="auto"/>
              </w:rPr>
            </w:pPr>
            <w:r>
              <w:rPr>
                <w:rFonts w:ascii="Arial" w:cs="Arial" w:eastAsia="Arial" w:hAnsi="Arial"/>
                <w:sz w:val="18"/>
                <w:szCs w:val="18"/>
                <w:color w:val="auto"/>
              </w:rPr>
              <w:t>Common stock, par value $0.01 per share (100,000,000 authorized;</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5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22,181,003 issued and outstanding, respectively)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221,810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221,810</w:t>
            </w:r>
          </w:p>
        </w:tc>
        <w:tc>
          <w:tcPr>
            <w:tcW w:w="0" w:type="dxa"/>
            <w:vAlign w:val="bottom"/>
          </w:tcPr>
          <w:p>
            <w:pPr>
              <w:spacing w:after="0"/>
              <w:rPr>
                <w:sz w:val="1"/>
                <w:szCs w:val="1"/>
                <w:color w:val="auto"/>
              </w:rPr>
            </w:pPr>
          </w:p>
        </w:tc>
      </w:tr>
      <w:tr>
        <w:trPr>
          <w:trHeight w:val="216"/>
        </w:trPr>
        <w:tc>
          <w:tcPr>
            <w:tcW w:w="5840" w:type="dxa"/>
            <w:vAlign w:val="bottom"/>
            <w:gridSpan w:val="3"/>
          </w:tcPr>
          <w:p>
            <w:pPr>
              <w:ind w:left="20"/>
              <w:spacing w:after="0"/>
              <w:rPr>
                <w:sz w:val="20"/>
                <w:szCs w:val="20"/>
                <w:color w:val="auto"/>
              </w:rPr>
            </w:pPr>
            <w:r>
              <w:rPr>
                <w:rFonts w:ascii="Arial" w:cs="Arial" w:eastAsia="Arial" w:hAnsi="Arial"/>
                <w:sz w:val="18"/>
                <w:szCs w:val="18"/>
                <w:color w:val="auto"/>
              </w:rPr>
              <w:t>Paid-in capital in excess of par</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237,757,527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237,757,527</w:t>
            </w:r>
          </w:p>
        </w:tc>
        <w:tc>
          <w:tcPr>
            <w:tcW w:w="0" w:type="dxa"/>
            <w:vAlign w:val="bottom"/>
          </w:tcPr>
          <w:p>
            <w:pPr>
              <w:spacing w:after="0"/>
              <w:rPr>
                <w:sz w:val="1"/>
                <w:szCs w:val="1"/>
                <w:color w:val="auto"/>
              </w:rPr>
            </w:pPr>
          </w:p>
        </w:tc>
      </w:tr>
      <w:tr>
        <w:trPr>
          <w:trHeight w:val="216"/>
        </w:trPr>
        <w:tc>
          <w:tcPr>
            <w:tcW w:w="58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Accumulated net investment loss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(16,087,030)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(16,634,037)</w:t>
            </w:r>
          </w:p>
        </w:tc>
        <w:tc>
          <w:tcPr>
            <w:tcW w:w="0" w:type="dxa"/>
            <w:vAlign w:val="bottom"/>
          </w:tcPr>
          <w:p>
            <w:pPr>
              <w:spacing w:after="0"/>
              <w:rPr>
                <w:sz w:val="1"/>
                <w:szCs w:val="1"/>
                <w:color w:val="auto"/>
              </w:rPr>
            </w:pPr>
          </w:p>
        </w:tc>
      </w:tr>
      <w:tr>
        <w:trPr>
          <w:trHeight w:val="216"/>
        </w:trPr>
        <w:tc>
          <w:tcPr>
            <w:tcW w:w="5840" w:type="dxa"/>
            <w:vAlign w:val="bottom"/>
            <w:gridSpan w:val="3"/>
          </w:tcPr>
          <w:p>
            <w:pPr>
              <w:ind w:left="20"/>
              <w:spacing w:after="0"/>
              <w:rPr>
                <w:sz w:val="20"/>
                <w:szCs w:val="20"/>
                <w:color w:val="auto"/>
              </w:rPr>
            </w:pPr>
            <w:r>
              <w:rPr>
                <w:rFonts w:ascii="Arial" w:cs="Arial" w:eastAsia="Arial" w:hAnsi="Arial"/>
                <w:sz w:val="18"/>
                <w:szCs w:val="18"/>
                <w:color w:val="auto"/>
              </w:rPr>
              <w:t>Accumulated net realized gains/(losses) on investments</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(3,393,728)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2,681,342</w:t>
            </w:r>
          </w:p>
        </w:tc>
        <w:tc>
          <w:tcPr>
            <w:tcW w:w="0" w:type="dxa"/>
            <w:vAlign w:val="bottom"/>
          </w:tcPr>
          <w:p>
            <w:pPr>
              <w:spacing w:after="0"/>
              <w:rPr>
                <w:sz w:val="1"/>
                <w:szCs w:val="1"/>
                <w:color w:val="auto"/>
              </w:rPr>
            </w:pPr>
          </w:p>
        </w:tc>
      </w:tr>
      <w:tr>
        <w:trPr>
          <w:trHeight w:val="216"/>
        </w:trPr>
        <w:tc>
          <w:tcPr>
            <w:tcW w:w="58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Accumulated net unrealized appreciation of investments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24,563,302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43,984,303</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48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gridSpan w:val="2"/>
          </w:tcPr>
          <w:p>
            <w:pPr>
              <w:ind w:left="360"/>
              <w:spacing w:after="0"/>
              <w:rPr>
                <w:sz w:val="20"/>
                <w:szCs w:val="20"/>
                <w:color w:val="auto"/>
              </w:rPr>
            </w:pPr>
            <w:r>
              <w:rPr>
                <w:rFonts w:ascii="Arial" w:cs="Arial" w:eastAsia="Arial" w:hAnsi="Arial"/>
                <w:sz w:val="18"/>
                <w:szCs w:val="18"/>
                <w:b w:val="1"/>
                <w:bCs w:val="1"/>
                <w:color w:val="auto"/>
              </w:rPr>
              <w:t>Net Assets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243,061,881</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268,010,945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58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Net Asset Value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10.96</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64"/>
        </w:trPr>
        <w:tc>
          <w:tcPr>
            <w:tcW w:w="20" w:type="dxa"/>
            <w:vAlign w:val="bottom"/>
            <w:tcBorders>
              <w:top w:val="single" w:sz="8" w:color="CCEEFF"/>
            </w:tcBorders>
          </w:tcPr>
          <w:p>
            <w:pPr>
              <w:spacing w:after="0"/>
              <w:rPr>
                <w:sz w:val="22"/>
                <w:szCs w:val="22"/>
                <w:color w:val="auto"/>
              </w:rPr>
            </w:pPr>
          </w:p>
        </w:tc>
        <w:tc>
          <w:tcPr>
            <w:tcW w:w="980" w:type="dxa"/>
            <w:vAlign w:val="bottom"/>
            <w:tcBorders>
              <w:top w:val="single" w:sz="8" w:color="CCEEFF"/>
              <w:bottom w:val="single" w:sz="8" w:color="auto"/>
            </w:tcBorders>
          </w:tcPr>
          <w:p>
            <w:pPr>
              <w:spacing w:after="0"/>
              <w:rPr>
                <w:sz w:val="22"/>
                <w:szCs w:val="22"/>
                <w:color w:val="auto"/>
              </w:rPr>
            </w:pPr>
          </w:p>
        </w:tc>
        <w:tc>
          <w:tcPr>
            <w:tcW w:w="484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-530860</wp:posOffset>
            </wp:positionV>
            <wp:extent cx="5213985" cy="180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-213995</wp:posOffset>
            </wp:positionV>
            <wp:extent cx="5213985"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36" w:lineRule="exact"/>
        <w:rPr>
          <w:sz w:val="20"/>
          <w:szCs w:val="20"/>
          <w:color w:val="auto"/>
        </w:rPr>
      </w:pPr>
    </w:p>
    <w:p>
      <w:pPr>
        <w:ind w:left="300" w:hanging="27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balance is a related-party transaction. Refer to “Note 2 — Related-Party Arrangements” for more detail.</w:t>
      </w:r>
    </w:p>
    <w:p>
      <w:pPr>
        <w:spacing w:after="0" w:line="117" w:lineRule="exact"/>
        <w:rPr>
          <w:rFonts w:ascii="Arial" w:cs="Arial" w:eastAsia="Arial" w:hAnsi="Arial"/>
          <w:sz w:val="18"/>
          <w:szCs w:val="18"/>
          <w:color w:val="auto"/>
        </w:rPr>
      </w:pPr>
    </w:p>
    <w:p>
      <w:pPr>
        <w:ind w:left="300" w:right="559" w:hanging="272"/>
        <w:spacing w:after="0" w:line="271" w:lineRule="auto"/>
        <w:tabs>
          <w:tab w:leader="none" w:pos="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Refer to “Note 9 — Long Term Liabilities.” In accordance with the terms of the Company’s Convertible Senior Notes payable, the Company deposited $10,867,500 in an escrow account with U.S. Bank National Association, the trustee. These funds were used to purchase six U.S. Treasury Strips with an original cost of $10,845,236. As of March 31, 2016, five of the government securities purchased had matured and the proceeds were used by the trustee in accordance with the terms of the escrow agreement. At March 31, 2016, the remaining government securities are shown on the Condensed Consolidated Statements of Assets and Liabilities as “Investments owned and pledged” with an amortized cost of $1,845,845. The Convertible Senior Notes have a face value of $69,000,000 due to the Company’s investors. Refer to “Note 9 — Long Term Liabilities” for a reconciliation of the carrying value to the face value.</w:t>
      </w:r>
    </w:p>
    <w:p>
      <w:pPr>
        <w:spacing w:after="0" w:line="70" w:lineRule="exact"/>
        <w:rPr>
          <w:rFonts w:ascii="Arial" w:cs="Arial" w:eastAsia="Arial" w:hAnsi="Arial"/>
          <w:sz w:val="17"/>
          <w:szCs w:val="17"/>
          <w:color w:val="auto"/>
        </w:rPr>
      </w:pPr>
    </w:p>
    <w:p>
      <w:pPr>
        <w:ind w:left="300" w:right="739" w:hanging="272"/>
        <w:spacing w:after="0" w:line="276" w:lineRule="auto"/>
        <w:tabs>
          <w:tab w:leader="none" w:pos="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Deferred debt issuance costs of $1,947,572 related to the Company’s issuance of the Convertible Senior Notes payable was previously classified as “Deferred Financing costs” as of December 31, 2015. In accordance with ASU 2015-03, this balance has been retrospectively reclassified as a direct deduction from the Convertible Senior Notes on the Condensed Consolidated Statements of Assets and Liabilities. Refer to “Note 1 — Nature of Operations and Significant Accounting Policies — Recent Accounting Pronouncements,” as well as “Note 9 — Long Term Liabilities” for further detail.</w:t>
      </w:r>
    </w:p>
    <w:p>
      <w:pPr>
        <w:spacing w:after="0" w:line="200" w:lineRule="exact"/>
        <w:rPr>
          <w:sz w:val="20"/>
          <w:szCs w:val="20"/>
          <w:color w:val="auto"/>
        </w:rPr>
      </w:pPr>
    </w:p>
    <w:p>
      <w:pPr>
        <w:spacing w:after="0" w:line="297" w:lineRule="exact"/>
        <w:rPr>
          <w:sz w:val="20"/>
          <w:szCs w:val="20"/>
          <w:color w:val="auto"/>
        </w:rPr>
      </w:pPr>
    </w:p>
    <w:p>
      <w:pPr>
        <w:ind w:left="2620"/>
        <w:spacing w:after="0"/>
        <w:rPr>
          <w:sz w:val="20"/>
          <w:szCs w:val="20"/>
          <w:color w:val="auto"/>
        </w:rPr>
      </w:pPr>
      <w:r>
        <w:rPr>
          <w:rFonts w:ascii="Arial" w:cs="Arial" w:eastAsia="Arial" w:hAnsi="Arial"/>
          <w:sz w:val="18"/>
          <w:szCs w:val="18"/>
          <w:i w:val="1"/>
          <w:iCs w:val="1"/>
          <w:color w:val="auto"/>
        </w:rPr>
        <w:t>See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 w:name="page6"/>
    <w:bookmarkEnd w:id="5"/>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139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0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Three months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Three months</w:t>
            </w: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ended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ended</w:t>
            </w: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March 31,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March 31,</w:t>
            </w: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auto"/>
            </w:tcBorders>
          </w:tcPr>
          <w:p>
            <w:pPr>
              <w:spacing w:after="0"/>
              <w:rPr>
                <w:sz w:val="14"/>
                <w:szCs w:val="14"/>
                <w:color w:val="auto"/>
              </w:rPr>
            </w:pPr>
          </w:p>
        </w:tc>
      </w:tr>
      <w:tr>
        <w:trPr>
          <w:trHeight w:val="196"/>
        </w:trPr>
        <w:tc>
          <w:tcPr>
            <w:tcW w:w="596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INVESTMENT INCOME</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43"/>
        </w:trPr>
        <w:tc>
          <w:tcPr>
            <w:tcW w:w="5960" w:type="dxa"/>
            <w:vAlign w:val="bottom"/>
            <w:gridSpan w:val="3"/>
          </w:tcPr>
          <w:p>
            <w:pPr>
              <w:ind w:left="20"/>
              <w:spacing w:after="0" w:line="242" w:lineRule="exact"/>
              <w:rPr>
                <w:sz w:val="20"/>
                <w:szCs w:val="20"/>
                <w:color w:val="auto"/>
              </w:rPr>
            </w:pPr>
            <w:r>
              <w:rPr>
                <w:rFonts w:ascii="Arial" w:cs="Arial" w:eastAsia="Arial" w:hAnsi="Arial"/>
                <w:sz w:val="16"/>
                <w:szCs w:val="16"/>
                <w:color w:val="auto"/>
              </w:rPr>
              <w:t>Interest income from controlled securities</w:t>
            </w:r>
            <w:r>
              <w:rPr>
                <w:rFonts w:ascii="Arial" w:cs="Arial" w:eastAsia="Arial" w:hAnsi="Arial"/>
                <w:sz w:val="27"/>
                <w:szCs w:val="27"/>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4,889</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43"/>
        </w:trPr>
        <w:tc>
          <w:tcPr>
            <w:tcW w:w="5960" w:type="dxa"/>
            <w:vAlign w:val="bottom"/>
            <w:gridSpan w:val="3"/>
            <w:shd w:val="clear" w:color="auto" w:fill="CCEEFF"/>
          </w:tcPr>
          <w:p>
            <w:pPr>
              <w:ind w:left="20"/>
              <w:spacing w:after="0" w:line="242" w:lineRule="exact"/>
              <w:rPr>
                <w:sz w:val="20"/>
                <w:szCs w:val="20"/>
                <w:color w:val="auto"/>
              </w:rPr>
            </w:pPr>
            <w:r>
              <w:rPr>
                <w:rFonts w:ascii="Arial" w:cs="Arial" w:eastAsia="Arial" w:hAnsi="Arial"/>
                <w:sz w:val="16"/>
                <w:szCs w:val="16"/>
                <w:color w:val="auto"/>
              </w:rPr>
              <w:t>Interest income from affiliated securities</w:t>
            </w:r>
            <w:r>
              <w:rPr>
                <w:rFonts w:ascii="Arial" w:cs="Arial" w:eastAsia="Arial" w:hAnsi="Arial"/>
                <w:sz w:val="27"/>
                <w:szCs w:val="27"/>
                <w:color w:val="auto"/>
                <w:vertAlign w:val="superscript"/>
              </w:rPr>
              <w:t>(1)</w:t>
            </w: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92,478</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51,231</w:t>
            </w:r>
          </w:p>
        </w:tc>
      </w:tr>
      <w:tr>
        <w:trPr>
          <w:trHeight w:val="203"/>
        </w:trPr>
        <w:tc>
          <w:tcPr>
            <w:tcW w:w="5960" w:type="dxa"/>
            <w:vAlign w:val="bottom"/>
            <w:gridSpan w:val="3"/>
          </w:tcPr>
          <w:p>
            <w:pPr>
              <w:ind w:left="20"/>
              <w:spacing w:after="0"/>
              <w:rPr>
                <w:sz w:val="20"/>
                <w:szCs w:val="20"/>
                <w:color w:val="auto"/>
              </w:rPr>
            </w:pPr>
            <w:r>
              <w:rPr>
                <w:rFonts w:ascii="Arial" w:cs="Arial" w:eastAsia="Arial" w:hAnsi="Arial"/>
                <w:sz w:val="16"/>
                <w:szCs w:val="16"/>
                <w:color w:val="auto"/>
              </w:rPr>
              <w:t>Interest income from non-controlled/non-affiliated securities</w:t>
            </w:r>
          </w:p>
        </w:tc>
        <w:tc>
          <w:tcPr>
            <w:tcW w:w="10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5,285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7,793</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596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Total Investment Income</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102,652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59,024</w:t>
            </w:r>
          </w:p>
        </w:tc>
      </w:tr>
      <w:tr>
        <w:trPr>
          <w:trHeight w:val="196"/>
        </w:trPr>
        <w:tc>
          <w:tcPr>
            <w:tcW w:w="5960" w:type="dxa"/>
            <w:vAlign w:val="bottom"/>
            <w:tcBorders>
              <w:top w:val="single" w:sz="8" w:color="CCEEFF"/>
            </w:tcBorders>
            <w:gridSpan w:val="3"/>
          </w:tcPr>
          <w:p>
            <w:pPr>
              <w:ind w:left="20"/>
              <w:spacing w:after="0"/>
              <w:rPr>
                <w:sz w:val="20"/>
                <w:szCs w:val="20"/>
                <w:color w:val="auto"/>
              </w:rPr>
            </w:pPr>
            <w:r>
              <w:rPr>
                <w:rFonts w:ascii="Arial" w:cs="Arial" w:eastAsia="Arial" w:hAnsi="Arial"/>
                <w:sz w:val="16"/>
                <w:szCs w:val="16"/>
                <w:b w:val="1"/>
                <w:bCs w:val="1"/>
                <w:color w:val="auto"/>
              </w:rPr>
              <w:t>OPERATING EXPENSES</w:t>
            </w: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43"/>
        </w:trPr>
        <w:tc>
          <w:tcPr>
            <w:tcW w:w="5960" w:type="dxa"/>
            <w:vAlign w:val="bottom"/>
            <w:gridSpan w:val="3"/>
            <w:shd w:val="clear" w:color="auto" w:fill="CCEEFF"/>
          </w:tcPr>
          <w:p>
            <w:pPr>
              <w:ind w:left="20"/>
              <w:spacing w:after="0" w:line="242" w:lineRule="exact"/>
              <w:rPr>
                <w:sz w:val="20"/>
                <w:szCs w:val="20"/>
                <w:color w:val="auto"/>
              </w:rPr>
            </w:pPr>
            <w:r>
              <w:rPr>
                <w:rFonts w:ascii="Arial" w:cs="Arial" w:eastAsia="Arial" w:hAnsi="Arial"/>
                <w:sz w:val="16"/>
                <w:szCs w:val="16"/>
                <w:color w:val="auto"/>
              </w:rPr>
              <w:t>Management fees</w:t>
            </w:r>
            <w:r>
              <w:rPr>
                <w:rFonts w:ascii="Arial" w:cs="Arial" w:eastAsia="Arial" w:hAnsi="Arial"/>
                <w:sz w:val="27"/>
                <w:szCs w:val="27"/>
                <w:color w:val="auto"/>
                <w:vertAlign w:val="superscript"/>
              </w:rPr>
              <w:t>(1)</w:t>
            </w: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1,958,000</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1,921,128</w:t>
            </w:r>
          </w:p>
        </w:tc>
      </w:tr>
      <w:tr>
        <w:trPr>
          <w:trHeight w:val="243"/>
        </w:trPr>
        <w:tc>
          <w:tcPr>
            <w:tcW w:w="5960" w:type="dxa"/>
            <w:vAlign w:val="bottom"/>
            <w:gridSpan w:val="3"/>
          </w:tcPr>
          <w:p>
            <w:pPr>
              <w:ind w:left="20"/>
              <w:spacing w:after="0" w:line="242" w:lineRule="exact"/>
              <w:rPr>
                <w:sz w:val="20"/>
                <w:szCs w:val="20"/>
                <w:color w:val="auto"/>
              </w:rPr>
            </w:pPr>
            <w:r>
              <w:rPr>
                <w:rFonts w:ascii="Arial" w:cs="Arial" w:eastAsia="Arial" w:hAnsi="Arial"/>
                <w:sz w:val="16"/>
                <w:szCs w:val="16"/>
                <w:color w:val="auto"/>
              </w:rPr>
              <w:t>(Reversal of Incentive fee accrual)/Incentive fees</w:t>
            </w:r>
            <w:r>
              <w:rPr>
                <w:rFonts w:ascii="Arial" w:cs="Arial" w:eastAsia="Arial" w:hAnsi="Arial"/>
                <w:sz w:val="27"/>
                <w:szCs w:val="27"/>
                <w:color w:val="auto"/>
                <w:vertAlign w:val="superscript"/>
              </w:rPr>
              <w:t>(1)</w:t>
            </w:r>
          </w:p>
        </w:tc>
        <w:tc>
          <w:tcPr>
            <w:tcW w:w="10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(5,118,584)</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8,211,728</w:t>
            </w:r>
          </w:p>
        </w:tc>
      </w:tr>
      <w:tr>
        <w:trPr>
          <w:trHeight w:val="243"/>
        </w:trPr>
        <w:tc>
          <w:tcPr>
            <w:tcW w:w="5960" w:type="dxa"/>
            <w:vAlign w:val="bottom"/>
            <w:gridSpan w:val="3"/>
            <w:shd w:val="clear" w:color="auto" w:fill="CCEEFF"/>
          </w:tcPr>
          <w:p>
            <w:pPr>
              <w:ind w:left="20"/>
              <w:spacing w:after="0" w:line="242" w:lineRule="exact"/>
              <w:rPr>
                <w:sz w:val="20"/>
                <w:szCs w:val="20"/>
                <w:color w:val="auto"/>
              </w:rPr>
            </w:pPr>
            <w:r>
              <w:rPr>
                <w:rFonts w:ascii="Arial" w:cs="Arial" w:eastAsia="Arial" w:hAnsi="Arial"/>
                <w:sz w:val="16"/>
                <w:szCs w:val="16"/>
                <w:color w:val="auto"/>
              </w:rPr>
              <w:t>Costs incurred under Administration Agreement</w:t>
            </w:r>
            <w:r>
              <w:rPr>
                <w:rFonts w:ascii="Arial" w:cs="Arial" w:eastAsia="Arial" w:hAnsi="Arial"/>
                <w:sz w:val="27"/>
                <w:szCs w:val="27"/>
                <w:color w:val="auto"/>
                <w:vertAlign w:val="superscript"/>
              </w:rPr>
              <w:t>(1)</w:t>
            </w: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599,950</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802,396</w:t>
            </w:r>
          </w:p>
        </w:tc>
      </w:tr>
      <w:tr>
        <w:trPr>
          <w:trHeight w:val="203"/>
        </w:trPr>
        <w:tc>
          <w:tcPr>
            <w:tcW w:w="5960" w:type="dxa"/>
            <w:vAlign w:val="bottom"/>
            <w:gridSpan w:val="3"/>
          </w:tcPr>
          <w:p>
            <w:pPr>
              <w:ind w:left="20"/>
              <w:spacing w:after="0"/>
              <w:rPr>
                <w:sz w:val="20"/>
                <w:szCs w:val="20"/>
                <w:color w:val="auto"/>
              </w:rPr>
            </w:pPr>
            <w:r>
              <w:rPr>
                <w:rFonts w:ascii="Arial" w:cs="Arial" w:eastAsia="Arial" w:hAnsi="Arial"/>
                <w:sz w:val="16"/>
                <w:szCs w:val="16"/>
                <w:color w:val="auto"/>
              </w:rPr>
              <w:t>Directors’ fees</w:t>
            </w:r>
          </w:p>
        </w:tc>
        <w:tc>
          <w:tcPr>
            <w:tcW w:w="10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86,250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85,306</w:t>
            </w:r>
          </w:p>
        </w:tc>
      </w:tr>
      <w:tr>
        <w:trPr>
          <w:trHeight w:val="203"/>
        </w:trPr>
        <w:tc>
          <w:tcPr>
            <w:tcW w:w="59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Professional fees</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637,128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341,744</w:t>
            </w:r>
          </w:p>
        </w:tc>
      </w:tr>
      <w:tr>
        <w:trPr>
          <w:trHeight w:val="203"/>
        </w:trPr>
        <w:tc>
          <w:tcPr>
            <w:tcW w:w="5960" w:type="dxa"/>
            <w:vAlign w:val="bottom"/>
            <w:gridSpan w:val="3"/>
          </w:tcPr>
          <w:p>
            <w:pPr>
              <w:ind w:left="20"/>
              <w:spacing w:after="0"/>
              <w:rPr>
                <w:sz w:val="20"/>
                <w:szCs w:val="20"/>
                <w:color w:val="auto"/>
              </w:rPr>
            </w:pPr>
            <w:r>
              <w:rPr>
                <w:rFonts w:ascii="Arial" w:cs="Arial" w:eastAsia="Arial" w:hAnsi="Arial"/>
                <w:sz w:val="16"/>
                <w:szCs w:val="16"/>
                <w:color w:val="auto"/>
              </w:rPr>
              <w:t>Interest expense</w:t>
            </w:r>
          </w:p>
        </w:tc>
        <w:tc>
          <w:tcPr>
            <w:tcW w:w="10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1,183,163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1,368,803</w:t>
            </w:r>
          </w:p>
        </w:tc>
      </w:tr>
      <w:tr>
        <w:trPr>
          <w:trHeight w:val="203"/>
        </w:trPr>
        <w:tc>
          <w:tcPr>
            <w:tcW w:w="59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Other expenses</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209,738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121,325</w:t>
            </w: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49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96"/>
        </w:trPr>
        <w:tc>
          <w:tcPr>
            <w:tcW w:w="5960" w:type="dxa"/>
            <w:vAlign w:val="bottom"/>
            <w:gridSpan w:val="3"/>
          </w:tcPr>
          <w:p>
            <w:pPr>
              <w:ind w:left="20"/>
              <w:spacing w:after="0"/>
              <w:rPr>
                <w:sz w:val="20"/>
                <w:szCs w:val="20"/>
                <w:color w:val="auto"/>
              </w:rPr>
            </w:pPr>
            <w:r>
              <w:rPr>
                <w:rFonts w:ascii="Arial" w:cs="Arial" w:eastAsia="Arial" w:hAnsi="Arial"/>
                <w:sz w:val="16"/>
                <w:szCs w:val="16"/>
                <w:color w:val="auto"/>
              </w:rPr>
              <w:t>Total Operating Expenses</w:t>
            </w:r>
          </w:p>
        </w:tc>
        <w:tc>
          <w:tcPr>
            <w:tcW w:w="10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(444,355)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12,852,430</w:t>
            </w:r>
          </w:p>
        </w:tc>
      </w:tr>
      <w:tr>
        <w:trPr>
          <w:trHeight w:val="203"/>
        </w:trPr>
        <w:tc>
          <w:tcPr>
            <w:tcW w:w="20" w:type="dxa"/>
            <w:vAlign w:val="bottom"/>
            <w:shd w:val="clear" w:color="auto" w:fill="CCEEFF"/>
          </w:tcPr>
          <w:p>
            <w:pPr>
              <w:spacing w:after="0"/>
              <w:rPr>
                <w:sz w:val="17"/>
                <w:szCs w:val="17"/>
                <w:color w:val="auto"/>
              </w:rPr>
            </w:pPr>
          </w:p>
        </w:tc>
        <w:tc>
          <w:tcPr>
            <w:tcW w:w="59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Benefit for taxes on net investment loss</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5,223,611</w:t>
            </w: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49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940" w:type="dxa"/>
            <w:vAlign w:val="bottom"/>
            <w:gridSpan w:val="2"/>
          </w:tcPr>
          <w:p>
            <w:pPr>
              <w:ind w:left="180"/>
              <w:spacing w:after="0"/>
              <w:rPr>
                <w:sz w:val="20"/>
                <w:szCs w:val="20"/>
                <w:color w:val="auto"/>
              </w:rPr>
            </w:pPr>
            <w:r>
              <w:rPr>
                <w:rFonts w:ascii="Arial" w:cs="Arial" w:eastAsia="Arial" w:hAnsi="Arial"/>
                <w:sz w:val="16"/>
                <w:szCs w:val="16"/>
                <w:b w:val="1"/>
                <w:bCs w:val="1"/>
                <w:color w:val="auto"/>
              </w:rPr>
              <w:t>Net Investment Income/(Loss)</w:t>
            </w:r>
          </w:p>
        </w:tc>
        <w:tc>
          <w:tcPr>
            <w:tcW w:w="10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547,007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(7,569,795)</w:t>
            </w:r>
          </w:p>
        </w:tc>
      </w:tr>
      <w:tr>
        <w:trPr>
          <w:trHeight w:val="203"/>
        </w:trPr>
        <w:tc>
          <w:tcPr>
            <w:tcW w:w="20" w:type="dxa"/>
            <w:vAlign w:val="bottom"/>
            <w:shd w:val="clear" w:color="auto" w:fill="CCEEFF"/>
          </w:tcPr>
          <w:p>
            <w:pPr>
              <w:spacing w:after="0"/>
              <w:rPr>
                <w:sz w:val="17"/>
                <w:szCs w:val="17"/>
                <w:color w:val="auto"/>
              </w:rPr>
            </w:pPr>
          </w:p>
        </w:tc>
        <w:tc>
          <w:tcPr>
            <w:tcW w:w="5940" w:type="dxa"/>
            <w:vAlign w:val="bottom"/>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Net Realized Gains/(Losses):</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40" w:type="dxa"/>
            <w:vAlign w:val="bottom"/>
            <w:gridSpan w:val="2"/>
          </w:tcPr>
          <w:p>
            <w:pPr>
              <w:ind w:left="180"/>
              <w:spacing w:after="0"/>
              <w:rPr>
                <w:sz w:val="20"/>
                <w:szCs w:val="20"/>
                <w:color w:val="auto"/>
              </w:rPr>
            </w:pPr>
            <w:r>
              <w:rPr>
                <w:rFonts w:ascii="Arial" w:cs="Arial" w:eastAsia="Arial" w:hAnsi="Arial"/>
                <w:sz w:val="16"/>
                <w:szCs w:val="16"/>
                <w:color w:val="auto"/>
              </w:rPr>
              <w:t>From non-controlled/non-affiliated securities</w:t>
            </w:r>
          </w:p>
        </w:tc>
        <w:tc>
          <w:tcPr>
            <w:tcW w:w="10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(6,075,070)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13,218,403</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940" w:type="dxa"/>
            <w:vAlign w:val="bottom"/>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Net Realized Gains/(Losses) on investments</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(6,075,070)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13,218,403</w:t>
            </w: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49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940" w:type="dxa"/>
            <w:vAlign w:val="bottom"/>
            <w:gridSpan w:val="2"/>
          </w:tcPr>
          <w:p>
            <w:pPr>
              <w:ind w:left="180"/>
              <w:spacing w:after="0"/>
              <w:rPr>
                <w:sz w:val="20"/>
                <w:szCs w:val="20"/>
                <w:color w:val="auto"/>
              </w:rPr>
            </w:pPr>
            <w:r>
              <w:rPr>
                <w:rFonts w:ascii="Arial" w:cs="Arial" w:eastAsia="Arial" w:hAnsi="Arial"/>
                <w:sz w:val="16"/>
                <w:szCs w:val="16"/>
                <w:b w:val="1"/>
                <w:bCs w:val="1"/>
                <w:color w:val="auto"/>
              </w:rPr>
              <w:t>Provision for taxes on net realized gains on investments</w:t>
            </w:r>
          </w:p>
        </w:tc>
        <w:tc>
          <w:tcPr>
            <w:tcW w:w="10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(5,397,074)</w:t>
            </w:r>
          </w:p>
        </w:tc>
      </w:tr>
      <w:tr>
        <w:trPr>
          <w:trHeight w:val="203"/>
        </w:trPr>
        <w:tc>
          <w:tcPr>
            <w:tcW w:w="20" w:type="dxa"/>
            <w:vAlign w:val="bottom"/>
            <w:shd w:val="clear" w:color="auto" w:fill="CCEEFF"/>
          </w:tcPr>
          <w:p>
            <w:pPr>
              <w:spacing w:after="0"/>
              <w:rPr>
                <w:sz w:val="17"/>
                <w:szCs w:val="17"/>
                <w:color w:val="auto"/>
              </w:rPr>
            </w:pPr>
          </w:p>
        </w:tc>
        <w:tc>
          <w:tcPr>
            <w:tcW w:w="5940" w:type="dxa"/>
            <w:vAlign w:val="bottom"/>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Net Change in Unrealized Appreciation/(Depreciation) of investments:</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43"/>
        </w:trPr>
        <w:tc>
          <w:tcPr>
            <w:tcW w:w="20" w:type="dxa"/>
            <w:vAlign w:val="bottom"/>
          </w:tcPr>
          <w:p>
            <w:pPr>
              <w:spacing w:after="0"/>
              <w:rPr>
                <w:sz w:val="21"/>
                <w:szCs w:val="21"/>
                <w:color w:val="auto"/>
              </w:rPr>
            </w:pPr>
          </w:p>
        </w:tc>
        <w:tc>
          <w:tcPr>
            <w:tcW w:w="5940" w:type="dxa"/>
            <w:vAlign w:val="bottom"/>
            <w:gridSpan w:val="2"/>
          </w:tcPr>
          <w:p>
            <w:pPr>
              <w:ind w:left="180"/>
              <w:spacing w:after="0" w:line="242" w:lineRule="exact"/>
              <w:rPr>
                <w:sz w:val="20"/>
                <w:szCs w:val="20"/>
                <w:color w:val="auto"/>
              </w:rPr>
            </w:pPr>
            <w:r>
              <w:rPr>
                <w:rFonts w:ascii="Arial" w:cs="Arial" w:eastAsia="Arial" w:hAnsi="Arial"/>
                <w:sz w:val="16"/>
                <w:szCs w:val="16"/>
                <w:color w:val="auto"/>
              </w:rPr>
              <w:t>From controlled securities</w:t>
            </w:r>
            <w:r>
              <w:rPr>
                <w:rFonts w:ascii="Arial" w:cs="Arial" w:eastAsia="Arial" w:hAnsi="Arial"/>
                <w:sz w:val="27"/>
                <w:szCs w:val="27"/>
                <w:color w:val="auto"/>
                <w:vertAlign w:val="superscript"/>
              </w:rPr>
              <w:t>(1)</w:t>
            </w:r>
          </w:p>
        </w:tc>
        <w:tc>
          <w:tcPr>
            <w:tcW w:w="10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(266,728)</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(141,656)</w:t>
            </w:r>
          </w:p>
        </w:tc>
      </w:tr>
      <w:tr>
        <w:trPr>
          <w:trHeight w:val="243"/>
        </w:trPr>
        <w:tc>
          <w:tcPr>
            <w:tcW w:w="20" w:type="dxa"/>
            <w:vAlign w:val="bottom"/>
            <w:shd w:val="clear" w:color="auto" w:fill="CCEEFF"/>
          </w:tcPr>
          <w:p>
            <w:pPr>
              <w:spacing w:after="0"/>
              <w:rPr>
                <w:sz w:val="21"/>
                <w:szCs w:val="21"/>
                <w:color w:val="auto"/>
              </w:rPr>
            </w:pPr>
          </w:p>
        </w:tc>
        <w:tc>
          <w:tcPr>
            <w:tcW w:w="5940" w:type="dxa"/>
            <w:vAlign w:val="bottom"/>
            <w:gridSpan w:val="2"/>
            <w:shd w:val="clear" w:color="auto" w:fill="CCEEFF"/>
          </w:tcPr>
          <w:p>
            <w:pPr>
              <w:ind w:left="180"/>
              <w:spacing w:after="0" w:line="242" w:lineRule="exact"/>
              <w:rPr>
                <w:sz w:val="20"/>
                <w:szCs w:val="20"/>
                <w:color w:val="auto"/>
              </w:rPr>
            </w:pPr>
            <w:r>
              <w:rPr>
                <w:rFonts w:ascii="Arial" w:cs="Arial" w:eastAsia="Arial" w:hAnsi="Arial"/>
                <w:sz w:val="16"/>
                <w:szCs w:val="16"/>
                <w:color w:val="auto"/>
              </w:rPr>
              <w:t>From affiliated securities</w:t>
            </w:r>
            <w:r>
              <w:rPr>
                <w:rFonts w:ascii="Arial" w:cs="Arial" w:eastAsia="Arial" w:hAnsi="Arial"/>
                <w:sz w:val="27"/>
                <w:szCs w:val="27"/>
                <w:color w:val="auto"/>
                <w:vertAlign w:val="superscript"/>
              </w:rPr>
              <w:t>(1)</w:t>
            </w: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(1,148,187)</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249,522</w:t>
            </w:r>
          </w:p>
        </w:tc>
      </w:tr>
      <w:tr>
        <w:trPr>
          <w:trHeight w:val="203"/>
        </w:trPr>
        <w:tc>
          <w:tcPr>
            <w:tcW w:w="20" w:type="dxa"/>
            <w:vAlign w:val="bottom"/>
          </w:tcPr>
          <w:p>
            <w:pPr>
              <w:spacing w:after="0"/>
              <w:rPr>
                <w:sz w:val="17"/>
                <w:szCs w:val="17"/>
                <w:color w:val="auto"/>
              </w:rPr>
            </w:pPr>
          </w:p>
        </w:tc>
        <w:tc>
          <w:tcPr>
            <w:tcW w:w="5940" w:type="dxa"/>
            <w:vAlign w:val="bottom"/>
            <w:gridSpan w:val="2"/>
          </w:tcPr>
          <w:p>
            <w:pPr>
              <w:ind w:left="180"/>
              <w:spacing w:after="0"/>
              <w:rPr>
                <w:sz w:val="20"/>
                <w:szCs w:val="20"/>
                <w:color w:val="auto"/>
              </w:rPr>
            </w:pPr>
            <w:r>
              <w:rPr>
                <w:rFonts w:ascii="Arial" w:cs="Arial" w:eastAsia="Arial" w:hAnsi="Arial"/>
                <w:sz w:val="16"/>
                <w:szCs w:val="16"/>
                <w:color w:val="auto"/>
              </w:rPr>
              <w:t>From non-controlled/non-affiliated securities</w:t>
            </w:r>
          </w:p>
        </w:tc>
        <w:tc>
          <w:tcPr>
            <w:tcW w:w="10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w w:val="90"/>
              </w:rPr>
              <w:t>(18,006,086)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27,676,215</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940" w:type="dxa"/>
            <w:vAlign w:val="bottom"/>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Net Change in Unrealized Appreciation/(Depreciation) of investments</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0"/>
              </w:rPr>
              <w:t>(19,421,001)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27,784,081</w:t>
            </w: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49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940" w:type="dxa"/>
            <w:vAlign w:val="bottom"/>
            <w:gridSpan w:val="2"/>
          </w:tcPr>
          <w:p>
            <w:pPr>
              <w:ind w:left="180"/>
              <w:spacing w:after="0"/>
              <w:rPr>
                <w:sz w:val="20"/>
                <w:szCs w:val="20"/>
                <w:color w:val="auto"/>
              </w:rPr>
            </w:pPr>
            <w:r>
              <w:rPr>
                <w:rFonts w:ascii="Arial" w:cs="Arial" w:eastAsia="Arial" w:hAnsi="Arial"/>
                <w:sz w:val="16"/>
                <w:szCs w:val="16"/>
                <w:b w:val="1"/>
                <w:bCs w:val="1"/>
                <w:color w:val="auto"/>
              </w:rPr>
              <w:t>Provision for taxes on unrealized appreciation of investments</w:t>
            </w:r>
          </w:p>
        </w:tc>
        <w:tc>
          <w:tcPr>
            <w:tcW w:w="10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(11,370,993)</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5940" w:type="dxa"/>
            <w:vAlign w:val="bottom"/>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Net Increase/(Decrease) in Net Assets Resulting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0"/>
              </w:rPr>
              <w:t>(24,949,064)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16,664,622</w:t>
            </w:r>
          </w:p>
        </w:tc>
      </w:tr>
      <w:tr>
        <w:trPr>
          <w:trHeight w:val="182"/>
        </w:trPr>
        <w:tc>
          <w:tcPr>
            <w:tcW w:w="20" w:type="dxa"/>
            <w:vAlign w:val="bottom"/>
            <w:tcBorders>
              <w:top w:val="single" w:sz="8" w:color="CCEEFF"/>
            </w:tcBorders>
          </w:tcPr>
          <w:p>
            <w:pPr>
              <w:spacing w:after="0"/>
              <w:rPr>
                <w:sz w:val="15"/>
                <w:szCs w:val="15"/>
                <w:color w:val="auto"/>
              </w:rPr>
            </w:pPr>
          </w:p>
        </w:tc>
        <w:tc>
          <w:tcPr>
            <w:tcW w:w="5940" w:type="dxa"/>
            <w:vAlign w:val="bottom"/>
            <w:tcBorders>
              <w:top w:val="single" w:sz="8" w:color="CCEEFF"/>
            </w:tcBorders>
            <w:gridSpan w:val="2"/>
          </w:tcPr>
          <w:p>
            <w:pPr>
              <w:ind w:left="180"/>
              <w:spacing w:after="0" w:line="182" w:lineRule="exact"/>
              <w:rPr>
                <w:sz w:val="20"/>
                <w:szCs w:val="20"/>
                <w:color w:val="auto"/>
              </w:rPr>
            </w:pPr>
            <w:r>
              <w:rPr>
                <w:rFonts w:ascii="Arial" w:cs="Arial" w:eastAsia="Arial" w:hAnsi="Arial"/>
                <w:sz w:val="16"/>
                <w:szCs w:val="16"/>
                <w:b w:val="1"/>
                <w:bCs w:val="1"/>
                <w:color w:val="auto"/>
                <w:w w:val="96"/>
              </w:rPr>
              <w:t>Net Increase/(Decrease) in Net Assets Resulting from Operations per Common</w:t>
            </w: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5940" w:type="dxa"/>
            <w:vAlign w:val="bottom"/>
            <w:gridSpan w:val="2"/>
          </w:tcPr>
          <w:p>
            <w:pPr>
              <w:ind w:left="360"/>
              <w:spacing w:after="0"/>
              <w:rPr>
                <w:sz w:val="20"/>
                <w:szCs w:val="20"/>
                <w:color w:val="auto"/>
              </w:rPr>
            </w:pPr>
            <w:r>
              <w:rPr>
                <w:rFonts w:ascii="Arial" w:cs="Arial" w:eastAsia="Arial" w:hAnsi="Arial"/>
                <w:sz w:val="16"/>
                <w:szCs w:val="16"/>
                <w:b w:val="1"/>
                <w:bCs w:val="1"/>
                <w:color w:val="auto"/>
              </w:rPr>
              <w:t>Share</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6"/>
        </w:trPr>
        <w:tc>
          <w:tcPr>
            <w:tcW w:w="20" w:type="dxa"/>
            <w:vAlign w:val="bottom"/>
            <w:shd w:val="clear" w:color="auto" w:fill="CCEEFF"/>
          </w:tcPr>
          <w:p>
            <w:pPr>
              <w:spacing w:after="0"/>
              <w:rPr>
                <w:sz w:val="19"/>
                <w:szCs w:val="19"/>
                <w:color w:val="auto"/>
              </w:rPr>
            </w:pPr>
          </w:p>
        </w:tc>
        <w:tc>
          <w:tcPr>
            <w:tcW w:w="5940" w:type="dxa"/>
            <w:vAlign w:val="bottom"/>
            <w:gridSpan w:val="2"/>
            <w:shd w:val="clear" w:color="auto" w:fill="CCEEFF"/>
          </w:tcPr>
          <w:p>
            <w:pPr>
              <w:ind w:left="360"/>
              <w:spacing w:after="0"/>
              <w:rPr>
                <w:sz w:val="20"/>
                <w:szCs w:val="20"/>
                <w:color w:val="auto"/>
              </w:rPr>
            </w:pPr>
            <w:r>
              <w:rPr>
                <w:rFonts w:ascii="Arial" w:cs="Arial" w:eastAsia="Arial" w:hAnsi="Arial"/>
                <w:sz w:val="16"/>
                <w:szCs w:val="16"/>
                <w:b w:val="1"/>
                <w:bCs w:val="1"/>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0.86</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gridSpan w:val="2"/>
          </w:tcPr>
          <w:p>
            <w:pPr>
              <w:ind w:left="360"/>
              <w:spacing w:after="0" w:line="236" w:lineRule="exact"/>
              <w:rPr>
                <w:sz w:val="20"/>
                <w:szCs w:val="20"/>
                <w:color w:val="auto"/>
              </w:rPr>
            </w:pPr>
            <w:r>
              <w:rPr>
                <w:rFonts w:ascii="Arial" w:cs="Arial" w:eastAsia="Arial" w:hAnsi="Arial"/>
                <w:sz w:val="16"/>
                <w:szCs w:val="16"/>
                <w:b w:val="1"/>
                <w:bCs w:val="1"/>
                <w:color w:val="auto"/>
              </w:rPr>
              <w:t>Diluted</w:t>
            </w:r>
            <w:r>
              <w:rPr>
                <w:rFonts w:ascii="Arial" w:cs="Arial" w:eastAsia="Arial" w:hAnsi="Arial"/>
                <w:sz w:val="27"/>
                <w:szCs w:val="27"/>
                <w:b w:val="1"/>
                <w:bCs w:val="1"/>
                <w:color w:val="auto"/>
                <w:vertAlign w:val="superscript"/>
              </w:rPr>
              <w:t>(2)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(1.12)</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0.73</w:t>
            </w: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940" w:type="dxa"/>
            <w:vAlign w:val="bottom"/>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Weighted-Average Common Shares Outstanding</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40" w:type="dxa"/>
            <w:vAlign w:val="bottom"/>
            <w:gridSpan w:val="2"/>
          </w:tcPr>
          <w:p>
            <w:pPr>
              <w:ind w:left="360"/>
              <w:spacing w:after="0"/>
              <w:rPr>
                <w:sz w:val="20"/>
                <w:szCs w:val="20"/>
                <w:color w:val="auto"/>
              </w:rPr>
            </w:pPr>
            <w:r>
              <w:rPr>
                <w:rFonts w:ascii="Arial" w:cs="Arial" w:eastAsia="Arial" w:hAnsi="Arial"/>
                <w:sz w:val="16"/>
                <w:szCs w:val="16"/>
                <w:b w:val="1"/>
                <w:bCs w:val="1"/>
                <w:color w:val="auto"/>
              </w:rPr>
              <w:t>Basic</w:t>
            </w:r>
          </w:p>
        </w:tc>
        <w:tc>
          <w:tcPr>
            <w:tcW w:w="10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w w:val="94"/>
              </w:rPr>
              <w:t>22,181,003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19,320,100</w:t>
            </w: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5940" w:type="dxa"/>
            <w:vAlign w:val="bottom"/>
            <w:gridSpan w:val="2"/>
            <w:shd w:val="clear" w:color="auto" w:fill="CCEEFF"/>
          </w:tcPr>
          <w:p>
            <w:pPr>
              <w:ind w:left="360"/>
              <w:spacing w:after="0" w:line="236" w:lineRule="exact"/>
              <w:rPr>
                <w:sz w:val="20"/>
                <w:szCs w:val="20"/>
                <w:color w:val="auto"/>
              </w:rPr>
            </w:pPr>
            <w:r>
              <w:rPr>
                <w:rFonts w:ascii="Arial" w:cs="Arial" w:eastAsia="Arial" w:hAnsi="Arial"/>
                <w:sz w:val="16"/>
                <w:szCs w:val="16"/>
                <w:b w:val="1"/>
                <w:bCs w:val="1"/>
                <w:color w:val="auto"/>
              </w:rPr>
              <w:t>Diluted</w:t>
            </w:r>
            <w:r>
              <w:rPr>
                <w:rFonts w:ascii="Arial" w:cs="Arial" w:eastAsia="Arial" w:hAnsi="Arial"/>
                <w:sz w:val="27"/>
                <w:szCs w:val="27"/>
                <w:b w:val="1"/>
                <w:bCs w:val="1"/>
                <w:color w:val="auto"/>
                <w:vertAlign w:val="superscript"/>
              </w:rPr>
              <w:t>(2)</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4"/>
              </w:rPr>
              <w:t>22,181,003</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23,564,228</w:t>
            </w:r>
          </w:p>
        </w:tc>
      </w:tr>
      <w:tr>
        <w:trPr>
          <w:trHeight w:val="264"/>
        </w:trPr>
        <w:tc>
          <w:tcPr>
            <w:tcW w:w="20" w:type="dxa"/>
            <w:vAlign w:val="bottom"/>
            <w:tcBorders>
              <w:top w:val="single" w:sz="8" w:color="CCEEFF"/>
            </w:tcBorders>
          </w:tcPr>
          <w:p>
            <w:pPr>
              <w:spacing w:after="0"/>
              <w:rPr>
                <w:sz w:val="22"/>
                <w:szCs w:val="22"/>
                <w:color w:val="auto"/>
              </w:rPr>
            </w:pPr>
          </w:p>
        </w:tc>
        <w:tc>
          <w:tcPr>
            <w:tcW w:w="980" w:type="dxa"/>
            <w:vAlign w:val="bottom"/>
            <w:tcBorders>
              <w:top w:val="single" w:sz="8" w:color="CCEEFF"/>
              <w:bottom w:val="single" w:sz="8" w:color="auto"/>
            </w:tcBorders>
          </w:tcPr>
          <w:p>
            <w:pPr>
              <w:spacing w:after="0"/>
              <w:rPr>
                <w:sz w:val="22"/>
                <w:szCs w:val="22"/>
                <w:color w:val="auto"/>
              </w:rPr>
            </w:pPr>
          </w:p>
        </w:tc>
        <w:tc>
          <w:tcPr>
            <w:tcW w:w="496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-4330065</wp:posOffset>
            </wp:positionV>
            <wp:extent cx="5213985"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-3215005</wp:posOffset>
            </wp:positionV>
            <wp:extent cx="5213985"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-2949575</wp:posOffset>
            </wp:positionV>
            <wp:extent cx="5213985"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-2417445</wp:posOffset>
            </wp:positionV>
            <wp:extent cx="5213985"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-1577340</wp:posOffset>
            </wp:positionV>
            <wp:extent cx="5213985"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-1303020</wp:posOffset>
            </wp:positionV>
            <wp:extent cx="5213985" cy="2914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213985" cy="2914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-882650</wp:posOffset>
            </wp:positionV>
            <wp:extent cx="5213985" cy="2228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213985" cy="2228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-213995</wp:posOffset>
            </wp:positionV>
            <wp:extent cx="5213985"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36" w:lineRule="exact"/>
        <w:rPr>
          <w:sz w:val="20"/>
          <w:szCs w:val="20"/>
          <w:color w:val="auto"/>
        </w:rPr>
      </w:pPr>
    </w:p>
    <w:p>
      <w:pPr>
        <w:ind w:left="300" w:hanging="272"/>
        <w:spacing w:after="0"/>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balance is a related-party transaction. Refer to “Note 2 — Related-Party Arrangements” for more detail.</w:t>
      </w:r>
    </w:p>
    <w:p>
      <w:pPr>
        <w:spacing w:after="0" w:line="117" w:lineRule="exact"/>
        <w:rPr>
          <w:rFonts w:ascii="Arial" w:cs="Arial" w:eastAsia="Arial" w:hAnsi="Arial"/>
          <w:sz w:val="18"/>
          <w:szCs w:val="18"/>
          <w:color w:val="auto"/>
        </w:rPr>
      </w:pPr>
    </w:p>
    <w:p>
      <w:pPr>
        <w:ind w:left="300" w:right="699" w:hanging="272"/>
        <w:spacing w:after="0" w:line="279" w:lineRule="auto"/>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For the three months ended March 31, 2016, 5,710,212 potentially dilutive common shares were excluded from the weighted-average common shares outstanding for diluted net decrease in net assets resulting from operations per common share because the effect of these shares would have been anti-dilutive. Refer to “Note 5 — Net Increase/(Decrease) in Net Assets Resulting from Operations per Common Share — Basic and Diluted” for further detail.</w:t>
      </w:r>
    </w:p>
    <w:p>
      <w:pPr>
        <w:spacing w:after="0" w:line="200" w:lineRule="exact"/>
        <w:rPr>
          <w:sz w:val="20"/>
          <w:szCs w:val="20"/>
          <w:color w:val="auto"/>
        </w:rPr>
      </w:pPr>
    </w:p>
    <w:p>
      <w:pPr>
        <w:spacing w:after="0" w:line="296" w:lineRule="exact"/>
        <w:rPr>
          <w:sz w:val="20"/>
          <w:szCs w:val="20"/>
          <w:color w:val="auto"/>
        </w:rPr>
      </w:pPr>
    </w:p>
    <w:p>
      <w:pPr>
        <w:ind w:left="2620"/>
        <w:spacing w:after="0"/>
        <w:rPr>
          <w:sz w:val="20"/>
          <w:szCs w:val="20"/>
          <w:color w:val="auto"/>
        </w:rPr>
      </w:pPr>
      <w:r>
        <w:rPr>
          <w:rFonts w:ascii="Arial" w:cs="Arial" w:eastAsia="Arial" w:hAnsi="Arial"/>
          <w:sz w:val="18"/>
          <w:szCs w:val="18"/>
          <w:i w:val="1"/>
          <w:iCs w:val="1"/>
          <w:color w:val="auto"/>
        </w:rPr>
        <w:t>See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 w:name="page7"/>
    <w:bookmarkEnd w:id="6"/>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STATEMENTS OF CHANGES IN NET ASSETS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19684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Three months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Three months</w:t>
            </w:r>
          </w:p>
        </w:tc>
      </w:tr>
      <w:tr>
        <w:trPr>
          <w:trHeight w:val="149"/>
        </w:trPr>
        <w:tc>
          <w:tcPr>
            <w:tcW w:w="5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ended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ended</w:t>
            </w:r>
          </w:p>
        </w:tc>
      </w:tr>
      <w:tr>
        <w:trPr>
          <w:trHeight w:val="149"/>
        </w:trPr>
        <w:tc>
          <w:tcPr>
            <w:tcW w:w="5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9"/>
              </w:rPr>
              <w:t>March 31,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March 31,</w:t>
            </w:r>
          </w:p>
        </w:tc>
      </w:tr>
      <w:tr>
        <w:trPr>
          <w:trHeight w:val="171"/>
        </w:trPr>
        <w:tc>
          <w:tcPr>
            <w:tcW w:w="59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auto"/>
            </w:tcBorders>
          </w:tcPr>
          <w:p>
            <w:pPr>
              <w:spacing w:after="0"/>
              <w:rPr>
                <w:sz w:val="14"/>
                <w:szCs w:val="14"/>
                <w:color w:val="auto"/>
              </w:rPr>
            </w:pPr>
          </w:p>
        </w:tc>
      </w:tr>
      <w:tr>
        <w:trPr>
          <w:trHeight w:val="196"/>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Increase/(Decrease) in Net Assets Resulting from Operations</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920" w:type="dxa"/>
            <w:vAlign w:val="bottom"/>
          </w:tcPr>
          <w:p>
            <w:pPr>
              <w:ind w:left="20"/>
              <w:spacing w:after="0"/>
              <w:rPr>
                <w:sz w:val="20"/>
                <w:szCs w:val="20"/>
                <w:color w:val="auto"/>
              </w:rPr>
            </w:pPr>
            <w:r>
              <w:rPr>
                <w:rFonts w:ascii="Arial" w:cs="Arial" w:eastAsia="Arial" w:hAnsi="Arial"/>
                <w:sz w:val="16"/>
                <w:szCs w:val="16"/>
                <w:color w:val="auto"/>
              </w:rPr>
              <w:t>Net Investment Income/(Loss)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547,007</w:t>
            </w:r>
          </w:p>
        </w:tc>
        <w:tc>
          <w:tcPr>
            <w:tcW w:w="10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(7,569,795)</w:t>
            </w:r>
          </w:p>
        </w:tc>
      </w:tr>
      <w:tr>
        <w:trPr>
          <w:trHeight w:val="203"/>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Realized Gains/(Losses) on Investments</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(6,075,070)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13,218,403</w:t>
            </w:r>
          </w:p>
        </w:tc>
      </w:tr>
      <w:tr>
        <w:trPr>
          <w:trHeight w:val="203"/>
        </w:trPr>
        <w:tc>
          <w:tcPr>
            <w:tcW w:w="5920" w:type="dxa"/>
            <w:vAlign w:val="bottom"/>
          </w:tcPr>
          <w:p>
            <w:pPr>
              <w:ind w:left="20"/>
              <w:spacing w:after="0"/>
              <w:rPr>
                <w:sz w:val="20"/>
                <w:szCs w:val="20"/>
                <w:color w:val="auto"/>
              </w:rPr>
            </w:pPr>
            <w:r>
              <w:rPr>
                <w:rFonts w:ascii="Arial" w:cs="Arial" w:eastAsia="Arial" w:hAnsi="Arial"/>
                <w:sz w:val="16"/>
                <w:szCs w:val="16"/>
                <w:color w:val="auto"/>
              </w:rPr>
              <w:t>Provision for Taxes on Realized Gains on Investments</w:t>
            </w:r>
          </w:p>
        </w:tc>
        <w:tc>
          <w:tcPr>
            <w:tcW w:w="8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(5,397,074)</w:t>
            </w:r>
          </w:p>
        </w:tc>
      </w:tr>
      <w:tr>
        <w:trPr>
          <w:trHeight w:val="203"/>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Unrealized Appreciation/(Depreciation) of Investments</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4"/>
              </w:rPr>
              <w:t>(19,421,001)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27,784,081</w:t>
            </w:r>
          </w:p>
        </w:tc>
      </w:tr>
      <w:tr>
        <w:trPr>
          <w:trHeight w:val="203"/>
        </w:trPr>
        <w:tc>
          <w:tcPr>
            <w:tcW w:w="5920" w:type="dxa"/>
            <w:vAlign w:val="bottom"/>
          </w:tcPr>
          <w:p>
            <w:pPr>
              <w:ind w:left="20"/>
              <w:spacing w:after="0"/>
              <w:rPr>
                <w:sz w:val="20"/>
                <w:szCs w:val="20"/>
                <w:color w:val="auto"/>
              </w:rPr>
            </w:pPr>
            <w:r>
              <w:rPr>
                <w:rFonts w:ascii="Arial" w:cs="Arial" w:eastAsia="Arial" w:hAnsi="Arial"/>
                <w:sz w:val="16"/>
                <w:szCs w:val="16"/>
                <w:color w:val="auto"/>
              </w:rPr>
              <w:t>Provision for Taxes on Unrealized Appreciation of Investments</w:t>
            </w:r>
          </w:p>
        </w:tc>
        <w:tc>
          <w:tcPr>
            <w:tcW w:w="8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(11,370,993)</w:t>
            </w:r>
          </w:p>
        </w:tc>
      </w:tr>
      <w:tr>
        <w:trPr>
          <w:trHeight w:val="20"/>
        </w:trPr>
        <w:tc>
          <w:tcPr>
            <w:tcW w:w="5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Increase/(Decrease) in Net Assets Resulting from Operations</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4"/>
              </w:rPr>
              <w:t>(24,949,064)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16,664,622</w:t>
            </w:r>
          </w:p>
        </w:tc>
      </w:tr>
      <w:tr>
        <w:trPr>
          <w:trHeight w:val="20"/>
        </w:trPr>
        <w:tc>
          <w:tcPr>
            <w:tcW w:w="59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96"/>
        </w:trPr>
        <w:tc>
          <w:tcPr>
            <w:tcW w:w="5920" w:type="dxa"/>
            <w:vAlign w:val="bottom"/>
          </w:tcPr>
          <w:p>
            <w:pPr>
              <w:ind w:left="20"/>
              <w:spacing w:after="0"/>
              <w:rPr>
                <w:sz w:val="20"/>
                <w:szCs w:val="20"/>
                <w:color w:val="auto"/>
              </w:rPr>
            </w:pPr>
            <w:r>
              <w:rPr>
                <w:rFonts w:ascii="Arial" w:cs="Arial" w:eastAsia="Arial" w:hAnsi="Arial"/>
                <w:sz w:val="16"/>
                <w:szCs w:val="16"/>
                <w:b w:val="1"/>
                <w:bCs w:val="1"/>
                <w:color w:val="auto"/>
              </w:rPr>
              <w:t>Total Increase/(Decrease) in Net Assets</w:t>
            </w:r>
          </w:p>
        </w:tc>
        <w:tc>
          <w:tcPr>
            <w:tcW w:w="8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w w:val="94"/>
              </w:rPr>
              <w:t>(24,949,064)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16,664,622</w:t>
            </w:r>
          </w:p>
        </w:tc>
      </w:tr>
      <w:tr>
        <w:trPr>
          <w:trHeight w:val="203"/>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Assets at Beginning of Period</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268,010,945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8"/>
              </w:rPr>
              <w:t>285,903,673</w:t>
            </w:r>
          </w:p>
        </w:tc>
      </w:tr>
      <w:tr>
        <w:trPr>
          <w:trHeight w:val="20"/>
        </w:trPr>
        <w:tc>
          <w:tcPr>
            <w:tcW w:w="59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96"/>
        </w:trPr>
        <w:tc>
          <w:tcPr>
            <w:tcW w:w="5920" w:type="dxa"/>
            <w:vAlign w:val="bottom"/>
          </w:tcPr>
          <w:p>
            <w:pPr>
              <w:ind w:left="20"/>
              <w:spacing w:after="0"/>
              <w:rPr>
                <w:sz w:val="20"/>
                <w:szCs w:val="20"/>
                <w:color w:val="auto"/>
              </w:rPr>
            </w:pPr>
            <w:r>
              <w:rPr>
                <w:rFonts w:ascii="Arial" w:cs="Arial" w:eastAsia="Arial" w:hAnsi="Arial"/>
                <w:sz w:val="16"/>
                <w:szCs w:val="16"/>
                <w:b w:val="1"/>
                <w:bCs w:val="1"/>
                <w:color w:val="auto"/>
              </w:rPr>
              <w:t>Net Assets at End of Period</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w w:val="89"/>
              </w:rPr>
              <w:t>243,061,881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w w:val="98"/>
              </w:rPr>
              <w:t>302,568,295</w:t>
            </w:r>
          </w:p>
        </w:tc>
      </w:tr>
      <w:tr>
        <w:trPr>
          <w:trHeight w:val="21"/>
        </w:trPr>
        <w:tc>
          <w:tcPr>
            <w:tcW w:w="5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Capital Share Activity</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920" w:type="dxa"/>
            <w:vAlign w:val="bottom"/>
          </w:tcPr>
          <w:p>
            <w:pPr>
              <w:ind w:left="20"/>
              <w:spacing w:after="0"/>
              <w:rPr>
                <w:sz w:val="20"/>
                <w:szCs w:val="20"/>
                <w:color w:val="auto"/>
              </w:rPr>
            </w:pPr>
            <w:r>
              <w:rPr>
                <w:rFonts w:ascii="Arial" w:cs="Arial" w:eastAsia="Arial" w:hAnsi="Arial"/>
                <w:sz w:val="16"/>
                <w:szCs w:val="16"/>
                <w:color w:val="auto"/>
              </w:rPr>
              <w:t>Shares Issued</w:t>
            </w:r>
          </w:p>
        </w:tc>
        <w:tc>
          <w:tcPr>
            <w:tcW w:w="8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3"/>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Outstanding at Beginning of Period</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22,181,003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19,320,100</w:t>
            </w:r>
          </w:p>
        </w:tc>
      </w:tr>
      <w:tr>
        <w:trPr>
          <w:trHeight w:val="20"/>
        </w:trPr>
        <w:tc>
          <w:tcPr>
            <w:tcW w:w="59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96"/>
        </w:trPr>
        <w:tc>
          <w:tcPr>
            <w:tcW w:w="5920" w:type="dxa"/>
            <w:vAlign w:val="bottom"/>
          </w:tcPr>
          <w:p>
            <w:pPr>
              <w:ind w:left="20"/>
              <w:spacing w:after="0"/>
              <w:rPr>
                <w:sz w:val="20"/>
                <w:szCs w:val="20"/>
                <w:color w:val="auto"/>
              </w:rPr>
            </w:pPr>
            <w:r>
              <w:rPr>
                <w:rFonts w:ascii="Arial" w:cs="Arial" w:eastAsia="Arial" w:hAnsi="Arial"/>
                <w:sz w:val="16"/>
                <w:szCs w:val="16"/>
                <w:b w:val="1"/>
                <w:bCs w:val="1"/>
                <w:color w:val="auto"/>
              </w:rPr>
              <w:t>Shares Outstanding at End of Period</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22,181,003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19,320,100</w:t>
            </w:r>
          </w:p>
        </w:tc>
      </w:tr>
      <w:tr>
        <w:trPr>
          <w:trHeight w:val="21"/>
        </w:trPr>
        <w:tc>
          <w:tcPr>
            <w:tcW w:w="5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-994410</wp:posOffset>
            </wp:positionV>
            <wp:extent cx="5213985"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-728345</wp:posOffset>
            </wp:positionV>
            <wp:extent cx="5213985"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213985" cy="1714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-170815</wp:posOffset>
            </wp:positionV>
            <wp:extent cx="5213985"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213985" cy="17145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620"/>
        <w:spacing w:after="0"/>
        <w:rPr>
          <w:sz w:val="20"/>
          <w:szCs w:val="20"/>
          <w:color w:val="auto"/>
        </w:rPr>
      </w:pPr>
      <w:r>
        <w:rPr>
          <w:rFonts w:ascii="Arial" w:cs="Arial" w:eastAsia="Arial" w:hAnsi="Arial"/>
          <w:sz w:val="18"/>
          <w:szCs w:val="18"/>
          <w:i w:val="1"/>
          <w:iCs w:val="1"/>
          <w:color w:val="auto"/>
        </w:rPr>
        <w:t>See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7" w:name="page8"/>
    <w:bookmarkEnd w:id="7"/>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17144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7144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Three months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Three months</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ended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ended</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March 31,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9"/>
              </w:rPr>
              <w:t>March 31,</w:t>
            </w:r>
          </w:p>
        </w:tc>
      </w:tr>
      <w:tr>
        <w:trPr>
          <w:trHeight w:val="17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auto"/>
            </w:tcBorders>
          </w:tcPr>
          <w:p>
            <w:pPr>
              <w:spacing w:after="0"/>
              <w:rPr>
                <w:sz w:val="14"/>
                <w:szCs w:val="14"/>
                <w:color w:val="auto"/>
              </w:rPr>
            </w:pPr>
          </w:p>
        </w:tc>
      </w:tr>
      <w:tr>
        <w:trPr>
          <w:trHeight w:val="210"/>
        </w:trPr>
        <w:tc>
          <w:tcPr>
            <w:tcW w:w="580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00" w:type="dxa"/>
            <w:vAlign w:val="bottom"/>
            <w:gridSpan w:val="3"/>
          </w:tcPr>
          <w:p>
            <w:pPr>
              <w:ind w:left="20"/>
              <w:spacing w:after="0"/>
              <w:rPr>
                <w:sz w:val="20"/>
                <w:szCs w:val="20"/>
                <w:color w:val="auto"/>
              </w:rPr>
            </w:pPr>
            <w:r>
              <w:rPr>
                <w:rFonts w:ascii="Arial" w:cs="Arial" w:eastAsia="Arial" w:hAnsi="Arial"/>
                <w:sz w:val="18"/>
                <w:szCs w:val="18"/>
                <w:color w:val="auto"/>
              </w:rPr>
              <w:t>Net increase/(decrease)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(24,949,064)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16,664,622</w:t>
            </w:r>
          </w:p>
        </w:tc>
      </w:tr>
      <w:tr>
        <w:trPr>
          <w:trHeight w:val="202"/>
        </w:trPr>
        <w:tc>
          <w:tcPr>
            <w:tcW w:w="5800" w:type="dxa"/>
            <w:vAlign w:val="bottom"/>
            <w:gridSpan w:val="3"/>
            <w:shd w:val="clear" w:color="auto" w:fill="CCEEFF"/>
          </w:tcPr>
          <w:p>
            <w:pPr>
              <w:ind w:left="20"/>
              <w:spacing w:after="0" w:line="201" w:lineRule="exact"/>
              <w:rPr>
                <w:sz w:val="20"/>
                <w:szCs w:val="20"/>
                <w:color w:val="auto"/>
              </w:rPr>
            </w:pPr>
            <w:r>
              <w:rPr>
                <w:rFonts w:ascii="Arial" w:cs="Arial" w:eastAsia="Arial" w:hAnsi="Arial"/>
                <w:sz w:val="18"/>
                <w:szCs w:val="18"/>
                <w:color w:val="auto"/>
                <w:w w:val="94"/>
              </w:rPr>
              <w:t>Adjustments to reconcile net increase/(decrease) in net assets resulting from</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shd w:val="clear" w:color="auto" w:fill="CCEEFF"/>
          </w:tcPr>
          <w:p>
            <w:pPr>
              <w:spacing w:after="0"/>
              <w:rPr>
                <w:sz w:val="20"/>
                <w:szCs w:val="20"/>
                <w:color w:val="auto"/>
              </w:rPr>
            </w:pPr>
          </w:p>
        </w:tc>
        <w:tc>
          <w:tcPr>
            <w:tcW w:w="5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operations to net cash provided by/(used in) operating activities:</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ind w:left="180"/>
              <w:spacing w:after="0"/>
              <w:rPr>
                <w:sz w:val="20"/>
                <w:szCs w:val="20"/>
                <w:color w:val="auto"/>
              </w:rPr>
            </w:pPr>
            <w:r>
              <w:rPr>
                <w:rFonts w:ascii="Arial" w:cs="Arial" w:eastAsia="Arial" w:hAnsi="Arial"/>
                <w:sz w:val="18"/>
                <w:szCs w:val="18"/>
                <w:color w:val="auto"/>
              </w:rPr>
              <w:t>Net realized (gains)/losses on investments</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6,075,070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(13,218,403)</w:t>
            </w:r>
          </w:p>
        </w:tc>
      </w:tr>
      <w:tr>
        <w:trPr>
          <w:trHeight w:val="216"/>
        </w:trPr>
        <w:tc>
          <w:tcPr>
            <w:tcW w:w="20" w:type="dxa"/>
            <w:vAlign w:val="bottom"/>
            <w:shd w:val="clear" w:color="auto" w:fill="CCEEFF"/>
          </w:tcPr>
          <w:p>
            <w:pPr>
              <w:spacing w:after="0"/>
              <w:rPr>
                <w:sz w:val="18"/>
                <w:szCs w:val="18"/>
                <w:color w:val="auto"/>
              </w:rPr>
            </w:pPr>
          </w:p>
        </w:tc>
        <w:tc>
          <w:tcPr>
            <w:tcW w:w="5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change in unrealized (appreciation)/depreciation of investments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19,421,001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(27,784,081)</w:t>
            </w:r>
          </w:p>
        </w:tc>
      </w:tr>
      <w:tr>
        <w:trPr>
          <w:trHeight w:val="216"/>
        </w:trPr>
        <w:tc>
          <w:tcPr>
            <w:tcW w:w="20" w:type="dxa"/>
            <w:vAlign w:val="bottom"/>
          </w:tcPr>
          <w:p>
            <w:pPr>
              <w:spacing w:after="0"/>
              <w:rPr>
                <w:sz w:val="18"/>
                <w:szCs w:val="18"/>
                <w:color w:val="auto"/>
              </w:rPr>
            </w:pPr>
          </w:p>
        </w:tc>
        <w:tc>
          <w:tcPr>
            <w:tcW w:w="5780" w:type="dxa"/>
            <w:vAlign w:val="bottom"/>
            <w:gridSpan w:val="2"/>
          </w:tcPr>
          <w:p>
            <w:pPr>
              <w:ind w:left="180"/>
              <w:spacing w:after="0"/>
              <w:rPr>
                <w:sz w:val="20"/>
                <w:szCs w:val="20"/>
                <w:color w:val="auto"/>
              </w:rPr>
            </w:pPr>
            <w:r>
              <w:rPr>
                <w:rFonts w:ascii="Arial" w:cs="Arial" w:eastAsia="Arial" w:hAnsi="Arial"/>
                <w:sz w:val="18"/>
                <w:szCs w:val="18"/>
                <w:color w:val="auto"/>
              </w:rPr>
              <w:t>Deferred tax liability</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11,544,456</w:t>
            </w:r>
          </w:p>
        </w:tc>
      </w:tr>
      <w:tr>
        <w:trPr>
          <w:trHeight w:val="216"/>
        </w:trPr>
        <w:tc>
          <w:tcPr>
            <w:tcW w:w="20" w:type="dxa"/>
            <w:vAlign w:val="bottom"/>
            <w:shd w:val="clear" w:color="auto" w:fill="CCEEFF"/>
          </w:tcPr>
          <w:p>
            <w:pPr>
              <w:spacing w:after="0"/>
              <w:rPr>
                <w:sz w:val="18"/>
                <w:szCs w:val="18"/>
                <w:color w:val="auto"/>
              </w:rPr>
            </w:pPr>
          </w:p>
        </w:tc>
        <w:tc>
          <w:tcPr>
            <w:tcW w:w="5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Amortization of discount on Convertible Senior Notes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214,028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209,835</w:t>
            </w:r>
          </w:p>
        </w:tc>
      </w:tr>
      <w:tr>
        <w:trPr>
          <w:trHeight w:val="216"/>
        </w:trPr>
        <w:tc>
          <w:tcPr>
            <w:tcW w:w="20" w:type="dxa"/>
            <w:vAlign w:val="bottom"/>
          </w:tcPr>
          <w:p>
            <w:pPr>
              <w:spacing w:after="0"/>
              <w:rPr>
                <w:sz w:val="18"/>
                <w:szCs w:val="18"/>
                <w:color w:val="auto"/>
              </w:rPr>
            </w:pPr>
          </w:p>
        </w:tc>
        <w:tc>
          <w:tcPr>
            <w:tcW w:w="5780" w:type="dxa"/>
            <w:vAlign w:val="bottom"/>
            <w:gridSpan w:val="2"/>
          </w:tcPr>
          <w:p>
            <w:pPr>
              <w:ind w:left="180"/>
              <w:spacing w:after="0"/>
              <w:rPr>
                <w:sz w:val="20"/>
                <w:szCs w:val="20"/>
                <w:color w:val="auto"/>
              </w:rPr>
            </w:pPr>
            <w:r>
              <w:rPr>
                <w:rFonts w:ascii="Arial" w:cs="Arial" w:eastAsia="Arial" w:hAnsi="Arial"/>
                <w:sz w:val="18"/>
                <w:szCs w:val="18"/>
                <w:color w:val="auto"/>
              </w:rPr>
              <w:t>Amortization of deferred financing costs</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23,833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57,345</w:t>
            </w:r>
          </w:p>
        </w:tc>
      </w:tr>
      <w:tr>
        <w:trPr>
          <w:trHeight w:val="216"/>
        </w:trPr>
        <w:tc>
          <w:tcPr>
            <w:tcW w:w="20" w:type="dxa"/>
            <w:vAlign w:val="bottom"/>
            <w:shd w:val="clear" w:color="auto" w:fill="CCEEFF"/>
          </w:tcPr>
          <w:p>
            <w:pPr>
              <w:spacing w:after="0"/>
              <w:rPr>
                <w:sz w:val="18"/>
                <w:szCs w:val="18"/>
                <w:color w:val="auto"/>
              </w:rPr>
            </w:pPr>
          </w:p>
        </w:tc>
        <w:tc>
          <w:tcPr>
            <w:tcW w:w="5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Amortization of fixed income security premiums and discounts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(15,441)</w:t>
            </w:r>
          </w:p>
        </w:tc>
      </w:tr>
      <w:tr>
        <w:trPr>
          <w:trHeight w:val="216"/>
        </w:trPr>
        <w:tc>
          <w:tcPr>
            <w:tcW w:w="20" w:type="dxa"/>
            <w:vAlign w:val="bottom"/>
          </w:tcPr>
          <w:p>
            <w:pPr>
              <w:spacing w:after="0"/>
              <w:rPr>
                <w:sz w:val="18"/>
                <w:szCs w:val="18"/>
                <w:color w:val="auto"/>
              </w:rPr>
            </w:pPr>
          </w:p>
        </w:tc>
        <w:tc>
          <w:tcPr>
            <w:tcW w:w="5780" w:type="dxa"/>
            <w:vAlign w:val="bottom"/>
            <w:gridSpan w:val="2"/>
          </w:tcPr>
          <w:p>
            <w:pPr>
              <w:ind w:left="180"/>
              <w:spacing w:after="0"/>
              <w:rPr>
                <w:sz w:val="20"/>
                <w:szCs w:val="20"/>
                <w:color w:val="auto"/>
              </w:rPr>
            </w:pPr>
            <w:r>
              <w:rPr>
                <w:rFonts w:ascii="Arial" w:cs="Arial" w:eastAsia="Arial" w:hAnsi="Arial"/>
                <w:sz w:val="18"/>
                <w:szCs w:val="18"/>
                <w:color w:val="auto"/>
              </w:rPr>
              <w:t>Change in restricted cash</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(22,750)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7,708</w:t>
            </w:r>
          </w:p>
        </w:tc>
      </w:tr>
      <w:tr>
        <w:trPr>
          <w:trHeight w:val="216"/>
        </w:trPr>
        <w:tc>
          <w:tcPr>
            <w:tcW w:w="20" w:type="dxa"/>
            <w:vAlign w:val="bottom"/>
            <w:shd w:val="clear" w:color="auto" w:fill="CCEEFF"/>
          </w:tcPr>
          <w:p>
            <w:pPr>
              <w:spacing w:after="0"/>
              <w:rPr>
                <w:sz w:val="18"/>
                <w:szCs w:val="18"/>
                <w:color w:val="auto"/>
              </w:rPr>
            </w:pPr>
          </w:p>
        </w:tc>
        <w:tc>
          <w:tcPr>
            <w:tcW w:w="5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Purchases of investments in:</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ind w:left="360"/>
              <w:spacing w:after="0"/>
              <w:rPr>
                <w:sz w:val="20"/>
                <w:szCs w:val="20"/>
                <w:color w:val="auto"/>
              </w:rPr>
            </w:pPr>
            <w:r>
              <w:rPr>
                <w:rFonts w:ascii="Arial" w:cs="Arial" w:eastAsia="Arial" w:hAnsi="Arial"/>
                <w:sz w:val="18"/>
                <w:szCs w:val="18"/>
                <w:color w:val="auto"/>
              </w:rPr>
              <w:t>Portfolio investments</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(6,005,951)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(8,990,125)</w:t>
            </w:r>
          </w:p>
        </w:tc>
      </w:tr>
      <w:tr>
        <w:trPr>
          <w:trHeight w:val="216"/>
        </w:trPr>
        <w:tc>
          <w:tcPr>
            <w:tcW w:w="20" w:type="dxa"/>
            <w:vAlign w:val="bottom"/>
            <w:shd w:val="clear" w:color="auto" w:fill="CCEEFF"/>
          </w:tcPr>
          <w:p>
            <w:pPr>
              <w:spacing w:after="0"/>
              <w:rPr>
                <w:sz w:val="18"/>
                <w:szCs w:val="18"/>
                <w:color w:val="auto"/>
              </w:rPr>
            </w:pPr>
          </w:p>
        </w:tc>
        <w:tc>
          <w:tcPr>
            <w:tcW w:w="5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United States treasury bills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(29,999,883)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(100,013,333)</w:t>
            </w:r>
          </w:p>
        </w:tc>
      </w:tr>
      <w:tr>
        <w:trPr>
          <w:trHeight w:val="216"/>
        </w:trPr>
        <w:tc>
          <w:tcPr>
            <w:tcW w:w="20" w:type="dxa"/>
            <w:vAlign w:val="bottom"/>
          </w:tcPr>
          <w:p>
            <w:pPr>
              <w:spacing w:after="0"/>
              <w:rPr>
                <w:sz w:val="18"/>
                <w:szCs w:val="18"/>
                <w:color w:val="auto"/>
              </w:rPr>
            </w:pPr>
          </w:p>
        </w:tc>
        <w:tc>
          <w:tcPr>
            <w:tcW w:w="5780" w:type="dxa"/>
            <w:vAlign w:val="bottom"/>
            <w:gridSpan w:val="2"/>
          </w:tcPr>
          <w:p>
            <w:pPr>
              <w:ind w:left="180"/>
              <w:spacing w:after="0"/>
              <w:rPr>
                <w:sz w:val="20"/>
                <w:szCs w:val="20"/>
                <w:color w:val="auto"/>
              </w:rPr>
            </w:pPr>
            <w:r>
              <w:rPr>
                <w:rFonts w:ascii="Arial" w:cs="Arial" w:eastAsia="Arial" w:hAnsi="Arial"/>
                <w:sz w:val="18"/>
                <w:szCs w:val="18"/>
                <w:color w:val="auto"/>
              </w:rPr>
              <w:t>Proceeds from sales or maturity of investments in:</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5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Portfolio investments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5,039,632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19,558,200</w:t>
            </w:r>
          </w:p>
        </w:tc>
      </w:tr>
      <w:tr>
        <w:trPr>
          <w:trHeight w:val="216"/>
        </w:trPr>
        <w:tc>
          <w:tcPr>
            <w:tcW w:w="20" w:type="dxa"/>
            <w:vAlign w:val="bottom"/>
          </w:tcPr>
          <w:p>
            <w:pPr>
              <w:spacing w:after="0"/>
              <w:rPr>
                <w:sz w:val="18"/>
                <w:szCs w:val="18"/>
                <w:color w:val="auto"/>
              </w:rPr>
            </w:pPr>
          </w:p>
        </w:tc>
        <w:tc>
          <w:tcPr>
            <w:tcW w:w="5780" w:type="dxa"/>
            <w:vAlign w:val="bottom"/>
            <w:gridSpan w:val="2"/>
          </w:tcPr>
          <w:p>
            <w:pPr>
              <w:ind w:left="360"/>
              <w:spacing w:after="0"/>
              <w:rPr>
                <w:sz w:val="20"/>
                <w:szCs w:val="20"/>
                <w:color w:val="auto"/>
              </w:rPr>
            </w:pPr>
            <w:r>
              <w:rPr>
                <w:rFonts w:ascii="Arial" w:cs="Arial" w:eastAsia="Arial" w:hAnsi="Arial"/>
                <w:sz w:val="18"/>
                <w:szCs w:val="18"/>
                <w:color w:val="auto"/>
              </w:rPr>
              <w:t>United States treasury bills</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30,000,000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100,000,000</w:t>
            </w:r>
          </w:p>
        </w:tc>
      </w:tr>
      <w:tr>
        <w:trPr>
          <w:trHeight w:val="216"/>
        </w:trPr>
        <w:tc>
          <w:tcPr>
            <w:tcW w:w="20" w:type="dxa"/>
            <w:vAlign w:val="bottom"/>
            <w:shd w:val="clear" w:color="auto" w:fill="CCEEFF"/>
          </w:tcPr>
          <w:p>
            <w:pPr>
              <w:spacing w:after="0"/>
              <w:rPr>
                <w:sz w:val="18"/>
                <w:szCs w:val="18"/>
                <w:color w:val="auto"/>
              </w:rPr>
            </w:pPr>
          </w:p>
        </w:tc>
        <w:tc>
          <w:tcPr>
            <w:tcW w:w="5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United States treasuries strips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1,834,000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1,816,000</w:t>
            </w:r>
          </w:p>
        </w:tc>
      </w:tr>
      <w:tr>
        <w:trPr>
          <w:trHeight w:val="216"/>
        </w:trPr>
        <w:tc>
          <w:tcPr>
            <w:tcW w:w="5800" w:type="dxa"/>
            <w:vAlign w:val="bottom"/>
            <w:gridSpan w:val="3"/>
          </w:tcPr>
          <w:p>
            <w:pPr>
              <w:ind w:left="20"/>
              <w:spacing w:after="0"/>
              <w:rPr>
                <w:sz w:val="20"/>
                <w:szCs w:val="20"/>
                <w:color w:val="auto"/>
              </w:rPr>
            </w:pPr>
            <w:r>
              <w:rPr>
                <w:rFonts w:ascii="Arial" w:cs="Arial" w:eastAsia="Arial" w:hAnsi="Arial"/>
                <w:sz w:val="18"/>
                <w:szCs w:val="18"/>
                <w:color w:val="auto"/>
              </w:rPr>
              <w:t>Change in operating assets and liabilities: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20" w:type="dxa"/>
            <w:vAlign w:val="bottom"/>
            <w:shd w:val="clear" w:color="auto" w:fill="CCEEFF"/>
          </w:tcPr>
          <w:p>
            <w:pPr>
              <w:spacing w:after="0"/>
              <w:rPr>
                <w:sz w:val="22"/>
                <w:szCs w:val="22"/>
                <w:color w:val="auto"/>
              </w:rPr>
            </w:pPr>
          </w:p>
        </w:tc>
        <w:tc>
          <w:tcPr>
            <w:tcW w:w="5780" w:type="dxa"/>
            <w:vAlign w:val="bottom"/>
            <w:gridSpan w:val="2"/>
            <w:shd w:val="clear" w:color="auto" w:fill="CCEEFF"/>
          </w:tcPr>
          <w:p>
            <w:pPr>
              <w:ind w:left="180"/>
              <w:spacing w:after="0" w:line="256" w:lineRule="exact"/>
              <w:rPr>
                <w:sz w:val="20"/>
                <w:szCs w:val="20"/>
                <w:color w:val="auto"/>
              </w:rPr>
            </w:pPr>
            <w:r>
              <w:rPr>
                <w:rFonts w:ascii="Arial" w:cs="Arial" w:eastAsia="Arial" w:hAnsi="Arial"/>
                <w:sz w:val="18"/>
                <w:szCs w:val="18"/>
                <w:color w:val="auto"/>
              </w:rPr>
              <w:t>Due from GSV Asset Management</w:t>
            </w:r>
            <w:r>
              <w:rPr>
                <w:rFonts w:ascii="Arial" w:cs="Arial" w:eastAsia="Arial" w:hAnsi="Arial"/>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219,147</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98,981</w:t>
            </w:r>
          </w:p>
        </w:tc>
      </w:tr>
      <w:tr>
        <w:trPr>
          <w:trHeight w:val="257"/>
        </w:trPr>
        <w:tc>
          <w:tcPr>
            <w:tcW w:w="20" w:type="dxa"/>
            <w:vAlign w:val="bottom"/>
          </w:tcPr>
          <w:p>
            <w:pPr>
              <w:spacing w:after="0"/>
              <w:rPr>
                <w:sz w:val="22"/>
                <w:szCs w:val="22"/>
                <w:color w:val="auto"/>
              </w:rPr>
            </w:pPr>
          </w:p>
        </w:tc>
        <w:tc>
          <w:tcPr>
            <w:tcW w:w="578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Due from portfolio companies</w:t>
            </w:r>
            <w:r>
              <w:rPr>
                <w:rFonts w:ascii="Arial" w:cs="Arial" w:eastAsia="Arial" w:hAnsi="Arial"/>
                <w:sz w:val="29"/>
                <w:szCs w:val="29"/>
                <w:color w:val="auto"/>
                <w:vertAlign w:val="superscript"/>
              </w:rPr>
              <w:t>(1)</w:t>
            </w:r>
          </w:p>
        </w:tc>
        <w:tc>
          <w:tcPr>
            <w:tcW w:w="10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3,880</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7,920</w:t>
            </w:r>
          </w:p>
        </w:tc>
      </w:tr>
      <w:tr>
        <w:trPr>
          <w:trHeight w:val="216"/>
        </w:trPr>
        <w:tc>
          <w:tcPr>
            <w:tcW w:w="20" w:type="dxa"/>
            <w:vAlign w:val="bottom"/>
            <w:shd w:val="clear" w:color="auto" w:fill="CCEEFF"/>
          </w:tcPr>
          <w:p>
            <w:pPr>
              <w:spacing w:after="0"/>
              <w:rPr>
                <w:sz w:val="18"/>
                <w:szCs w:val="18"/>
                <w:color w:val="auto"/>
              </w:rPr>
            </w:pPr>
          </w:p>
        </w:tc>
        <w:tc>
          <w:tcPr>
            <w:tcW w:w="5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66,603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47,575</w:t>
            </w:r>
          </w:p>
        </w:tc>
      </w:tr>
      <w:tr>
        <w:trPr>
          <w:trHeight w:val="216"/>
        </w:trPr>
        <w:tc>
          <w:tcPr>
            <w:tcW w:w="20" w:type="dxa"/>
            <w:vAlign w:val="bottom"/>
          </w:tcPr>
          <w:p>
            <w:pPr>
              <w:spacing w:after="0"/>
              <w:rPr>
                <w:sz w:val="18"/>
                <w:szCs w:val="18"/>
                <w:color w:val="auto"/>
              </w:rPr>
            </w:pPr>
          </w:p>
        </w:tc>
        <w:tc>
          <w:tcPr>
            <w:tcW w:w="5780" w:type="dxa"/>
            <w:vAlign w:val="bottom"/>
            <w:gridSpan w:val="2"/>
          </w:tcPr>
          <w:p>
            <w:pPr>
              <w:ind w:left="180"/>
              <w:spacing w:after="0"/>
              <w:rPr>
                <w:sz w:val="20"/>
                <w:szCs w:val="20"/>
                <w:color w:val="auto"/>
              </w:rPr>
            </w:pPr>
            <w:r>
              <w:rPr>
                <w:rFonts w:ascii="Arial" w:cs="Arial" w:eastAsia="Arial" w:hAnsi="Arial"/>
                <w:sz w:val="18"/>
                <w:szCs w:val="18"/>
                <w:color w:val="auto"/>
              </w:rPr>
              <w:t>Interest and dividends receivable</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(88,351)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(37,118)</w:t>
            </w:r>
          </w:p>
        </w:tc>
      </w:tr>
      <w:tr>
        <w:trPr>
          <w:trHeight w:val="257"/>
        </w:trPr>
        <w:tc>
          <w:tcPr>
            <w:tcW w:w="20" w:type="dxa"/>
            <w:vAlign w:val="bottom"/>
            <w:shd w:val="clear" w:color="auto" w:fill="CCEEFF"/>
          </w:tcPr>
          <w:p>
            <w:pPr>
              <w:spacing w:after="0"/>
              <w:rPr>
                <w:sz w:val="22"/>
                <w:szCs w:val="22"/>
                <w:color w:val="auto"/>
              </w:rPr>
            </w:pPr>
          </w:p>
        </w:tc>
        <w:tc>
          <w:tcPr>
            <w:tcW w:w="5780" w:type="dxa"/>
            <w:vAlign w:val="bottom"/>
            <w:gridSpan w:val="2"/>
            <w:shd w:val="clear" w:color="auto" w:fill="CCEEFF"/>
          </w:tcPr>
          <w:p>
            <w:pPr>
              <w:ind w:left="180"/>
              <w:spacing w:after="0" w:line="256" w:lineRule="exact"/>
              <w:rPr>
                <w:sz w:val="20"/>
                <w:szCs w:val="20"/>
                <w:color w:val="auto"/>
              </w:rPr>
            </w:pPr>
            <w:r>
              <w:rPr>
                <w:rFonts w:ascii="Arial" w:cs="Arial" w:eastAsia="Arial" w:hAnsi="Arial"/>
                <w:sz w:val="18"/>
                <w:szCs w:val="18"/>
                <w:color w:val="auto"/>
              </w:rPr>
              <w:t>Due to GSV Asset Management</w:t>
            </w:r>
            <w:r>
              <w:rPr>
                <w:rFonts w:ascii="Arial" w:cs="Arial" w:eastAsia="Arial" w:hAnsi="Arial"/>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(5,021,739)</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6,859</w:t>
            </w:r>
          </w:p>
        </w:tc>
      </w:tr>
      <w:tr>
        <w:trPr>
          <w:trHeight w:val="216"/>
        </w:trPr>
        <w:tc>
          <w:tcPr>
            <w:tcW w:w="20" w:type="dxa"/>
            <w:vAlign w:val="bottom"/>
          </w:tcPr>
          <w:p>
            <w:pPr>
              <w:spacing w:after="0"/>
              <w:rPr>
                <w:sz w:val="18"/>
                <w:szCs w:val="18"/>
                <w:color w:val="auto"/>
              </w:rPr>
            </w:pPr>
          </w:p>
        </w:tc>
        <w:tc>
          <w:tcPr>
            <w:tcW w:w="5780" w:type="dxa"/>
            <w:vAlign w:val="bottom"/>
            <w:gridSpan w:val="2"/>
          </w:tcPr>
          <w:p>
            <w:pPr>
              <w:ind w:left="180"/>
              <w:spacing w:after="0"/>
              <w:rPr>
                <w:sz w:val="20"/>
                <w:szCs w:val="20"/>
                <w:color w:val="auto"/>
              </w:rPr>
            </w:pPr>
            <w:r>
              <w:rPr>
                <w:rFonts w:ascii="Arial" w:cs="Arial" w:eastAsia="Arial" w:hAnsi="Arial"/>
                <w:sz w:val="18"/>
                <w:szCs w:val="18"/>
                <w:color w:val="auto"/>
              </w:rPr>
              <w:t>Payable for securities purchased</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(488,359)</w:t>
            </w:r>
          </w:p>
        </w:tc>
      </w:tr>
      <w:tr>
        <w:trPr>
          <w:trHeight w:val="216"/>
        </w:trPr>
        <w:tc>
          <w:tcPr>
            <w:tcW w:w="20" w:type="dxa"/>
            <w:vAlign w:val="bottom"/>
            <w:shd w:val="clear" w:color="auto" w:fill="CCEEFF"/>
          </w:tcPr>
          <w:p>
            <w:pPr>
              <w:spacing w:after="0"/>
              <w:rPr>
                <w:sz w:val="18"/>
                <w:szCs w:val="18"/>
                <w:color w:val="auto"/>
              </w:rPr>
            </w:pPr>
          </w:p>
        </w:tc>
        <w:tc>
          <w:tcPr>
            <w:tcW w:w="5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287,574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(108,038)</w:t>
            </w:r>
          </w:p>
        </w:tc>
      </w:tr>
      <w:tr>
        <w:trPr>
          <w:trHeight w:val="257"/>
        </w:trPr>
        <w:tc>
          <w:tcPr>
            <w:tcW w:w="20" w:type="dxa"/>
            <w:vAlign w:val="bottom"/>
          </w:tcPr>
          <w:p>
            <w:pPr>
              <w:spacing w:after="0"/>
              <w:rPr>
                <w:sz w:val="22"/>
                <w:szCs w:val="22"/>
                <w:color w:val="auto"/>
              </w:rPr>
            </w:pPr>
          </w:p>
        </w:tc>
        <w:tc>
          <w:tcPr>
            <w:tcW w:w="578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Accrued incentive fees</w:t>
            </w:r>
            <w:r>
              <w:rPr>
                <w:rFonts w:ascii="Arial" w:cs="Arial" w:eastAsia="Arial" w:hAnsi="Arial"/>
                <w:sz w:val="29"/>
                <w:szCs w:val="29"/>
                <w:color w:val="auto"/>
                <w:vertAlign w:val="superscript"/>
              </w:rPr>
              <w:t>(1)</w:t>
            </w:r>
          </w:p>
        </w:tc>
        <w:tc>
          <w:tcPr>
            <w:tcW w:w="100" w:type="dxa"/>
            <w:vAlign w:val="bottom"/>
          </w:tcPr>
          <w:p>
            <w:pPr>
              <w:spacing w:after="0"/>
              <w:rPr>
                <w:sz w:val="22"/>
                <w:szCs w:val="22"/>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(5,118,585)</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8,211,728</w:t>
            </w:r>
          </w:p>
        </w:tc>
      </w:tr>
      <w:tr>
        <w:trPr>
          <w:trHeight w:val="257"/>
        </w:trPr>
        <w:tc>
          <w:tcPr>
            <w:tcW w:w="20" w:type="dxa"/>
            <w:vAlign w:val="bottom"/>
            <w:shd w:val="clear" w:color="auto" w:fill="CCEEFF"/>
          </w:tcPr>
          <w:p>
            <w:pPr>
              <w:spacing w:after="0"/>
              <w:rPr>
                <w:sz w:val="22"/>
                <w:szCs w:val="22"/>
                <w:color w:val="auto"/>
              </w:rPr>
            </w:pPr>
          </w:p>
        </w:tc>
        <w:tc>
          <w:tcPr>
            <w:tcW w:w="5780" w:type="dxa"/>
            <w:vAlign w:val="bottom"/>
            <w:gridSpan w:val="2"/>
            <w:shd w:val="clear" w:color="auto" w:fill="CCEEFF"/>
          </w:tcPr>
          <w:p>
            <w:pPr>
              <w:ind w:left="180"/>
              <w:spacing w:after="0" w:line="256" w:lineRule="exact"/>
              <w:rPr>
                <w:sz w:val="20"/>
                <w:szCs w:val="20"/>
                <w:color w:val="auto"/>
              </w:rPr>
            </w:pPr>
            <w:r>
              <w:rPr>
                <w:rFonts w:ascii="Arial" w:cs="Arial" w:eastAsia="Arial" w:hAnsi="Arial"/>
                <w:sz w:val="18"/>
                <w:szCs w:val="18"/>
                <w:color w:val="auto"/>
              </w:rPr>
              <w:t>Accrued management fees</w:t>
            </w:r>
            <w:r>
              <w:rPr>
                <w:rFonts w:ascii="Arial" w:cs="Arial" w:eastAsia="Arial" w:hAnsi="Arial"/>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(27,511)</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w:t>
            </w:r>
          </w:p>
        </w:tc>
      </w:tr>
      <w:tr>
        <w:trPr>
          <w:trHeight w:val="216"/>
        </w:trPr>
        <w:tc>
          <w:tcPr>
            <w:tcW w:w="20" w:type="dxa"/>
            <w:vAlign w:val="bottom"/>
          </w:tcPr>
          <w:p>
            <w:pPr>
              <w:spacing w:after="0"/>
              <w:rPr>
                <w:sz w:val="18"/>
                <w:szCs w:val="18"/>
                <w:color w:val="auto"/>
              </w:rPr>
            </w:pPr>
          </w:p>
        </w:tc>
        <w:tc>
          <w:tcPr>
            <w:tcW w:w="5780" w:type="dxa"/>
            <w:vAlign w:val="bottom"/>
            <w:gridSpan w:val="2"/>
          </w:tcPr>
          <w:p>
            <w:pPr>
              <w:ind w:left="180"/>
              <w:spacing w:after="0"/>
              <w:rPr>
                <w:sz w:val="20"/>
                <w:szCs w:val="20"/>
                <w:color w:val="auto"/>
              </w:rPr>
            </w:pPr>
            <w:r>
              <w:rPr>
                <w:rFonts w:ascii="Arial" w:cs="Arial" w:eastAsia="Arial" w:hAnsi="Arial"/>
                <w:sz w:val="18"/>
                <w:szCs w:val="18"/>
                <w:color w:val="auto"/>
              </w:rPr>
              <w:t>Accrued interest payable</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(905,625)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(988,520)</w:t>
            </w: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78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Net Cash Provided by/(Used in) Operating Activities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(8,968,466)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6,587,744</w:t>
            </w:r>
          </w:p>
        </w:tc>
      </w:tr>
      <w:tr>
        <w:trPr>
          <w:trHeight w:val="210"/>
        </w:trPr>
        <w:tc>
          <w:tcPr>
            <w:tcW w:w="5800" w:type="dxa"/>
            <w:vAlign w:val="bottom"/>
            <w:tcBorders>
              <w:top w:val="single" w:sz="8" w:color="CCEEFF"/>
            </w:tcBorders>
            <w:gridSpan w:val="3"/>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8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Borrowings under Credit Facility</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6,000,000</w:t>
            </w:r>
          </w:p>
        </w:tc>
      </w:tr>
      <w:tr>
        <w:trPr>
          <w:trHeight w:val="216"/>
        </w:trPr>
        <w:tc>
          <w:tcPr>
            <w:tcW w:w="5800" w:type="dxa"/>
            <w:vAlign w:val="bottom"/>
            <w:gridSpan w:val="3"/>
          </w:tcPr>
          <w:p>
            <w:pPr>
              <w:ind w:left="20"/>
              <w:spacing w:after="0"/>
              <w:rPr>
                <w:sz w:val="20"/>
                <w:szCs w:val="20"/>
                <w:color w:val="auto"/>
              </w:rPr>
            </w:pPr>
            <w:r>
              <w:rPr>
                <w:rFonts w:ascii="Arial" w:cs="Arial" w:eastAsia="Arial" w:hAnsi="Arial"/>
                <w:sz w:val="18"/>
                <w:szCs w:val="18"/>
                <w:color w:val="auto"/>
              </w:rPr>
              <w:t>Repayments under Credit Facility</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(8,000,000)</w:t>
            </w: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80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Financing Activities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(2,000,000)</w:t>
            </w:r>
          </w:p>
        </w:tc>
      </w:tr>
      <w:tr>
        <w:trPr>
          <w:trHeight w:val="20"/>
        </w:trPr>
        <w:tc>
          <w:tcPr>
            <w:tcW w:w="20" w:type="dxa"/>
            <w:vAlign w:val="bottom"/>
            <w:shd w:val="clear" w:color="auto" w:fill="CCEEFF"/>
          </w:tcPr>
          <w:p>
            <w:pPr>
              <w:spacing w:after="0" w:line="20" w:lineRule="exact"/>
              <w:rPr>
                <w:sz w:val="1"/>
                <w:szCs w:val="1"/>
                <w:color w:val="auto"/>
              </w:rPr>
            </w:pPr>
          </w:p>
        </w:tc>
        <w:tc>
          <w:tcPr>
            <w:tcW w:w="344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80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Increase/(Decrease) in Cash Balance</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(8,968,466)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4,587,744</w:t>
            </w:r>
          </w:p>
        </w:tc>
      </w:tr>
      <w:tr>
        <w:trPr>
          <w:trHeight w:val="216"/>
        </w:trPr>
        <w:tc>
          <w:tcPr>
            <w:tcW w:w="58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Cash Balance at Beginning of Year</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13,349,877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3,472,880</w:t>
            </w:r>
          </w:p>
        </w:tc>
      </w:tr>
      <w:tr>
        <w:trPr>
          <w:trHeight w:val="20"/>
        </w:trPr>
        <w:tc>
          <w:tcPr>
            <w:tcW w:w="20" w:type="dxa"/>
            <w:vAlign w:val="bottom"/>
            <w:shd w:val="clear" w:color="auto" w:fill="CCEEFF"/>
          </w:tcPr>
          <w:p>
            <w:pPr>
              <w:spacing w:after="0" w:line="20" w:lineRule="exact"/>
              <w:rPr>
                <w:sz w:val="1"/>
                <w:szCs w:val="1"/>
                <w:color w:val="auto"/>
              </w:rPr>
            </w:pPr>
          </w:p>
        </w:tc>
        <w:tc>
          <w:tcPr>
            <w:tcW w:w="344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800" w:type="dxa"/>
            <w:vAlign w:val="bottom"/>
            <w:gridSpan w:val="3"/>
          </w:tcPr>
          <w:p>
            <w:pPr>
              <w:ind w:left="20"/>
              <w:spacing w:after="0"/>
              <w:rPr>
                <w:sz w:val="20"/>
                <w:szCs w:val="20"/>
                <w:color w:val="auto"/>
              </w:rPr>
            </w:pPr>
            <w:r>
              <w:rPr>
                <w:rFonts w:ascii="Arial" w:cs="Arial" w:eastAsia="Arial" w:hAnsi="Arial"/>
                <w:sz w:val="18"/>
                <w:szCs w:val="18"/>
                <w:b w:val="1"/>
                <w:bCs w:val="1"/>
                <w:color w:val="auto"/>
              </w:rPr>
              <w:t>Cash Balance at End of Year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4,381,411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8,060,624</w:t>
            </w:r>
          </w:p>
        </w:tc>
      </w:tr>
      <w:tr>
        <w:trPr>
          <w:trHeight w:val="210"/>
        </w:trPr>
        <w:tc>
          <w:tcPr>
            <w:tcW w:w="580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Information:</w:t>
            </w: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00" w:type="dxa"/>
            <w:vAlign w:val="bottom"/>
            <w:gridSpan w:val="3"/>
          </w:tcPr>
          <w:p>
            <w:pPr>
              <w:ind w:left="20"/>
              <w:spacing w:after="0"/>
              <w:rPr>
                <w:sz w:val="20"/>
                <w:szCs w:val="20"/>
                <w:color w:val="auto"/>
              </w:rPr>
            </w:pPr>
            <w:r>
              <w:rPr>
                <w:rFonts w:ascii="Arial" w:cs="Arial" w:eastAsia="Arial" w:hAnsi="Arial"/>
                <w:sz w:val="18"/>
                <w:szCs w:val="18"/>
                <w:color w:val="auto"/>
              </w:rPr>
              <w:t>Interest Paid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2,088,788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2,357,323</w:t>
            </w:r>
          </w:p>
        </w:tc>
      </w:tr>
      <w:tr>
        <w:trPr>
          <w:trHeight w:val="216"/>
        </w:trPr>
        <w:tc>
          <w:tcPr>
            <w:tcW w:w="58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Taxes Paid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800" w:type="dxa"/>
            <w:vAlign w:val="bottom"/>
            <w:gridSpan w:val="3"/>
          </w:tcPr>
          <w:p>
            <w:pPr>
              <w:ind w:left="20"/>
              <w:spacing w:after="0"/>
              <w:rPr>
                <w:sz w:val="20"/>
                <w:szCs w:val="20"/>
                <w:color w:val="auto"/>
              </w:rPr>
            </w:pPr>
            <w:r>
              <w:rPr>
                <w:rFonts w:ascii="Arial" w:cs="Arial" w:eastAsia="Arial" w:hAnsi="Arial"/>
                <w:sz w:val="18"/>
                <w:szCs w:val="18"/>
                <w:b w:val="1"/>
                <w:bCs w:val="1"/>
                <w:color w:val="auto"/>
              </w:rPr>
              <w:t>Non-Cash Operating Items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6"/>
        </w:trPr>
        <w:tc>
          <w:tcPr>
            <w:tcW w:w="5800" w:type="dxa"/>
            <w:vAlign w:val="bottom"/>
            <w:gridSpan w:val="3"/>
            <w:shd w:val="clear" w:color="auto" w:fill="CCEEFF"/>
          </w:tcPr>
          <w:p>
            <w:pPr>
              <w:ind w:left="20"/>
              <w:spacing w:after="0" w:line="176" w:lineRule="exact"/>
              <w:rPr>
                <w:sz w:val="20"/>
                <w:szCs w:val="20"/>
                <w:color w:val="auto"/>
              </w:rPr>
            </w:pPr>
            <w:r>
              <w:rPr>
                <w:rFonts w:ascii="Arial" w:cs="Arial" w:eastAsia="Arial" w:hAnsi="Arial"/>
                <w:sz w:val="18"/>
                <w:szCs w:val="18"/>
                <w:color w:val="auto"/>
              </w:rPr>
              <w:t>Transactions in Portfolio Company Investments</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auto"/>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5800" w:type="dxa"/>
            <w:vAlign w:val="bottom"/>
            <w:gridSpan w:val="3"/>
          </w:tcPr>
          <w:p>
            <w:pPr>
              <w:ind w:left="20"/>
              <w:spacing w:after="0"/>
              <w:rPr>
                <w:sz w:val="20"/>
                <w:szCs w:val="20"/>
                <w:color w:val="auto"/>
              </w:rPr>
            </w:pPr>
            <w:r>
              <w:rPr>
                <w:rFonts w:ascii="Arial" w:cs="Arial" w:eastAsia="Arial" w:hAnsi="Arial"/>
                <w:sz w:val="18"/>
                <w:szCs w:val="18"/>
                <w:color w:val="auto"/>
              </w:rPr>
              <w:t>Structured notes converted to convertible notes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609,683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-1835150</wp:posOffset>
            </wp:positionV>
            <wp:extent cx="5213985"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-1269365</wp:posOffset>
            </wp:positionV>
            <wp:extent cx="5213985"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-986155</wp:posOffset>
            </wp:positionV>
            <wp:extent cx="5213985"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162560</wp:posOffset>
            </wp:positionV>
            <wp:extent cx="6172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ind w:left="2620" w:right="1959" w:hanging="2592"/>
        <w:spacing w:after="0" w:line="936" w:lineRule="auto"/>
        <w:tabs>
          <w:tab w:leader="none" w:pos="288"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This balance is a related-party transaction. Refer to “Note 2 — Related-Party Arrangements” for more detail. </w:t>
      </w:r>
      <w:r>
        <w:rPr>
          <w:rFonts w:ascii="Arial" w:cs="Arial" w:eastAsia="Arial" w:hAnsi="Arial"/>
          <w:sz w:val="17"/>
          <w:szCs w:val="17"/>
          <w:i w:val="1"/>
          <w:iCs w:val="1"/>
          <w:color w:val="auto"/>
        </w:rPr>
        <w:t>See notes to the condensed consolidated financial statements</w:t>
      </w:r>
    </w:p>
    <w:p>
      <w:pPr>
        <w:spacing w:after="0" w:line="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8" w:name="page9"/>
    <w:bookmarkEnd w:id="8"/>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SCHEDULE OF INVESTMENTS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March 31, 2016</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521398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51"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 of</w:t>
            </w:r>
          </w:p>
        </w:tc>
      </w:tr>
      <w:tr>
        <w:trPr>
          <w:trHeight w:val="153"/>
        </w:trPr>
        <w:tc>
          <w:tcPr>
            <w:tcW w:w="2580" w:type="dxa"/>
            <w:vAlign w:val="bottom"/>
            <w:tcBorders>
              <w:bottom w:val="single" w:sz="8" w:color="auto"/>
            </w:tcBorders>
            <w:gridSpan w:val="9"/>
          </w:tcPr>
          <w:p>
            <w:pPr>
              <w:ind w:left="20"/>
              <w:spacing w:after="0"/>
              <w:rPr>
                <w:sz w:val="20"/>
                <w:szCs w:val="20"/>
                <w:color w:val="auto"/>
              </w:rPr>
            </w:pPr>
            <w:r>
              <w:rPr>
                <w:rFonts w:ascii="Arial" w:cs="Arial" w:eastAsia="Arial" w:hAnsi="Arial"/>
                <w:sz w:val="13"/>
                <w:szCs w:val="13"/>
                <w:b w:val="1"/>
                <w:bCs w:val="1"/>
                <w:color w:val="auto"/>
              </w:rPr>
              <w:t>Portfolio Investments*</w:t>
            </w:r>
          </w:p>
        </w:tc>
        <w:tc>
          <w:tcPr>
            <w:tcW w:w="100" w:type="dxa"/>
            <w:vAlign w:val="bottom"/>
          </w:tcPr>
          <w:p>
            <w:pPr>
              <w:spacing w:after="0"/>
              <w:rPr>
                <w:sz w:val="13"/>
                <w:szCs w:val="13"/>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Headquarters/Industry</w:t>
            </w:r>
          </w:p>
        </w:tc>
        <w:tc>
          <w:tcPr>
            <w:tcW w:w="100" w:type="dxa"/>
            <w:vAlign w:val="bottom"/>
          </w:tcPr>
          <w:p>
            <w:pPr>
              <w:spacing w:after="0"/>
              <w:rPr>
                <w:sz w:val="13"/>
                <w:szCs w:val="13"/>
                <w:color w:val="auto"/>
              </w:rPr>
            </w:pPr>
          </w:p>
        </w:tc>
        <w:tc>
          <w:tcPr>
            <w:tcW w:w="8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Principal</w:t>
            </w:r>
          </w:p>
        </w:tc>
        <w:tc>
          <w:tcPr>
            <w:tcW w:w="100" w:type="dxa"/>
            <w:vAlign w:val="bottom"/>
          </w:tcPr>
          <w:p>
            <w:pPr>
              <w:spacing w:after="0"/>
              <w:rPr>
                <w:sz w:val="13"/>
                <w:szCs w:val="13"/>
                <w:color w:val="auto"/>
              </w:rPr>
            </w:pPr>
          </w:p>
        </w:tc>
        <w:tc>
          <w:tcPr>
            <w:tcW w:w="86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b w:val="1"/>
                <w:bCs w:val="1"/>
                <w:color w:val="auto"/>
              </w:rPr>
              <w:t>Cost</w:t>
            </w:r>
          </w:p>
        </w:tc>
        <w:tc>
          <w:tcPr>
            <w:tcW w:w="120" w:type="dxa"/>
            <w:vAlign w:val="bottom"/>
          </w:tcPr>
          <w:p>
            <w:pPr>
              <w:spacing w:after="0"/>
              <w:rPr>
                <w:sz w:val="13"/>
                <w:szCs w:val="13"/>
                <w:color w:val="auto"/>
              </w:rPr>
            </w:pPr>
          </w:p>
        </w:tc>
        <w:tc>
          <w:tcPr>
            <w:tcW w:w="86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b w:val="1"/>
                <w:bCs w:val="1"/>
                <w:color w:val="auto"/>
              </w:rPr>
              <w:t>Fair Value</w:t>
            </w:r>
          </w:p>
        </w:tc>
        <w:tc>
          <w:tcPr>
            <w:tcW w:w="120" w:type="dxa"/>
            <w:vAlign w:val="bottom"/>
          </w:tcPr>
          <w:p>
            <w:pPr>
              <w:spacing w:after="0"/>
              <w:rPr>
                <w:sz w:val="13"/>
                <w:szCs w:val="13"/>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w w:val="89"/>
              </w:rPr>
              <w:t>Net Assets</w:t>
            </w:r>
          </w:p>
        </w:tc>
      </w:tr>
      <w:tr>
        <w:trPr>
          <w:trHeight w:val="129"/>
        </w:trPr>
        <w:tc>
          <w:tcPr>
            <w:tcW w:w="2580" w:type="dxa"/>
            <w:vAlign w:val="bottom"/>
            <w:tcBorders>
              <w:left w:val="single" w:sz="8" w:color="CCEEFF"/>
            </w:tcBorders>
            <w:gridSpan w:val="9"/>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Palantir Technologies,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6"/>
              </w:rPr>
              <w:t>Palo Alto,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G</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3"/>
              </w:rPr>
              <w:t>Data Analysis</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326,797</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  1,008,968</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  2,470,710</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1.02%</w:t>
            </w:r>
          </w:p>
        </w:tc>
      </w:tr>
      <w:tr>
        <w:trPr>
          <w:trHeight w:val="149"/>
        </w:trPr>
        <w:tc>
          <w:tcPr>
            <w:tcW w:w="2580" w:type="dxa"/>
            <w:vAlign w:val="bottom"/>
            <w:tcBorders>
              <w:left w:val="single" w:sz="8" w:color="CCEEFF"/>
            </w:tcBorders>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 Class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5,773,690</w:t>
            </w:r>
          </w:p>
        </w:tc>
        <w:tc>
          <w:tcPr>
            <w:tcW w:w="10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16,189,935</w:t>
            </w:r>
          </w:p>
        </w:tc>
        <w:tc>
          <w:tcPr>
            <w:tcW w:w="12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43,645,831</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17.96%</w:t>
            </w:r>
          </w:p>
        </w:tc>
      </w:tr>
      <w:tr>
        <w:trPr>
          <w:trHeight w:val="20"/>
        </w:trPr>
        <w:tc>
          <w:tcPr>
            <w:tcW w:w="58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17,198,903</w:t>
            </w: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46,116,541</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18.98%</w:t>
            </w:r>
          </w:p>
        </w:tc>
      </w:tr>
      <w:tr>
        <w:trPr>
          <w:trHeight w:val="129"/>
        </w:trPr>
        <w:tc>
          <w:tcPr>
            <w:tcW w:w="2580" w:type="dxa"/>
            <w:vAlign w:val="bottom"/>
            <w:tcBorders>
              <w:left w:val="single" w:sz="8" w:color="CCEEFF"/>
            </w:tcBorders>
            <w:gridSpan w:val="9"/>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Dropbox,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2"/>
              </w:rPr>
              <w:t>San Francisco,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A-1</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4"/>
              </w:rPr>
              <w:t>Online Storage</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552,486</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5,015,773</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8,077,079</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3.32%</w:t>
            </w:r>
          </w:p>
        </w:tc>
      </w:tr>
      <w:tr>
        <w:trPr>
          <w:trHeight w:val="149"/>
        </w:trPr>
        <w:tc>
          <w:tcPr>
            <w:tcW w:w="2580" w:type="dxa"/>
            <w:vAlign w:val="bottom"/>
            <w:tcBorders>
              <w:left w:val="single" w:sz="8" w:color="CCEEFF"/>
            </w:tcBorders>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760,000</w:t>
            </w:r>
          </w:p>
        </w:tc>
        <w:tc>
          <w:tcPr>
            <w:tcW w:w="10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8,641,153</w:t>
            </w:r>
          </w:p>
        </w:tc>
        <w:tc>
          <w:tcPr>
            <w:tcW w:w="12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11,107,661</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4.57%</w:t>
            </w:r>
          </w:p>
        </w:tc>
      </w:tr>
      <w:tr>
        <w:trPr>
          <w:trHeight w:val="20"/>
        </w:trPr>
        <w:tc>
          <w:tcPr>
            <w:tcW w:w="58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13,656,926</w:t>
            </w: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19,184,740</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7.89%</w:t>
            </w:r>
          </w:p>
        </w:tc>
      </w:tr>
      <w:tr>
        <w:trPr>
          <w:trHeight w:val="129"/>
        </w:trPr>
        <w:tc>
          <w:tcPr>
            <w:tcW w:w="2580" w:type="dxa"/>
            <w:vAlign w:val="bottom"/>
            <w:tcBorders>
              <w:left w:val="single" w:sz="8" w:color="CCEEFF"/>
            </w:tcBorders>
            <w:gridSpan w:val="9"/>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Spotify Technology S.A.**</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3"/>
              </w:rPr>
              <w:t>Stockholm, Sweden</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2"/>
              </w:rPr>
              <w:t>Music Streaming Service</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9,541</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13,599,572</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16,219,700</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6.67%</w:t>
            </w:r>
          </w:p>
        </w:tc>
      </w:tr>
      <w:tr>
        <w:trPr>
          <w:trHeight w:val="135"/>
        </w:trPr>
        <w:tc>
          <w:tcPr>
            <w:tcW w:w="2580" w:type="dxa"/>
            <w:vAlign w:val="bottom"/>
            <w:tcBorders>
              <w:left w:val="single" w:sz="8" w:color="CCEEFF"/>
            </w:tcBorders>
            <w:gridSpan w:val="9"/>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Coursera,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7"/>
              </w:rPr>
              <w:t>Mountain View,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3"/>
              </w:rPr>
              <w:t>Online Education</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2,961,399</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14,519,519</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14,435,486</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5.94%</w:t>
            </w:r>
          </w:p>
        </w:tc>
      </w:tr>
      <w:tr>
        <w:trPr>
          <w:trHeight w:val="135"/>
        </w:trPr>
        <w:tc>
          <w:tcPr>
            <w:tcW w:w="2580" w:type="dxa"/>
            <w:vAlign w:val="bottom"/>
            <w:tcBorders>
              <w:left w:val="single" w:sz="8" w:color="CCEEFF"/>
            </w:tcBorders>
            <w:gridSpan w:val="9"/>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Solexel,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rPr>
              <w:t>Milpitas,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D</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4"/>
              </w:rPr>
              <w:t>Solar Power</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1,613,413</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2,419,751</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2,419,151</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1.00%</w:t>
            </w:r>
          </w:p>
        </w:tc>
      </w:tr>
      <w:tr>
        <w:trPr>
          <w:trHeight w:val="149"/>
        </w:trPr>
        <w:tc>
          <w:tcPr>
            <w:tcW w:w="2580" w:type="dxa"/>
            <w:vAlign w:val="bottom"/>
            <w:tcBorders>
              <w:left w:val="single" w:sz="8" w:color="CCEEFF"/>
            </w:tcBorders>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C</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5,300,158</w:t>
            </w:r>
          </w:p>
        </w:tc>
        <w:tc>
          <w:tcPr>
            <w:tcW w:w="10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11,598,648</w:t>
            </w:r>
          </w:p>
        </w:tc>
        <w:tc>
          <w:tcPr>
            <w:tcW w:w="12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11,607,346</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4.78%</w:t>
            </w:r>
          </w:p>
        </w:tc>
      </w:tr>
      <w:tr>
        <w:trPr>
          <w:trHeight w:val="20"/>
        </w:trPr>
        <w:tc>
          <w:tcPr>
            <w:tcW w:w="58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14,018,399</w:t>
            </w: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14,026,497</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5.78%</w:t>
            </w:r>
          </w:p>
        </w:tc>
      </w:tr>
      <w:tr>
        <w:trPr>
          <w:trHeight w:val="169"/>
        </w:trPr>
        <w:tc>
          <w:tcPr>
            <w:tcW w:w="2580" w:type="dxa"/>
            <w:vAlign w:val="bottom"/>
            <w:tcBorders>
              <w:left w:val="single" w:sz="8" w:color="CCEEFF"/>
            </w:tcBorders>
            <w:gridSpan w:val="9"/>
            <w:shd w:val="clear" w:color="auto" w:fill="CCEEFF"/>
          </w:tcPr>
          <w:p>
            <w:pPr>
              <w:ind w:left="20"/>
              <w:spacing w:after="0" w:line="169" w:lineRule="exact"/>
              <w:rPr>
                <w:sz w:val="20"/>
                <w:szCs w:val="20"/>
                <w:color w:val="auto"/>
              </w:rPr>
            </w:pPr>
            <w:r>
              <w:rPr>
                <w:rFonts w:ascii="Arial" w:cs="Arial" w:eastAsia="Arial" w:hAnsi="Arial"/>
                <w:sz w:val="12"/>
                <w:szCs w:val="12"/>
                <w:b w:val="1"/>
                <w:bCs w:val="1"/>
                <w:color w:val="auto"/>
              </w:rPr>
              <w:t>PayNearMe, Inc.</w:t>
            </w:r>
            <w:r>
              <w:rPr>
                <w:rFonts w:ascii="Arial" w:cs="Arial" w:eastAsia="Arial" w:hAnsi="Arial"/>
                <w:sz w:val="19"/>
                <w:szCs w:val="19"/>
                <w:b w:val="1"/>
                <w:bCs w:val="1"/>
                <w:color w:val="auto"/>
                <w:vertAlign w:val="superscript"/>
              </w:rPr>
              <w:t>(1)</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Sunnyvale, CA</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tcBorders>
              <w:top w:val="single" w:sz="8" w:color="auto"/>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tcBorders>
              <w:top w:val="single" w:sz="8" w:color="auto"/>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E</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2"/>
              </w:rPr>
              <w:t>Cash Payment Network</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5,480,348</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14,000,398</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13,974,887</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5.75%</w:t>
            </w:r>
          </w:p>
        </w:tc>
      </w:tr>
      <w:tr>
        <w:trPr>
          <w:trHeight w:val="135"/>
        </w:trPr>
        <w:tc>
          <w:tcPr>
            <w:tcW w:w="2580" w:type="dxa"/>
            <w:vAlign w:val="bottom"/>
            <w:tcBorders>
              <w:left w:val="single" w:sz="8" w:color="CCEEFF"/>
            </w:tcBorders>
            <w:gridSpan w:val="9"/>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Lyft,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2"/>
              </w:rPr>
              <w:t>San Francisco,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E</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1"/>
              </w:rPr>
              <w:t>Peer to Peer Ridesharing</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128,563</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2,503,585</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3,177,630</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1.31%</w:t>
            </w:r>
          </w:p>
        </w:tc>
      </w:tr>
      <w:tr>
        <w:trPr>
          <w:trHeight w:val="149"/>
        </w:trPr>
        <w:tc>
          <w:tcPr>
            <w:tcW w:w="2580" w:type="dxa"/>
            <w:vAlign w:val="bottom"/>
            <w:tcBorders>
              <w:left w:val="single" w:sz="8" w:color="CCEEFF"/>
            </w:tcBorders>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D</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427,933</w:t>
            </w:r>
          </w:p>
        </w:tc>
        <w:tc>
          <w:tcPr>
            <w:tcW w:w="10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4,342,478</w:t>
            </w:r>
          </w:p>
        </w:tc>
        <w:tc>
          <w:tcPr>
            <w:tcW w:w="12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10,506,132</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4.32%</w:t>
            </w:r>
          </w:p>
        </w:tc>
      </w:tr>
      <w:tr>
        <w:trPr>
          <w:trHeight w:val="20"/>
        </w:trPr>
        <w:tc>
          <w:tcPr>
            <w:tcW w:w="58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6,846,063</w:t>
            </w: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13,683,762</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5.63%</w:t>
            </w:r>
          </w:p>
        </w:tc>
      </w:tr>
      <w:tr>
        <w:trPr>
          <w:trHeight w:val="129"/>
        </w:trPr>
        <w:tc>
          <w:tcPr>
            <w:tcW w:w="2580" w:type="dxa"/>
            <w:vAlign w:val="bottom"/>
            <w:tcBorders>
              <w:left w:val="single" w:sz="8" w:color="CCEEFF"/>
            </w:tcBorders>
            <w:gridSpan w:val="9"/>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Twitter,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2"/>
              </w:rPr>
              <w:t>San Francisco,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4"/>
              </w:rPr>
              <w:t>Social Communication</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800,600</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14,271,866</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13,249,930</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5.45%</w:t>
            </w:r>
          </w:p>
        </w:tc>
      </w:tr>
      <w:tr>
        <w:trPr>
          <w:trHeight w:val="176"/>
        </w:trPr>
        <w:tc>
          <w:tcPr>
            <w:tcW w:w="2580" w:type="dxa"/>
            <w:vAlign w:val="bottom"/>
            <w:tcBorders>
              <w:left w:val="single" w:sz="8" w:color="CCEEFF"/>
            </w:tcBorders>
            <w:gridSpan w:val="9"/>
            <w:shd w:val="clear" w:color="auto" w:fill="CCEEFF"/>
          </w:tcPr>
          <w:p>
            <w:pPr>
              <w:ind w:left="20"/>
              <w:spacing w:after="0" w:line="176" w:lineRule="exact"/>
              <w:rPr>
                <w:sz w:val="20"/>
                <w:szCs w:val="20"/>
                <w:color w:val="auto"/>
              </w:rPr>
            </w:pPr>
            <w:r>
              <w:rPr>
                <w:rFonts w:ascii="Arial" w:cs="Arial" w:eastAsia="Arial" w:hAnsi="Arial"/>
                <w:sz w:val="13"/>
                <w:szCs w:val="13"/>
                <w:b w:val="1"/>
                <w:bCs w:val="1"/>
                <w:color w:val="auto"/>
              </w:rPr>
              <w:t>Declara, Inc.</w:t>
            </w:r>
            <w:r>
              <w:rPr>
                <w:rFonts w:ascii="Arial" w:cs="Arial" w:eastAsia="Arial" w:hAnsi="Arial"/>
                <w:sz w:val="20"/>
                <w:szCs w:val="20"/>
                <w:b w:val="1"/>
                <w:bCs w:val="1"/>
                <w:color w:val="auto"/>
                <w:vertAlign w:val="superscript"/>
              </w:rPr>
              <w:t>(1)</w:t>
            </w: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23"/>
        </w:trPr>
        <w:tc>
          <w:tcPr>
            <w:tcW w:w="2580" w:type="dxa"/>
            <w:vAlign w:val="bottom"/>
            <w:gridSpan w:val="9"/>
          </w:tcPr>
          <w:p>
            <w:pPr>
              <w:ind w:left="20"/>
              <w:spacing w:after="0" w:line="123" w:lineRule="exact"/>
              <w:rPr>
                <w:sz w:val="20"/>
                <w:szCs w:val="20"/>
                <w:color w:val="auto"/>
              </w:rPr>
            </w:pPr>
            <w:r>
              <w:rPr>
                <w:rFonts w:ascii="Arial" w:cs="Arial" w:eastAsia="Arial" w:hAnsi="Arial"/>
                <w:sz w:val="14"/>
                <w:szCs w:val="14"/>
                <w:color w:val="auto"/>
              </w:rPr>
              <w:t>Convertible Promissory Note 6%</w:t>
            </w:r>
          </w:p>
        </w:tc>
        <w:tc>
          <w:tcPr>
            <w:tcW w:w="1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167"/>
        </w:trPr>
        <w:tc>
          <w:tcPr>
            <w:tcW w:w="2580" w:type="dxa"/>
            <w:vAlign w:val="bottom"/>
            <w:gridSpan w:val="9"/>
          </w:tcPr>
          <w:p>
            <w:pPr>
              <w:ind w:left="200"/>
              <w:spacing w:after="0"/>
              <w:rPr>
                <w:sz w:val="20"/>
                <w:szCs w:val="20"/>
                <w:color w:val="auto"/>
              </w:rPr>
            </w:pPr>
            <w:r>
              <w:rPr>
                <w:rFonts w:ascii="Arial" w:cs="Arial" w:eastAsia="Arial" w:hAnsi="Arial"/>
                <w:sz w:val="14"/>
                <w:szCs w:val="14"/>
                <w:color w:val="auto"/>
              </w:rPr>
              <w:t>Due 12/30/16***</w:t>
            </w:r>
          </w:p>
        </w:tc>
        <w:tc>
          <w:tcPr>
            <w:tcW w:w="10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6"/>
              </w:rPr>
              <w:t>Palo Alto, CA</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  2,000,000</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2,000,000</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2,000,000</w:t>
            </w:r>
          </w:p>
        </w:tc>
        <w:tc>
          <w:tcPr>
            <w:tcW w:w="780" w:type="dxa"/>
            <w:vAlign w:val="bottom"/>
            <w:gridSpan w:val="3"/>
          </w:tcPr>
          <w:p>
            <w:pPr>
              <w:jc w:val="right"/>
              <w:ind w:right="80"/>
              <w:spacing w:after="0"/>
              <w:rPr>
                <w:sz w:val="20"/>
                <w:szCs w:val="20"/>
                <w:color w:val="auto"/>
              </w:rPr>
            </w:pPr>
            <w:r>
              <w:rPr>
                <w:rFonts w:ascii="Arial" w:cs="Arial" w:eastAsia="Arial" w:hAnsi="Arial"/>
                <w:sz w:val="14"/>
                <w:szCs w:val="14"/>
                <w:color w:val="auto"/>
              </w:rPr>
              <w:t>0.82%</w:t>
            </w:r>
          </w:p>
        </w:tc>
      </w:tr>
      <w:tr>
        <w:trPr>
          <w:trHeight w:val="149"/>
        </w:trPr>
        <w:tc>
          <w:tcPr>
            <w:tcW w:w="2580" w:type="dxa"/>
            <w:vAlign w:val="bottom"/>
            <w:tcBorders>
              <w:left w:val="single" w:sz="8" w:color="CCEEFF"/>
            </w:tcBorders>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Social Cognitive Learning</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10,716,390</w:t>
            </w:r>
          </w:p>
        </w:tc>
        <w:tc>
          <w:tcPr>
            <w:tcW w:w="10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9,999,999</w:t>
            </w:r>
          </w:p>
        </w:tc>
        <w:tc>
          <w:tcPr>
            <w:tcW w:w="12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9,999,999</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4.11%</w:t>
            </w:r>
          </w:p>
        </w:tc>
      </w:tr>
      <w:tr>
        <w:trPr>
          <w:trHeight w:val="20"/>
        </w:trPr>
        <w:tc>
          <w:tcPr>
            <w:tcW w:w="58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11,999,999</w:t>
            </w: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11,999,999</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4.93%</w:t>
            </w:r>
          </w:p>
        </w:tc>
      </w:tr>
      <w:tr>
        <w:trPr>
          <w:trHeight w:val="169"/>
        </w:trPr>
        <w:tc>
          <w:tcPr>
            <w:tcW w:w="2580" w:type="dxa"/>
            <w:vAlign w:val="bottom"/>
            <w:tcBorders>
              <w:left w:val="single" w:sz="8" w:color="CCEEFF"/>
            </w:tcBorders>
            <w:gridSpan w:val="9"/>
            <w:shd w:val="clear" w:color="auto" w:fill="CCEEFF"/>
          </w:tcPr>
          <w:p>
            <w:pPr>
              <w:ind w:left="20"/>
              <w:spacing w:after="0" w:line="169" w:lineRule="exact"/>
              <w:rPr>
                <w:sz w:val="20"/>
                <w:szCs w:val="20"/>
                <w:color w:val="auto"/>
              </w:rPr>
            </w:pPr>
            <w:r>
              <w:rPr>
                <w:rFonts w:ascii="Arial" w:cs="Arial" w:eastAsia="Arial" w:hAnsi="Arial"/>
                <w:sz w:val="12"/>
                <w:szCs w:val="12"/>
                <w:b w:val="1"/>
                <w:bCs w:val="1"/>
                <w:color w:val="auto"/>
              </w:rPr>
              <w:t>Curious.com Inc.</w:t>
            </w:r>
            <w:r>
              <w:rPr>
                <w:rFonts w:ascii="Arial" w:cs="Arial" w:eastAsia="Arial" w:hAnsi="Arial"/>
                <w:sz w:val="19"/>
                <w:szCs w:val="19"/>
                <w:b w:val="1"/>
                <w:bCs w:val="1"/>
                <w:color w:val="auto"/>
                <w:vertAlign w:val="superscript"/>
              </w:rPr>
              <w:t>(1)</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Menlo Park, CA</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tcBorders>
              <w:top w:val="single" w:sz="8" w:color="auto"/>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tcBorders>
              <w:top w:val="single" w:sz="8" w:color="auto"/>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3"/>
              </w:rPr>
              <w:t>Online Education</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3,407,834</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12,000,006</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11,995,576</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4.94%</w:t>
            </w:r>
          </w:p>
        </w:tc>
      </w:tr>
      <w:tr>
        <w:trPr>
          <w:trHeight w:val="135"/>
        </w:trPr>
        <w:tc>
          <w:tcPr>
            <w:tcW w:w="2580" w:type="dxa"/>
            <w:vAlign w:val="bottom"/>
            <w:tcBorders>
              <w:left w:val="single" w:sz="8" w:color="CCEEFF"/>
            </w:tcBorders>
            <w:gridSpan w:val="9"/>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General Assembly Space,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rPr>
              <w:t>New York, NY</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C</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3"/>
              </w:rPr>
              <w:t>Online Education</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126,552</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2,999,978</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5,815,601</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2.39%</w:t>
            </w:r>
          </w:p>
        </w:tc>
      </w:tr>
      <w:tr>
        <w:trPr>
          <w:trHeight w:val="149"/>
        </w:trPr>
        <w:tc>
          <w:tcPr>
            <w:tcW w:w="2580" w:type="dxa"/>
            <w:vAlign w:val="bottom"/>
            <w:tcBorders>
              <w:left w:val="single" w:sz="8" w:color="CCEEFF"/>
            </w:tcBorders>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133,213</w:t>
            </w:r>
          </w:p>
        </w:tc>
        <w:tc>
          <w:tcPr>
            <w:tcW w:w="10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2,999,983</w:t>
            </w:r>
          </w:p>
        </w:tc>
        <w:tc>
          <w:tcPr>
            <w:tcW w:w="12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5,805,286</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2.39%</w:t>
            </w:r>
          </w:p>
        </w:tc>
      </w:tr>
      <w:tr>
        <w:trPr>
          <w:trHeight w:val="20"/>
        </w:trPr>
        <w:tc>
          <w:tcPr>
            <w:tcW w:w="58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5,999,961</w:t>
            </w: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11,620,887</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4.78%</w:t>
            </w:r>
          </w:p>
        </w:tc>
      </w:tr>
      <w:tr>
        <w:trPr>
          <w:trHeight w:val="129"/>
        </w:trPr>
        <w:tc>
          <w:tcPr>
            <w:tcW w:w="2580" w:type="dxa"/>
            <w:vAlign w:val="bottom"/>
            <w:tcBorders>
              <w:left w:val="single" w:sz="8" w:color="CCEEFF"/>
            </w:tcBorders>
            <w:gridSpan w:val="9"/>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JAMF Holdings,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9"/>
              </w:rPr>
              <w:t>Minneapolis, MN</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4"/>
              </w:rPr>
              <w:t>Mobile Device Management</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73,440</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9,999,928</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11,405,305</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4.69%</w:t>
            </w:r>
          </w:p>
        </w:tc>
      </w:tr>
      <w:tr>
        <w:trPr>
          <w:trHeight w:val="176"/>
        </w:trPr>
        <w:tc>
          <w:tcPr>
            <w:tcW w:w="2580" w:type="dxa"/>
            <w:vAlign w:val="bottom"/>
            <w:tcBorders>
              <w:left w:val="single" w:sz="8" w:color="CCEEFF"/>
            </w:tcBorders>
            <w:gridSpan w:val="9"/>
            <w:shd w:val="clear" w:color="auto" w:fill="CCEEFF"/>
          </w:tcPr>
          <w:p>
            <w:pPr>
              <w:ind w:left="20"/>
              <w:spacing w:after="0" w:line="176" w:lineRule="exact"/>
              <w:rPr>
                <w:sz w:val="20"/>
                <w:szCs w:val="20"/>
                <w:color w:val="auto"/>
              </w:rPr>
            </w:pPr>
            <w:r>
              <w:rPr>
                <w:rFonts w:ascii="Arial" w:cs="Arial" w:eastAsia="Arial" w:hAnsi="Arial"/>
                <w:sz w:val="13"/>
                <w:szCs w:val="13"/>
                <w:b w:val="1"/>
                <w:bCs w:val="1"/>
                <w:color w:val="auto"/>
              </w:rPr>
              <w:t xml:space="preserve">Avenues Global Holdings, LLC </w:t>
            </w:r>
            <w:r>
              <w:rPr>
                <w:rFonts w:ascii="Arial" w:cs="Arial" w:eastAsia="Arial" w:hAnsi="Arial"/>
                <w:sz w:val="20"/>
                <w:szCs w:val="20"/>
                <w:b w:val="1"/>
                <w:bCs w:val="1"/>
                <w:color w:val="auto"/>
                <w:vertAlign w:val="superscript"/>
              </w:rPr>
              <w:t>(3)</w:t>
            </w: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New York, NY</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23"/>
        </w:trPr>
        <w:tc>
          <w:tcPr>
            <w:tcW w:w="2580" w:type="dxa"/>
            <w:vAlign w:val="bottom"/>
            <w:gridSpan w:val="9"/>
          </w:tcPr>
          <w:p>
            <w:pPr>
              <w:ind w:left="20"/>
              <w:spacing w:after="0" w:line="123" w:lineRule="exact"/>
              <w:rPr>
                <w:sz w:val="20"/>
                <w:szCs w:val="20"/>
                <w:color w:val="auto"/>
              </w:rPr>
            </w:pPr>
            <w:r>
              <w:rPr>
                <w:rFonts w:ascii="Arial" w:cs="Arial" w:eastAsia="Arial" w:hAnsi="Arial"/>
                <w:sz w:val="14"/>
                <w:szCs w:val="14"/>
                <w:color w:val="auto"/>
              </w:rPr>
              <w:t>Preferred shares, Junior Preferred Stock</w:t>
            </w:r>
          </w:p>
        </w:tc>
        <w:tc>
          <w:tcPr>
            <w:tcW w:w="100" w:type="dxa"/>
            <w:vAlign w:val="bottom"/>
          </w:tcPr>
          <w:p>
            <w:pPr>
              <w:spacing w:after="0"/>
              <w:rPr>
                <w:sz w:val="10"/>
                <w:szCs w:val="10"/>
                <w:color w:val="auto"/>
              </w:rPr>
            </w:pPr>
          </w:p>
        </w:tc>
        <w:tc>
          <w:tcPr>
            <w:tcW w:w="1840" w:type="dxa"/>
            <w:vAlign w:val="bottom"/>
          </w:tcPr>
          <w:p>
            <w:pPr>
              <w:jc w:val="center"/>
              <w:spacing w:after="0" w:line="123" w:lineRule="exact"/>
              <w:rPr>
                <w:sz w:val="20"/>
                <w:szCs w:val="20"/>
                <w:color w:val="auto"/>
              </w:rPr>
            </w:pPr>
            <w:r>
              <w:rPr>
                <w:rFonts w:ascii="Arial" w:cs="Arial" w:eastAsia="Arial" w:hAnsi="Arial"/>
                <w:sz w:val="14"/>
                <w:szCs w:val="14"/>
                <w:color w:val="auto"/>
                <w:w w:val="94"/>
              </w:rPr>
              <w:t>Globally-focused Private</w:t>
            </w: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182"/>
        </w:trPr>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3"/>
              </w:rPr>
              <w:t>School</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10,014,270</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10,151,854</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10,795,434</w:t>
            </w:r>
          </w:p>
        </w:tc>
        <w:tc>
          <w:tcPr>
            <w:tcW w:w="780" w:type="dxa"/>
            <w:vAlign w:val="bottom"/>
            <w:gridSpan w:val="3"/>
          </w:tcPr>
          <w:p>
            <w:pPr>
              <w:jc w:val="right"/>
              <w:ind w:right="80"/>
              <w:spacing w:after="0"/>
              <w:rPr>
                <w:sz w:val="20"/>
                <w:szCs w:val="20"/>
                <w:color w:val="auto"/>
              </w:rPr>
            </w:pPr>
            <w:r>
              <w:rPr>
                <w:rFonts w:ascii="Arial" w:cs="Arial" w:eastAsia="Arial" w:hAnsi="Arial"/>
                <w:sz w:val="14"/>
                <w:szCs w:val="14"/>
                <w:color w:val="auto"/>
              </w:rPr>
              <w:t>4.44%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-3705225</wp:posOffset>
            </wp:positionV>
            <wp:extent cx="5213985" cy="1117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-3310890</wp:posOffset>
            </wp:positionV>
            <wp:extent cx="5213985" cy="1117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-2538730</wp:posOffset>
            </wp:positionV>
            <wp:extent cx="5213985" cy="1117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-1929765</wp:posOffset>
            </wp:positionV>
            <wp:extent cx="5213985" cy="1117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-1226820</wp:posOffset>
            </wp:positionV>
            <wp:extent cx="5213985" cy="1117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-617855</wp:posOffset>
            </wp:positionV>
            <wp:extent cx="5213985" cy="1117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213985" cy="11176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2620"/>
        <w:spacing w:after="0"/>
        <w:rPr>
          <w:sz w:val="20"/>
          <w:szCs w:val="20"/>
          <w:color w:val="auto"/>
        </w:rPr>
      </w:pPr>
      <w:r>
        <w:rPr>
          <w:rFonts w:ascii="Arial" w:cs="Arial" w:eastAsia="Arial" w:hAnsi="Arial"/>
          <w:sz w:val="18"/>
          <w:szCs w:val="18"/>
          <w:i w:val="1"/>
          <w:iCs w:val="1"/>
          <w:color w:val="auto"/>
        </w:rPr>
        <w:t>See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9" w:name="page10"/>
    <w:bookmarkEnd w:id="9"/>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SCHEDULE OF INVESTMENTS – (continued)</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March 31, 2016</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521398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169"/>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 of</w:t>
            </w:r>
          </w:p>
        </w:tc>
      </w:tr>
      <w:tr>
        <w:trPr>
          <w:trHeight w:val="153"/>
        </w:trPr>
        <w:tc>
          <w:tcPr>
            <w:tcW w:w="2580" w:type="dxa"/>
            <w:vAlign w:val="bottom"/>
            <w:tcBorders>
              <w:bottom w:val="single" w:sz="8" w:color="auto"/>
            </w:tcBorders>
            <w:gridSpan w:val="6"/>
          </w:tcPr>
          <w:p>
            <w:pPr>
              <w:ind w:left="20"/>
              <w:spacing w:after="0"/>
              <w:rPr>
                <w:sz w:val="20"/>
                <w:szCs w:val="20"/>
                <w:color w:val="auto"/>
              </w:rPr>
            </w:pPr>
            <w:r>
              <w:rPr>
                <w:rFonts w:ascii="Arial" w:cs="Arial" w:eastAsia="Arial" w:hAnsi="Arial"/>
                <w:sz w:val="13"/>
                <w:szCs w:val="13"/>
                <w:b w:val="1"/>
                <w:bCs w:val="1"/>
                <w:color w:val="auto"/>
              </w:rPr>
              <w:t>Portfolio Investments*</w:t>
            </w:r>
          </w:p>
        </w:tc>
        <w:tc>
          <w:tcPr>
            <w:tcW w:w="100" w:type="dxa"/>
            <w:vAlign w:val="bottom"/>
          </w:tcPr>
          <w:p>
            <w:pPr>
              <w:spacing w:after="0"/>
              <w:rPr>
                <w:sz w:val="13"/>
                <w:szCs w:val="13"/>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Headquarters/Industry</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w w:val="98"/>
              </w:rPr>
              <w:t>Principal</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88"/>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w w:val="99"/>
              </w:rPr>
              <w:t>Fair Value</w:t>
            </w:r>
          </w:p>
        </w:tc>
        <w:tc>
          <w:tcPr>
            <w:tcW w:w="180" w:type="dxa"/>
            <w:vAlign w:val="bottom"/>
          </w:tcPr>
          <w:p>
            <w:pPr>
              <w:spacing w:after="0"/>
              <w:rPr>
                <w:sz w:val="13"/>
                <w:szCs w:val="13"/>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w w:val="89"/>
              </w:rPr>
              <w:t>Net Assets</w:t>
            </w:r>
          </w:p>
        </w:tc>
      </w:tr>
      <w:tr>
        <w:trPr>
          <w:trHeight w:val="169"/>
        </w:trPr>
        <w:tc>
          <w:tcPr>
            <w:tcW w:w="2580" w:type="dxa"/>
            <w:vAlign w:val="bottom"/>
            <w:gridSpan w:val="6"/>
            <w:shd w:val="clear" w:color="auto" w:fill="CCEEFF"/>
          </w:tcPr>
          <w:p>
            <w:pPr>
              <w:ind w:left="20"/>
              <w:spacing w:after="0" w:line="169" w:lineRule="exact"/>
              <w:rPr>
                <w:sz w:val="20"/>
                <w:szCs w:val="20"/>
                <w:color w:val="auto"/>
              </w:rPr>
            </w:pPr>
            <w:r>
              <w:rPr>
                <w:rFonts w:ascii="Arial" w:cs="Arial" w:eastAsia="Arial" w:hAnsi="Arial"/>
                <w:sz w:val="12"/>
                <w:szCs w:val="12"/>
                <w:b w:val="1"/>
                <w:bCs w:val="1"/>
                <w:color w:val="auto"/>
              </w:rPr>
              <w:t>StormWind, LLC</w:t>
            </w:r>
            <w:r>
              <w:rPr>
                <w:rFonts w:ascii="Arial" w:cs="Arial" w:eastAsia="Arial" w:hAnsi="Arial"/>
                <w:sz w:val="19"/>
                <w:szCs w:val="19"/>
                <w:b w:val="1"/>
                <w:bCs w:val="1"/>
                <w:color w:val="auto"/>
                <w:vertAlign w:val="superscript"/>
              </w:rPr>
              <w:t>(2)(5)</w:t>
            </w:r>
          </w:p>
        </w:tc>
        <w:tc>
          <w:tcPr>
            <w:tcW w:w="100" w:type="dxa"/>
            <w:vAlign w:val="bottom"/>
            <w:shd w:val="clear" w:color="auto" w:fill="CCEEFF"/>
          </w:tcPr>
          <w:p>
            <w:pPr>
              <w:spacing w:after="0"/>
              <w:rPr>
                <w:sz w:val="14"/>
                <w:szCs w:val="14"/>
                <w:color w:val="auto"/>
              </w:rPr>
            </w:pPr>
          </w:p>
        </w:tc>
        <w:tc>
          <w:tcPr>
            <w:tcW w:w="2080" w:type="dxa"/>
            <w:vAlign w:val="bottom"/>
            <w:gridSpan w:val="3"/>
            <w:shd w:val="clear" w:color="auto" w:fill="CCEEFF"/>
          </w:tcPr>
          <w:p>
            <w:pPr>
              <w:jc w:val="center"/>
              <w:ind w:right="200"/>
              <w:spacing w:after="0"/>
              <w:rPr>
                <w:sz w:val="20"/>
                <w:szCs w:val="20"/>
                <w:color w:val="auto"/>
              </w:rPr>
            </w:pPr>
            <w:r>
              <w:rPr>
                <w:rFonts w:ascii="Arial" w:cs="Arial" w:eastAsia="Arial" w:hAnsi="Arial"/>
                <w:sz w:val="14"/>
                <w:szCs w:val="14"/>
                <w:color w:val="auto"/>
                <w:w w:val="92"/>
              </w:rPr>
              <w:t>Scottsdale, AZ</w:t>
            </w: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6"/>
          </w:tcPr>
          <w:p>
            <w:pPr>
              <w:ind w:left="20"/>
              <w:spacing w:after="0" w:line="142" w:lineRule="exact"/>
              <w:rPr>
                <w:sz w:val="20"/>
                <w:szCs w:val="20"/>
                <w:color w:val="auto"/>
              </w:rPr>
            </w:pPr>
            <w:r>
              <w:rPr>
                <w:rFonts w:ascii="Arial" w:cs="Arial" w:eastAsia="Arial" w:hAnsi="Arial"/>
                <w:sz w:val="14"/>
                <w:szCs w:val="14"/>
                <w:color w:val="auto"/>
              </w:rPr>
              <w:t>Preferred shares, Series C</w:t>
            </w:r>
          </w:p>
        </w:tc>
        <w:tc>
          <w:tcPr>
            <w:tcW w:w="100" w:type="dxa"/>
            <w:vAlign w:val="bottom"/>
          </w:tcPr>
          <w:p>
            <w:pPr>
              <w:spacing w:after="0"/>
              <w:rPr>
                <w:sz w:val="12"/>
                <w:szCs w:val="12"/>
                <w:color w:val="auto"/>
              </w:rPr>
            </w:pPr>
          </w:p>
        </w:tc>
        <w:tc>
          <w:tcPr>
            <w:tcW w:w="2080" w:type="dxa"/>
            <w:vAlign w:val="bottom"/>
            <w:gridSpan w:val="3"/>
          </w:tcPr>
          <w:p>
            <w:pPr>
              <w:jc w:val="center"/>
              <w:ind w:right="200"/>
              <w:spacing w:after="0" w:line="142" w:lineRule="exact"/>
              <w:rPr>
                <w:sz w:val="20"/>
                <w:szCs w:val="20"/>
                <w:color w:val="auto"/>
              </w:rPr>
            </w:pPr>
            <w:r>
              <w:rPr>
                <w:rFonts w:ascii="Arial" w:cs="Arial" w:eastAsia="Arial" w:hAnsi="Arial"/>
                <w:sz w:val="14"/>
                <w:szCs w:val="14"/>
                <w:color w:val="auto"/>
                <w:w w:val="94"/>
              </w:rPr>
              <w:t>Interactive Learning</w:t>
            </w:r>
          </w:p>
        </w:tc>
        <w:tc>
          <w:tcPr>
            <w:tcW w:w="740" w:type="dxa"/>
            <w:vAlign w:val="bottom"/>
          </w:tcPr>
          <w:p>
            <w:pPr>
              <w:jc w:val="right"/>
              <w:ind w:right="9"/>
              <w:spacing w:after="0" w:line="142" w:lineRule="exact"/>
              <w:rPr>
                <w:sz w:val="20"/>
                <w:szCs w:val="20"/>
                <w:color w:val="auto"/>
              </w:rPr>
            </w:pPr>
            <w:r>
              <w:rPr>
                <w:rFonts w:ascii="Arial" w:cs="Arial" w:eastAsia="Arial" w:hAnsi="Arial"/>
                <w:sz w:val="14"/>
                <w:szCs w:val="14"/>
                <w:color w:val="auto"/>
              </w:rPr>
              <w:t>2,779,134</w:t>
            </w:r>
          </w:p>
        </w:tc>
        <w:tc>
          <w:tcPr>
            <w:tcW w:w="22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4,000,787</w:t>
            </w:r>
          </w:p>
        </w:tc>
        <w:tc>
          <w:tcPr>
            <w:tcW w:w="26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5,212,820</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2.14%</w:t>
            </w:r>
          </w:p>
        </w:tc>
      </w:tr>
      <w:tr>
        <w:trPr>
          <w:trHeight w:val="149"/>
        </w:trPr>
        <w:tc>
          <w:tcPr>
            <w:tcW w:w="2580" w:type="dxa"/>
            <w:vAlign w:val="bottom"/>
            <w:gridSpan w:val="6"/>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3,279,629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2,019,687</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5,010,584</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2.06%</w:t>
            </w:r>
          </w:p>
        </w:tc>
      </w:tr>
      <w:tr>
        <w:trPr>
          <w:trHeight w:val="149"/>
        </w:trPr>
        <w:tc>
          <w:tcPr>
            <w:tcW w:w="2580" w:type="dxa"/>
            <w:vAlign w:val="bottom"/>
            <w:gridSpan w:val="6"/>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9"/>
              <w:spacing w:after="0" w:line="149" w:lineRule="exact"/>
              <w:rPr>
                <w:sz w:val="20"/>
                <w:szCs w:val="20"/>
                <w:color w:val="auto"/>
              </w:rPr>
            </w:pPr>
            <w:r>
              <w:rPr>
                <w:rFonts w:ascii="Arial" w:cs="Arial" w:eastAsia="Arial" w:hAnsi="Arial"/>
                <w:sz w:val="14"/>
                <w:szCs w:val="14"/>
                <w:color w:val="auto"/>
              </w:rPr>
              <w:t>366,666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110,000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560,189</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0.23%</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5"/>
            <w:shd w:val="clear" w:color="auto" w:fill="CCEEFF"/>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6,130,474</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10,783,593</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4.43%</w:t>
            </w:r>
          </w:p>
        </w:tc>
      </w:tr>
      <w:tr>
        <w:trPr>
          <w:trHeight w:val="169"/>
        </w:trPr>
        <w:tc>
          <w:tcPr>
            <w:tcW w:w="2580" w:type="dxa"/>
            <w:vAlign w:val="bottom"/>
            <w:tcBorders>
              <w:top w:val="single" w:sz="8" w:color="CCEEFF"/>
            </w:tcBorders>
            <w:gridSpan w:val="6"/>
          </w:tcPr>
          <w:p>
            <w:pPr>
              <w:ind w:left="20"/>
              <w:spacing w:after="0" w:line="169" w:lineRule="exact"/>
              <w:rPr>
                <w:sz w:val="20"/>
                <w:szCs w:val="20"/>
                <w:color w:val="auto"/>
              </w:rPr>
            </w:pPr>
            <w:r>
              <w:rPr>
                <w:rFonts w:ascii="Arial" w:cs="Arial" w:eastAsia="Arial" w:hAnsi="Arial"/>
                <w:sz w:val="12"/>
                <w:szCs w:val="12"/>
                <w:b w:val="1"/>
                <w:bCs w:val="1"/>
                <w:color w:val="auto"/>
              </w:rPr>
              <w:t>Ozy Media, Inc.</w:t>
            </w:r>
            <w:r>
              <w:rPr>
                <w:rFonts w:ascii="Arial" w:cs="Arial" w:eastAsia="Arial" w:hAnsi="Arial"/>
                <w:sz w:val="19"/>
                <w:szCs w:val="19"/>
                <w:b w:val="1"/>
                <w:bCs w:val="1"/>
                <w:color w:val="auto"/>
                <w:vertAlign w:val="superscript"/>
              </w:rPr>
              <w:t>(1)</w:t>
            </w:r>
          </w:p>
        </w:tc>
        <w:tc>
          <w:tcPr>
            <w:tcW w:w="100" w:type="dxa"/>
            <w:vAlign w:val="bottom"/>
            <w:tcBorders>
              <w:top w:val="single" w:sz="8" w:color="CCEEFF"/>
            </w:tcBorders>
          </w:tcPr>
          <w:p>
            <w:pPr>
              <w:spacing w:after="0"/>
              <w:rPr>
                <w:sz w:val="14"/>
                <w:szCs w:val="14"/>
                <w:color w:val="auto"/>
              </w:rPr>
            </w:pPr>
          </w:p>
        </w:tc>
        <w:tc>
          <w:tcPr>
            <w:tcW w:w="2080" w:type="dxa"/>
            <w:vAlign w:val="bottom"/>
            <w:tcBorders>
              <w:top w:val="single" w:sz="8" w:color="CCEEFF"/>
            </w:tcBorders>
            <w:gridSpan w:val="3"/>
          </w:tcPr>
          <w:p>
            <w:pPr>
              <w:jc w:val="center"/>
              <w:ind w:right="200"/>
              <w:spacing w:after="0"/>
              <w:rPr>
                <w:sz w:val="20"/>
                <w:szCs w:val="20"/>
                <w:color w:val="auto"/>
              </w:rPr>
            </w:pPr>
            <w:r>
              <w:rPr>
                <w:rFonts w:ascii="Arial" w:cs="Arial" w:eastAsia="Arial" w:hAnsi="Arial"/>
                <w:sz w:val="14"/>
                <w:szCs w:val="14"/>
                <w:color w:val="auto"/>
                <w:w w:val="97"/>
              </w:rPr>
              <w:t>Mountain View, CA</w:t>
            </w:r>
          </w:p>
        </w:tc>
        <w:tc>
          <w:tcPr>
            <w:tcW w:w="7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23"/>
        </w:trPr>
        <w:tc>
          <w:tcPr>
            <w:tcW w:w="2580" w:type="dxa"/>
            <w:vAlign w:val="bottom"/>
            <w:gridSpan w:val="6"/>
            <w:shd w:val="clear" w:color="auto" w:fill="CCEEFF"/>
          </w:tcPr>
          <w:p>
            <w:pPr>
              <w:ind w:left="20"/>
              <w:spacing w:after="0" w:line="123" w:lineRule="exact"/>
              <w:rPr>
                <w:sz w:val="20"/>
                <w:szCs w:val="20"/>
                <w:color w:val="auto"/>
              </w:rPr>
            </w:pPr>
            <w:r>
              <w:rPr>
                <w:rFonts w:ascii="Arial" w:cs="Arial" w:eastAsia="Arial" w:hAnsi="Arial"/>
                <w:sz w:val="14"/>
                <w:szCs w:val="14"/>
                <w:color w:val="auto"/>
              </w:rPr>
              <w:t>Preferred shares, Series B</w:t>
            </w:r>
          </w:p>
        </w:tc>
        <w:tc>
          <w:tcPr>
            <w:tcW w:w="100" w:type="dxa"/>
            <w:vAlign w:val="bottom"/>
            <w:shd w:val="clear" w:color="auto" w:fill="CCEEFF"/>
          </w:tcPr>
          <w:p>
            <w:pPr>
              <w:spacing w:after="0"/>
              <w:rPr>
                <w:sz w:val="10"/>
                <w:szCs w:val="10"/>
                <w:color w:val="auto"/>
              </w:rPr>
            </w:pPr>
          </w:p>
        </w:tc>
        <w:tc>
          <w:tcPr>
            <w:tcW w:w="2080" w:type="dxa"/>
            <w:vAlign w:val="bottom"/>
            <w:gridSpan w:val="3"/>
            <w:shd w:val="clear" w:color="auto" w:fill="CCEEFF"/>
          </w:tcPr>
          <w:p>
            <w:pPr>
              <w:jc w:val="center"/>
              <w:ind w:right="200"/>
              <w:spacing w:after="0" w:line="123" w:lineRule="exact"/>
              <w:rPr>
                <w:sz w:val="20"/>
                <w:szCs w:val="20"/>
                <w:color w:val="auto"/>
              </w:rPr>
            </w:pPr>
            <w:r>
              <w:rPr>
                <w:rFonts w:ascii="Arial" w:cs="Arial" w:eastAsia="Arial" w:hAnsi="Arial"/>
                <w:sz w:val="14"/>
                <w:szCs w:val="14"/>
                <w:color w:val="auto"/>
                <w:w w:val="94"/>
              </w:rPr>
              <w:t>Daily News and</w:t>
            </w: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tcBorders>
              <w:lef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tcBorders>
              <w:left w:val="single" w:sz="8" w:color="CCEEFF"/>
            </w:tcBorders>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r>
      <w:tr>
        <w:trPr>
          <w:trHeight w:val="167"/>
        </w:trPr>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4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80" w:type="dxa"/>
            <w:vAlign w:val="bottom"/>
            <w:gridSpan w:val="3"/>
            <w:shd w:val="clear" w:color="auto" w:fill="CCEEFF"/>
          </w:tcPr>
          <w:p>
            <w:pPr>
              <w:jc w:val="center"/>
              <w:ind w:right="200"/>
              <w:spacing w:after="0"/>
              <w:rPr>
                <w:sz w:val="20"/>
                <w:szCs w:val="20"/>
                <w:color w:val="auto"/>
              </w:rPr>
            </w:pPr>
            <w:r>
              <w:rPr>
                <w:rFonts w:ascii="Arial" w:cs="Arial" w:eastAsia="Arial" w:hAnsi="Arial"/>
                <w:sz w:val="14"/>
                <w:szCs w:val="14"/>
                <w:color w:val="auto"/>
                <w:w w:val="97"/>
              </w:rPr>
              <w:t>Information Site</w:t>
            </w: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922,509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4,999,999</w:t>
            </w:r>
          </w:p>
        </w:tc>
        <w:tc>
          <w:tcPr>
            <w:tcW w:w="16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4,667,956</w:t>
            </w:r>
          </w:p>
        </w:tc>
        <w:tc>
          <w:tcPr>
            <w:tcW w:w="8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1.92%</w:t>
            </w:r>
          </w:p>
        </w:tc>
      </w:tr>
      <w:tr>
        <w:trPr>
          <w:trHeight w:val="149"/>
        </w:trPr>
        <w:tc>
          <w:tcPr>
            <w:tcW w:w="2580" w:type="dxa"/>
            <w:vAlign w:val="bottom"/>
            <w:gridSpan w:val="6"/>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9"/>
              <w:spacing w:after="0" w:line="149" w:lineRule="exact"/>
              <w:rPr>
                <w:sz w:val="20"/>
                <w:szCs w:val="20"/>
                <w:color w:val="auto"/>
              </w:rPr>
            </w:pPr>
            <w:r>
              <w:rPr>
                <w:rFonts w:ascii="Arial" w:cs="Arial" w:eastAsia="Arial" w:hAnsi="Arial"/>
                <w:sz w:val="14"/>
                <w:szCs w:val="14"/>
                <w:color w:val="auto"/>
              </w:rPr>
              <w:t>1,090,909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3,000,200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3,888,493</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1.60%</w:t>
            </w:r>
          </w:p>
        </w:tc>
      </w:tr>
      <w:tr>
        <w:trPr>
          <w:trHeight w:val="149"/>
        </w:trPr>
        <w:tc>
          <w:tcPr>
            <w:tcW w:w="2580" w:type="dxa"/>
            <w:vAlign w:val="bottom"/>
            <w:gridSpan w:val="6"/>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Seed</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1,524,555</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0.63%</w:t>
            </w:r>
          </w:p>
        </w:tc>
      </w:tr>
      <w:tr>
        <w:trPr>
          <w:trHeight w:val="20"/>
        </w:trPr>
        <w:tc>
          <w:tcPr>
            <w:tcW w:w="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gridSpan w:val="5"/>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8,500,199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w w:val="96"/>
              </w:rPr>
              <w:t>10,081,004</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4.15%</w:t>
            </w:r>
          </w:p>
        </w:tc>
      </w:tr>
      <w:tr>
        <w:trPr>
          <w:trHeight w:val="129"/>
        </w:trPr>
        <w:tc>
          <w:tcPr>
            <w:tcW w:w="2580" w:type="dxa"/>
            <w:vAlign w:val="bottom"/>
            <w:gridSpan w:val="6"/>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Lytro, Inc.</w:t>
            </w:r>
          </w:p>
        </w:tc>
        <w:tc>
          <w:tcPr>
            <w:tcW w:w="100" w:type="dxa"/>
            <w:vAlign w:val="bottom"/>
            <w:shd w:val="clear" w:color="auto" w:fill="CCEEFF"/>
          </w:tcPr>
          <w:p>
            <w:pPr>
              <w:spacing w:after="0"/>
              <w:rPr>
                <w:sz w:val="11"/>
                <w:szCs w:val="11"/>
                <w:color w:val="auto"/>
              </w:rPr>
            </w:pPr>
          </w:p>
        </w:tc>
        <w:tc>
          <w:tcPr>
            <w:tcW w:w="2080" w:type="dxa"/>
            <w:vAlign w:val="bottom"/>
            <w:gridSpan w:val="3"/>
            <w:shd w:val="clear" w:color="auto" w:fill="CCEEFF"/>
          </w:tcPr>
          <w:p>
            <w:pPr>
              <w:jc w:val="center"/>
              <w:ind w:right="200"/>
              <w:spacing w:after="0" w:line="129" w:lineRule="exact"/>
              <w:rPr>
                <w:sz w:val="20"/>
                <w:szCs w:val="20"/>
                <w:color w:val="auto"/>
              </w:rPr>
            </w:pPr>
            <w:r>
              <w:rPr>
                <w:rFonts w:ascii="Arial" w:cs="Arial" w:eastAsia="Arial" w:hAnsi="Arial"/>
                <w:sz w:val="14"/>
                <w:szCs w:val="14"/>
                <w:color w:val="auto"/>
                <w:w w:val="97"/>
              </w:rPr>
              <w:t>Mountain View, CA</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6"/>
          </w:tcPr>
          <w:p>
            <w:pPr>
              <w:ind w:left="20"/>
              <w:spacing w:after="0" w:line="142" w:lineRule="exact"/>
              <w:rPr>
                <w:sz w:val="20"/>
                <w:szCs w:val="20"/>
                <w:color w:val="auto"/>
              </w:rPr>
            </w:pPr>
            <w:r>
              <w:rPr>
                <w:rFonts w:ascii="Arial" w:cs="Arial" w:eastAsia="Arial" w:hAnsi="Arial"/>
                <w:sz w:val="14"/>
                <w:szCs w:val="14"/>
                <w:color w:val="auto"/>
              </w:rPr>
              <w:t>Preferred shares, Series C-1</w:t>
            </w:r>
          </w:p>
        </w:tc>
        <w:tc>
          <w:tcPr>
            <w:tcW w:w="100" w:type="dxa"/>
            <w:vAlign w:val="bottom"/>
          </w:tcPr>
          <w:p>
            <w:pPr>
              <w:spacing w:after="0"/>
              <w:rPr>
                <w:sz w:val="12"/>
                <w:szCs w:val="12"/>
                <w:color w:val="auto"/>
              </w:rPr>
            </w:pPr>
          </w:p>
        </w:tc>
        <w:tc>
          <w:tcPr>
            <w:tcW w:w="2080" w:type="dxa"/>
            <w:vAlign w:val="bottom"/>
            <w:gridSpan w:val="3"/>
          </w:tcPr>
          <w:p>
            <w:pPr>
              <w:jc w:val="center"/>
              <w:ind w:right="200"/>
              <w:spacing w:after="0" w:line="142" w:lineRule="exact"/>
              <w:rPr>
                <w:sz w:val="20"/>
                <w:szCs w:val="20"/>
                <w:color w:val="auto"/>
              </w:rPr>
            </w:pPr>
            <w:r>
              <w:rPr>
                <w:rFonts w:ascii="Arial" w:cs="Arial" w:eastAsia="Arial" w:hAnsi="Arial"/>
                <w:sz w:val="14"/>
                <w:szCs w:val="14"/>
                <w:color w:val="auto"/>
                <w:w w:val="96"/>
              </w:rPr>
              <w:t>Light Field Imaging Platform</w:t>
            </w:r>
          </w:p>
        </w:tc>
        <w:tc>
          <w:tcPr>
            <w:tcW w:w="740" w:type="dxa"/>
            <w:vAlign w:val="bottom"/>
          </w:tcPr>
          <w:p>
            <w:pPr>
              <w:jc w:val="right"/>
              <w:ind w:right="9"/>
              <w:spacing w:after="0" w:line="142" w:lineRule="exact"/>
              <w:rPr>
                <w:sz w:val="20"/>
                <w:szCs w:val="20"/>
                <w:color w:val="auto"/>
              </w:rPr>
            </w:pPr>
            <w:r>
              <w:rPr>
                <w:rFonts w:ascii="Arial" w:cs="Arial" w:eastAsia="Arial" w:hAnsi="Arial"/>
                <w:sz w:val="14"/>
                <w:szCs w:val="14"/>
                <w:color w:val="auto"/>
              </w:rPr>
              <w:t>3,378,379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w w:val="96"/>
              </w:rPr>
              <w:t>10,000,002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w w:val="96"/>
              </w:rPr>
              <w:t>10,000,002</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4.11%</w:t>
            </w:r>
          </w:p>
        </w:tc>
      </w:tr>
      <w:tr>
        <w:trPr>
          <w:trHeight w:val="135"/>
        </w:trPr>
        <w:tc>
          <w:tcPr>
            <w:tcW w:w="2580" w:type="dxa"/>
            <w:vAlign w:val="bottom"/>
            <w:gridSpan w:val="6"/>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Dataminr, Inc.</w:t>
            </w:r>
          </w:p>
        </w:tc>
        <w:tc>
          <w:tcPr>
            <w:tcW w:w="100" w:type="dxa"/>
            <w:vAlign w:val="bottom"/>
            <w:shd w:val="clear" w:color="auto" w:fill="CCEEFF"/>
          </w:tcPr>
          <w:p>
            <w:pPr>
              <w:spacing w:after="0"/>
              <w:rPr>
                <w:sz w:val="11"/>
                <w:szCs w:val="11"/>
                <w:color w:val="auto"/>
              </w:rPr>
            </w:pPr>
          </w:p>
        </w:tc>
        <w:tc>
          <w:tcPr>
            <w:tcW w:w="2080" w:type="dxa"/>
            <w:vAlign w:val="bottom"/>
            <w:gridSpan w:val="3"/>
            <w:shd w:val="clear" w:color="auto" w:fill="CCEEFF"/>
          </w:tcPr>
          <w:p>
            <w:pPr>
              <w:jc w:val="center"/>
              <w:ind w:right="200"/>
              <w:spacing w:after="0" w:line="135" w:lineRule="exact"/>
              <w:rPr>
                <w:sz w:val="20"/>
                <w:szCs w:val="20"/>
                <w:color w:val="auto"/>
              </w:rPr>
            </w:pPr>
            <w:r>
              <w:rPr>
                <w:rFonts w:ascii="Arial" w:cs="Arial" w:eastAsia="Arial" w:hAnsi="Arial"/>
                <w:sz w:val="14"/>
                <w:szCs w:val="14"/>
                <w:color w:val="auto"/>
              </w:rPr>
              <w:t>New York, NY</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6"/>
          </w:tcPr>
          <w:p>
            <w:pPr>
              <w:ind w:left="20"/>
              <w:spacing w:after="0" w:line="142" w:lineRule="exact"/>
              <w:rPr>
                <w:sz w:val="20"/>
                <w:szCs w:val="20"/>
                <w:color w:val="auto"/>
              </w:rPr>
            </w:pPr>
            <w:r>
              <w:rPr>
                <w:rFonts w:ascii="Arial" w:cs="Arial" w:eastAsia="Arial" w:hAnsi="Arial"/>
                <w:sz w:val="14"/>
                <w:szCs w:val="14"/>
                <w:color w:val="auto"/>
              </w:rPr>
              <w:t>Preferred shares, Series C</w:t>
            </w:r>
          </w:p>
        </w:tc>
        <w:tc>
          <w:tcPr>
            <w:tcW w:w="100" w:type="dxa"/>
            <w:vAlign w:val="bottom"/>
          </w:tcPr>
          <w:p>
            <w:pPr>
              <w:spacing w:after="0"/>
              <w:rPr>
                <w:sz w:val="12"/>
                <w:szCs w:val="12"/>
                <w:color w:val="auto"/>
              </w:rPr>
            </w:pPr>
          </w:p>
        </w:tc>
        <w:tc>
          <w:tcPr>
            <w:tcW w:w="2080" w:type="dxa"/>
            <w:vAlign w:val="bottom"/>
            <w:gridSpan w:val="3"/>
          </w:tcPr>
          <w:p>
            <w:pPr>
              <w:jc w:val="center"/>
              <w:ind w:right="200"/>
              <w:spacing w:after="0" w:line="142" w:lineRule="exact"/>
              <w:rPr>
                <w:sz w:val="20"/>
                <w:szCs w:val="20"/>
                <w:color w:val="auto"/>
              </w:rPr>
            </w:pPr>
            <w:r>
              <w:rPr>
                <w:rFonts w:ascii="Arial" w:cs="Arial" w:eastAsia="Arial" w:hAnsi="Arial"/>
                <w:sz w:val="14"/>
                <w:szCs w:val="14"/>
                <w:color w:val="auto"/>
                <w:w w:val="97"/>
              </w:rPr>
              <w:t>Social Media Analytics</w:t>
            </w:r>
          </w:p>
        </w:tc>
        <w:tc>
          <w:tcPr>
            <w:tcW w:w="740" w:type="dxa"/>
            <w:vAlign w:val="bottom"/>
          </w:tcPr>
          <w:p>
            <w:pPr>
              <w:jc w:val="right"/>
              <w:ind w:right="9"/>
              <w:spacing w:after="0" w:line="142" w:lineRule="exact"/>
              <w:rPr>
                <w:sz w:val="20"/>
                <w:szCs w:val="20"/>
                <w:color w:val="auto"/>
              </w:rPr>
            </w:pPr>
            <w:r>
              <w:rPr>
                <w:rFonts w:ascii="Arial" w:cs="Arial" w:eastAsia="Arial" w:hAnsi="Arial"/>
                <w:sz w:val="14"/>
                <w:szCs w:val="14"/>
                <w:color w:val="auto"/>
              </w:rPr>
              <w:t>301,369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1,100,909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2,193,700</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0.90%</w:t>
            </w:r>
          </w:p>
        </w:tc>
      </w:tr>
      <w:tr>
        <w:trPr>
          <w:trHeight w:val="149"/>
        </w:trPr>
        <w:tc>
          <w:tcPr>
            <w:tcW w:w="2580" w:type="dxa"/>
            <w:vAlign w:val="bottom"/>
            <w:gridSpan w:val="6"/>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904,977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2,063,356</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6,587,434</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2.71%</w:t>
            </w:r>
          </w:p>
        </w:tc>
      </w:tr>
      <w:tr>
        <w:trPr>
          <w:trHeight w:val="20"/>
        </w:trPr>
        <w:tc>
          <w:tcPr>
            <w:tcW w:w="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gridSpan w:val="5"/>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3,164,265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8,781,134</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3.61%</w:t>
            </w:r>
          </w:p>
        </w:tc>
      </w:tr>
      <w:tr>
        <w:trPr>
          <w:trHeight w:val="129"/>
        </w:trPr>
        <w:tc>
          <w:tcPr>
            <w:tcW w:w="2580" w:type="dxa"/>
            <w:vAlign w:val="bottom"/>
            <w:gridSpan w:val="6"/>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SugarCRM, Inc.</w:t>
            </w:r>
          </w:p>
        </w:tc>
        <w:tc>
          <w:tcPr>
            <w:tcW w:w="100" w:type="dxa"/>
            <w:vAlign w:val="bottom"/>
            <w:shd w:val="clear" w:color="auto" w:fill="CCEEFF"/>
          </w:tcPr>
          <w:p>
            <w:pPr>
              <w:spacing w:after="0"/>
              <w:rPr>
                <w:sz w:val="11"/>
                <w:szCs w:val="11"/>
                <w:color w:val="auto"/>
              </w:rPr>
            </w:pPr>
          </w:p>
        </w:tc>
        <w:tc>
          <w:tcPr>
            <w:tcW w:w="2080" w:type="dxa"/>
            <w:vAlign w:val="bottom"/>
            <w:gridSpan w:val="3"/>
            <w:shd w:val="clear" w:color="auto" w:fill="CCEEFF"/>
          </w:tcPr>
          <w:p>
            <w:pPr>
              <w:jc w:val="center"/>
              <w:ind w:right="200"/>
              <w:spacing w:after="0" w:line="129" w:lineRule="exact"/>
              <w:rPr>
                <w:sz w:val="20"/>
                <w:szCs w:val="20"/>
                <w:color w:val="auto"/>
              </w:rPr>
            </w:pPr>
            <w:r>
              <w:rPr>
                <w:rFonts w:ascii="Arial" w:cs="Arial" w:eastAsia="Arial" w:hAnsi="Arial"/>
                <w:sz w:val="14"/>
                <w:szCs w:val="14"/>
                <w:color w:val="auto"/>
                <w:w w:val="95"/>
              </w:rPr>
              <w:t>Cupertino, CA</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6"/>
          </w:tcPr>
          <w:p>
            <w:pPr>
              <w:ind w:left="20"/>
              <w:spacing w:after="0" w:line="142" w:lineRule="exact"/>
              <w:rPr>
                <w:sz w:val="20"/>
                <w:szCs w:val="20"/>
                <w:color w:val="auto"/>
              </w:rPr>
            </w:pPr>
            <w:r>
              <w:rPr>
                <w:rFonts w:ascii="Arial" w:cs="Arial" w:eastAsia="Arial" w:hAnsi="Arial"/>
                <w:sz w:val="14"/>
                <w:szCs w:val="14"/>
                <w:color w:val="auto"/>
              </w:rPr>
              <w:t>Preferred shares, Series E</w:t>
            </w:r>
          </w:p>
        </w:tc>
        <w:tc>
          <w:tcPr>
            <w:tcW w:w="100" w:type="dxa"/>
            <w:vAlign w:val="bottom"/>
          </w:tcPr>
          <w:p>
            <w:pPr>
              <w:spacing w:after="0"/>
              <w:rPr>
                <w:sz w:val="12"/>
                <w:szCs w:val="12"/>
                <w:color w:val="auto"/>
              </w:rPr>
            </w:pPr>
          </w:p>
        </w:tc>
        <w:tc>
          <w:tcPr>
            <w:tcW w:w="2080" w:type="dxa"/>
            <w:vAlign w:val="bottom"/>
            <w:gridSpan w:val="3"/>
          </w:tcPr>
          <w:p>
            <w:pPr>
              <w:jc w:val="center"/>
              <w:ind w:right="200"/>
              <w:spacing w:after="0" w:line="142" w:lineRule="exact"/>
              <w:rPr>
                <w:sz w:val="20"/>
                <w:szCs w:val="20"/>
                <w:color w:val="auto"/>
              </w:rPr>
            </w:pPr>
            <w:r>
              <w:rPr>
                <w:rFonts w:ascii="Arial" w:cs="Arial" w:eastAsia="Arial" w:hAnsi="Arial"/>
                <w:sz w:val="14"/>
                <w:szCs w:val="14"/>
                <w:color w:val="auto"/>
                <w:w w:val="93"/>
              </w:rPr>
              <w:t>Customer Relationship</w:t>
            </w:r>
          </w:p>
        </w:tc>
        <w:tc>
          <w:tcPr>
            <w:tcW w:w="740" w:type="dxa"/>
            <w:vAlign w:val="bottom"/>
          </w:tcPr>
          <w:p>
            <w:pPr>
              <w:jc w:val="right"/>
              <w:ind w:right="9"/>
              <w:spacing w:after="0" w:line="142" w:lineRule="exact"/>
              <w:rPr>
                <w:sz w:val="20"/>
                <w:szCs w:val="20"/>
                <w:color w:val="auto"/>
              </w:rPr>
            </w:pPr>
            <w:r>
              <w:rPr>
                <w:rFonts w:ascii="Arial" w:cs="Arial" w:eastAsia="Arial" w:hAnsi="Arial"/>
                <w:sz w:val="14"/>
                <w:szCs w:val="14"/>
                <w:color w:val="auto"/>
              </w:rPr>
              <w:t>373,134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1,500,522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1,858,207</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0.76%</w:t>
            </w:r>
          </w:p>
        </w:tc>
      </w:tr>
      <w:tr>
        <w:trPr>
          <w:trHeight w:val="149"/>
        </w:trPr>
        <w:tc>
          <w:tcPr>
            <w:tcW w:w="2580" w:type="dxa"/>
            <w:vAlign w:val="bottom"/>
            <w:gridSpan w:val="6"/>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2"/>
                <w:szCs w:val="12"/>
                <w:color w:val="auto"/>
              </w:rPr>
            </w:pPr>
          </w:p>
        </w:tc>
        <w:tc>
          <w:tcPr>
            <w:tcW w:w="208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4"/>
              </w:rPr>
              <w:t>Manager</w:t>
            </w:r>
          </w:p>
        </w:tc>
        <w:tc>
          <w:tcPr>
            <w:tcW w:w="74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1,524,799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5,476,502</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6,768,255</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2.78%</w:t>
            </w:r>
          </w:p>
        </w:tc>
      </w:tr>
      <w:tr>
        <w:trPr>
          <w:trHeight w:val="20"/>
        </w:trPr>
        <w:tc>
          <w:tcPr>
            <w:tcW w:w="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gridSpan w:val="5"/>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6,977,024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8,626,462</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3.54%</w:t>
            </w:r>
          </w:p>
        </w:tc>
      </w:tr>
      <w:tr>
        <w:trPr>
          <w:trHeight w:val="169"/>
        </w:trPr>
        <w:tc>
          <w:tcPr>
            <w:tcW w:w="2580" w:type="dxa"/>
            <w:vAlign w:val="bottom"/>
            <w:gridSpan w:val="6"/>
            <w:shd w:val="clear" w:color="auto" w:fill="CCEEFF"/>
          </w:tcPr>
          <w:p>
            <w:pPr>
              <w:ind w:left="20"/>
              <w:spacing w:after="0" w:line="169" w:lineRule="exact"/>
              <w:rPr>
                <w:sz w:val="20"/>
                <w:szCs w:val="20"/>
                <w:color w:val="auto"/>
              </w:rPr>
            </w:pPr>
            <w:r>
              <w:rPr>
                <w:rFonts w:ascii="Arial" w:cs="Arial" w:eastAsia="Arial" w:hAnsi="Arial"/>
                <w:sz w:val="12"/>
                <w:szCs w:val="12"/>
                <w:b w:val="1"/>
                <w:bCs w:val="1"/>
                <w:color w:val="auto"/>
              </w:rPr>
              <w:t>NestGSV, Inc. (d/b/a GSV Labs, Inc.)</w:t>
            </w:r>
            <w:r>
              <w:rPr>
                <w:rFonts w:ascii="Arial" w:cs="Arial" w:eastAsia="Arial" w:hAnsi="Arial"/>
                <w:sz w:val="19"/>
                <w:szCs w:val="19"/>
                <w:b w:val="1"/>
                <w:bCs w:val="1"/>
                <w:color w:val="auto"/>
                <w:vertAlign w:val="superscript"/>
              </w:rPr>
              <w:t>(2)</w:t>
            </w:r>
          </w:p>
        </w:tc>
        <w:tc>
          <w:tcPr>
            <w:tcW w:w="100" w:type="dxa"/>
            <w:vAlign w:val="bottom"/>
            <w:shd w:val="clear" w:color="auto" w:fill="CCEEFF"/>
          </w:tcPr>
          <w:p>
            <w:pPr>
              <w:spacing w:after="0"/>
              <w:rPr>
                <w:sz w:val="14"/>
                <w:szCs w:val="14"/>
                <w:color w:val="auto"/>
              </w:rPr>
            </w:pPr>
          </w:p>
        </w:tc>
        <w:tc>
          <w:tcPr>
            <w:tcW w:w="2080" w:type="dxa"/>
            <w:vAlign w:val="bottom"/>
            <w:gridSpan w:val="3"/>
            <w:shd w:val="clear" w:color="auto" w:fill="CCEEFF"/>
          </w:tcPr>
          <w:p>
            <w:pPr>
              <w:jc w:val="center"/>
              <w:ind w:right="200"/>
              <w:spacing w:after="0"/>
              <w:rPr>
                <w:sz w:val="20"/>
                <w:szCs w:val="20"/>
                <w:color w:val="auto"/>
              </w:rPr>
            </w:pPr>
            <w:r>
              <w:rPr>
                <w:rFonts w:ascii="Arial" w:cs="Arial" w:eastAsia="Arial" w:hAnsi="Arial"/>
                <w:sz w:val="14"/>
                <w:szCs w:val="14"/>
                <w:color w:val="auto"/>
                <w:w w:val="94"/>
              </w:rPr>
              <w:t>Redwood City, CA</w:t>
            </w: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23"/>
        </w:trPr>
        <w:tc>
          <w:tcPr>
            <w:tcW w:w="2580" w:type="dxa"/>
            <w:vAlign w:val="bottom"/>
            <w:gridSpan w:val="6"/>
          </w:tcPr>
          <w:p>
            <w:pPr>
              <w:ind w:left="20"/>
              <w:spacing w:after="0" w:line="123" w:lineRule="exact"/>
              <w:rPr>
                <w:sz w:val="20"/>
                <w:szCs w:val="20"/>
                <w:color w:val="auto"/>
              </w:rPr>
            </w:pPr>
            <w:r>
              <w:rPr>
                <w:rFonts w:ascii="Arial" w:cs="Arial" w:eastAsia="Arial" w:hAnsi="Arial"/>
                <w:sz w:val="14"/>
                <w:szCs w:val="14"/>
                <w:color w:val="auto"/>
              </w:rPr>
              <w:t>Convertible Promissory Note 8%</w:t>
            </w:r>
          </w:p>
        </w:tc>
        <w:tc>
          <w:tcPr>
            <w:tcW w:w="100" w:type="dxa"/>
            <w:vAlign w:val="bottom"/>
          </w:tcPr>
          <w:p>
            <w:pPr>
              <w:spacing w:after="0"/>
              <w:rPr>
                <w:sz w:val="10"/>
                <w:szCs w:val="10"/>
                <w:color w:val="auto"/>
              </w:rPr>
            </w:pPr>
          </w:p>
        </w:tc>
        <w:tc>
          <w:tcPr>
            <w:tcW w:w="2080" w:type="dxa"/>
            <w:vAlign w:val="bottom"/>
            <w:gridSpan w:val="3"/>
          </w:tcPr>
          <w:p>
            <w:pPr>
              <w:jc w:val="center"/>
              <w:ind w:right="200"/>
              <w:spacing w:after="0" w:line="123" w:lineRule="exact"/>
              <w:rPr>
                <w:sz w:val="20"/>
                <w:szCs w:val="20"/>
                <w:color w:val="auto"/>
              </w:rPr>
            </w:pPr>
            <w:r>
              <w:rPr>
                <w:rFonts w:ascii="Arial" w:cs="Arial" w:eastAsia="Arial" w:hAnsi="Arial"/>
                <w:sz w:val="14"/>
                <w:szCs w:val="14"/>
                <w:color w:val="auto"/>
                <w:w w:val="95"/>
              </w:rPr>
              <w:t>Incubator</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2560" w:type="dxa"/>
            <w:vAlign w:val="bottom"/>
            <w:gridSpan w:val="5"/>
          </w:tcPr>
          <w:p>
            <w:pPr>
              <w:ind w:left="180"/>
              <w:spacing w:after="0"/>
              <w:rPr>
                <w:sz w:val="20"/>
                <w:szCs w:val="20"/>
                <w:color w:val="auto"/>
              </w:rPr>
            </w:pPr>
            <w:r>
              <w:rPr>
                <w:rFonts w:ascii="Arial" w:cs="Arial" w:eastAsia="Arial" w:hAnsi="Arial"/>
                <w:sz w:val="14"/>
                <w:szCs w:val="14"/>
                <w:color w:val="auto"/>
              </w:rPr>
              <w:t>Due 06/30/16***</w:t>
            </w:r>
          </w:p>
        </w:tc>
        <w:tc>
          <w:tcPr>
            <w:tcW w:w="2180" w:type="dxa"/>
            <w:vAlign w:val="bottom"/>
            <w:gridSpan w:val="4"/>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500,000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500,000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500,000</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0.21%</w:t>
            </w:r>
          </w:p>
        </w:tc>
      </w:tr>
      <w:tr>
        <w:trPr>
          <w:trHeight w:val="149"/>
        </w:trPr>
        <w:tc>
          <w:tcPr>
            <w:tcW w:w="2580" w:type="dxa"/>
            <w:vAlign w:val="bottom"/>
            <w:gridSpan w:val="6"/>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D</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3,720,424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4,904,498</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4,960,565</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2.04%</w:t>
            </w:r>
          </w:p>
        </w:tc>
      </w:tr>
      <w:tr>
        <w:trPr>
          <w:trHeight w:val="149"/>
        </w:trPr>
        <w:tc>
          <w:tcPr>
            <w:tcW w:w="2580" w:type="dxa"/>
            <w:vAlign w:val="bottom"/>
            <w:gridSpan w:val="6"/>
          </w:tcPr>
          <w:p>
            <w:pPr>
              <w:ind w:left="20"/>
              <w:spacing w:after="0" w:line="149" w:lineRule="exact"/>
              <w:rPr>
                <w:sz w:val="20"/>
                <w:szCs w:val="20"/>
                <w:color w:val="auto"/>
              </w:rPr>
            </w:pPr>
            <w:r>
              <w:rPr>
                <w:rFonts w:ascii="Arial" w:cs="Arial" w:eastAsia="Arial" w:hAnsi="Arial"/>
                <w:sz w:val="14"/>
                <w:szCs w:val="14"/>
                <w:color w:val="auto"/>
              </w:rPr>
              <w:t>Preferred shares, Series C</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9"/>
              <w:spacing w:after="0" w:line="149" w:lineRule="exact"/>
              <w:rPr>
                <w:sz w:val="20"/>
                <w:szCs w:val="20"/>
                <w:color w:val="auto"/>
              </w:rPr>
            </w:pPr>
            <w:r>
              <w:rPr>
                <w:rFonts w:ascii="Arial" w:cs="Arial" w:eastAsia="Arial" w:hAnsi="Arial"/>
                <w:sz w:val="14"/>
                <w:szCs w:val="14"/>
                <w:color w:val="auto"/>
              </w:rPr>
              <w:t>1,561,625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2,005,730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1,733,404</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0.71%</w:t>
            </w:r>
          </w:p>
        </w:tc>
      </w:tr>
      <w:tr>
        <w:trPr>
          <w:trHeight w:val="149"/>
        </w:trPr>
        <w:tc>
          <w:tcPr>
            <w:tcW w:w="2580" w:type="dxa"/>
            <w:vAlign w:val="bottom"/>
            <w:gridSpan w:val="6"/>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450,001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605,500</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lef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49"/>
        </w:trPr>
        <w:tc>
          <w:tcPr>
            <w:tcW w:w="2580" w:type="dxa"/>
            <w:vAlign w:val="bottom"/>
            <w:gridSpan w:val="6"/>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9"/>
              <w:spacing w:after="0" w:line="149" w:lineRule="exact"/>
              <w:rPr>
                <w:sz w:val="20"/>
                <w:szCs w:val="20"/>
                <w:color w:val="auto"/>
              </w:rPr>
            </w:pPr>
            <w:r>
              <w:rPr>
                <w:rFonts w:ascii="Arial" w:cs="Arial" w:eastAsia="Arial" w:hAnsi="Arial"/>
                <w:sz w:val="14"/>
                <w:szCs w:val="14"/>
                <w:color w:val="auto"/>
              </w:rPr>
              <w:t>1,000,000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1,021,778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49"/>
        </w:trPr>
        <w:tc>
          <w:tcPr>
            <w:tcW w:w="2580" w:type="dxa"/>
            <w:vAlign w:val="bottom"/>
            <w:gridSpan w:val="6"/>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200,000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lef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30"/>
        </w:trPr>
        <w:tc>
          <w:tcPr>
            <w:tcW w:w="2580" w:type="dxa"/>
            <w:vAlign w:val="bottom"/>
            <w:gridSpan w:val="6"/>
          </w:tcPr>
          <w:p>
            <w:pPr>
              <w:ind w:left="20"/>
              <w:spacing w:after="0" w:line="130" w:lineRule="exact"/>
              <w:rPr>
                <w:sz w:val="20"/>
                <w:szCs w:val="20"/>
                <w:color w:val="auto"/>
              </w:rPr>
            </w:pPr>
            <w:r>
              <w:rPr>
                <w:rFonts w:ascii="Arial" w:cs="Arial" w:eastAsia="Arial" w:hAnsi="Arial"/>
                <w:sz w:val="14"/>
                <w:szCs w:val="14"/>
                <w:color w:val="auto"/>
                <w:w w:val="94"/>
              </w:rPr>
              <w:t>Preferred warrants, Series D – $1.33 Strike</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560" w:type="dxa"/>
            <w:vAlign w:val="bottom"/>
            <w:gridSpan w:val="5"/>
          </w:tcPr>
          <w:p>
            <w:pPr>
              <w:ind w:left="180"/>
              <w:spacing w:after="0"/>
              <w:rPr>
                <w:sz w:val="20"/>
                <w:szCs w:val="20"/>
                <w:color w:val="auto"/>
              </w:rPr>
            </w:pPr>
            <w:r>
              <w:rPr>
                <w:rFonts w:ascii="Arial" w:cs="Arial" w:eastAsia="Arial" w:hAnsi="Arial"/>
                <w:sz w:val="14"/>
                <w:szCs w:val="14"/>
                <w:color w:val="auto"/>
              </w:rPr>
              <w:t>Price, Expiration Date 10/6/2019</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500,000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100,000</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0.04%</w:t>
            </w:r>
          </w:p>
        </w:tc>
      </w:tr>
      <w:tr>
        <w:trPr>
          <w:trHeight w:val="130"/>
        </w:trPr>
        <w:tc>
          <w:tcPr>
            <w:tcW w:w="2580" w:type="dxa"/>
            <w:vAlign w:val="bottom"/>
            <w:gridSpan w:val="6"/>
            <w:shd w:val="clear" w:color="auto" w:fill="CCEEFF"/>
          </w:tcPr>
          <w:p>
            <w:pPr>
              <w:ind w:left="20"/>
              <w:spacing w:after="0" w:line="130" w:lineRule="exact"/>
              <w:rPr>
                <w:sz w:val="20"/>
                <w:szCs w:val="20"/>
                <w:color w:val="auto"/>
              </w:rPr>
            </w:pPr>
            <w:r>
              <w:rPr>
                <w:rFonts w:ascii="Arial" w:cs="Arial" w:eastAsia="Arial" w:hAnsi="Arial"/>
                <w:sz w:val="14"/>
                <w:szCs w:val="14"/>
                <w:color w:val="auto"/>
                <w:w w:val="94"/>
              </w:rPr>
              <w:t>Preferred warrants, Series C – $1.33 Strike</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67"/>
        </w:trPr>
        <w:tc>
          <w:tcPr>
            <w:tcW w:w="20" w:type="dxa"/>
            <w:vAlign w:val="bottom"/>
            <w:shd w:val="clear" w:color="auto" w:fill="CCEEFF"/>
          </w:tcPr>
          <w:p>
            <w:pPr>
              <w:spacing w:after="0"/>
              <w:rPr>
                <w:sz w:val="14"/>
                <w:szCs w:val="14"/>
                <w:color w:val="auto"/>
              </w:rPr>
            </w:pPr>
          </w:p>
        </w:tc>
        <w:tc>
          <w:tcPr>
            <w:tcW w:w="2560" w:type="dxa"/>
            <w:vAlign w:val="bottom"/>
            <w:gridSpan w:val="5"/>
            <w:shd w:val="clear" w:color="auto" w:fill="CCEEFF"/>
          </w:tcPr>
          <w:p>
            <w:pPr>
              <w:ind w:left="180"/>
              <w:spacing w:after="0"/>
              <w:rPr>
                <w:sz w:val="20"/>
                <w:szCs w:val="20"/>
                <w:color w:val="auto"/>
              </w:rPr>
            </w:pPr>
            <w:r>
              <w:rPr>
                <w:rFonts w:ascii="Arial" w:cs="Arial" w:eastAsia="Arial" w:hAnsi="Arial"/>
                <w:sz w:val="14"/>
                <w:szCs w:val="14"/>
                <w:color w:val="auto"/>
              </w:rPr>
              <w:t>Price, Expiration Date 4/9/2019</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187,500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22,500</w:t>
            </w:r>
          </w:p>
        </w:tc>
        <w:tc>
          <w:tcPr>
            <w:tcW w:w="8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0.01%</w:t>
            </w:r>
          </w:p>
        </w:tc>
      </w:tr>
      <w:tr>
        <w:trPr>
          <w:trHeight w:val="20"/>
        </w:trPr>
        <w:tc>
          <w:tcPr>
            <w:tcW w:w="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gridSpan w:val="5"/>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9,038,506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7,316,469</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3.01%</w:t>
            </w:r>
          </w:p>
        </w:tc>
      </w:tr>
      <w:tr>
        <w:trPr>
          <w:trHeight w:val="169"/>
        </w:trPr>
        <w:tc>
          <w:tcPr>
            <w:tcW w:w="2580" w:type="dxa"/>
            <w:vAlign w:val="bottom"/>
            <w:gridSpan w:val="6"/>
            <w:shd w:val="clear" w:color="auto" w:fill="CCEEFF"/>
          </w:tcPr>
          <w:p>
            <w:pPr>
              <w:ind w:left="20"/>
              <w:spacing w:after="0" w:line="169" w:lineRule="exact"/>
              <w:rPr>
                <w:sz w:val="20"/>
                <w:szCs w:val="20"/>
                <w:color w:val="auto"/>
              </w:rPr>
            </w:pPr>
            <w:r>
              <w:rPr>
                <w:rFonts w:ascii="Arial" w:cs="Arial" w:eastAsia="Arial" w:hAnsi="Arial"/>
                <w:sz w:val="12"/>
                <w:szCs w:val="12"/>
                <w:b w:val="1"/>
                <w:bCs w:val="1"/>
                <w:color w:val="auto"/>
              </w:rPr>
              <w:t>Fullbridge, Inc.</w:t>
            </w:r>
            <w:r>
              <w:rPr>
                <w:rFonts w:ascii="Arial" w:cs="Arial" w:eastAsia="Arial" w:hAnsi="Arial"/>
                <w:sz w:val="19"/>
                <w:szCs w:val="19"/>
                <w:b w:val="1"/>
                <w:bCs w:val="1"/>
                <w:color w:val="auto"/>
                <w:vertAlign w:val="superscript"/>
              </w:rPr>
              <w:t>(1)</w:t>
            </w:r>
          </w:p>
        </w:tc>
        <w:tc>
          <w:tcPr>
            <w:tcW w:w="100" w:type="dxa"/>
            <w:vAlign w:val="bottom"/>
            <w:shd w:val="clear" w:color="auto" w:fill="CCEEFF"/>
          </w:tcPr>
          <w:p>
            <w:pPr>
              <w:spacing w:after="0"/>
              <w:rPr>
                <w:sz w:val="14"/>
                <w:szCs w:val="14"/>
                <w:color w:val="auto"/>
              </w:rPr>
            </w:pPr>
          </w:p>
        </w:tc>
        <w:tc>
          <w:tcPr>
            <w:tcW w:w="2080" w:type="dxa"/>
            <w:vAlign w:val="bottom"/>
            <w:gridSpan w:val="3"/>
            <w:shd w:val="clear" w:color="auto" w:fill="CCEEFF"/>
          </w:tcPr>
          <w:p>
            <w:pPr>
              <w:jc w:val="center"/>
              <w:ind w:right="200"/>
              <w:spacing w:after="0"/>
              <w:rPr>
                <w:sz w:val="20"/>
                <w:szCs w:val="20"/>
                <w:color w:val="auto"/>
              </w:rPr>
            </w:pPr>
            <w:r>
              <w:rPr>
                <w:rFonts w:ascii="Arial" w:cs="Arial" w:eastAsia="Arial" w:hAnsi="Arial"/>
                <w:sz w:val="14"/>
                <w:szCs w:val="14"/>
                <w:color w:val="auto"/>
                <w:w w:val="98"/>
              </w:rPr>
              <w:t>Cambridge, MA</w:t>
            </w: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23"/>
        </w:trPr>
        <w:tc>
          <w:tcPr>
            <w:tcW w:w="2580" w:type="dxa"/>
            <w:vAlign w:val="bottom"/>
            <w:gridSpan w:val="6"/>
          </w:tcPr>
          <w:p>
            <w:pPr>
              <w:ind w:left="20"/>
              <w:spacing w:after="0" w:line="123" w:lineRule="exact"/>
              <w:rPr>
                <w:sz w:val="20"/>
                <w:szCs w:val="20"/>
                <w:color w:val="auto"/>
              </w:rPr>
            </w:pPr>
            <w:r>
              <w:rPr>
                <w:rFonts w:ascii="Arial" w:cs="Arial" w:eastAsia="Arial" w:hAnsi="Arial"/>
                <w:sz w:val="14"/>
                <w:szCs w:val="14"/>
                <w:color w:val="auto"/>
              </w:rPr>
              <w:t>Convertible Promissory Note 10% Due</w:t>
            </w:r>
          </w:p>
        </w:tc>
        <w:tc>
          <w:tcPr>
            <w:tcW w:w="100" w:type="dxa"/>
            <w:vAlign w:val="bottom"/>
          </w:tcPr>
          <w:p>
            <w:pPr>
              <w:spacing w:after="0"/>
              <w:rPr>
                <w:sz w:val="10"/>
                <w:szCs w:val="10"/>
                <w:color w:val="auto"/>
              </w:rPr>
            </w:pPr>
          </w:p>
        </w:tc>
        <w:tc>
          <w:tcPr>
            <w:tcW w:w="2080" w:type="dxa"/>
            <w:vAlign w:val="bottom"/>
            <w:gridSpan w:val="3"/>
          </w:tcPr>
          <w:p>
            <w:pPr>
              <w:jc w:val="center"/>
              <w:ind w:right="200"/>
              <w:spacing w:after="0" w:line="123" w:lineRule="exact"/>
              <w:rPr>
                <w:sz w:val="20"/>
                <w:szCs w:val="20"/>
                <w:color w:val="auto"/>
              </w:rPr>
            </w:pPr>
            <w:r>
              <w:rPr>
                <w:rFonts w:ascii="Arial" w:cs="Arial" w:eastAsia="Arial" w:hAnsi="Arial"/>
                <w:sz w:val="14"/>
                <w:szCs w:val="14"/>
                <w:color w:val="auto"/>
                <w:w w:val="91"/>
              </w:rPr>
              <w:t>Business Education</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67"/>
        </w:trPr>
        <w:tc>
          <w:tcPr>
            <w:tcW w:w="1000" w:type="dxa"/>
            <w:vAlign w:val="bottom"/>
            <w:gridSpan w:val="3"/>
          </w:tcPr>
          <w:p>
            <w:pPr>
              <w:ind w:left="200"/>
              <w:spacing w:after="0"/>
              <w:rPr>
                <w:sz w:val="20"/>
                <w:szCs w:val="20"/>
                <w:color w:val="auto"/>
              </w:rPr>
            </w:pPr>
            <w:r>
              <w:rPr>
                <w:rFonts w:ascii="Arial" w:cs="Arial" w:eastAsia="Arial" w:hAnsi="Arial"/>
                <w:sz w:val="14"/>
                <w:szCs w:val="14"/>
                <w:color w:val="auto"/>
              </w:rPr>
              <w:t>03/02/16***</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4"/>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1,030,507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1,030,912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1,030,506</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0.43%</w:t>
            </w:r>
          </w:p>
        </w:tc>
      </w:tr>
      <w:tr>
        <w:trPr>
          <w:trHeight w:val="130"/>
        </w:trPr>
        <w:tc>
          <w:tcPr>
            <w:tcW w:w="2580" w:type="dxa"/>
            <w:vAlign w:val="bottom"/>
            <w:gridSpan w:val="6"/>
            <w:shd w:val="clear" w:color="auto" w:fill="CCEEFF"/>
          </w:tcPr>
          <w:p>
            <w:pPr>
              <w:ind w:left="20"/>
              <w:spacing w:after="0" w:line="130" w:lineRule="exact"/>
              <w:rPr>
                <w:sz w:val="20"/>
                <w:szCs w:val="20"/>
                <w:color w:val="auto"/>
              </w:rPr>
            </w:pPr>
            <w:r>
              <w:rPr>
                <w:rFonts w:ascii="Arial" w:cs="Arial" w:eastAsia="Arial" w:hAnsi="Arial"/>
                <w:sz w:val="14"/>
                <w:szCs w:val="14"/>
                <w:color w:val="auto"/>
              </w:rPr>
              <w:t>Convertible Promissory Note 10% Due</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67"/>
        </w:trPr>
        <w:tc>
          <w:tcPr>
            <w:tcW w:w="1000" w:type="dxa"/>
            <w:vAlign w:val="bottom"/>
            <w:tcBorders>
              <w:right w:val="single" w:sz="8" w:color="CCEEFF"/>
            </w:tcBorders>
            <w:gridSpan w:val="3"/>
            <w:shd w:val="clear" w:color="auto" w:fill="CCEEFF"/>
          </w:tcPr>
          <w:p>
            <w:pPr>
              <w:ind w:left="200"/>
              <w:spacing w:after="0"/>
              <w:rPr>
                <w:sz w:val="20"/>
                <w:szCs w:val="20"/>
                <w:color w:val="auto"/>
              </w:rPr>
            </w:pPr>
            <w:r>
              <w:rPr>
                <w:rFonts w:ascii="Arial" w:cs="Arial" w:eastAsia="Arial" w:hAnsi="Arial"/>
                <w:sz w:val="14"/>
                <w:szCs w:val="14"/>
                <w:color w:val="auto"/>
              </w:rPr>
              <w:t>03/14/17***</w:t>
            </w:r>
          </w:p>
        </w:tc>
        <w:tc>
          <w:tcPr>
            <w:tcW w:w="100" w:type="dxa"/>
            <w:vAlign w:val="bottom"/>
            <w:tcBorders>
              <w:left w:val="single" w:sz="8" w:color="CCEEFF"/>
            </w:tcBorders>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18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1,000,000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16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8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0.42%</w:t>
            </w:r>
          </w:p>
        </w:tc>
      </w:tr>
      <w:tr>
        <w:trPr>
          <w:trHeight w:val="149"/>
        </w:trPr>
        <w:tc>
          <w:tcPr>
            <w:tcW w:w="2580" w:type="dxa"/>
            <w:vAlign w:val="bottom"/>
            <w:gridSpan w:val="6"/>
          </w:tcPr>
          <w:p>
            <w:pPr>
              <w:ind w:left="20"/>
              <w:spacing w:after="0" w:line="149" w:lineRule="exact"/>
              <w:rPr>
                <w:sz w:val="20"/>
                <w:szCs w:val="20"/>
                <w:color w:val="auto"/>
              </w:rPr>
            </w:pPr>
            <w:r>
              <w:rPr>
                <w:rFonts w:ascii="Arial" w:cs="Arial" w:eastAsia="Arial" w:hAnsi="Arial"/>
                <w:sz w:val="14"/>
                <w:szCs w:val="14"/>
                <w:color w:val="auto"/>
              </w:rPr>
              <w:t>Preferred shares, Series D</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9"/>
              <w:spacing w:after="0" w:line="149" w:lineRule="exact"/>
              <w:rPr>
                <w:sz w:val="20"/>
                <w:szCs w:val="20"/>
                <w:color w:val="auto"/>
              </w:rPr>
            </w:pPr>
            <w:r>
              <w:rPr>
                <w:rFonts w:ascii="Arial" w:cs="Arial" w:eastAsia="Arial" w:hAnsi="Arial"/>
                <w:sz w:val="14"/>
                <w:szCs w:val="14"/>
                <w:color w:val="auto"/>
              </w:rPr>
              <w:t>1,655,167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2,957,062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2,573,785</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1.06%</w:t>
            </w:r>
          </w:p>
        </w:tc>
      </w:tr>
      <w:tr>
        <w:trPr>
          <w:trHeight w:val="149"/>
        </w:trPr>
        <w:tc>
          <w:tcPr>
            <w:tcW w:w="2580" w:type="dxa"/>
            <w:vAlign w:val="bottom"/>
            <w:gridSpan w:val="6"/>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C</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1,728,724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3,193,444</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1,344,083</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0.55%</w:t>
            </w:r>
          </w:p>
        </w:tc>
      </w:tr>
      <w:tr>
        <w:trPr>
          <w:trHeight w:val="130"/>
        </w:trPr>
        <w:tc>
          <w:tcPr>
            <w:tcW w:w="2580" w:type="dxa"/>
            <w:vAlign w:val="bottom"/>
            <w:gridSpan w:val="6"/>
          </w:tcPr>
          <w:p>
            <w:pPr>
              <w:ind w:left="20"/>
              <w:spacing w:after="0" w:line="130" w:lineRule="exact"/>
              <w:rPr>
                <w:sz w:val="20"/>
                <w:szCs w:val="20"/>
                <w:color w:val="auto"/>
              </w:rPr>
            </w:pPr>
            <w:r>
              <w:rPr>
                <w:rFonts w:ascii="Arial" w:cs="Arial" w:eastAsia="Arial" w:hAnsi="Arial"/>
                <w:sz w:val="14"/>
                <w:szCs w:val="14"/>
                <w:color w:val="auto"/>
              </w:rPr>
              <w:t>Common Warrants – Strike Price $0.91,</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560" w:type="dxa"/>
            <w:vAlign w:val="bottom"/>
            <w:gridSpan w:val="5"/>
          </w:tcPr>
          <w:p>
            <w:pPr>
              <w:ind w:left="180"/>
              <w:spacing w:after="0"/>
              <w:rPr>
                <w:sz w:val="20"/>
                <w:szCs w:val="20"/>
                <w:color w:val="auto"/>
              </w:rPr>
            </w:pPr>
            <w:r>
              <w:rPr>
                <w:rFonts w:ascii="Arial" w:cs="Arial" w:eastAsia="Arial" w:hAnsi="Arial"/>
                <w:sz w:val="14"/>
                <w:szCs w:val="14"/>
                <w:color w:val="auto"/>
              </w:rPr>
              <w:t>Expiration Date 3/02/2020</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283,106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35,767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11,324</w:t>
            </w:r>
          </w:p>
        </w:tc>
        <w:tc>
          <w:tcPr>
            <w:tcW w:w="1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30"/>
        </w:trPr>
        <w:tc>
          <w:tcPr>
            <w:tcW w:w="2580" w:type="dxa"/>
            <w:vAlign w:val="bottom"/>
            <w:gridSpan w:val="6"/>
            <w:shd w:val="clear" w:color="auto" w:fill="CCEEFF"/>
          </w:tcPr>
          <w:p>
            <w:pPr>
              <w:ind w:left="20"/>
              <w:spacing w:after="0" w:line="130" w:lineRule="exact"/>
              <w:rPr>
                <w:sz w:val="20"/>
                <w:szCs w:val="20"/>
                <w:color w:val="auto"/>
              </w:rPr>
            </w:pPr>
            <w:r>
              <w:rPr>
                <w:rFonts w:ascii="Arial" w:cs="Arial" w:eastAsia="Arial" w:hAnsi="Arial"/>
                <w:sz w:val="14"/>
                <w:szCs w:val="14"/>
                <w:color w:val="auto"/>
              </w:rPr>
              <w:t>Common Warrants – Strike Price $0.91,</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67"/>
        </w:trPr>
        <w:tc>
          <w:tcPr>
            <w:tcW w:w="20" w:type="dxa"/>
            <w:vAlign w:val="bottom"/>
            <w:shd w:val="clear" w:color="auto" w:fill="CCEEFF"/>
          </w:tcPr>
          <w:p>
            <w:pPr>
              <w:spacing w:after="0"/>
              <w:rPr>
                <w:sz w:val="14"/>
                <w:szCs w:val="14"/>
                <w:color w:val="auto"/>
              </w:rPr>
            </w:pPr>
          </w:p>
        </w:tc>
        <w:tc>
          <w:tcPr>
            <w:tcW w:w="2560" w:type="dxa"/>
            <w:vAlign w:val="bottom"/>
            <w:gridSpan w:val="5"/>
            <w:shd w:val="clear" w:color="auto" w:fill="CCEEFF"/>
          </w:tcPr>
          <w:p>
            <w:pPr>
              <w:ind w:left="180"/>
              <w:spacing w:after="0"/>
              <w:rPr>
                <w:sz w:val="20"/>
                <w:szCs w:val="20"/>
                <w:color w:val="auto"/>
              </w:rPr>
            </w:pPr>
            <w:r>
              <w:rPr>
                <w:rFonts w:ascii="Arial" w:cs="Arial" w:eastAsia="Arial" w:hAnsi="Arial"/>
                <w:sz w:val="14"/>
                <w:szCs w:val="14"/>
                <w:color w:val="auto"/>
              </w:rPr>
              <w:t>Expiration Date 3/22/2020</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186,170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23,521</w:t>
            </w:r>
          </w:p>
        </w:tc>
        <w:tc>
          <w:tcPr>
            <w:tcW w:w="16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7,447</w:t>
            </w:r>
          </w:p>
        </w:tc>
        <w:tc>
          <w:tcPr>
            <w:tcW w:w="180" w:type="dxa"/>
            <w:vAlign w:val="bottom"/>
            <w:tcBorders>
              <w:left w:val="single" w:sz="8" w:color="CCEEFF"/>
            </w:tcBorders>
            <w:shd w:val="clear" w:color="auto" w:fill="CCEEFF"/>
          </w:tcPr>
          <w:p>
            <w:pPr>
              <w:spacing w:after="0"/>
              <w:rPr>
                <w:sz w:val="14"/>
                <w:szCs w:val="14"/>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r>
      <w:tr>
        <w:trPr>
          <w:trHeight w:val="130"/>
        </w:trPr>
        <w:tc>
          <w:tcPr>
            <w:tcW w:w="2580" w:type="dxa"/>
            <w:vAlign w:val="bottom"/>
            <w:gridSpan w:val="6"/>
          </w:tcPr>
          <w:p>
            <w:pPr>
              <w:ind w:left="20"/>
              <w:spacing w:after="0" w:line="130" w:lineRule="exact"/>
              <w:rPr>
                <w:sz w:val="20"/>
                <w:szCs w:val="20"/>
                <w:color w:val="auto"/>
              </w:rPr>
            </w:pPr>
            <w:r>
              <w:rPr>
                <w:rFonts w:ascii="Arial" w:cs="Arial" w:eastAsia="Arial" w:hAnsi="Arial"/>
                <w:sz w:val="14"/>
                <w:szCs w:val="14"/>
                <w:color w:val="auto"/>
              </w:rPr>
              <w:t>Common Warrants – Strike Price $0.91,</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560" w:type="dxa"/>
            <w:vAlign w:val="bottom"/>
            <w:gridSpan w:val="5"/>
          </w:tcPr>
          <w:p>
            <w:pPr>
              <w:ind w:left="180"/>
              <w:spacing w:after="0"/>
              <w:rPr>
                <w:sz w:val="20"/>
                <w:szCs w:val="20"/>
                <w:color w:val="auto"/>
              </w:rPr>
            </w:pPr>
            <w:r>
              <w:rPr>
                <w:rFonts w:ascii="Arial" w:cs="Arial" w:eastAsia="Arial" w:hAnsi="Arial"/>
                <w:sz w:val="14"/>
                <w:szCs w:val="14"/>
                <w:color w:val="auto"/>
              </w:rPr>
              <w:t>Expiration Date 5/16/2019</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192,308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24,296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7,692</w:t>
            </w:r>
          </w:p>
        </w:tc>
        <w:tc>
          <w:tcPr>
            <w:tcW w:w="1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30"/>
        </w:trPr>
        <w:tc>
          <w:tcPr>
            <w:tcW w:w="2580" w:type="dxa"/>
            <w:vAlign w:val="bottom"/>
            <w:gridSpan w:val="6"/>
            <w:shd w:val="clear" w:color="auto" w:fill="CCEEFF"/>
          </w:tcPr>
          <w:p>
            <w:pPr>
              <w:ind w:left="20"/>
              <w:spacing w:after="0" w:line="130" w:lineRule="exact"/>
              <w:rPr>
                <w:sz w:val="20"/>
                <w:szCs w:val="20"/>
                <w:color w:val="auto"/>
              </w:rPr>
            </w:pPr>
            <w:r>
              <w:rPr>
                <w:rFonts w:ascii="Arial" w:cs="Arial" w:eastAsia="Arial" w:hAnsi="Arial"/>
                <w:sz w:val="14"/>
                <w:szCs w:val="14"/>
                <w:color w:val="auto"/>
              </w:rPr>
              <w:t>Common Warrants – Strike Price $0.91,</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67"/>
        </w:trPr>
        <w:tc>
          <w:tcPr>
            <w:tcW w:w="20" w:type="dxa"/>
            <w:vAlign w:val="bottom"/>
            <w:shd w:val="clear" w:color="auto" w:fill="CCEEFF"/>
          </w:tcPr>
          <w:p>
            <w:pPr>
              <w:spacing w:after="0"/>
              <w:rPr>
                <w:sz w:val="14"/>
                <w:szCs w:val="14"/>
                <w:color w:val="auto"/>
              </w:rPr>
            </w:pPr>
          </w:p>
        </w:tc>
        <w:tc>
          <w:tcPr>
            <w:tcW w:w="2560" w:type="dxa"/>
            <w:vAlign w:val="bottom"/>
            <w:gridSpan w:val="5"/>
            <w:shd w:val="clear" w:color="auto" w:fill="CCEEFF"/>
          </w:tcPr>
          <w:p>
            <w:pPr>
              <w:ind w:left="180"/>
              <w:spacing w:after="0"/>
              <w:rPr>
                <w:sz w:val="20"/>
                <w:szCs w:val="20"/>
                <w:color w:val="auto"/>
              </w:rPr>
            </w:pPr>
            <w:r>
              <w:rPr>
                <w:rFonts w:ascii="Arial" w:cs="Arial" w:eastAsia="Arial" w:hAnsi="Arial"/>
                <w:sz w:val="14"/>
                <w:szCs w:val="14"/>
                <w:color w:val="auto"/>
              </w:rPr>
              <w:t>Expiration Date 4/03/2019</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412,088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52,063</w:t>
            </w:r>
          </w:p>
        </w:tc>
        <w:tc>
          <w:tcPr>
            <w:tcW w:w="16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16,484</w:t>
            </w:r>
          </w:p>
        </w:tc>
        <w:tc>
          <w:tcPr>
            <w:tcW w:w="840" w:type="dxa"/>
            <w:vAlign w:val="bottom"/>
            <w:tcBorders>
              <w:lef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0.01%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-4304665</wp:posOffset>
            </wp:positionV>
            <wp:extent cx="5213985"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213985" cy="1289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-3798570</wp:posOffset>
            </wp:positionV>
            <wp:extent cx="5213985" cy="1117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-3215005</wp:posOffset>
            </wp:positionV>
            <wp:extent cx="5213985" cy="1117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-2820670</wp:posOffset>
            </wp:positionV>
            <wp:extent cx="5213985" cy="1117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-1551305</wp:posOffset>
            </wp:positionV>
            <wp:extent cx="5213985" cy="1117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213985" cy="11176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620"/>
        <w:spacing w:after="0"/>
        <w:rPr>
          <w:sz w:val="20"/>
          <w:szCs w:val="20"/>
          <w:color w:val="auto"/>
        </w:rPr>
      </w:pPr>
      <w:r>
        <w:rPr>
          <w:rFonts w:ascii="Arial" w:cs="Arial" w:eastAsia="Arial" w:hAnsi="Arial"/>
          <w:sz w:val="18"/>
          <w:szCs w:val="18"/>
          <w:i w:val="1"/>
          <w:iCs w:val="1"/>
          <w:color w:val="auto"/>
        </w:rPr>
        <w:t>See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0" w:name="page11"/>
    <w:bookmarkEnd w:id="10"/>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SCHEDULE OF INVESTMENTS – (continued)</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March 31, 2016</w:t>
      </w: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-48260</wp:posOffset>
            </wp:positionV>
            <wp:extent cx="521398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21"/>
        </w:trPr>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right"/>
              <w:ind w:right="169"/>
              <w:spacing w:after="0" w:line="121" w:lineRule="exact"/>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gridSpan w:val="2"/>
          </w:tcPr>
          <w:p>
            <w:pPr>
              <w:jc w:val="right"/>
              <w:ind w:right="200"/>
              <w:spacing w:after="0" w:line="121" w:lineRule="exact"/>
              <w:rPr>
                <w:sz w:val="20"/>
                <w:szCs w:val="20"/>
                <w:color w:val="auto"/>
              </w:rPr>
            </w:pPr>
            <w:r>
              <w:rPr>
                <w:rFonts w:ascii="Arial" w:cs="Arial" w:eastAsia="Arial" w:hAnsi="Arial"/>
                <w:sz w:val="13"/>
                <w:szCs w:val="13"/>
                <w:b w:val="1"/>
                <w:bCs w:val="1"/>
                <w:color w:val="auto"/>
              </w:rPr>
              <w:t>% of</w:t>
            </w:r>
          </w:p>
        </w:tc>
      </w:tr>
      <w:tr>
        <w:trPr>
          <w:trHeight w:val="153"/>
        </w:trPr>
        <w:tc>
          <w:tcPr>
            <w:tcW w:w="2580" w:type="dxa"/>
            <w:vAlign w:val="bottom"/>
            <w:gridSpan w:val="8"/>
          </w:tcPr>
          <w:p>
            <w:pPr>
              <w:ind w:left="20"/>
              <w:spacing w:after="0"/>
              <w:rPr>
                <w:sz w:val="20"/>
                <w:szCs w:val="20"/>
                <w:color w:val="auto"/>
              </w:rPr>
            </w:pPr>
            <w:r>
              <w:rPr>
                <w:rFonts w:ascii="Arial" w:cs="Arial" w:eastAsia="Arial" w:hAnsi="Arial"/>
                <w:sz w:val="13"/>
                <w:szCs w:val="13"/>
                <w:b w:val="1"/>
                <w:bCs w:val="1"/>
                <w:color w:val="auto"/>
              </w:rPr>
              <w:t>Portfolio Investments*</w:t>
            </w:r>
          </w:p>
        </w:tc>
        <w:tc>
          <w:tcPr>
            <w:tcW w:w="100" w:type="dxa"/>
            <w:vAlign w:val="bottom"/>
          </w:tcPr>
          <w:p>
            <w:pPr>
              <w:spacing w:after="0"/>
              <w:rPr>
                <w:sz w:val="13"/>
                <w:szCs w:val="13"/>
                <w:color w:val="auto"/>
              </w:rPr>
            </w:pPr>
          </w:p>
        </w:tc>
        <w:tc>
          <w:tcPr>
            <w:tcW w:w="208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0"/>
              </w:rPr>
              <w:t>Headquarters/Industry</w:t>
            </w:r>
          </w:p>
        </w:tc>
        <w:tc>
          <w:tcPr>
            <w:tcW w:w="740" w:type="dxa"/>
            <w:vAlign w:val="bottom"/>
          </w:tcPr>
          <w:p>
            <w:pPr>
              <w:jc w:val="right"/>
              <w:ind w:right="109"/>
              <w:spacing w:after="0"/>
              <w:rPr>
                <w:sz w:val="20"/>
                <w:szCs w:val="20"/>
                <w:color w:val="auto"/>
              </w:rPr>
            </w:pPr>
            <w:r>
              <w:rPr>
                <w:rFonts w:ascii="Arial" w:cs="Arial" w:eastAsia="Arial" w:hAnsi="Arial"/>
                <w:sz w:val="13"/>
                <w:szCs w:val="13"/>
                <w:b w:val="1"/>
                <w:bCs w:val="1"/>
                <w:color w:val="auto"/>
                <w:w w:val="98"/>
              </w:rPr>
              <w:t>Principal</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ind w:right="188"/>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3"/>
                <w:szCs w:val="13"/>
                <w:b w:val="1"/>
                <w:bCs w:val="1"/>
                <w:color w:val="auto"/>
                <w:w w:val="99"/>
              </w:rPr>
              <w:t>Fair Value</w:t>
            </w:r>
          </w:p>
        </w:tc>
        <w:tc>
          <w:tcPr>
            <w:tcW w:w="18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w w:val="89"/>
              </w:rPr>
              <w:t>Net Assets</w:t>
            </w:r>
          </w:p>
        </w:tc>
      </w:tr>
      <w:tr>
        <w:trPr>
          <w:trHeight w:val="123"/>
        </w:trPr>
        <w:tc>
          <w:tcPr>
            <w:tcW w:w="2580" w:type="dxa"/>
            <w:vAlign w:val="bottom"/>
            <w:tcBorders>
              <w:top w:val="single" w:sz="8" w:color="auto"/>
              <w:left w:val="single" w:sz="8" w:color="CCEEFF"/>
            </w:tcBorders>
            <w:gridSpan w:val="8"/>
            <w:shd w:val="clear" w:color="auto" w:fill="CCEEFF"/>
          </w:tcPr>
          <w:p>
            <w:pPr>
              <w:ind w:left="20"/>
              <w:spacing w:after="0" w:line="123" w:lineRule="exact"/>
              <w:rPr>
                <w:sz w:val="20"/>
                <w:szCs w:val="20"/>
                <w:color w:val="auto"/>
              </w:rPr>
            </w:pPr>
            <w:r>
              <w:rPr>
                <w:rFonts w:ascii="Arial" w:cs="Arial" w:eastAsia="Arial" w:hAnsi="Arial"/>
                <w:sz w:val="14"/>
                <w:szCs w:val="14"/>
                <w:color w:val="auto"/>
              </w:rPr>
              <w:t>Common Warrants – Strike Price $0.91,</w:t>
            </w:r>
          </w:p>
        </w:tc>
        <w:tc>
          <w:tcPr>
            <w:tcW w:w="100" w:type="dxa"/>
            <w:vAlign w:val="bottom"/>
            <w:shd w:val="clear" w:color="auto" w:fill="CCEEFF"/>
          </w:tcPr>
          <w:p>
            <w:pPr>
              <w:spacing w:after="0"/>
              <w:rPr>
                <w:sz w:val="10"/>
                <w:szCs w:val="10"/>
                <w:color w:val="auto"/>
              </w:rPr>
            </w:pPr>
          </w:p>
        </w:tc>
        <w:tc>
          <w:tcPr>
            <w:tcW w:w="184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60" w:type="dxa"/>
            <w:vAlign w:val="bottom"/>
            <w:tcBorders>
              <w:left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80" w:type="dxa"/>
            <w:vAlign w:val="bottom"/>
            <w:tcBorders>
              <w:left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r>
      <w:tr>
        <w:trPr>
          <w:trHeight w:val="167"/>
        </w:trPr>
        <w:tc>
          <w:tcPr>
            <w:tcW w:w="2580" w:type="dxa"/>
            <w:vAlign w:val="bottom"/>
            <w:tcBorders>
              <w:left w:val="single" w:sz="8" w:color="CCEEFF"/>
            </w:tcBorders>
            <w:gridSpan w:val="8"/>
            <w:shd w:val="clear" w:color="auto" w:fill="CCEEFF"/>
          </w:tcPr>
          <w:p>
            <w:pPr>
              <w:ind w:left="200"/>
              <w:spacing w:after="0"/>
              <w:rPr>
                <w:sz w:val="20"/>
                <w:szCs w:val="20"/>
                <w:color w:val="auto"/>
              </w:rPr>
            </w:pPr>
            <w:r>
              <w:rPr>
                <w:rFonts w:ascii="Arial" w:cs="Arial" w:eastAsia="Arial" w:hAnsi="Arial"/>
                <w:sz w:val="14"/>
                <w:szCs w:val="14"/>
                <w:color w:val="auto"/>
              </w:rPr>
              <w:t>Expiration Date 10/10/2018</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82,418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10,412</w:t>
            </w:r>
          </w:p>
        </w:tc>
        <w:tc>
          <w:tcPr>
            <w:tcW w:w="16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2,473</w:t>
            </w:r>
          </w:p>
        </w:tc>
        <w:tc>
          <w:tcPr>
            <w:tcW w:w="180" w:type="dxa"/>
            <w:vAlign w:val="bottom"/>
            <w:tcBorders>
              <w:left w:val="single" w:sz="8" w:color="CCEEFF"/>
            </w:tcBorders>
            <w:shd w:val="clear" w:color="auto" w:fill="CCEEFF"/>
          </w:tcPr>
          <w:p>
            <w:pPr>
              <w:spacing w:after="0"/>
              <w:rPr>
                <w:sz w:val="14"/>
                <w:szCs w:val="14"/>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r>
      <w:tr>
        <w:trPr>
          <w:trHeight w:val="130"/>
        </w:trPr>
        <w:tc>
          <w:tcPr>
            <w:tcW w:w="2580" w:type="dxa"/>
            <w:vAlign w:val="bottom"/>
            <w:gridSpan w:val="8"/>
          </w:tcPr>
          <w:p>
            <w:pPr>
              <w:ind w:left="20"/>
              <w:spacing w:after="0" w:line="130" w:lineRule="exact"/>
              <w:rPr>
                <w:sz w:val="20"/>
                <w:szCs w:val="20"/>
                <w:color w:val="auto"/>
              </w:rPr>
            </w:pPr>
            <w:r>
              <w:rPr>
                <w:rFonts w:ascii="Arial" w:cs="Arial" w:eastAsia="Arial" w:hAnsi="Arial"/>
                <w:sz w:val="14"/>
                <w:szCs w:val="14"/>
                <w:color w:val="auto"/>
              </w:rPr>
              <w:t>Common Warrants – Strike Price $0.91,</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67"/>
        </w:trPr>
        <w:tc>
          <w:tcPr>
            <w:tcW w:w="2580" w:type="dxa"/>
            <w:vAlign w:val="bottom"/>
            <w:gridSpan w:val="8"/>
          </w:tcPr>
          <w:p>
            <w:pPr>
              <w:ind w:left="200"/>
              <w:spacing w:after="0"/>
              <w:rPr>
                <w:sz w:val="20"/>
                <w:szCs w:val="20"/>
                <w:color w:val="auto"/>
              </w:rPr>
            </w:pPr>
            <w:r>
              <w:rPr>
                <w:rFonts w:ascii="Arial" w:cs="Arial" w:eastAsia="Arial" w:hAnsi="Arial"/>
                <w:sz w:val="14"/>
                <w:szCs w:val="14"/>
                <w:color w:val="auto"/>
              </w:rPr>
              <w:t>Expiration Date 12/11/2018</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82,418</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10,413</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2,473</w:t>
            </w:r>
          </w:p>
        </w:tc>
        <w:tc>
          <w:tcPr>
            <w:tcW w:w="1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30"/>
        </w:trPr>
        <w:tc>
          <w:tcPr>
            <w:tcW w:w="2580" w:type="dxa"/>
            <w:vAlign w:val="bottom"/>
            <w:tcBorders>
              <w:left w:val="single" w:sz="8" w:color="CCEEFF"/>
            </w:tcBorders>
            <w:gridSpan w:val="8"/>
            <w:shd w:val="clear" w:color="auto" w:fill="CCEEFF"/>
          </w:tcPr>
          <w:p>
            <w:pPr>
              <w:ind w:left="20"/>
              <w:spacing w:after="0" w:line="130" w:lineRule="exact"/>
              <w:rPr>
                <w:sz w:val="20"/>
                <w:szCs w:val="20"/>
                <w:color w:val="auto"/>
              </w:rPr>
            </w:pPr>
            <w:r>
              <w:rPr>
                <w:rFonts w:ascii="Arial" w:cs="Arial" w:eastAsia="Arial" w:hAnsi="Arial"/>
                <w:sz w:val="14"/>
                <w:szCs w:val="14"/>
                <w:color w:val="auto"/>
              </w:rPr>
              <w:t>Common Warrants – Strike Price $0.91,</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67"/>
        </w:trPr>
        <w:tc>
          <w:tcPr>
            <w:tcW w:w="2580" w:type="dxa"/>
            <w:vAlign w:val="bottom"/>
            <w:tcBorders>
              <w:left w:val="single" w:sz="8" w:color="CCEEFF"/>
            </w:tcBorders>
            <w:gridSpan w:val="8"/>
            <w:shd w:val="clear" w:color="auto" w:fill="CCEEFF"/>
          </w:tcPr>
          <w:p>
            <w:pPr>
              <w:ind w:left="200"/>
              <w:spacing w:after="0"/>
              <w:rPr>
                <w:sz w:val="20"/>
                <w:szCs w:val="20"/>
                <w:color w:val="auto"/>
              </w:rPr>
            </w:pPr>
            <w:r>
              <w:rPr>
                <w:rFonts w:ascii="Arial" w:cs="Arial" w:eastAsia="Arial" w:hAnsi="Arial"/>
                <w:sz w:val="14"/>
                <w:szCs w:val="14"/>
                <w:color w:val="auto"/>
              </w:rPr>
              <w:t>Expiration Date 2/18/2019</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714,286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90,242</w:t>
            </w:r>
          </w:p>
        </w:tc>
        <w:tc>
          <w:tcPr>
            <w:tcW w:w="16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21,429</w:t>
            </w:r>
          </w:p>
        </w:tc>
        <w:tc>
          <w:tcPr>
            <w:tcW w:w="8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0.01%</w:t>
            </w:r>
          </w:p>
        </w:tc>
      </w:tr>
      <w:tr>
        <w:trPr>
          <w:trHeight w:val="20"/>
        </w:trPr>
        <w:tc>
          <w:tcPr>
            <w:tcW w:w="72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8"/>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8,428,132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6,017,696</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2.48%</w:t>
            </w:r>
          </w:p>
        </w:tc>
      </w:tr>
      <w:tr>
        <w:trPr>
          <w:trHeight w:val="129"/>
        </w:trPr>
        <w:tc>
          <w:tcPr>
            <w:tcW w:w="2580" w:type="dxa"/>
            <w:vAlign w:val="bottom"/>
            <w:tcBorders>
              <w:left w:val="single" w:sz="8" w:color="CCEEFF"/>
            </w:tcBorders>
            <w:gridSpan w:val="8"/>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Enjoy Technology, Inc.</w:t>
            </w:r>
          </w:p>
        </w:tc>
        <w:tc>
          <w:tcPr>
            <w:tcW w:w="100" w:type="dxa"/>
            <w:vAlign w:val="bottom"/>
            <w:shd w:val="clear" w:color="auto" w:fill="CCEEFF"/>
          </w:tcPr>
          <w:p>
            <w:pPr>
              <w:spacing w:after="0"/>
              <w:rPr>
                <w:sz w:val="11"/>
                <w:szCs w:val="11"/>
                <w:color w:val="auto"/>
              </w:rPr>
            </w:pPr>
          </w:p>
        </w:tc>
        <w:tc>
          <w:tcPr>
            <w:tcW w:w="2080" w:type="dxa"/>
            <w:vAlign w:val="bottom"/>
            <w:gridSpan w:val="3"/>
            <w:shd w:val="clear" w:color="auto" w:fill="CCEEFF"/>
          </w:tcPr>
          <w:p>
            <w:pPr>
              <w:jc w:val="center"/>
              <w:ind w:right="200"/>
              <w:spacing w:after="0" w:line="129" w:lineRule="exact"/>
              <w:rPr>
                <w:sz w:val="20"/>
                <w:szCs w:val="20"/>
                <w:color w:val="auto"/>
              </w:rPr>
            </w:pPr>
            <w:r>
              <w:rPr>
                <w:rFonts w:ascii="Arial" w:cs="Arial" w:eastAsia="Arial" w:hAnsi="Arial"/>
                <w:sz w:val="14"/>
                <w:szCs w:val="14"/>
                <w:color w:val="auto"/>
                <w:w w:val="97"/>
              </w:rPr>
              <w:t>Menlo Park, CA</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20"/>
        </w:trPr>
        <w:tc>
          <w:tcPr>
            <w:tcW w:w="720" w:type="dxa"/>
            <w:vAlign w:val="bottom"/>
            <w:tcBorders>
              <w:left w:val="single" w:sz="8" w:color="CCEEFF"/>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8"/>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2"/>
                <w:szCs w:val="12"/>
                <w:color w:val="auto"/>
              </w:rPr>
            </w:pPr>
          </w:p>
        </w:tc>
        <w:tc>
          <w:tcPr>
            <w:tcW w:w="2080" w:type="dxa"/>
            <w:vAlign w:val="bottom"/>
            <w:gridSpan w:val="3"/>
          </w:tcPr>
          <w:p>
            <w:pPr>
              <w:jc w:val="center"/>
              <w:ind w:right="200"/>
              <w:spacing w:after="0" w:line="142" w:lineRule="exact"/>
              <w:rPr>
                <w:sz w:val="20"/>
                <w:szCs w:val="20"/>
                <w:color w:val="auto"/>
              </w:rPr>
            </w:pPr>
            <w:r>
              <w:rPr>
                <w:rFonts w:ascii="Arial" w:cs="Arial" w:eastAsia="Arial" w:hAnsi="Arial"/>
                <w:sz w:val="14"/>
                <w:szCs w:val="14"/>
                <w:color w:val="auto"/>
                <w:w w:val="92"/>
              </w:rPr>
              <w:t>Online Shopping</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1,681,520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4,000,280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4,000,000</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1.65%</w:t>
            </w:r>
          </w:p>
        </w:tc>
      </w:tr>
      <w:tr>
        <w:trPr>
          <w:trHeight w:val="149"/>
        </w:trPr>
        <w:tc>
          <w:tcPr>
            <w:tcW w:w="2580" w:type="dxa"/>
            <w:vAlign w:val="bottom"/>
            <w:tcBorders>
              <w:left w:val="single" w:sz="8" w:color="CCEEFF"/>
            </w:tcBorders>
            <w:gridSpan w:val="8"/>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879,198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1,002,440</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1,439,400</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0.59%</w:t>
            </w:r>
          </w:p>
        </w:tc>
      </w:tr>
      <w:tr>
        <w:trPr>
          <w:trHeight w:val="20"/>
        </w:trPr>
        <w:tc>
          <w:tcPr>
            <w:tcW w:w="72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8"/>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5,002,720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5,439,400</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2.24%</w:t>
            </w:r>
          </w:p>
        </w:tc>
      </w:tr>
      <w:tr>
        <w:trPr>
          <w:trHeight w:val="129"/>
        </w:trPr>
        <w:tc>
          <w:tcPr>
            <w:tcW w:w="2580" w:type="dxa"/>
            <w:vAlign w:val="bottom"/>
            <w:tcBorders>
              <w:left w:val="single" w:sz="8" w:color="CCEEFF"/>
            </w:tcBorders>
            <w:gridSpan w:val="8"/>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Chegg, Inc.</w:t>
            </w:r>
          </w:p>
        </w:tc>
        <w:tc>
          <w:tcPr>
            <w:tcW w:w="100" w:type="dxa"/>
            <w:vAlign w:val="bottom"/>
            <w:shd w:val="clear" w:color="auto" w:fill="CCEEFF"/>
          </w:tcPr>
          <w:p>
            <w:pPr>
              <w:spacing w:after="0"/>
              <w:rPr>
                <w:sz w:val="11"/>
                <w:szCs w:val="11"/>
                <w:color w:val="auto"/>
              </w:rPr>
            </w:pPr>
          </w:p>
        </w:tc>
        <w:tc>
          <w:tcPr>
            <w:tcW w:w="2080" w:type="dxa"/>
            <w:vAlign w:val="bottom"/>
            <w:gridSpan w:val="3"/>
            <w:shd w:val="clear" w:color="auto" w:fill="CCEEFF"/>
          </w:tcPr>
          <w:p>
            <w:pPr>
              <w:jc w:val="center"/>
              <w:ind w:right="200"/>
              <w:spacing w:after="0" w:line="129" w:lineRule="exact"/>
              <w:rPr>
                <w:sz w:val="20"/>
                <w:szCs w:val="20"/>
                <w:color w:val="auto"/>
              </w:rPr>
            </w:pPr>
            <w:r>
              <w:rPr>
                <w:rFonts w:ascii="Arial" w:cs="Arial" w:eastAsia="Arial" w:hAnsi="Arial"/>
                <w:sz w:val="14"/>
                <w:szCs w:val="14"/>
                <w:color w:val="auto"/>
                <w:w w:val="90"/>
              </w:rPr>
              <w:t>Santa Clara, CA</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20"/>
        </w:trPr>
        <w:tc>
          <w:tcPr>
            <w:tcW w:w="720" w:type="dxa"/>
            <w:vAlign w:val="bottom"/>
            <w:tcBorders>
              <w:left w:val="single" w:sz="8" w:color="CCEEFF"/>
            </w:tcBorders>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8"/>
          </w:tcPr>
          <w:p>
            <w:pPr>
              <w:ind w:left="20"/>
              <w:spacing w:after="0" w:line="142" w:lineRule="exact"/>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2"/>
                <w:szCs w:val="12"/>
                <w:color w:val="auto"/>
              </w:rPr>
            </w:pPr>
          </w:p>
        </w:tc>
        <w:tc>
          <w:tcPr>
            <w:tcW w:w="2080" w:type="dxa"/>
            <w:vAlign w:val="bottom"/>
            <w:gridSpan w:val="3"/>
          </w:tcPr>
          <w:p>
            <w:pPr>
              <w:jc w:val="center"/>
              <w:ind w:right="200"/>
              <w:spacing w:after="0" w:line="142" w:lineRule="exact"/>
              <w:rPr>
                <w:sz w:val="20"/>
                <w:szCs w:val="20"/>
                <w:color w:val="auto"/>
              </w:rPr>
            </w:pPr>
            <w:r>
              <w:rPr>
                <w:rFonts w:ascii="Arial" w:cs="Arial" w:eastAsia="Arial" w:hAnsi="Arial"/>
                <w:sz w:val="14"/>
                <w:szCs w:val="14"/>
                <w:color w:val="auto"/>
                <w:w w:val="94"/>
              </w:rPr>
              <w:t>Textbook Rental</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1,182,792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w w:val="96"/>
              </w:rPr>
              <w:t>14,022,863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5,275,252</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2.17%</w:t>
            </w:r>
          </w:p>
        </w:tc>
      </w:tr>
      <w:tr>
        <w:trPr>
          <w:trHeight w:val="135"/>
        </w:trPr>
        <w:tc>
          <w:tcPr>
            <w:tcW w:w="2580" w:type="dxa"/>
            <w:vAlign w:val="bottom"/>
            <w:tcBorders>
              <w:left w:val="single" w:sz="8" w:color="CCEEFF"/>
            </w:tcBorders>
            <w:gridSpan w:val="8"/>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Course Hero, Inc.</w:t>
            </w:r>
          </w:p>
        </w:tc>
        <w:tc>
          <w:tcPr>
            <w:tcW w:w="100" w:type="dxa"/>
            <w:vAlign w:val="bottom"/>
            <w:shd w:val="clear" w:color="auto" w:fill="CCEEFF"/>
          </w:tcPr>
          <w:p>
            <w:pPr>
              <w:spacing w:after="0"/>
              <w:rPr>
                <w:sz w:val="11"/>
                <w:szCs w:val="11"/>
                <w:color w:val="auto"/>
              </w:rPr>
            </w:pPr>
          </w:p>
        </w:tc>
        <w:tc>
          <w:tcPr>
            <w:tcW w:w="2080" w:type="dxa"/>
            <w:vAlign w:val="bottom"/>
            <w:gridSpan w:val="3"/>
            <w:shd w:val="clear" w:color="auto" w:fill="CCEEFF"/>
          </w:tcPr>
          <w:p>
            <w:pPr>
              <w:jc w:val="center"/>
              <w:ind w:right="200"/>
              <w:spacing w:after="0" w:line="135" w:lineRule="exact"/>
              <w:rPr>
                <w:sz w:val="20"/>
                <w:szCs w:val="20"/>
                <w:color w:val="auto"/>
              </w:rPr>
            </w:pPr>
            <w:r>
              <w:rPr>
                <w:rFonts w:ascii="Arial" w:cs="Arial" w:eastAsia="Arial" w:hAnsi="Arial"/>
                <w:sz w:val="14"/>
                <w:szCs w:val="14"/>
                <w:color w:val="auto"/>
                <w:w w:val="94"/>
              </w:rPr>
              <w:t>Redwood City, CA</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20"/>
        </w:trPr>
        <w:tc>
          <w:tcPr>
            <w:tcW w:w="720" w:type="dxa"/>
            <w:vAlign w:val="bottom"/>
            <w:tcBorders>
              <w:left w:val="single" w:sz="8" w:color="CCEEFF"/>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8"/>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100" w:type="dxa"/>
            <w:vAlign w:val="bottom"/>
          </w:tcPr>
          <w:p>
            <w:pPr>
              <w:spacing w:after="0"/>
              <w:rPr>
                <w:sz w:val="12"/>
                <w:szCs w:val="12"/>
                <w:color w:val="auto"/>
              </w:rPr>
            </w:pPr>
          </w:p>
        </w:tc>
        <w:tc>
          <w:tcPr>
            <w:tcW w:w="2080" w:type="dxa"/>
            <w:vAlign w:val="bottom"/>
            <w:gridSpan w:val="3"/>
          </w:tcPr>
          <w:p>
            <w:pPr>
              <w:jc w:val="center"/>
              <w:ind w:right="200"/>
              <w:spacing w:after="0" w:line="142" w:lineRule="exact"/>
              <w:rPr>
                <w:sz w:val="20"/>
                <w:szCs w:val="20"/>
                <w:color w:val="auto"/>
              </w:rPr>
            </w:pPr>
            <w:r>
              <w:rPr>
                <w:rFonts w:ascii="Arial" w:cs="Arial" w:eastAsia="Arial" w:hAnsi="Arial"/>
                <w:sz w:val="14"/>
                <w:szCs w:val="14"/>
                <w:color w:val="auto"/>
                <w:w w:val="93"/>
              </w:rPr>
              <w:t>Online Education</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2,145,509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5,000,001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5,103,870</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2.10%</w:t>
            </w:r>
          </w:p>
        </w:tc>
      </w:tr>
      <w:tr>
        <w:trPr>
          <w:trHeight w:val="176"/>
        </w:trPr>
        <w:tc>
          <w:tcPr>
            <w:tcW w:w="2580" w:type="dxa"/>
            <w:vAlign w:val="bottom"/>
            <w:tcBorders>
              <w:left w:val="single" w:sz="8" w:color="CCEEFF"/>
            </w:tcBorders>
            <w:gridSpan w:val="8"/>
            <w:shd w:val="clear" w:color="auto" w:fill="CCEEFF"/>
          </w:tcPr>
          <w:p>
            <w:pPr>
              <w:ind w:left="20"/>
              <w:spacing w:after="0" w:line="176" w:lineRule="exact"/>
              <w:rPr>
                <w:sz w:val="20"/>
                <w:szCs w:val="20"/>
                <w:color w:val="auto"/>
              </w:rPr>
            </w:pPr>
            <w:r>
              <w:rPr>
                <w:rFonts w:ascii="Arial" w:cs="Arial" w:eastAsia="Arial" w:hAnsi="Arial"/>
                <w:sz w:val="13"/>
                <w:szCs w:val="13"/>
                <w:b w:val="1"/>
                <w:bCs w:val="1"/>
                <w:color w:val="auto"/>
              </w:rPr>
              <w:t>GSV Sustainability Partners</w:t>
            </w:r>
            <w:r>
              <w:rPr>
                <w:rFonts w:ascii="Arial" w:cs="Arial" w:eastAsia="Arial" w:hAnsi="Arial"/>
                <w:sz w:val="20"/>
                <w:szCs w:val="20"/>
                <w:b w:val="1"/>
                <w:bCs w:val="1"/>
                <w:color w:val="auto"/>
                <w:vertAlign w:val="superscript"/>
              </w:rPr>
              <w:t>(2)</w:t>
            </w:r>
          </w:p>
        </w:tc>
        <w:tc>
          <w:tcPr>
            <w:tcW w:w="100" w:type="dxa"/>
            <w:vAlign w:val="bottom"/>
            <w:shd w:val="clear" w:color="auto" w:fill="CCEEFF"/>
          </w:tcPr>
          <w:p>
            <w:pPr>
              <w:spacing w:after="0"/>
              <w:rPr>
                <w:sz w:val="15"/>
                <w:szCs w:val="15"/>
                <w:color w:val="auto"/>
              </w:rPr>
            </w:pPr>
          </w:p>
        </w:tc>
        <w:tc>
          <w:tcPr>
            <w:tcW w:w="2080" w:type="dxa"/>
            <w:vAlign w:val="bottom"/>
            <w:gridSpan w:val="3"/>
            <w:shd w:val="clear" w:color="auto" w:fill="CCEEFF"/>
          </w:tcPr>
          <w:p>
            <w:pPr>
              <w:jc w:val="center"/>
              <w:ind w:right="200"/>
              <w:spacing w:after="0"/>
              <w:rPr>
                <w:sz w:val="20"/>
                <w:szCs w:val="20"/>
                <w:color w:val="auto"/>
              </w:rPr>
            </w:pPr>
            <w:r>
              <w:rPr>
                <w:rFonts w:ascii="Arial" w:cs="Arial" w:eastAsia="Arial" w:hAnsi="Arial"/>
                <w:sz w:val="14"/>
                <w:szCs w:val="14"/>
                <w:color w:val="auto"/>
                <w:w w:val="93"/>
              </w:rPr>
              <w:t>Woodside, CA</w:t>
            </w: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r>
      <w:tr>
        <w:trPr>
          <w:trHeight w:val="20"/>
        </w:trPr>
        <w:tc>
          <w:tcPr>
            <w:tcW w:w="720" w:type="dxa"/>
            <w:vAlign w:val="bottom"/>
            <w:tcBorders>
              <w:left w:val="single" w:sz="8" w:color="CCEEFF"/>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8"/>
          </w:tcPr>
          <w:p>
            <w:pPr>
              <w:ind w:left="20"/>
              <w:spacing w:after="0" w:line="142" w:lineRule="exact"/>
              <w:rPr>
                <w:sz w:val="20"/>
                <w:szCs w:val="20"/>
                <w:color w:val="auto"/>
              </w:rPr>
            </w:pPr>
            <w:r>
              <w:rPr>
                <w:rFonts w:ascii="Arial" w:cs="Arial" w:eastAsia="Arial" w:hAnsi="Arial"/>
                <w:sz w:val="14"/>
                <w:szCs w:val="14"/>
                <w:color w:val="auto"/>
              </w:rPr>
              <w:t>Preferred shares, Class A</w:t>
            </w:r>
          </w:p>
        </w:tc>
        <w:tc>
          <w:tcPr>
            <w:tcW w:w="100" w:type="dxa"/>
            <w:vAlign w:val="bottom"/>
          </w:tcPr>
          <w:p>
            <w:pPr>
              <w:spacing w:after="0"/>
              <w:rPr>
                <w:sz w:val="12"/>
                <w:szCs w:val="12"/>
                <w:color w:val="auto"/>
              </w:rPr>
            </w:pPr>
          </w:p>
        </w:tc>
        <w:tc>
          <w:tcPr>
            <w:tcW w:w="2080" w:type="dxa"/>
            <w:vAlign w:val="bottom"/>
            <w:gridSpan w:val="3"/>
          </w:tcPr>
          <w:p>
            <w:pPr>
              <w:jc w:val="center"/>
              <w:ind w:right="200"/>
              <w:spacing w:after="0" w:line="142" w:lineRule="exact"/>
              <w:rPr>
                <w:sz w:val="20"/>
                <w:szCs w:val="20"/>
                <w:color w:val="auto"/>
              </w:rPr>
            </w:pPr>
            <w:r>
              <w:rPr>
                <w:rFonts w:ascii="Arial" w:cs="Arial" w:eastAsia="Arial" w:hAnsi="Arial"/>
                <w:sz w:val="14"/>
                <w:szCs w:val="14"/>
                <w:color w:val="auto"/>
                <w:w w:val="92"/>
              </w:rPr>
              <w:t>Clean Technology</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w w:val="94"/>
              </w:rPr>
              <w:t>14,300,000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7,151,412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5,005,000</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2.06%</w:t>
            </w:r>
          </w:p>
        </w:tc>
      </w:tr>
      <w:tr>
        <w:trPr>
          <w:trHeight w:val="149"/>
        </w:trPr>
        <w:tc>
          <w:tcPr>
            <w:tcW w:w="2580" w:type="dxa"/>
            <w:vAlign w:val="bottom"/>
            <w:tcBorders>
              <w:left w:val="single" w:sz="8" w:color="CCEEFF"/>
            </w:tcBorders>
            <w:gridSpan w:val="8"/>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lef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20"/>
        </w:trPr>
        <w:tc>
          <w:tcPr>
            <w:tcW w:w="72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8"/>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7,161,412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5,005,000</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2.06%</w:t>
            </w:r>
          </w:p>
        </w:tc>
      </w:tr>
      <w:tr>
        <w:trPr>
          <w:trHeight w:val="129"/>
        </w:trPr>
        <w:tc>
          <w:tcPr>
            <w:tcW w:w="2580" w:type="dxa"/>
            <w:vAlign w:val="bottom"/>
            <w:tcBorders>
              <w:left w:val="single" w:sz="8" w:color="CCEEFF"/>
            </w:tcBorders>
            <w:gridSpan w:val="8"/>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Knewton, Inc.</w:t>
            </w:r>
          </w:p>
        </w:tc>
        <w:tc>
          <w:tcPr>
            <w:tcW w:w="100" w:type="dxa"/>
            <w:vAlign w:val="bottom"/>
            <w:shd w:val="clear" w:color="auto" w:fill="CCEEFF"/>
          </w:tcPr>
          <w:p>
            <w:pPr>
              <w:spacing w:after="0"/>
              <w:rPr>
                <w:sz w:val="11"/>
                <w:szCs w:val="11"/>
                <w:color w:val="auto"/>
              </w:rPr>
            </w:pPr>
          </w:p>
        </w:tc>
        <w:tc>
          <w:tcPr>
            <w:tcW w:w="2080" w:type="dxa"/>
            <w:vAlign w:val="bottom"/>
            <w:gridSpan w:val="3"/>
            <w:shd w:val="clear" w:color="auto" w:fill="CCEEFF"/>
          </w:tcPr>
          <w:p>
            <w:pPr>
              <w:jc w:val="center"/>
              <w:ind w:right="200"/>
              <w:spacing w:after="0" w:line="129" w:lineRule="exact"/>
              <w:rPr>
                <w:sz w:val="20"/>
                <w:szCs w:val="20"/>
                <w:color w:val="auto"/>
              </w:rPr>
            </w:pPr>
            <w:r>
              <w:rPr>
                <w:rFonts w:ascii="Arial" w:cs="Arial" w:eastAsia="Arial" w:hAnsi="Arial"/>
                <w:sz w:val="14"/>
                <w:szCs w:val="14"/>
                <w:color w:val="auto"/>
              </w:rPr>
              <w:t>New York, NY</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20"/>
        </w:trPr>
        <w:tc>
          <w:tcPr>
            <w:tcW w:w="720" w:type="dxa"/>
            <w:vAlign w:val="bottom"/>
            <w:tcBorders>
              <w:left w:val="single" w:sz="8" w:color="CCEEFF"/>
            </w:tcBorders>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8"/>
          </w:tcPr>
          <w:p>
            <w:pPr>
              <w:ind w:left="20"/>
              <w:spacing w:after="0" w:line="142" w:lineRule="exact"/>
              <w:rPr>
                <w:sz w:val="20"/>
                <w:szCs w:val="20"/>
                <w:color w:val="auto"/>
              </w:rPr>
            </w:pPr>
            <w:r>
              <w:rPr>
                <w:rFonts w:ascii="Arial" w:cs="Arial" w:eastAsia="Arial" w:hAnsi="Arial"/>
                <w:sz w:val="14"/>
                <w:szCs w:val="14"/>
                <w:color w:val="auto"/>
              </w:rPr>
              <w:t>Preferred shares, Series E</w:t>
            </w:r>
          </w:p>
        </w:tc>
        <w:tc>
          <w:tcPr>
            <w:tcW w:w="100" w:type="dxa"/>
            <w:vAlign w:val="bottom"/>
          </w:tcPr>
          <w:p>
            <w:pPr>
              <w:spacing w:after="0"/>
              <w:rPr>
                <w:sz w:val="12"/>
                <w:szCs w:val="12"/>
                <w:color w:val="auto"/>
              </w:rPr>
            </w:pPr>
          </w:p>
        </w:tc>
        <w:tc>
          <w:tcPr>
            <w:tcW w:w="2080" w:type="dxa"/>
            <w:vAlign w:val="bottom"/>
            <w:gridSpan w:val="3"/>
          </w:tcPr>
          <w:p>
            <w:pPr>
              <w:jc w:val="center"/>
              <w:ind w:right="200"/>
              <w:spacing w:after="0" w:line="142" w:lineRule="exact"/>
              <w:rPr>
                <w:sz w:val="20"/>
                <w:szCs w:val="20"/>
                <w:color w:val="auto"/>
              </w:rPr>
            </w:pPr>
            <w:r>
              <w:rPr>
                <w:rFonts w:ascii="Arial" w:cs="Arial" w:eastAsia="Arial" w:hAnsi="Arial"/>
                <w:sz w:val="14"/>
                <w:szCs w:val="14"/>
                <w:color w:val="auto"/>
                <w:w w:val="93"/>
              </w:rPr>
              <w:t>Online Education</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375,985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4,999,999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4,953,723</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2.04%</w:t>
            </w:r>
          </w:p>
        </w:tc>
      </w:tr>
      <w:tr>
        <w:trPr>
          <w:trHeight w:val="176"/>
        </w:trPr>
        <w:tc>
          <w:tcPr>
            <w:tcW w:w="2580" w:type="dxa"/>
            <w:vAlign w:val="bottom"/>
            <w:tcBorders>
              <w:left w:val="single" w:sz="8" w:color="CCEEFF"/>
            </w:tcBorders>
            <w:gridSpan w:val="8"/>
            <w:shd w:val="clear" w:color="auto" w:fill="CCEEFF"/>
          </w:tcPr>
          <w:p>
            <w:pPr>
              <w:ind w:left="20"/>
              <w:spacing w:after="0" w:line="176" w:lineRule="exact"/>
              <w:rPr>
                <w:sz w:val="20"/>
                <w:szCs w:val="20"/>
                <w:color w:val="auto"/>
              </w:rPr>
            </w:pPr>
            <w:r>
              <w:rPr>
                <w:rFonts w:ascii="Arial" w:cs="Arial" w:eastAsia="Arial" w:hAnsi="Arial"/>
                <w:sz w:val="13"/>
                <w:szCs w:val="13"/>
                <w:b w:val="1"/>
                <w:bCs w:val="1"/>
                <w:color w:val="auto"/>
              </w:rPr>
              <w:t>Whittle Schools, LLC</w:t>
            </w:r>
            <w:r>
              <w:rPr>
                <w:rFonts w:ascii="Arial" w:cs="Arial" w:eastAsia="Arial" w:hAnsi="Arial"/>
                <w:sz w:val="20"/>
                <w:szCs w:val="20"/>
                <w:b w:val="1"/>
                <w:bCs w:val="1"/>
                <w:color w:val="auto"/>
                <w:vertAlign w:val="superscript"/>
              </w:rPr>
              <w:t>(1)(4)</w:t>
            </w:r>
          </w:p>
        </w:tc>
        <w:tc>
          <w:tcPr>
            <w:tcW w:w="100" w:type="dxa"/>
            <w:vAlign w:val="bottom"/>
            <w:shd w:val="clear" w:color="auto" w:fill="CCEEFF"/>
          </w:tcPr>
          <w:p>
            <w:pPr>
              <w:spacing w:after="0"/>
              <w:rPr>
                <w:sz w:val="15"/>
                <w:szCs w:val="15"/>
                <w:color w:val="auto"/>
              </w:rPr>
            </w:pPr>
          </w:p>
        </w:tc>
        <w:tc>
          <w:tcPr>
            <w:tcW w:w="2080" w:type="dxa"/>
            <w:vAlign w:val="bottom"/>
            <w:gridSpan w:val="3"/>
            <w:shd w:val="clear" w:color="auto" w:fill="CCEEFF"/>
          </w:tcPr>
          <w:p>
            <w:pPr>
              <w:jc w:val="center"/>
              <w:ind w:right="200"/>
              <w:spacing w:after="0"/>
              <w:rPr>
                <w:sz w:val="20"/>
                <w:szCs w:val="20"/>
                <w:color w:val="auto"/>
              </w:rPr>
            </w:pPr>
            <w:r>
              <w:rPr>
                <w:rFonts w:ascii="Arial" w:cs="Arial" w:eastAsia="Arial" w:hAnsi="Arial"/>
                <w:sz w:val="14"/>
                <w:szCs w:val="14"/>
                <w:color w:val="auto"/>
              </w:rPr>
              <w:t>New York, NY</w:t>
            </w: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r>
      <w:tr>
        <w:trPr>
          <w:trHeight w:val="20"/>
        </w:trPr>
        <w:tc>
          <w:tcPr>
            <w:tcW w:w="720" w:type="dxa"/>
            <w:vAlign w:val="bottom"/>
            <w:tcBorders>
              <w:left w:val="single" w:sz="8" w:color="CCEEFF"/>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23"/>
        </w:trPr>
        <w:tc>
          <w:tcPr>
            <w:tcW w:w="2580" w:type="dxa"/>
            <w:vAlign w:val="bottom"/>
            <w:gridSpan w:val="8"/>
          </w:tcPr>
          <w:p>
            <w:pPr>
              <w:ind w:left="20"/>
              <w:spacing w:after="0" w:line="123"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0"/>
                <w:szCs w:val="10"/>
                <w:color w:val="auto"/>
              </w:rPr>
            </w:pPr>
          </w:p>
        </w:tc>
        <w:tc>
          <w:tcPr>
            <w:tcW w:w="2080" w:type="dxa"/>
            <w:vAlign w:val="bottom"/>
            <w:gridSpan w:val="3"/>
          </w:tcPr>
          <w:p>
            <w:pPr>
              <w:jc w:val="center"/>
              <w:ind w:right="200"/>
              <w:spacing w:after="0" w:line="123" w:lineRule="exact"/>
              <w:rPr>
                <w:sz w:val="20"/>
                <w:szCs w:val="20"/>
                <w:color w:val="auto"/>
              </w:rPr>
            </w:pPr>
            <w:r>
              <w:rPr>
                <w:rFonts w:ascii="Arial" w:cs="Arial" w:eastAsia="Arial" w:hAnsi="Arial"/>
                <w:sz w:val="14"/>
                <w:szCs w:val="14"/>
                <w:color w:val="auto"/>
                <w:w w:val="94"/>
              </w:rPr>
              <w:t>Globally-focused Private</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67"/>
        </w:trPr>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3"/>
          </w:tcPr>
          <w:p>
            <w:pPr>
              <w:jc w:val="center"/>
              <w:ind w:right="200"/>
              <w:spacing w:after="0"/>
              <w:rPr>
                <w:sz w:val="20"/>
                <w:szCs w:val="20"/>
                <w:color w:val="auto"/>
              </w:rPr>
            </w:pPr>
            <w:r>
              <w:rPr>
                <w:rFonts w:ascii="Arial" w:cs="Arial" w:eastAsia="Arial" w:hAnsi="Arial"/>
                <w:sz w:val="14"/>
                <w:szCs w:val="14"/>
                <w:color w:val="auto"/>
                <w:w w:val="93"/>
              </w:rPr>
              <w:t>School</w:t>
            </w:r>
          </w:p>
        </w:tc>
        <w:tc>
          <w:tcPr>
            <w:tcW w:w="740" w:type="dxa"/>
            <w:vAlign w:val="bottom"/>
          </w:tcPr>
          <w:p>
            <w:pPr>
              <w:jc w:val="right"/>
              <w:spacing w:after="0"/>
              <w:rPr>
                <w:sz w:val="20"/>
                <w:szCs w:val="20"/>
                <w:color w:val="auto"/>
              </w:rPr>
            </w:pPr>
            <w:r>
              <w:rPr>
                <w:rFonts w:ascii="Arial" w:cs="Arial" w:eastAsia="Arial" w:hAnsi="Arial"/>
                <w:sz w:val="14"/>
                <w:szCs w:val="14"/>
                <w:color w:val="auto"/>
              </w:rPr>
              <w:t>3,000,000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3,000,000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3,000,000</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1.23%</w:t>
            </w:r>
          </w:p>
        </w:tc>
      </w:tr>
      <w:tr>
        <w:trPr>
          <w:trHeight w:val="149"/>
        </w:trPr>
        <w:tc>
          <w:tcPr>
            <w:tcW w:w="2580" w:type="dxa"/>
            <w:vAlign w:val="bottom"/>
            <w:tcBorders>
              <w:left w:val="single" w:sz="8" w:color="CCEEFF"/>
            </w:tcBorders>
            <w:gridSpan w:val="8"/>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1,577,097</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1,500,000</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0.62%</w:t>
            </w:r>
          </w:p>
        </w:tc>
      </w:tr>
      <w:tr>
        <w:trPr>
          <w:trHeight w:val="20"/>
        </w:trPr>
        <w:tc>
          <w:tcPr>
            <w:tcW w:w="72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8"/>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4,577,097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4,500,000</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1.85%</w:t>
            </w:r>
          </w:p>
        </w:tc>
      </w:tr>
      <w:tr>
        <w:trPr>
          <w:trHeight w:val="129"/>
        </w:trPr>
        <w:tc>
          <w:tcPr>
            <w:tcW w:w="2580" w:type="dxa"/>
            <w:vAlign w:val="bottom"/>
            <w:tcBorders>
              <w:left w:val="single" w:sz="8" w:color="CCEEFF"/>
            </w:tcBorders>
            <w:gridSpan w:val="8"/>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Parchment, Inc.</w:t>
            </w:r>
          </w:p>
        </w:tc>
        <w:tc>
          <w:tcPr>
            <w:tcW w:w="100" w:type="dxa"/>
            <w:vAlign w:val="bottom"/>
            <w:shd w:val="clear" w:color="auto" w:fill="CCEEFF"/>
          </w:tcPr>
          <w:p>
            <w:pPr>
              <w:spacing w:after="0"/>
              <w:rPr>
                <w:sz w:val="11"/>
                <w:szCs w:val="11"/>
                <w:color w:val="auto"/>
              </w:rPr>
            </w:pPr>
          </w:p>
        </w:tc>
        <w:tc>
          <w:tcPr>
            <w:tcW w:w="2080" w:type="dxa"/>
            <w:vAlign w:val="bottom"/>
            <w:gridSpan w:val="3"/>
            <w:shd w:val="clear" w:color="auto" w:fill="CCEEFF"/>
          </w:tcPr>
          <w:p>
            <w:pPr>
              <w:jc w:val="center"/>
              <w:ind w:right="200"/>
              <w:spacing w:after="0" w:line="129" w:lineRule="exact"/>
              <w:rPr>
                <w:sz w:val="20"/>
                <w:szCs w:val="20"/>
                <w:color w:val="auto"/>
              </w:rPr>
            </w:pPr>
            <w:r>
              <w:rPr>
                <w:rFonts w:ascii="Arial" w:cs="Arial" w:eastAsia="Arial" w:hAnsi="Arial"/>
                <w:sz w:val="14"/>
                <w:szCs w:val="14"/>
                <w:color w:val="auto"/>
                <w:w w:val="92"/>
              </w:rPr>
              <w:t>Scottsdale, AZ</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20"/>
        </w:trPr>
        <w:tc>
          <w:tcPr>
            <w:tcW w:w="720" w:type="dxa"/>
            <w:vAlign w:val="bottom"/>
            <w:tcBorders>
              <w:left w:val="single" w:sz="8" w:color="CCEEFF"/>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8"/>
          </w:tcPr>
          <w:p>
            <w:pPr>
              <w:ind w:left="20"/>
              <w:spacing w:after="0" w:line="142" w:lineRule="exact"/>
              <w:rPr>
                <w:sz w:val="20"/>
                <w:szCs w:val="20"/>
                <w:color w:val="auto"/>
              </w:rPr>
            </w:pPr>
            <w:r>
              <w:rPr>
                <w:rFonts w:ascii="Arial" w:cs="Arial" w:eastAsia="Arial" w:hAnsi="Arial"/>
                <w:sz w:val="14"/>
                <w:szCs w:val="14"/>
                <w:color w:val="auto"/>
              </w:rPr>
              <w:t>Preferred shares, Series D</w:t>
            </w:r>
          </w:p>
        </w:tc>
        <w:tc>
          <w:tcPr>
            <w:tcW w:w="100" w:type="dxa"/>
            <w:vAlign w:val="bottom"/>
          </w:tcPr>
          <w:p>
            <w:pPr>
              <w:spacing w:after="0"/>
              <w:rPr>
                <w:sz w:val="12"/>
                <w:szCs w:val="12"/>
                <w:color w:val="auto"/>
              </w:rPr>
            </w:pPr>
          </w:p>
        </w:tc>
        <w:tc>
          <w:tcPr>
            <w:tcW w:w="2080" w:type="dxa"/>
            <w:vAlign w:val="bottom"/>
            <w:gridSpan w:val="3"/>
          </w:tcPr>
          <w:p>
            <w:pPr>
              <w:jc w:val="center"/>
              <w:ind w:right="200"/>
              <w:spacing w:after="0" w:line="142" w:lineRule="exact"/>
              <w:rPr>
                <w:sz w:val="20"/>
                <w:szCs w:val="20"/>
                <w:color w:val="auto"/>
              </w:rPr>
            </w:pPr>
            <w:r>
              <w:rPr>
                <w:rFonts w:ascii="Arial" w:cs="Arial" w:eastAsia="Arial" w:hAnsi="Arial"/>
                <w:sz w:val="14"/>
                <w:szCs w:val="14"/>
                <w:color w:val="auto"/>
                <w:w w:val="92"/>
              </w:rPr>
              <w:t>E-Transcript Exchange</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3,200,512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4,000,982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4,000,000</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1.65%</w:t>
            </w:r>
          </w:p>
        </w:tc>
      </w:tr>
      <w:tr>
        <w:trPr>
          <w:trHeight w:val="176"/>
        </w:trPr>
        <w:tc>
          <w:tcPr>
            <w:tcW w:w="2580" w:type="dxa"/>
            <w:vAlign w:val="bottom"/>
            <w:tcBorders>
              <w:left w:val="single" w:sz="8" w:color="CCEEFF"/>
            </w:tcBorders>
            <w:gridSpan w:val="8"/>
            <w:shd w:val="clear" w:color="auto" w:fill="CCEEFF"/>
          </w:tcPr>
          <w:p>
            <w:pPr>
              <w:ind w:left="20"/>
              <w:spacing w:after="0" w:line="176" w:lineRule="exact"/>
              <w:rPr>
                <w:sz w:val="20"/>
                <w:szCs w:val="20"/>
                <w:color w:val="auto"/>
              </w:rPr>
            </w:pPr>
            <w:r>
              <w:rPr>
                <w:rFonts w:ascii="Arial" w:cs="Arial" w:eastAsia="Arial" w:hAnsi="Arial"/>
                <w:sz w:val="13"/>
                <w:szCs w:val="13"/>
                <w:b w:val="1"/>
                <w:bCs w:val="1"/>
                <w:color w:val="auto"/>
              </w:rPr>
              <w:t>CUX, Inc. (d/b/a CorpU)</w:t>
            </w:r>
            <w:r>
              <w:rPr>
                <w:rFonts w:ascii="Arial" w:cs="Arial" w:eastAsia="Arial" w:hAnsi="Arial"/>
                <w:sz w:val="20"/>
                <w:szCs w:val="20"/>
                <w:b w:val="1"/>
                <w:bCs w:val="1"/>
                <w:color w:val="auto"/>
                <w:vertAlign w:val="superscript"/>
              </w:rPr>
              <w:t>(1)</w:t>
            </w:r>
          </w:p>
        </w:tc>
        <w:tc>
          <w:tcPr>
            <w:tcW w:w="100" w:type="dxa"/>
            <w:vAlign w:val="bottom"/>
            <w:shd w:val="clear" w:color="auto" w:fill="CCEEFF"/>
          </w:tcPr>
          <w:p>
            <w:pPr>
              <w:spacing w:after="0"/>
              <w:rPr>
                <w:sz w:val="15"/>
                <w:szCs w:val="15"/>
                <w:color w:val="auto"/>
              </w:rPr>
            </w:pPr>
          </w:p>
        </w:tc>
        <w:tc>
          <w:tcPr>
            <w:tcW w:w="2080" w:type="dxa"/>
            <w:vAlign w:val="bottom"/>
            <w:gridSpan w:val="3"/>
            <w:shd w:val="clear" w:color="auto" w:fill="CCEEFF"/>
          </w:tcPr>
          <w:p>
            <w:pPr>
              <w:jc w:val="center"/>
              <w:ind w:right="200"/>
              <w:spacing w:after="0"/>
              <w:rPr>
                <w:sz w:val="20"/>
                <w:szCs w:val="20"/>
                <w:color w:val="auto"/>
              </w:rPr>
            </w:pPr>
            <w:r>
              <w:rPr>
                <w:rFonts w:ascii="Arial" w:cs="Arial" w:eastAsia="Arial" w:hAnsi="Arial"/>
                <w:sz w:val="14"/>
                <w:szCs w:val="14"/>
                <w:color w:val="auto"/>
                <w:w w:val="92"/>
              </w:rPr>
              <w:t>San Francisco, CA</w:t>
            </w: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r>
      <w:tr>
        <w:trPr>
          <w:trHeight w:val="20"/>
        </w:trPr>
        <w:tc>
          <w:tcPr>
            <w:tcW w:w="720" w:type="dxa"/>
            <w:vAlign w:val="bottom"/>
            <w:tcBorders>
              <w:left w:val="single" w:sz="8" w:color="CCEEFF"/>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29"/>
        </w:trPr>
        <w:tc>
          <w:tcPr>
            <w:tcW w:w="2580" w:type="dxa"/>
            <w:vAlign w:val="bottom"/>
            <w:gridSpan w:val="8"/>
          </w:tcPr>
          <w:p>
            <w:pPr>
              <w:ind w:left="20"/>
              <w:spacing w:after="0" w:line="129" w:lineRule="exact"/>
              <w:rPr>
                <w:sz w:val="20"/>
                <w:szCs w:val="20"/>
                <w:color w:val="auto"/>
              </w:rPr>
            </w:pPr>
            <w:r>
              <w:rPr>
                <w:rFonts w:ascii="Arial" w:cs="Arial" w:eastAsia="Arial" w:hAnsi="Arial"/>
                <w:sz w:val="14"/>
                <w:szCs w:val="14"/>
                <w:color w:val="auto"/>
              </w:rPr>
              <w:t>Senior Subordinated Convertible</w:t>
            </w:r>
          </w:p>
        </w:tc>
        <w:tc>
          <w:tcPr>
            <w:tcW w:w="100" w:type="dxa"/>
            <w:vAlign w:val="bottom"/>
          </w:tcPr>
          <w:p>
            <w:pPr>
              <w:spacing w:after="0"/>
              <w:rPr>
                <w:sz w:val="11"/>
                <w:szCs w:val="11"/>
                <w:color w:val="auto"/>
              </w:rPr>
            </w:pPr>
          </w:p>
        </w:tc>
        <w:tc>
          <w:tcPr>
            <w:tcW w:w="2080" w:type="dxa"/>
            <w:vAlign w:val="bottom"/>
            <w:gridSpan w:val="3"/>
          </w:tcPr>
          <w:p>
            <w:pPr>
              <w:jc w:val="center"/>
              <w:ind w:right="200"/>
              <w:spacing w:after="0" w:line="129" w:lineRule="exact"/>
              <w:rPr>
                <w:sz w:val="20"/>
                <w:szCs w:val="20"/>
                <w:color w:val="auto"/>
              </w:rPr>
            </w:pPr>
            <w:r>
              <w:rPr>
                <w:rFonts w:ascii="Arial" w:cs="Arial" w:eastAsia="Arial" w:hAnsi="Arial"/>
                <w:sz w:val="14"/>
                <w:szCs w:val="14"/>
                <w:color w:val="auto"/>
                <w:w w:val="93"/>
              </w:rPr>
              <w:t>Corporate Education</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53"/>
        </w:trPr>
        <w:tc>
          <w:tcPr>
            <w:tcW w:w="2580" w:type="dxa"/>
            <w:vAlign w:val="bottom"/>
            <w:gridSpan w:val="8"/>
          </w:tcPr>
          <w:p>
            <w:pPr>
              <w:ind w:left="200"/>
              <w:spacing w:after="0" w:line="153" w:lineRule="exact"/>
              <w:rPr>
                <w:sz w:val="20"/>
                <w:szCs w:val="20"/>
                <w:color w:val="auto"/>
              </w:rPr>
            </w:pPr>
            <w:r>
              <w:rPr>
                <w:rFonts w:ascii="Arial" w:cs="Arial" w:eastAsia="Arial" w:hAnsi="Arial"/>
                <w:sz w:val="14"/>
                <w:szCs w:val="14"/>
                <w:color w:val="auto"/>
                <w:w w:val="95"/>
              </w:rPr>
              <w:t>Promissory Note 8% Due 11/26/2018***</w:t>
            </w:r>
          </w:p>
        </w:tc>
        <w:tc>
          <w:tcPr>
            <w:tcW w:w="1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1"/>
        </w:trPr>
        <w:tc>
          <w:tcPr>
            <w:tcW w:w="720" w:type="dxa"/>
            <w:vAlign w:val="bottom"/>
          </w:tcPr>
          <w:p>
            <w:pPr>
              <w:ind w:left="200"/>
              <w:spacing w:after="0"/>
              <w:rPr>
                <w:sz w:val="20"/>
                <w:szCs w:val="20"/>
                <w:color w:val="auto"/>
              </w:rPr>
            </w:pPr>
            <w:r>
              <w:rPr>
                <w:rFonts w:ascii="Arial" w:cs="Arial" w:eastAsia="Arial" w:hAnsi="Arial"/>
                <w:sz w:val="12"/>
                <w:szCs w:val="12"/>
                <w:color w:val="auto"/>
              </w:rPr>
              <w:t>(10)</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80" w:type="dxa"/>
            <w:vAlign w:val="bottom"/>
            <w:gridSpan w:val="4"/>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1,080,000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1,080,000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1,080,000</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0.44%</w:t>
            </w:r>
          </w:p>
        </w:tc>
      </w:tr>
      <w:tr>
        <w:trPr>
          <w:trHeight w:val="149"/>
        </w:trPr>
        <w:tc>
          <w:tcPr>
            <w:tcW w:w="2580" w:type="dxa"/>
            <w:vAlign w:val="bottom"/>
            <w:tcBorders>
              <w:left w:val="single" w:sz="8" w:color="CCEEFF"/>
            </w:tcBorders>
            <w:gridSpan w:val="8"/>
            <w:shd w:val="clear" w:color="auto" w:fill="CCEEFF"/>
          </w:tcPr>
          <w:p>
            <w:pPr>
              <w:ind w:left="20"/>
              <w:spacing w:after="0" w:line="149" w:lineRule="exact"/>
              <w:rPr>
                <w:sz w:val="20"/>
                <w:szCs w:val="20"/>
                <w:color w:val="auto"/>
              </w:rPr>
            </w:pPr>
            <w:r>
              <w:rPr>
                <w:rFonts w:ascii="Arial" w:cs="Arial" w:eastAsia="Arial" w:hAnsi="Arial"/>
                <w:sz w:val="14"/>
                <w:szCs w:val="14"/>
                <w:color w:val="auto"/>
              </w:rPr>
              <w:t>Convertible preferred shares, Series D</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169,033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778,607</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775,861</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0.32%</w:t>
            </w:r>
          </w:p>
        </w:tc>
      </w:tr>
      <w:tr>
        <w:trPr>
          <w:trHeight w:val="149"/>
        </w:trPr>
        <w:tc>
          <w:tcPr>
            <w:tcW w:w="2580" w:type="dxa"/>
            <w:vAlign w:val="bottom"/>
            <w:gridSpan w:val="8"/>
          </w:tcPr>
          <w:p>
            <w:pPr>
              <w:ind w:left="20"/>
              <w:spacing w:after="0" w:line="149" w:lineRule="exact"/>
              <w:rPr>
                <w:sz w:val="20"/>
                <w:szCs w:val="20"/>
                <w:color w:val="auto"/>
              </w:rPr>
            </w:pPr>
            <w:r>
              <w:rPr>
                <w:rFonts w:ascii="Arial" w:cs="Arial" w:eastAsia="Arial" w:hAnsi="Arial"/>
                <w:sz w:val="14"/>
                <w:szCs w:val="14"/>
                <w:color w:val="auto"/>
              </w:rPr>
              <w:t>Convertible preferred shares, Series C</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615,763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2,006,077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1,913,484</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0.79%</w:t>
            </w:r>
          </w:p>
        </w:tc>
      </w:tr>
      <w:tr>
        <w:trPr>
          <w:trHeight w:val="130"/>
        </w:trPr>
        <w:tc>
          <w:tcPr>
            <w:tcW w:w="2580" w:type="dxa"/>
            <w:vAlign w:val="bottom"/>
            <w:tcBorders>
              <w:left w:val="single" w:sz="8" w:color="CCEEFF"/>
            </w:tcBorders>
            <w:gridSpan w:val="8"/>
            <w:shd w:val="clear" w:color="auto" w:fill="CCEEFF"/>
          </w:tcPr>
          <w:p>
            <w:pPr>
              <w:ind w:left="20"/>
              <w:spacing w:after="0" w:line="130" w:lineRule="exact"/>
              <w:rPr>
                <w:sz w:val="20"/>
                <w:szCs w:val="20"/>
                <w:color w:val="auto"/>
              </w:rPr>
            </w:pPr>
            <w:r>
              <w:rPr>
                <w:rFonts w:ascii="Arial" w:cs="Arial" w:eastAsia="Arial" w:hAnsi="Arial"/>
                <w:sz w:val="14"/>
                <w:szCs w:val="14"/>
                <w:color w:val="auto"/>
              </w:rPr>
              <w:t>Preferred warrants, $4.59 Strike Price,</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67"/>
        </w:trPr>
        <w:tc>
          <w:tcPr>
            <w:tcW w:w="2580" w:type="dxa"/>
            <w:vAlign w:val="bottom"/>
            <w:tcBorders>
              <w:left w:val="single" w:sz="8" w:color="CCEEFF"/>
            </w:tcBorders>
            <w:gridSpan w:val="8"/>
            <w:shd w:val="clear" w:color="auto" w:fill="CCEEFF"/>
          </w:tcPr>
          <w:p>
            <w:pPr>
              <w:ind w:left="200"/>
              <w:spacing w:after="0"/>
              <w:rPr>
                <w:sz w:val="20"/>
                <w:szCs w:val="20"/>
                <w:color w:val="auto"/>
              </w:rPr>
            </w:pPr>
            <w:r>
              <w:rPr>
                <w:rFonts w:ascii="Arial" w:cs="Arial" w:eastAsia="Arial" w:hAnsi="Arial"/>
                <w:sz w:val="14"/>
                <w:szCs w:val="14"/>
                <w:color w:val="auto"/>
              </w:rPr>
              <w:t>Expiration Date 02/25/2018</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16,903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3,043</w:t>
            </w:r>
          </w:p>
        </w:tc>
        <w:tc>
          <w:tcPr>
            <w:tcW w:w="180" w:type="dxa"/>
            <w:vAlign w:val="bottom"/>
            <w:tcBorders>
              <w:left w:val="single" w:sz="8" w:color="CCEEFF"/>
            </w:tcBorders>
            <w:shd w:val="clear" w:color="auto" w:fill="CCEEFF"/>
          </w:tcPr>
          <w:p>
            <w:pPr>
              <w:spacing w:after="0"/>
              <w:rPr>
                <w:sz w:val="14"/>
                <w:szCs w:val="14"/>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r>
      <w:tr>
        <w:trPr>
          <w:trHeight w:val="20"/>
        </w:trPr>
        <w:tc>
          <w:tcPr>
            <w:tcW w:w="72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8"/>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3,864,684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3,772,388</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1.55%</w:t>
            </w:r>
          </w:p>
        </w:tc>
      </w:tr>
      <w:tr>
        <w:trPr>
          <w:trHeight w:val="129"/>
        </w:trPr>
        <w:tc>
          <w:tcPr>
            <w:tcW w:w="2580" w:type="dxa"/>
            <w:vAlign w:val="bottom"/>
            <w:tcBorders>
              <w:left w:val="single" w:sz="8" w:color="CCEEFF"/>
            </w:tcBorders>
            <w:gridSpan w:val="8"/>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DogVacay, Inc.</w:t>
            </w:r>
          </w:p>
        </w:tc>
        <w:tc>
          <w:tcPr>
            <w:tcW w:w="100" w:type="dxa"/>
            <w:vAlign w:val="bottom"/>
            <w:shd w:val="clear" w:color="auto" w:fill="CCEEFF"/>
          </w:tcPr>
          <w:p>
            <w:pPr>
              <w:spacing w:after="0"/>
              <w:rPr>
                <w:sz w:val="11"/>
                <w:szCs w:val="11"/>
                <w:color w:val="auto"/>
              </w:rPr>
            </w:pPr>
          </w:p>
        </w:tc>
        <w:tc>
          <w:tcPr>
            <w:tcW w:w="2080" w:type="dxa"/>
            <w:vAlign w:val="bottom"/>
            <w:gridSpan w:val="3"/>
            <w:shd w:val="clear" w:color="auto" w:fill="CCEEFF"/>
          </w:tcPr>
          <w:p>
            <w:pPr>
              <w:jc w:val="center"/>
              <w:ind w:right="200"/>
              <w:spacing w:after="0" w:line="129" w:lineRule="exact"/>
              <w:rPr>
                <w:sz w:val="20"/>
                <w:szCs w:val="20"/>
                <w:color w:val="auto"/>
              </w:rPr>
            </w:pPr>
            <w:r>
              <w:rPr>
                <w:rFonts w:ascii="Arial" w:cs="Arial" w:eastAsia="Arial" w:hAnsi="Arial"/>
                <w:sz w:val="14"/>
                <w:szCs w:val="14"/>
                <w:color w:val="auto"/>
                <w:w w:val="95"/>
              </w:rPr>
              <w:t>Santa Monica, CA</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20"/>
        </w:trPr>
        <w:tc>
          <w:tcPr>
            <w:tcW w:w="720" w:type="dxa"/>
            <w:vAlign w:val="bottom"/>
            <w:tcBorders>
              <w:left w:val="single" w:sz="8" w:color="CCEEFF"/>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8"/>
          </w:tcPr>
          <w:p>
            <w:pPr>
              <w:ind w:left="20"/>
              <w:spacing w:after="0" w:line="142" w:lineRule="exact"/>
              <w:rPr>
                <w:sz w:val="20"/>
                <w:szCs w:val="20"/>
                <w:color w:val="auto"/>
              </w:rPr>
            </w:pPr>
            <w:r>
              <w:rPr>
                <w:rFonts w:ascii="Arial" w:cs="Arial" w:eastAsia="Arial" w:hAnsi="Arial"/>
                <w:sz w:val="14"/>
                <w:szCs w:val="14"/>
                <w:color w:val="auto"/>
              </w:rPr>
              <w:t>Preferred shares, Series B-1</w:t>
            </w:r>
          </w:p>
        </w:tc>
        <w:tc>
          <w:tcPr>
            <w:tcW w:w="100" w:type="dxa"/>
            <w:vAlign w:val="bottom"/>
          </w:tcPr>
          <w:p>
            <w:pPr>
              <w:spacing w:after="0"/>
              <w:rPr>
                <w:sz w:val="12"/>
                <w:szCs w:val="12"/>
                <w:color w:val="auto"/>
              </w:rPr>
            </w:pPr>
          </w:p>
        </w:tc>
        <w:tc>
          <w:tcPr>
            <w:tcW w:w="2080" w:type="dxa"/>
            <w:vAlign w:val="bottom"/>
            <w:gridSpan w:val="3"/>
          </w:tcPr>
          <w:p>
            <w:pPr>
              <w:jc w:val="center"/>
              <w:ind w:right="200"/>
              <w:spacing w:after="0" w:line="142" w:lineRule="exact"/>
              <w:rPr>
                <w:sz w:val="20"/>
                <w:szCs w:val="20"/>
                <w:color w:val="auto"/>
              </w:rPr>
            </w:pPr>
            <w:r>
              <w:rPr>
                <w:rFonts w:ascii="Arial" w:cs="Arial" w:eastAsia="Arial" w:hAnsi="Arial"/>
                <w:sz w:val="14"/>
                <w:szCs w:val="14"/>
                <w:color w:val="auto"/>
                <w:w w:val="93"/>
              </w:rPr>
              <w:t>Dog Boarding</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514,562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2,506,119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2,500,771</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1.03%</w:t>
            </w:r>
          </w:p>
        </w:tc>
      </w:tr>
      <w:tr>
        <w:trPr>
          <w:trHeight w:val="176"/>
        </w:trPr>
        <w:tc>
          <w:tcPr>
            <w:tcW w:w="2580" w:type="dxa"/>
            <w:vAlign w:val="bottom"/>
            <w:tcBorders>
              <w:left w:val="single" w:sz="8" w:color="CCEEFF"/>
            </w:tcBorders>
            <w:gridSpan w:val="8"/>
            <w:shd w:val="clear" w:color="auto" w:fill="CCEEFF"/>
          </w:tcPr>
          <w:p>
            <w:pPr>
              <w:ind w:left="20"/>
              <w:spacing w:after="0" w:line="176" w:lineRule="exact"/>
              <w:rPr>
                <w:sz w:val="20"/>
                <w:szCs w:val="20"/>
                <w:color w:val="auto"/>
              </w:rPr>
            </w:pPr>
            <w:r>
              <w:rPr>
                <w:rFonts w:ascii="Arial" w:cs="Arial" w:eastAsia="Arial" w:hAnsi="Arial"/>
                <w:sz w:val="13"/>
                <w:szCs w:val="13"/>
                <w:b w:val="1"/>
                <w:bCs w:val="1"/>
                <w:color w:val="auto"/>
              </w:rPr>
              <w:t>SharesPost, Inc.</w:t>
            </w:r>
            <w:r>
              <w:rPr>
                <w:rFonts w:ascii="Arial" w:cs="Arial" w:eastAsia="Arial" w:hAnsi="Arial"/>
                <w:sz w:val="20"/>
                <w:szCs w:val="20"/>
                <w:b w:val="1"/>
                <w:bCs w:val="1"/>
                <w:color w:val="auto"/>
                <w:vertAlign w:val="superscript"/>
              </w:rPr>
              <w:t>(6)</w:t>
            </w:r>
          </w:p>
        </w:tc>
        <w:tc>
          <w:tcPr>
            <w:tcW w:w="100" w:type="dxa"/>
            <w:vAlign w:val="bottom"/>
            <w:shd w:val="clear" w:color="auto" w:fill="CCEEFF"/>
          </w:tcPr>
          <w:p>
            <w:pPr>
              <w:spacing w:after="0"/>
              <w:rPr>
                <w:sz w:val="15"/>
                <w:szCs w:val="15"/>
                <w:color w:val="auto"/>
              </w:rPr>
            </w:pPr>
          </w:p>
        </w:tc>
        <w:tc>
          <w:tcPr>
            <w:tcW w:w="2080" w:type="dxa"/>
            <w:vAlign w:val="bottom"/>
            <w:gridSpan w:val="3"/>
            <w:shd w:val="clear" w:color="auto" w:fill="CCEEFF"/>
          </w:tcPr>
          <w:p>
            <w:pPr>
              <w:jc w:val="center"/>
              <w:ind w:right="200"/>
              <w:spacing w:after="0"/>
              <w:rPr>
                <w:sz w:val="20"/>
                <w:szCs w:val="20"/>
                <w:color w:val="auto"/>
              </w:rPr>
            </w:pPr>
            <w:r>
              <w:rPr>
                <w:rFonts w:ascii="Arial" w:cs="Arial" w:eastAsia="Arial" w:hAnsi="Arial"/>
                <w:sz w:val="14"/>
                <w:szCs w:val="14"/>
                <w:color w:val="auto"/>
                <w:w w:val="94"/>
              </w:rPr>
              <w:t>San Bruno, CA</w:t>
            </w: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r>
      <w:tr>
        <w:trPr>
          <w:trHeight w:val="20"/>
        </w:trPr>
        <w:tc>
          <w:tcPr>
            <w:tcW w:w="720" w:type="dxa"/>
            <w:vAlign w:val="bottom"/>
            <w:tcBorders>
              <w:left w:val="single" w:sz="8" w:color="CCEEFF"/>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8"/>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2"/>
                <w:szCs w:val="12"/>
                <w:color w:val="auto"/>
              </w:rPr>
            </w:pPr>
          </w:p>
        </w:tc>
        <w:tc>
          <w:tcPr>
            <w:tcW w:w="2080" w:type="dxa"/>
            <w:vAlign w:val="bottom"/>
            <w:gridSpan w:val="3"/>
          </w:tcPr>
          <w:p>
            <w:pPr>
              <w:jc w:val="center"/>
              <w:ind w:right="200"/>
              <w:spacing w:after="0" w:line="142" w:lineRule="exact"/>
              <w:rPr>
                <w:sz w:val="20"/>
                <w:szCs w:val="20"/>
                <w:color w:val="auto"/>
              </w:rPr>
            </w:pPr>
            <w:r>
              <w:rPr>
                <w:rFonts w:ascii="Arial" w:cs="Arial" w:eastAsia="Arial" w:hAnsi="Arial"/>
                <w:sz w:val="14"/>
                <w:szCs w:val="14"/>
                <w:color w:val="auto"/>
                <w:w w:val="94"/>
              </w:rPr>
              <w:t>Online Marketplace Finance</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1,771,653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2,259,716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2,249,999</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0.93%</w:t>
            </w:r>
          </w:p>
        </w:tc>
      </w:tr>
      <w:tr>
        <w:trPr>
          <w:trHeight w:val="130"/>
        </w:trPr>
        <w:tc>
          <w:tcPr>
            <w:tcW w:w="2580" w:type="dxa"/>
            <w:vAlign w:val="bottom"/>
            <w:tcBorders>
              <w:left w:val="single" w:sz="8" w:color="CCEEFF"/>
            </w:tcBorders>
            <w:gridSpan w:val="8"/>
            <w:shd w:val="clear" w:color="auto" w:fill="CCEEFF"/>
          </w:tcPr>
          <w:p>
            <w:pPr>
              <w:ind w:left="20"/>
              <w:spacing w:after="0" w:line="130" w:lineRule="exact"/>
              <w:rPr>
                <w:sz w:val="20"/>
                <w:szCs w:val="20"/>
                <w:color w:val="auto"/>
              </w:rPr>
            </w:pPr>
            <w:r>
              <w:rPr>
                <w:rFonts w:ascii="Arial" w:cs="Arial" w:eastAsia="Arial" w:hAnsi="Arial"/>
                <w:sz w:val="14"/>
                <w:szCs w:val="14"/>
                <w:color w:val="auto"/>
              </w:rPr>
              <w:t>Common warrants, $0.13 Strike Price,</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67"/>
        </w:trPr>
        <w:tc>
          <w:tcPr>
            <w:tcW w:w="2580" w:type="dxa"/>
            <w:vAlign w:val="bottom"/>
            <w:tcBorders>
              <w:left w:val="single" w:sz="8" w:color="CCEEFF"/>
            </w:tcBorders>
            <w:gridSpan w:val="8"/>
            <w:shd w:val="clear" w:color="auto" w:fill="CCEEFF"/>
          </w:tcPr>
          <w:p>
            <w:pPr>
              <w:ind w:left="200"/>
              <w:spacing w:after="0"/>
              <w:rPr>
                <w:sz w:val="20"/>
                <w:szCs w:val="20"/>
                <w:color w:val="auto"/>
              </w:rPr>
            </w:pPr>
            <w:r>
              <w:rPr>
                <w:rFonts w:ascii="Arial" w:cs="Arial" w:eastAsia="Arial" w:hAnsi="Arial"/>
                <w:sz w:val="14"/>
                <w:szCs w:val="14"/>
                <w:color w:val="auto"/>
              </w:rPr>
              <w:t>Expiration Date 6/15/2018</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770,934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23,128</w:t>
            </w:r>
          </w:p>
        </w:tc>
        <w:tc>
          <w:tcPr>
            <w:tcW w:w="16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177,315</w:t>
            </w:r>
          </w:p>
        </w:tc>
        <w:tc>
          <w:tcPr>
            <w:tcW w:w="8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0.07%</w:t>
            </w:r>
          </w:p>
        </w:tc>
      </w:tr>
      <w:tr>
        <w:trPr>
          <w:trHeight w:val="20"/>
        </w:trPr>
        <w:tc>
          <w:tcPr>
            <w:tcW w:w="72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8"/>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2,282,844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2,427,314</w:t>
            </w:r>
          </w:p>
        </w:tc>
        <w:tc>
          <w:tcPr>
            <w:tcW w:w="840" w:type="dxa"/>
            <w:vAlign w:val="bottom"/>
            <w:gridSpan w:val="3"/>
          </w:tcPr>
          <w:p>
            <w:pPr>
              <w:jc w:val="right"/>
              <w:ind w:right="180"/>
              <w:spacing w:after="0" w:line="142" w:lineRule="exact"/>
              <w:rPr>
                <w:sz w:val="20"/>
                <w:szCs w:val="20"/>
                <w:color w:val="auto"/>
              </w:rPr>
            </w:pPr>
            <w:r>
              <w:rPr>
                <w:rFonts w:ascii="Arial" w:cs="Arial" w:eastAsia="Arial" w:hAnsi="Arial"/>
                <w:sz w:val="14"/>
                <w:szCs w:val="14"/>
                <w:color w:val="auto"/>
              </w:rPr>
              <w:t>1.00%</w:t>
            </w:r>
          </w:p>
        </w:tc>
      </w:tr>
      <w:tr>
        <w:trPr>
          <w:trHeight w:val="20"/>
        </w:trPr>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-3798570</wp:posOffset>
            </wp:positionV>
            <wp:extent cx="5213985" cy="1117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-3404235</wp:posOffset>
            </wp:positionV>
            <wp:extent cx="5213985" cy="1117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-2606675</wp:posOffset>
            </wp:positionV>
            <wp:extent cx="5213985" cy="1117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-1903095</wp:posOffset>
            </wp:positionV>
            <wp:extent cx="5213985" cy="1117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-814070</wp:posOffset>
            </wp:positionV>
            <wp:extent cx="5213985" cy="1117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-111125</wp:posOffset>
            </wp:positionV>
            <wp:extent cx="5213985" cy="1117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213985" cy="11176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620"/>
        <w:spacing w:after="0"/>
        <w:rPr>
          <w:sz w:val="20"/>
          <w:szCs w:val="20"/>
          <w:color w:val="auto"/>
        </w:rPr>
      </w:pPr>
      <w:r>
        <w:rPr>
          <w:rFonts w:ascii="Arial" w:cs="Arial" w:eastAsia="Arial" w:hAnsi="Arial"/>
          <w:sz w:val="18"/>
          <w:szCs w:val="18"/>
          <w:i w:val="1"/>
          <w:iCs w:val="1"/>
          <w:color w:val="auto"/>
        </w:rPr>
        <w:t>See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1" w:name="page12"/>
    <w:bookmarkEnd w:id="11"/>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SCHEDULE OF INVESTMENTS – (continued)</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March 31, 2016</w:t>
      </w: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-48260</wp:posOffset>
            </wp:positionV>
            <wp:extent cx="521398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right"/>
              <w:ind w:right="169"/>
              <w:spacing w:after="0" w:line="121" w:lineRule="exact"/>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gridSpan w:val="2"/>
          </w:tcPr>
          <w:p>
            <w:pPr>
              <w:jc w:val="right"/>
              <w:ind w:right="200"/>
              <w:spacing w:after="0" w:line="121" w:lineRule="exact"/>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53"/>
        </w:trPr>
        <w:tc>
          <w:tcPr>
            <w:tcW w:w="2580" w:type="dxa"/>
            <w:vAlign w:val="bottom"/>
            <w:tcBorders>
              <w:bottom w:val="single" w:sz="8" w:color="auto"/>
            </w:tcBorders>
            <w:gridSpan w:val="12"/>
          </w:tcPr>
          <w:p>
            <w:pPr>
              <w:ind w:left="20"/>
              <w:spacing w:after="0"/>
              <w:rPr>
                <w:sz w:val="20"/>
                <w:szCs w:val="20"/>
                <w:color w:val="auto"/>
              </w:rPr>
            </w:pPr>
            <w:r>
              <w:rPr>
                <w:rFonts w:ascii="Arial" w:cs="Arial" w:eastAsia="Arial" w:hAnsi="Arial"/>
                <w:sz w:val="13"/>
                <w:szCs w:val="13"/>
                <w:b w:val="1"/>
                <w:bCs w:val="1"/>
                <w:color w:val="auto"/>
              </w:rPr>
              <w:t>Portfolio Investments*</w:t>
            </w:r>
          </w:p>
        </w:tc>
        <w:tc>
          <w:tcPr>
            <w:tcW w:w="100" w:type="dxa"/>
            <w:vAlign w:val="bottom"/>
          </w:tcPr>
          <w:p>
            <w:pPr>
              <w:spacing w:after="0"/>
              <w:rPr>
                <w:sz w:val="13"/>
                <w:szCs w:val="13"/>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Headquarters/Industry</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w w:val="98"/>
              </w:rPr>
              <w:t>Principal</w:t>
            </w:r>
          </w:p>
        </w:tc>
        <w:tc>
          <w:tcPr>
            <w:tcW w:w="100" w:type="dxa"/>
            <w:vAlign w:val="bottom"/>
          </w:tcPr>
          <w:p>
            <w:pPr>
              <w:spacing w:after="0"/>
              <w:rPr>
                <w:sz w:val="13"/>
                <w:szCs w:val="13"/>
                <w:color w:val="auto"/>
              </w:rPr>
            </w:pPr>
          </w:p>
        </w:tc>
        <w:tc>
          <w:tcPr>
            <w:tcW w:w="82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3"/>
                <w:szCs w:val="13"/>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w w:val="99"/>
              </w:rPr>
              <w:t>Fair Value</w:t>
            </w:r>
          </w:p>
        </w:tc>
        <w:tc>
          <w:tcPr>
            <w:tcW w:w="180" w:type="dxa"/>
            <w:vAlign w:val="bottom"/>
          </w:tcPr>
          <w:p>
            <w:pPr>
              <w:spacing w:after="0"/>
              <w:rPr>
                <w:sz w:val="13"/>
                <w:szCs w:val="13"/>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w w:val="89"/>
              </w:rPr>
              <w:t>Net Assets</w:t>
            </w:r>
          </w:p>
        </w:tc>
        <w:tc>
          <w:tcPr>
            <w:tcW w:w="0" w:type="dxa"/>
            <w:vAlign w:val="bottom"/>
          </w:tcPr>
          <w:p>
            <w:pPr>
              <w:spacing w:after="0"/>
              <w:rPr>
                <w:sz w:val="1"/>
                <w:szCs w:val="1"/>
                <w:color w:val="auto"/>
              </w:rPr>
            </w:pPr>
          </w:p>
        </w:tc>
      </w:tr>
      <w:tr>
        <w:trPr>
          <w:trHeight w:val="169"/>
        </w:trPr>
        <w:tc>
          <w:tcPr>
            <w:tcW w:w="2580" w:type="dxa"/>
            <w:vAlign w:val="bottom"/>
            <w:gridSpan w:val="12"/>
            <w:shd w:val="clear" w:color="auto" w:fill="CCEEFF"/>
          </w:tcPr>
          <w:p>
            <w:pPr>
              <w:ind w:left="20"/>
              <w:spacing w:after="0" w:line="169" w:lineRule="exact"/>
              <w:rPr>
                <w:sz w:val="20"/>
                <w:szCs w:val="20"/>
                <w:color w:val="auto"/>
              </w:rPr>
            </w:pPr>
            <w:r>
              <w:rPr>
                <w:rFonts w:ascii="Arial" w:cs="Arial" w:eastAsia="Arial" w:hAnsi="Arial"/>
                <w:sz w:val="12"/>
                <w:szCs w:val="12"/>
                <w:b w:val="1"/>
                <w:bCs w:val="1"/>
                <w:color w:val="auto"/>
              </w:rPr>
              <w:t>Maven Research, Inc.</w:t>
            </w:r>
            <w:r>
              <w:rPr>
                <w:rFonts w:ascii="Arial" w:cs="Arial" w:eastAsia="Arial" w:hAnsi="Arial"/>
                <w:sz w:val="19"/>
                <w:szCs w:val="19"/>
                <w:b w:val="1"/>
                <w:bCs w:val="1"/>
                <w:color w:val="auto"/>
                <w:vertAlign w:val="superscript"/>
              </w:rPr>
              <w:t>(1)</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San Francisco, CA</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tcBorders>
              <w:left w:val="single" w:sz="8" w:color="CCEEFF"/>
            </w:tcBorders>
            <w:shd w:val="clear" w:color="auto" w:fill="CCEEFF"/>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2"/>
          </w:tcPr>
          <w:p>
            <w:pPr>
              <w:ind w:left="20"/>
              <w:spacing w:after="0" w:line="142" w:lineRule="exact"/>
              <w:rPr>
                <w:sz w:val="20"/>
                <w:szCs w:val="20"/>
                <w:color w:val="auto"/>
              </w:rPr>
            </w:pPr>
            <w:r>
              <w:rPr>
                <w:rFonts w:ascii="Arial" w:cs="Arial" w:eastAsia="Arial" w:hAnsi="Arial"/>
                <w:sz w:val="14"/>
                <w:szCs w:val="14"/>
                <w:color w:val="auto"/>
              </w:rPr>
              <w:t>Preferred shares, Series C</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4"/>
              </w:rPr>
              <w:t>Knowledge Networks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9"/>
              <w:spacing w:after="0" w:line="142" w:lineRule="exact"/>
              <w:rPr>
                <w:sz w:val="20"/>
                <w:szCs w:val="20"/>
                <w:color w:val="auto"/>
              </w:rPr>
            </w:pPr>
            <w:r>
              <w:rPr>
                <w:rFonts w:ascii="Arial" w:cs="Arial" w:eastAsia="Arial" w:hAnsi="Arial"/>
                <w:sz w:val="14"/>
                <w:szCs w:val="14"/>
                <w:color w:val="auto"/>
              </w:rPr>
              <w:t>318,979</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  2,000,447</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  1,999,998</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0.82%</w:t>
            </w:r>
          </w:p>
        </w:tc>
        <w:tc>
          <w:tcPr>
            <w:tcW w:w="0" w:type="dxa"/>
            <w:vAlign w:val="bottom"/>
          </w:tcPr>
          <w:p>
            <w:pPr>
              <w:spacing w:after="0"/>
              <w:rPr>
                <w:sz w:val="1"/>
                <w:szCs w:val="1"/>
                <w:color w:val="auto"/>
              </w:rPr>
            </w:pPr>
          </w:p>
        </w:tc>
      </w:tr>
      <w:tr>
        <w:trPr>
          <w:trHeight w:val="149"/>
        </w:trPr>
        <w:tc>
          <w:tcPr>
            <w:tcW w:w="2580" w:type="dxa"/>
            <w:vAlign w:val="bottom"/>
            <w:gridSpan w:val="12"/>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49,505</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217,206</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249,691</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tcBorders>
              <w:left w:val="single" w:sz="8" w:color="CCEEFF"/>
            </w:tcBorders>
            <w:shd w:val="clear" w:color="auto" w:fill="CCEEFF"/>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gridSpan w:val="11"/>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rPr>
              <w:t>2,217,653</w:t>
            </w:r>
          </w:p>
        </w:tc>
        <w:tc>
          <w:tcPr>
            <w:tcW w:w="16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2,249,689</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0.92%</w:t>
            </w:r>
          </w:p>
        </w:tc>
        <w:tc>
          <w:tcPr>
            <w:tcW w:w="0" w:type="dxa"/>
            <w:vAlign w:val="bottom"/>
          </w:tcPr>
          <w:p>
            <w:pPr>
              <w:spacing w:after="0"/>
              <w:rPr>
                <w:sz w:val="1"/>
                <w:szCs w:val="1"/>
                <w:color w:val="auto"/>
              </w:rPr>
            </w:pPr>
          </w:p>
        </w:tc>
      </w:tr>
      <w:tr>
        <w:trPr>
          <w:trHeight w:val="129"/>
        </w:trPr>
        <w:tc>
          <w:tcPr>
            <w:tcW w:w="2580" w:type="dxa"/>
            <w:vAlign w:val="bottom"/>
            <w:gridSpan w:val="12"/>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DreamBox Learning,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5"/>
              </w:rPr>
              <w:t>Bellevue, WA</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shd w:val="clear" w:color="auto" w:fill="CCEEFF"/>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2"/>
          </w:tcPr>
          <w:p>
            <w:pPr>
              <w:ind w:left="20"/>
              <w:spacing w:after="0" w:line="142" w:lineRule="exact"/>
              <w:rPr>
                <w:sz w:val="20"/>
                <w:szCs w:val="20"/>
                <w:color w:val="auto"/>
              </w:rPr>
            </w:pPr>
            <w:r>
              <w:rPr>
                <w:rFonts w:ascii="Arial" w:cs="Arial" w:eastAsia="Arial" w:hAnsi="Arial"/>
                <w:sz w:val="14"/>
                <w:szCs w:val="14"/>
                <w:color w:val="auto"/>
              </w:rPr>
              <w:t>Preferred shares, Series A-1</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2"/>
              </w:rPr>
              <w:t>Education Technology</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9"/>
              <w:spacing w:after="0" w:line="142" w:lineRule="exact"/>
              <w:rPr>
                <w:sz w:val="20"/>
                <w:szCs w:val="20"/>
                <w:color w:val="auto"/>
              </w:rPr>
            </w:pPr>
            <w:r>
              <w:rPr>
                <w:rFonts w:ascii="Arial" w:cs="Arial" w:eastAsia="Arial" w:hAnsi="Arial"/>
                <w:sz w:val="14"/>
                <w:szCs w:val="14"/>
                <w:color w:val="auto"/>
              </w:rPr>
              <w:t>7,159,221</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1,502,362</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1,258,025</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0.52%</w:t>
            </w:r>
          </w:p>
        </w:tc>
        <w:tc>
          <w:tcPr>
            <w:tcW w:w="0" w:type="dxa"/>
            <w:vAlign w:val="bottom"/>
          </w:tcPr>
          <w:p>
            <w:pPr>
              <w:spacing w:after="0"/>
              <w:rPr>
                <w:sz w:val="1"/>
                <w:szCs w:val="1"/>
                <w:color w:val="auto"/>
              </w:rPr>
            </w:pPr>
          </w:p>
        </w:tc>
      </w:tr>
      <w:tr>
        <w:trPr>
          <w:trHeight w:val="149"/>
        </w:trPr>
        <w:tc>
          <w:tcPr>
            <w:tcW w:w="2580" w:type="dxa"/>
            <w:vAlign w:val="bottom"/>
            <w:gridSpan w:val="12"/>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3,579,610</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758,017</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629,012</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0.26%</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tcBorders>
              <w:left w:val="single" w:sz="8" w:color="CCEEFF"/>
            </w:tcBorders>
            <w:shd w:val="clear" w:color="auto" w:fill="CCEEFF"/>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gridSpan w:val="11"/>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rPr>
              <w:t>2,260,379</w:t>
            </w:r>
          </w:p>
        </w:tc>
        <w:tc>
          <w:tcPr>
            <w:tcW w:w="16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1,887,037</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0.78%</w:t>
            </w:r>
          </w:p>
        </w:tc>
        <w:tc>
          <w:tcPr>
            <w:tcW w:w="0" w:type="dxa"/>
            <w:vAlign w:val="bottom"/>
          </w:tcPr>
          <w:p>
            <w:pPr>
              <w:spacing w:after="0"/>
              <w:rPr>
                <w:sz w:val="1"/>
                <w:szCs w:val="1"/>
                <w:color w:val="auto"/>
              </w:rPr>
            </w:pPr>
          </w:p>
        </w:tc>
      </w:tr>
      <w:tr>
        <w:trPr>
          <w:trHeight w:val="129"/>
        </w:trPr>
        <w:tc>
          <w:tcPr>
            <w:tcW w:w="2580" w:type="dxa"/>
            <w:vAlign w:val="bottom"/>
            <w:gridSpan w:val="12"/>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Clever,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2"/>
              </w:rPr>
              <w:t>San Francisco, CA</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tcBorders>
              <w:left w:val="single" w:sz="8" w:color="CCEEFF"/>
            </w:tcBorders>
            <w:shd w:val="clear" w:color="auto" w:fill="CCEEFF"/>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2"/>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2"/>
              </w:rPr>
              <w:t>Education Software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9"/>
              <w:spacing w:after="0" w:line="142" w:lineRule="exact"/>
              <w:rPr>
                <w:sz w:val="20"/>
                <w:szCs w:val="20"/>
                <w:color w:val="auto"/>
              </w:rPr>
            </w:pPr>
            <w:r>
              <w:rPr>
                <w:rFonts w:ascii="Arial" w:cs="Arial" w:eastAsia="Arial" w:hAnsi="Arial"/>
                <w:sz w:val="14"/>
                <w:szCs w:val="14"/>
                <w:color w:val="auto"/>
              </w:rPr>
              <w:t>1,799,047</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2,000,601</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1,505,161</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0.62%</w:t>
            </w:r>
          </w:p>
        </w:tc>
        <w:tc>
          <w:tcPr>
            <w:tcW w:w="0" w:type="dxa"/>
            <w:vAlign w:val="bottom"/>
          </w:tcPr>
          <w:p>
            <w:pPr>
              <w:spacing w:after="0"/>
              <w:rPr>
                <w:sz w:val="1"/>
                <w:szCs w:val="1"/>
                <w:color w:val="auto"/>
              </w:rPr>
            </w:pPr>
          </w:p>
        </w:tc>
      </w:tr>
      <w:tr>
        <w:trPr>
          <w:trHeight w:val="135"/>
        </w:trPr>
        <w:tc>
          <w:tcPr>
            <w:tcW w:w="2580" w:type="dxa"/>
            <w:vAlign w:val="bottom"/>
            <w:gridSpan w:val="12"/>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Circle Media (f/k/a S3 Digital Corp.</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2180" w:type="dxa"/>
            <w:vAlign w:val="bottom"/>
            <w:tcBorders>
              <w:top w:val="single" w:sz="8" w:color="auto"/>
            </w:tcBorders>
            <w:gridSpan w:val="9"/>
            <w:shd w:val="clear" w:color="auto" w:fill="CCEEFF"/>
          </w:tcPr>
          <w:p>
            <w:pPr>
              <w:ind w:left="180"/>
              <w:spacing w:after="0" w:line="169" w:lineRule="exact"/>
              <w:rPr>
                <w:sz w:val="20"/>
                <w:szCs w:val="20"/>
                <w:color w:val="auto"/>
              </w:rPr>
            </w:pPr>
            <w:r>
              <w:rPr>
                <w:rFonts w:ascii="Arial" w:cs="Arial" w:eastAsia="Arial" w:hAnsi="Arial"/>
                <w:sz w:val="12"/>
                <w:szCs w:val="12"/>
                <w:b w:val="1"/>
                <w:bCs w:val="1"/>
                <w:color w:val="auto"/>
              </w:rPr>
              <w:t>(d/b/a S3i))</w:t>
            </w:r>
            <w:r>
              <w:rPr>
                <w:rFonts w:ascii="Arial" w:cs="Arial" w:eastAsia="Arial" w:hAnsi="Arial"/>
                <w:sz w:val="19"/>
                <w:szCs w:val="19"/>
                <w:b w:val="1"/>
                <w:bCs w:val="1"/>
                <w:color w:val="auto"/>
                <w:vertAlign w:val="superscript"/>
              </w:rPr>
              <w:t>(1)</w:t>
            </w:r>
          </w:p>
        </w:tc>
        <w:tc>
          <w:tcPr>
            <w:tcW w:w="4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New York, NY</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left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left w:val="single" w:sz="8" w:color="CCEEFF"/>
            </w:tcBorders>
            <w:shd w:val="clear" w:color="auto" w:fill="CCEEFF"/>
          </w:tcPr>
          <w:p>
            <w:pPr>
              <w:spacing w:after="0"/>
              <w:rPr>
                <w:sz w:val="14"/>
                <w:szCs w:val="14"/>
                <w:color w:val="auto"/>
              </w:rPr>
            </w:pPr>
          </w:p>
        </w:tc>
        <w:tc>
          <w:tcPr>
            <w:tcW w:w="4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tcBorders>
              <w:left w:val="single" w:sz="8" w:color="CCEEFF"/>
            </w:tcBorders>
            <w:shd w:val="clear" w:color="auto" w:fill="CCEEFF"/>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2"/>
          </w:tcPr>
          <w:p>
            <w:pPr>
              <w:ind w:left="20"/>
              <w:spacing w:after="0" w:line="142" w:lineRule="exact"/>
              <w:rPr>
                <w:sz w:val="20"/>
                <w:szCs w:val="20"/>
                <w:color w:val="auto"/>
              </w:rPr>
            </w:pPr>
            <w:r>
              <w:rPr>
                <w:rFonts w:ascii="Arial" w:cs="Arial" w:eastAsia="Arial" w:hAnsi="Arial"/>
                <w:sz w:val="14"/>
                <w:szCs w:val="14"/>
                <w:color w:val="auto"/>
              </w:rPr>
              <w:t>Promissory Note 12%, 11/18/2016***</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5"/>
              </w:rPr>
              <w:t>Sports Analytics</w:t>
            </w:r>
          </w:p>
        </w:tc>
        <w:tc>
          <w:tcPr>
            <w:tcW w:w="24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9"/>
              <w:spacing w:after="0" w:line="142" w:lineRule="exact"/>
              <w:rPr>
                <w:sz w:val="20"/>
                <w:szCs w:val="20"/>
                <w:color w:val="auto"/>
              </w:rPr>
            </w:pPr>
            <w:r>
              <w:rPr>
                <w:rFonts w:ascii="Arial" w:cs="Arial" w:eastAsia="Arial" w:hAnsi="Arial"/>
                <w:sz w:val="14"/>
                <w:szCs w:val="14"/>
                <w:color w:val="auto"/>
              </w:rPr>
              <w:t>25,000</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26,544</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25,000</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49"/>
        </w:trPr>
        <w:tc>
          <w:tcPr>
            <w:tcW w:w="2580" w:type="dxa"/>
            <w:vAlign w:val="bottom"/>
            <w:gridSpan w:val="12"/>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1,864,495</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1,777,576</w:t>
            </w:r>
          </w:p>
        </w:tc>
        <w:tc>
          <w:tcPr>
            <w:tcW w:w="960" w:type="dxa"/>
            <w:vAlign w:val="bottom"/>
            <w:tcBorders>
              <w:lef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1,048,957</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0.43%</w:t>
            </w:r>
          </w:p>
        </w:tc>
        <w:tc>
          <w:tcPr>
            <w:tcW w:w="0" w:type="dxa"/>
            <w:vAlign w:val="bottom"/>
          </w:tcPr>
          <w:p>
            <w:pPr>
              <w:spacing w:after="0"/>
              <w:rPr>
                <w:sz w:val="1"/>
                <w:szCs w:val="1"/>
                <w:color w:val="auto"/>
              </w:rPr>
            </w:pPr>
          </w:p>
        </w:tc>
      </w:tr>
      <w:tr>
        <w:trPr>
          <w:trHeight w:val="130"/>
        </w:trPr>
        <w:tc>
          <w:tcPr>
            <w:tcW w:w="2580" w:type="dxa"/>
            <w:vAlign w:val="bottom"/>
            <w:gridSpan w:val="12"/>
          </w:tcPr>
          <w:p>
            <w:pPr>
              <w:ind w:left="20"/>
              <w:spacing w:after="0" w:line="130" w:lineRule="exact"/>
              <w:rPr>
                <w:sz w:val="20"/>
                <w:szCs w:val="20"/>
                <w:color w:val="auto"/>
              </w:rPr>
            </w:pPr>
            <w:r>
              <w:rPr>
                <w:rFonts w:ascii="Arial" w:cs="Arial" w:eastAsia="Arial" w:hAnsi="Arial"/>
                <w:sz w:val="14"/>
                <w:szCs w:val="14"/>
                <w:color w:val="auto"/>
              </w:rPr>
              <w:t>Preferred warrants, $1.17 Strike Price,</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gridSpan w:val="11"/>
          </w:tcPr>
          <w:p>
            <w:pPr>
              <w:ind w:left="180"/>
              <w:spacing w:after="0"/>
              <w:rPr>
                <w:sz w:val="20"/>
                <w:szCs w:val="20"/>
                <w:color w:val="auto"/>
              </w:rPr>
            </w:pPr>
            <w:r>
              <w:rPr>
                <w:rFonts w:ascii="Arial" w:cs="Arial" w:eastAsia="Arial" w:hAnsi="Arial"/>
                <w:sz w:val="14"/>
                <w:szCs w:val="14"/>
                <w:color w:val="auto"/>
              </w:rPr>
              <w:t>Expiration Date 11/18/2022</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5,360</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576</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107</w:t>
            </w:r>
          </w:p>
        </w:tc>
        <w:tc>
          <w:tcPr>
            <w:tcW w:w="1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580" w:type="dxa"/>
            <w:vAlign w:val="bottom"/>
            <w:gridSpan w:val="12"/>
            <w:shd w:val="clear" w:color="auto" w:fill="CCEEFF"/>
          </w:tcPr>
          <w:p>
            <w:pPr>
              <w:ind w:left="20"/>
              <w:spacing w:after="0" w:line="130" w:lineRule="exact"/>
              <w:rPr>
                <w:sz w:val="20"/>
                <w:szCs w:val="20"/>
                <w:color w:val="auto"/>
              </w:rPr>
            </w:pPr>
            <w:r>
              <w:rPr>
                <w:rFonts w:ascii="Arial" w:cs="Arial" w:eastAsia="Arial" w:hAnsi="Arial"/>
                <w:sz w:val="14"/>
                <w:szCs w:val="14"/>
                <w:color w:val="auto"/>
              </w:rPr>
              <w:t>Preferred warrants, $1.17 Strike Price,</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560" w:type="dxa"/>
            <w:vAlign w:val="bottom"/>
            <w:gridSpan w:val="11"/>
            <w:shd w:val="clear" w:color="auto" w:fill="CCEEFF"/>
          </w:tcPr>
          <w:p>
            <w:pPr>
              <w:ind w:left="180"/>
              <w:spacing w:after="0"/>
              <w:rPr>
                <w:sz w:val="20"/>
                <w:szCs w:val="20"/>
                <w:color w:val="auto"/>
              </w:rPr>
            </w:pPr>
            <w:r>
              <w:rPr>
                <w:rFonts w:ascii="Arial" w:cs="Arial" w:eastAsia="Arial" w:hAnsi="Arial"/>
                <w:sz w:val="14"/>
                <w:szCs w:val="14"/>
                <w:color w:val="auto"/>
              </w:rPr>
              <w:t>Expiration Date 08/29/2021</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175,815</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3,516</w:t>
            </w:r>
          </w:p>
        </w:tc>
        <w:tc>
          <w:tcPr>
            <w:tcW w:w="180" w:type="dxa"/>
            <w:vAlign w:val="bottom"/>
            <w:tcBorders>
              <w:left w:val="single" w:sz="8" w:color="CCEEFF"/>
            </w:tcBorders>
            <w:shd w:val="clear" w:color="auto" w:fill="CCEEFF"/>
          </w:tcPr>
          <w:p>
            <w:pPr>
              <w:spacing w:after="0"/>
              <w:rPr>
                <w:sz w:val="14"/>
                <w:szCs w:val="14"/>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580" w:type="dxa"/>
            <w:vAlign w:val="bottom"/>
            <w:gridSpan w:val="12"/>
          </w:tcPr>
          <w:p>
            <w:pPr>
              <w:ind w:left="20"/>
              <w:spacing w:after="0" w:line="130" w:lineRule="exact"/>
              <w:rPr>
                <w:sz w:val="20"/>
                <w:szCs w:val="20"/>
                <w:color w:val="auto"/>
              </w:rPr>
            </w:pPr>
            <w:r>
              <w:rPr>
                <w:rFonts w:ascii="Arial" w:cs="Arial" w:eastAsia="Arial" w:hAnsi="Arial"/>
                <w:sz w:val="14"/>
                <w:szCs w:val="14"/>
                <w:color w:val="auto"/>
              </w:rPr>
              <w:t>Preferred warrants, $1.17 Strike Price,</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gridSpan w:val="11"/>
          </w:tcPr>
          <w:p>
            <w:pPr>
              <w:ind w:left="180"/>
              <w:spacing w:after="0"/>
              <w:rPr>
                <w:sz w:val="20"/>
                <w:szCs w:val="20"/>
                <w:color w:val="auto"/>
              </w:rPr>
            </w:pPr>
            <w:r>
              <w:rPr>
                <w:rFonts w:ascii="Arial" w:cs="Arial" w:eastAsia="Arial" w:hAnsi="Arial"/>
                <w:sz w:val="14"/>
                <w:szCs w:val="14"/>
                <w:color w:val="auto"/>
              </w:rPr>
              <w:t>Expiration Date 6/26/2021</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38,594</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772</w:t>
            </w:r>
          </w:p>
        </w:tc>
        <w:tc>
          <w:tcPr>
            <w:tcW w:w="1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580" w:type="dxa"/>
            <w:vAlign w:val="bottom"/>
            <w:gridSpan w:val="12"/>
            <w:shd w:val="clear" w:color="auto" w:fill="CCEEFF"/>
          </w:tcPr>
          <w:p>
            <w:pPr>
              <w:ind w:left="20"/>
              <w:spacing w:after="0" w:line="130" w:lineRule="exact"/>
              <w:rPr>
                <w:sz w:val="20"/>
                <w:szCs w:val="20"/>
                <w:color w:val="auto"/>
              </w:rPr>
            </w:pPr>
            <w:r>
              <w:rPr>
                <w:rFonts w:ascii="Arial" w:cs="Arial" w:eastAsia="Arial" w:hAnsi="Arial"/>
                <w:sz w:val="14"/>
                <w:szCs w:val="14"/>
                <w:color w:val="auto"/>
              </w:rPr>
              <w:t>Preferred warrants, $1.17 Strike Price,</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560" w:type="dxa"/>
            <w:vAlign w:val="bottom"/>
            <w:gridSpan w:val="11"/>
            <w:shd w:val="clear" w:color="auto" w:fill="CCEEFF"/>
          </w:tcPr>
          <w:p>
            <w:pPr>
              <w:ind w:left="180"/>
              <w:spacing w:after="0"/>
              <w:rPr>
                <w:sz w:val="20"/>
                <w:szCs w:val="20"/>
                <w:color w:val="auto"/>
              </w:rPr>
            </w:pPr>
            <w:r>
              <w:rPr>
                <w:rFonts w:ascii="Arial" w:cs="Arial" w:eastAsia="Arial" w:hAnsi="Arial"/>
                <w:sz w:val="14"/>
                <w:szCs w:val="14"/>
                <w:color w:val="auto"/>
              </w:rPr>
              <w:t>Expiration Date 09/30/2020</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160,806</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3,216</w:t>
            </w:r>
          </w:p>
        </w:tc>
        <w:tc>
          <w:tcPr>
            <w:tcW w:w="180" w:type="dxa"/>
            <w:vAlign w:val="bottom"/>
            <w:tcBorders>
              <w:left w:val="single" w:sz="8" w:color="CCEEFF"/>
            </w:tcBorders>
            <w:shd w:val="clear" w:color="auto" w:fill="CCEEFF"/>
          </w:tcPr>
          <w:p>
            <w:pPr>
              <w:spacing w:after="0"/>
              <w:rPr>
                <w:sz w:val="14"/>
                <w:szCs w:val="14"/>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580" w:type="dxa"/>
            <w:vAlign w:val="bottom"/>
            <w:gridSpan w:val="12"/>
          </w:tcPr>
          <w:p>
            <w:pPr>
              <w:ind w:left="20"/>
              <w:spacing w:after="0" w:line="130" w:lineRule="exact"/>
              <w:rPr>
                <w:sz w:val="20"/>
                <w:szCs w:val="20"/>
                <w:color w:val="auto"/>
              </w:rPr>
            </w:pPr>
            <w:r>
              <w:rPr>
                <w:rFonts w:ascii="Arial" w:cs="Arial" w:eastAsia="Arial" w:hAnsi="Arial"/>
                <w:sz w:val="14"/>
                <w:szCs w:val="14"/>
                <w:color w:val="auto"/>
              </w:rPr>
              <w:t>Preferred warrants, $1.00 Strike Price,</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gridSpan w:val="11"/>
          </w:tcPr>
          <w:p>
            <w:pPr>
              <w:ind w:left="180"/>
              <w:spacing w:after="0"/>
              <w:rPr>
                <w:sz w:val="20"/>
                <w:szCs w:val="20"/>
                <w:color w:val="auto"/>
              </w:rPr>
            </w:pPr>
            <w:r>
              <w:rPr>
                <w:rFonts w:ascii="Arial" w:cs="Arial" w:eastAsia="Arial" w:hAnsi="Arial"/>
                <w:sz w:val="14"/>
                <w:szCs w:val="14"/>
                <w:color w:val="auto"/>
              </w:rPr>
              <w:t>Expiration Date 11/21/2017</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500,000</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31,354</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15,000</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11"/>
            <w:shd w:val="clear" w:color="auto" w:fill="CCEEFF"/>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1,836,050</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1,096,568</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0.45%</w:t>
            </w:r>
          </w:p>
        </w:tc>
        <w:tc>
          <w:tcPr>
            <w:tcW w:w="0" w:type="dxa"/>
            <w:vAlign w:val="bottom"/>
          </w:tcPr>
          <w:p>
            <w:pPr>
              <w:spacing w:after="0"/>
              <w:rPr>
                <w:sz w:val="1"/>
                <w:szCs w:val="1"/>
                <w:color w:val="auto"/>
              </w:rPr>
            </w:pPr>
          </w:p>
        </w:tc>
      </w:tr>
      <w:tr>
        <w:trPr>
          <w:trHeight w:val="169"/>
        </w:trPr>
        <w:tc>
          <w:tcPr>
            <w:tcW w:w="2580" w:type="dxa"/>
            <w:vAlign w:val="bottom"/>
            <w:tcBorders>
              <w:top w:val="single" w:sz="8" w:color="CCEEFF"/>
            </w:tcBorders>
            <w:gridSpan w:val="12"/>
          </w:tcPr>
          <w:p>
            <w:pPr>
              <w:ind w:left="20"/>
              <w:spacing w:after="0" w:line="169" w:lineRule="exact"/>
              <w:rPr>
                <w:sz w:val="20"/>
                <w:szCs w:val="20"/>
                <w:color w:val="auto"/>
              </w:rPr>
            </w:pPr>
            <w:r>
              <w:rPr>
                <w:rFonts w:ascii="Arial" w:cs="Arial" w:eastAsia="Arial" w:hAnsi="Arial"/>
                <w:sz w:val="12"/>
                <w:szCs w:val="12"/>
                <w:b w:val="1"/>
                <w:bCs w:val="1"/>
                <w:color w:val="auto"/>
              </w:rPr>
              <w:t>EdSurge, Inc.</w:t>
            </w:r>
            <w:r>
              <w:rPr>
                <w:rFonts w:ascii="Arial" w:cs="Arial" w:eastAsia="Arial" w:hAnsi="Arial"/>
                <w:sz w:val="19"/>
                <w:szCs w:val="19"/>
                <w:b w:val="1"/>
                <w:bCs w:val="1"/>
                <w:color w:val="auto"/>
                <w:vertAlign w:val="superscript"/>
              </w:rPr>
              <w:t>(1)</w:t>
            </w:r>
          </w:p>
        </w:tc>
        <w:tc>
          <w:tcPr>
            <w:tcW w:w="100" w:type="dxa"/>
            <w:vAlign w:val="bottom"/>
            <w:tcBorders>
              <w:top w:val="single" w:sz="8" w:color="CCEEFF"/>
            </w:tcBorders>
          </w:tcPr>
          <w:p>
            <w:pPr>
              <w:spacing w:after="0"/>
              <w:rPr>
                <w:sz w:val="14"/>
                <w:szCs w:val="14"/>
                <w:color w:val="auto"/>
              </w:rPr>
            </w:pPr>
          </w:p>
        </w:tc>
        <w:tc>
          <w:tcPr>
            <w:tcW w:w="1840" w:type="dxa"/>
            <w:vAlign w:val="bottom"/>
            <w:tcBorders>
              <w:top w:val="single" w:sz="8" w:color="CCEEFF"/>
            </w:tcBorders>
          </w:tcPr>
          <w:p>
            <w:pPr>
              <w:jc w:val="center"/>
              <w:spacing w:after="0"/>
              <w:rPr>
                <w:sz w:val="20"/>
                <w:szCs w:val="20"/>
                <w:color w:val="auto"/>
              </w:rPr>
            </w:pPr>
            <w:r>
              <w:rPr>
                <w:rFonts w:ascii="Arial" w:cs="Arial" w:eastAsia="Arial" w:hAnsi="Arial"/>
                <w:sz w:val="14"/>
                <w:szCs w:val="14"/>
                <w:color w:val="auto"/>
                <w:w w:val="97"/>
              </w:rPr>
              <w:t>Burlingame, CA</w:t>
            </w: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7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2"/>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A-1</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Education Media Platform</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378,788</w:t>
            </w:r>
          </w:p>
        </w:tc>
        <w:tc>
          <w:tcPr>
            <w:tcW w:w="9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501,360</w:t>
            </w:r>
          </w:p>
        </w:tc>
        <w:tc>
          <w:tcPr>
            <w:tcW w:w="960" w:type="dxa"/>
            <w:vAlign w:val="bottom"/>
            <w:tcBorders>
              <w:left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501,682</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0.21%</w:t>
            </w:r>
          </w:p>
        </w:tc>
        <w:tc>
          <w:tcPr>
            <w:tcW w:w="0" w:type="dxa"/>
            <w:vAlign w:val="bottom"/>
          </w:tcPr>
          <w:p>
            <w:pPr>
              <w:spacing w:after="0"/>
              <w:rPr>
                <w:sz w:val="1"/>
                <w:szCs w:val="1"/>
                <w:color w:val="auto"/>
              </w:rPr>
            </w:pPr>
          </w:p>
        </w:tc>
      </w:tr>
      <w:tr>
        <w:trPr>
          <w:trHeight w:val="149"/>
        </w:trPr>
        <w:tc>
          <w:tcPr>
            <w:tcW w:w="2580" w:type="dxa"/>
            <w:vAlign w:val="bottom"/>
            <w:gridSpan w:val="12"/>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9"/>
              <w:spacing w:after="0" w:line="149" w:lineRule="exact"/>
              <w:rPr>
                <w:sz w:val="20"/>
                <w:szCs w:val="20"/>
                <w:color w:val="auto"/>
              </w:rPr>
            </w:pPr>
            <w:r>
              <w:rPr>
                <w:rFonts w:ascii="Arial" w:cs="Arial" w:eastAsia="Arial" w:hAnsi="Arial"/>
                <w:sz w:val="14"/>
                <w:szCs w:val="14"/>
                <w:color w:val="auto"/>
              </w:rPr>
              <w:t>494,365</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500,801</w:t>
            </w: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526,632</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11"/>
            <w:shd w:val="clear" w:color="auto" w:fill="CCEEFF"/>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1,002,161</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1,028,314</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0.43%</w:t>
            </w:r>
          </w:p>
        </w:tc>
        <w:tc>
          <w:tcPr>
            <w:tcW w:w="0" w:type="dxa"/>
            <w:vAlign w:val="bottom"/>
          </w:tcPr>
          <w:p>
            <w:pPr>
              <w:spacing w:after="0"/>
              <w:rPr>
                <w:sz w:val="1"/>
                <w:szCs w:val="1"/>
                <w:color w:val="auto"/>
              </w:rPr>
            </w:pPr>
          </w:p>
        </w:tc>
      </w:tr>
      <w:tr>
        <w:trPr>
          <w:trHeight w:val="169"/>
        </w:trPr>
        <w:tc>
          <w:tcPr>
            <w:tcW w:w="2580" w:type="dxa"/>
            <w:vAlign w:val="bottom"/>
            <w:tcBorders>
              <w:top w:val="single" w:sz="8" w:color="CCEEFF"/>
            </w:tcBorders>
            <w:gridSpan w:val="12"/>
          </w:tcPr>
          <w:p>
            <w:pPr>
              <w:ind w:left="20"/>
              <w:spacing w:after="0" w:line="169" w:lineRule="exact"/>
              <w:rPr>
                <w:sz w:val="20"/>
                <w:szCs w:val="20"/>
                <w:color w:val="auto"/>
              </w:rPr>
            </w:pPr>
            <w:r>
              <w:rPr>
                <w:rFonts w:ascii="Arial" w:cs="Arial" w:eastAsia="Arial" w:hAnsi="Arial"/>
                <w:sz w:val="12"/>
                <w:szCs w:val="12"/>
                <w:b w:val="1"/>
                <w:bCs w:val="1"/>
                <w:color w:val="auto"/>
              </w:rPr>
              <w:t>Strategic Data Command, LLC</w:t>
            </w:r>
            <w:r>
              <w:rPr>
                <w:rFonts w:ascii="Arial" w:cs="Arial" w:eastAsia="Arial" w:hAnsi="Arial"/>
                <w:sz w:val="19"/>
                <w:szCs w:val="19"/>
                <w:b w:val="1"/>
                <w:bCs w:val="1"/>
                <w:color w:val="auto"/>
                <w:vertAlign w:val="superscript"/>
              </w:rPr>
              <w:t>(1)(7)</w:t>
            </w:r>
          </w:p>
        </w:tc>
        <w:tc>
          <w:tcPr>
            <w:tcW w:w="100" w:type="dxa"/>
            <w:vAlign w:val="bottom"/>
            <w:tcBorders>
              <w:top w:val="single" w:sz="8" w:color="CCEEFF"/>
            </w:tcBorders>
          </w:tcPr>
          <w:p>
            <w:pPr>
              <w:spacing w:after="0"/>
              <w:rPr>
                <w:sz w:val="14"/>
                <w:szCs w:val="14"/>
                <w:color w:val="auto"/>
              </w:rPr>
            </w:pPr>
          </w:p>
        </w:tc>
        <w:tc>
          <w:tcPr>
            <w:tcW w:w="1840" w:type="dxa"/>
            <w:vAlign w:val="bottom"/>
            <w:tcBorders>
              <w:top w:val="single" w:sz="8" w:color="CCEEFF"/>
            </w:tcBorders>
          </w:tcPr>
          <w:p>
            <w:pPr>
              <w:jc w:val="center"/>
              <w:spacing w:after="0"/>
              <w:rPr>
                <w:sz w:val="20"/>
                <w:szCs w:val="20"/>
                <w:color w:val="auto"/>
              </w:rPr>
            </w:pPr>
            <w:r>
              <w:rPr>
                <w:rFonts w:ascii="Arial" w:cs="Arial" w:eastAsia="Arial" w:hAnsi="Arial"/>
                <w:sz w:val="14"/>
                <w:szCs w:val="14"/>
                <w:color w:val="auto"/>
                <w:w w:val="94"/>
              </w:rPr>
              <w:t>Sunnyvale, CA</w:t>
            </w: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7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2"/>
            <w:shd w:val="clear" w:color="auto" w:fill="CCEEFF"/>
          </w:tcPr>
          <w:p>
            <w:pPr>
              <w:ind w:left="20"/>
              <w:spacing w:after="0" w:line="142" w:lineRule="exact"/>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Software Development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2,400,000</w:t>
            </w:r>
          </w:p>
        </w:tc>
        <w:tc>
          <w:tcPr>
            <w:tcW w:w="9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989,277</w:t>
            </w:r>
          </w:p>
        </w:tc>
        <w:tc>
          <w:tcPr>
            <w:tcW w:w="960" w:type="dxa"/>
            <w:vAlign w:val="bottom"/>
            <w:tcBorders>
              <w:left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1,001,650</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0.41%</w:t>
            </w:r>
          </w:p>
        </w:tc>
        <w:tc>
          <w:tcPr>
            <w:tcW w:w="0" w:type="dxa"/>
            <w:vAlign w:val="bottom"/>
          </w:tcPr>
          <w:p>
            <w:pPr>
              <w:spacing w:after="0"/>
              <w:rPr>
                <w:sz w:val="1"/>
                <w:szCs w:val="1"/>
                <w:color w:val="auto"/>
              </w:rPr>
            </w:pPr>
          </w:p>
        </w:tc>
      </w:tr>
      <w:tr>
        <w:trPr>
          <w:trHeight w:val="135"/>
        </w:trPr>
        <w:tc>
          <w:tcPr>
            <w:tcW w:w="2580" w:type="dxa"/>
            <w:vAlign w:val="bottom"/>
            <w:gridSpan w:val="12"/>
          </w:tcPr>
          <w:p>
            <w:pPr>
              <w:ind w:left="20"/>
              <w:spacing w:after="0" w:line="135" w:lineRule="exact"/>
              <w:rPr>
                <w:sz w:val="20"/>
                <w:szCs w:val="20"/>
                <w:color w:val="auto"/>
              </w:rPr>
            </w:pPr>
            <w:r>
              <w:rPr>
                <w:rFonts w:ascii="Arial" w:cs="Arial" w:eastAsia="Arial" w:hAnsi="Arial"/>
                <w:sz w:val="14"/>
                <w:szCs w:val="14"/>
                <w:b w:val="1"/>
                <w:bCs w:val="1"/>
                <w:color w:val="auto"/>
              </w:rPr>
              <w:t>Aspiration Partners, Inc.</w:t>
            </w:r>
          </w:p>
        </w:tc>
        <w:tc>
          <w:tcPr>
            <w:tcW w:w="100" w:type="dxa"/>
            <w:vAlign w:val="bottom"/>
          </w:tcPr>
          <w:p>
            <w:pPr>
              <w:spacing w:after="0"/>
              <w:rPr>
                <w:sz w:val="11"/>
                <w:szCs w:val="11"/>
                <w:color w:val="auto"/>
              </w:rPr>
            </w:pPr>
          </w:p>
        </w:tc>
        <w:tc>
          <w:tcPr>
            <w:tcW w:w="1840" w:type="dxa"/>
            <w:vAlign w:val="bottom"/>
          </w:tcPr>
          <w:p>
            <w:pPr>
              <w:jc w:val="center"/>
              <w:spacing w:after="0" w:line="135" w:lineRule="exact"/>
              <w:rPr>
                <w:sz w:val="20"/>
                <w:szCs w:val="20"/>
                <w:color w:val="auto"/>
              </w:rPr>
            </w:pPr>
            <w:r>
              <w:rPr>
                <w:rFonts w:ascii="Arial" w:cs="Arial" w:eastAsia="Arial" w:hAnsi="Arial"/>
                <w:sz w:val="14"/>
                <w:szCs w:val="14"/>
                <w:color w:val="auto"/>
                <w:w w:val="96"/>
              </w:rPr>
              <w:t>Marina Del Rey, CA</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2"/>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1"/>
              </w:rPr>
              <w:t>Financial Services</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18,009</w:t>
            </w:r>
          </w:p>
        </w:tc>
        <w:tc>
          <w:tcPr>
            <w:tcW w:w="9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1,001,815</w:t>
            </w:r>
          </w:p>
        </w:tc>
        <w:tc>
          <w:tcPr>
            <w:tcW w:w="960" w:type="dxa"/>
            <w:vAlign w:val="bottom"/>
            <w:tcBorders>
              <w:left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913,980</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0.38%</w:t>
            </w:r>
          </w:p>
        </w:tc>
        <w:tc>
          <w:tcPr>
            <w:tcW w:w="0" w:type="dxa"/>
            <w:vAlign w:val="bottom"/>
          </w:tcPr>
          <w:p>
            <w:pPr>
              <w:spacing w:after="0"/>
              <w:rPr>
                <w:sz w:val="1"/>
                <w:szCs w:val="1"/>
                <w:color w:val="auto"/>
              </w:rPr>
            </w:pPr>
          </w:p>
        </w:tc>
      </w:tr>
      <w:tr>
        <w:trPr>
          <w:trHeight w:val="135"/>
        </w:trPr>
        <w:tc>
          <w:tcPr>
            <w:tcW w:w="2580" w:type="dxa"/>
            <w:vAlign w:val="bottom"/>
            <w:gridSpan w:val="12"/>
          </w:tcPr>
          <w:p>
            <w:pPr>
              <w:ind w:left="20"/>
              <w:spacing w:after="0" w:line="135" w:lineRule="exact"/>
              <w:rPr>
                <w:sz w:val="20"/>
                <w:szCs w:val="20"/>
                <w:color w:val="auto"/>
              </w:rPr>
            </w:pPr>
            <w:r>
              <w:rPr>
                <w:rFonts w:ascii="Arial" w:cs="Arial" w:eastAsia="Arial" w:hAnsi="Arial"/>
                <w:sz w:val="14"/>
                <w:szCs w:val="14"/>
                <w:b w:val="1"/>
                <w:bCs w:val="1"/>
                <w:color w:val="auto"/>
              </w:rPr>
              <w:t>4C Insights (f/k/a The Echo Systems</w:t>
            </w:r>
          </w:p>
        </w:tc>
        <w:tc>
          <w:tcPr>
            <w:tcW w:w="100" w:type="dxa"/>
            <w:vAlign w:val="bottom"/>
          </w:tcPr>
          <w:p>
            <w:pPr>
              <w:spacing w:after="0"/>
              <w:rPr>
                <w:sz w:val="11"/>
                <w:szCs w:val="11"/>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color w:val="auto"/>
                <w:w w:val="95"/>
              </w:rPr>
              <w:t>Chicago, IL</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20" w:type="dxa"/>
            <w:vAlign w:val="bottom"/>
            <w:tcBorders>
              <w:top w:val="single" w:sz="8" w:color="auto"/>
            </w:tcBorders>
            <w:gridSpan w:val="10"/>
          </w:tcPr>
          <w:p>
            <w:pPr>
              <w:ind w:left="180"/>
              <w:spacing w:after="0" w:line="129" w:lineRule="exact"/>
              <w:rPr>
                <w:sz w:val="20"/>
                <w:szCs w:val="20"/>
                <w:color w:val="auto"/>
              </w:rPr>
            </w:pPr>
            <w:r>
              <w:rPr>
                <w:rFonts w:ascii="Arial" w:cs="Arial" w:eastAsia="Arial" w:hAnsi="Arial"/>
                <w:sz w:val="14"/>
                <w:szCs w:val="14"/>
                <w:b w:val="1"/>
                <w:bCs w:val="1"/>
                <w:color w:val="auto"/>
              </w:rPr>
              <w:t>Corp.)</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2"/>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Social Data Platform</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512,365</w:t>
            </w:r>
          </w:p>
        </w:tc>
        <w:tc>
          <w:tcPr>
            <w:tcW w:w="9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1,436,404</w:t>
            </w:r>
          </w:p>
        </w:tc>
        <w:tc>
          <w:tcPr>
            <w:tcW w:w="960" w:type="dxa"/>
            <w:vAlign w:val="bottom"/>
            <w:tcBorders>
              <w:left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850,210</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0.35%</w:t>
            </w:r>
          </w:p>
        </w:tc>
        <w:tc>
          <w:tcPr>
            <w:tcW w:w="0" w:type="dxa"/>
            <w:vAlign w:val="bottom"/>
          </w:tcPr>
          <w:p>
            <w:pPr>
              <w:spacing w:after="0"/>
              <w:rPr>
                <w:sz w:val="1"/>
                <w:szCs w:val="1"/>
                <w:color w:val="auto"/>
              </w:rPr>
            </w:pPr>
          </w:p>
        </w:tc>
      </w:tr>
      <w:tr>
        <w:trPr>
          <w:trHeight w:val="135"/>
        </w:trPr>
        <w:tc>
          <w:tcPr>
            <w:tcW w:w="2580" w:type="dxa"/>
            <w:vAlign w:val="bottom"/>
            <w:gridSpan w:val="12"/>
          </w:tcPr>
          <w:p>
            <w:pPr>
              <w:ind w:left="20"/>
              <w:spacing w:after="0" w:line="135" w:lineRule="exact"/>
              <w:rPr>
                <w:sz w:val="20"/>
                <w:szCs w:val="20"/>
                <w:color w:val="auto"/>
              </w:rPr>
            </w:pPr>
            <w:r>
              <w:rPr>
                <w:rFonts w:ascii="Arial" w:cs="Arial" w:eastAsia="Arial" w:hAnsi="Arial"/>
                <w:sz w:val="14"/>
                <w:szCs w:val="14"/>
                <w:b w:val="1"/>
                <w:bCs w:val="1"/>
                <w:color w:val="auto"/>
              </w:rPr>
              <w:t>Tynker (f/k/a Neuron Fuel, Inc.)</w:t>
            </w:r>
          </w:p>
        </w:tc>
        <w:tc>
          <w:tcPr>
            <w:tcW w:w="100" w:type="dxa"/>
            <w:vAlign w:val="bottom"/>
          </w:tcPr>
          <w:p>
            <w:pPr>
              <w:spacing w:after="0"/>
              <w:rPr>
                <w:sz w:val="11"/>
                <w:szCs w:val="11"/>
                <w:color w:val="auto"/>
              </w:rPr>
            </w:pPr>
          </w:p>
        </w:tc>
        <w:tc>
          <w:tcPr>
            <w:tcW w:w="1840" w:type="dxa"/>
            <w:vAlign w:val="bottom"/>
          </w:tcPr>
          <w:p>
            <w:pPr>
              <w:jc w:val="center"/>
              <w:spacing w:after="0" w:line="135" w:lineRule="exact"/>
              <w:rPr>
                <w:sz w:val="20"/>
                <w:szCs w:val="20"/>
                <w:color w:val="auto"/>
              </w:rPr>
            </w:pPr>
            <w:r>
              <w:rPr>
                <w:rFonts w:ascii="Arial" w:cs="Arial" w:eastAsia="Arial" w:hAnsi="Arial"/>
                <w:sz w:val="14"/>
                <w:szCs w:val="14"/>
                <w:color w:val="auto"/>
                <w:w w:val="88"/>
              </w:rPr>
              <w:t>San Jose, CA</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2"/>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2"/>
              </w:rPr>
              <w:t>Computer Software</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534,162</w:t>
            </w:r>
          </w:p>
        </w:tc>
        <w:tc>
          <w:tcPr>
            <w:tcW w:w="9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309,310</w:t>
            </w:r>
          </w:p>
        </w:tc>
        <w:tc>
          <w:tcPr>
            <w:tcW w:w="960" w:type="dxa"/>
            <w:vAlign w:val="bottom"/>
            <w:tcBorders>
              <w:left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786,715</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0.32%</w:t>
            </w:r>
          </w:p>
        </w:tc>
        <w:tc>
          <w:tcPr>
            <w:tcW w:w="0" w:type="dxa"/>
            <w:vAlign w:val="bottom"/>
          </w:tcPr>
          <w:p>
            <w:pPr>
              <w:spacing w:after="0"/>
              <w:rPr>
                <w:sz w:val="1"/>
                <w:szCs w:val="1"/>
                <w:color w:val="auto"/>
              </w:rPr>
            </w:pPr>
          </w:p>
        </w:tc>
      </w:tr>
      <w:tr>
        <w:trPr>
          <w:trHeight w:val="176"/>
        </w:trPr>
        <w:tc>
          <w:tcPr>
            <w:tcW w:w="2580" w:type="dxa"/>
            <w:vAlign w:val="bottom"/>
            <w:gridSpan w:val="12"/>
          </w:tcPr>
          <w:p>
            <w:pPr>
              <w:ind w:left="20"/>
              <w:spacing w:after="0" w:line="176" w:lineRule="exact"/>
              <w:rPr>
                <w:sz w:val="20"/>
                <w:szCs w:val="20"/>
                <w:color w:val="auto"/>
              </w:rPr>
            </w:pPr>
            <w:r>
              <w:rPr>
                <w:rFonts w:ascii="Arial" w:cs="Arial" w:eastAsia="Arial" w:hAnsi="Arial"/>
                <w:sz w:val="13"/>
                <w:szCs w:val="13"/>
                <w:b w:val="1"/>
                <w:bCs w:val="1"/>
                <w:color w:val="auto"/>
              </w:rPr>
              <w:t>AlwaysOn, Inc.</w:t>
            </w:r>
            <w:r>
              <w:rPr>
                <w:rFonts w:ascii="Arial" w:cs="Arial" w:eastAsia="Arial" w:hAnsi="Arial"/>
                <w:sz w:val="20"/>
                <w:szCs w:val="20"/>
                <w:b w:val="1"/>
                <w:bCs w:val="1"/>
                <w:color w:val="auto"/>
                <w:vertAlign w:val="superscript"/>
              </w:rPr>
              <w:t>(1)</w:t>
            </w:r>
          </w:p>
        </w:tc>
        <w:tc>
          <w:tcPr>
            <w:tcW w:w="1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3"/>
              </w:rPr>
              <w:t>Woodside, CA</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2"/>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A-1</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Social Media</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4,465,925</w:t>
            </w:r>
          </w:p>
        </w:tc>
        <w:tc>
          <w:tcPr>
            <w:tcW w:w="9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876,023</w:t>
            </w:r>
          </w:p>
        </w:tc>
        <w:tc>
          <w:tcPr>
            <w:tcW w:w="960" w:type="dxa"/>
            <w:vAlign w:val="bottom"/>
            <w:tcBorders>
              <w:left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89,319</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149"/>
        </w:trPr>
        <w:tc>
          <w:tcPr>
            <w:tcW w:w="2580" w:type="dxa"/>
            <w:vAlign w:val="bottom"/>
            <w:gridSpan w:val="12"/>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9"/>
              <w:spacing w:after="0" w:line="149" w:lineRule="exact"/>
              <w:rPr>
                <w:sz w:val="20"/>
                <w:szCs w:val="20"/>
                <w:color w:val="auto"/>
              </w:rPr>
            </w:pPr>
            <w:r>
              <w:rPr>
                <w:rFonts w:ascii="Arial" w:cs="Arial" w:eastAsia="Arial" w:hAnsi="Arial"/>
                <w:sz w:val="14"/>
                <w:szCs w:val="14"/>
                <w:color w:val="auto"/>
              </w:rPr>
              <w:t>1,066,626</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1,027,391</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127,995</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130"/>
        </w:trPr>
        <w:tc>
          <w:tcPr>
            <w:tcW w:w="2580" w:type="dxa"/>
            <w:vAlign w:val="bottom"/>
            <w:gridSpan w:val="12"/>
            <w:shd w:val="clear" w:color="auto" w:fill="CCEEFF"/>
          </w:tcPr>
          <w:p>
            <w:pPr>
              <w:ind w:left="20"/>
              <w:spacing w:after="0" w:line="130" w:lineRule="exact"/>
              <w:rPr>
                <w:sz w:val="20"/>
                <w:szCs w:val="20"/>
                <w:color w:val="auto"/>
              </w:rPr>
            </w:pPr>
            <w:r>
              <w:rPr>
                <w:rFonts w:ascii="Arial" w:cs="Arial" w:eastAsia="Arial" w:hAnsi="Arial"/>
                <w:sz w:val="14"/>
                <w:szCs w:val="14"/>
                <w:color w:val="auto"/>
              </w:rPr>
              <w:t>Preferred warrants Series A, $1.00 strike</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560" w:type="dxa"/>
            <w:vAlign w:val="bottom"/>
            <w:gridSpan w:val="11"/>
            <w:shd w:val="clear" w:color="auto" w:fill="CCEEFF"/>
          </w:tcPr>
          <w:p>
            <w:pPr>
              <w:ind w:left="180"/>
              <w:spacing w:after="0"/>
              <w:rPr>
                <w:sz w:val="20"/>
                <w:szCs w:val="20"/>
                <w:color w:val="auto"/>
              </w:rPr>
            </w:pPr>
            <w:r>
              <w:rPr>
                <w:rFonts w:ascii="Arial" w:cs="Arial" w:eastAsia="Arial" w:hAnsi="Arial"/>
                <w:sz w:val="14"/>
                <w:szCs w:val="14"/>
                <w:color w:val="auto"/>
              </w:rPr>
              <w:t>price, expire 1/9/2017</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109,375</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left w:val="single" w:sz="8" w:color="CCEEFF"/>
            </w:tcBorders>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left w:val="single" w:sz="8" w:color="CCEEFF"/>
            </w:tcBorders>
            <w:shd w:val="clear" w:color="auto" w:fill="CCEEFF"/>
          </w:tcPr>
          <w:p>
            <w:pPr>
              <w:spacing w:after="0"/>
              <w:rPr>
                <w:sz w:val="14"/>
                <w:szCs w:val="14"/>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tcBorders>
              <w:left w:val="single" w:sz="8" w:color="CCEEFF"/>
            </w:tcBorders>
            <w:shd w:val="clear" w:color="auto" w:fill="CCEEFF"/>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gridSpan w:val="11"/>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rPr>
              <w:t>1,903,414</w:t>
            </w:r>
          </w:p>
        </w:tc>
        <w:tc>
          <w:tcPr>
            <w:tcW w:w="16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217,314</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169"/>
        </w:trPr>
        <w:tc>
          <w:tcPr>
            <w:tcW w:w="2580" w:type="dxa"/>
            <w:vAlign w:val="bottom"/>
            <w:gridSpan w:val="12"/>
            <w:shd w:val="clear" w:color="auto" w:fill="CCEEFF"/>
          </w:tcPr>
          <w:p>
            <w:pPr>
              <w:ind w:left="20"/>
              <w:spacing w:after="0" w:line="169" w:lineRule="exact"/>
              <w:rPr>
                <w:sz w:val="20"/>
                <w:szCs w:val="20"/>
                <w:color w:val="auto"/>
              </w:rPr>
            </w:pPr>
            <w:r>
              <w:rPr>
                <w:rFonts w:ascii="Arial" w:cs="Arial" w:eastAsia="Arial" w:hAnsi="Arial"/>
                <w:sz w:val="12"/>
                <w:szCs w:val="12"/>
                <w:b w:val="1"/>
                <w:bCs w:val="1"/>
                <w:color w:val="auto"/>
              </w:rPr>
              <w:t>Cricket Media (f/k/a ePals Inc.)**</w:t>
            </w:r>
            <w:r>
              <w:rPr>
                <w:rFonts w:ascii="Arial" w:cs="Arial" w:eastAsia="Arial" w:hAnsi="Arial"/>
                <w:sz w:val="19"/>
                <w:szCs w:val="19"/>
                <w:b w:val="1"/>
                <w:bCs w:val="1"/>
                <w:color w:val="auto"/>
                <w:vertAlign w:val="superscript"/>
              </w:rPr>
              <w:t>(8)</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Herndon, VA</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580" w:type="dxa"/>
            <w:vAlign w:val="bottom"/>
            <w:gridSpan w:val="12"/>
          </w:tcPr>
          <w:p>
            <w:pPr>
              <w:ind w:left="20"/>
              <w:spacing w:after="0"/>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3"/>
              </w:rPr>
              <w:t>Online Education</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1,333,333</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2,448,959</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133,678</w:t>
            </w:r>
          </w:p>
        </w:tc>
        <w:tc>
          <w:tcPr>
            <w:tcW w:w="840" w:type="dxa"/>
            <w:vAlign w:val="bottom"/>
            <w:gridSpan w:val="3"/>
          </w:tcPr>
          <w:p>
            <w:pPr>
              <w:jc w:val="right"/>
              <w:ind w:right="180"/>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-4291330</wp:posOffset>
            </wp:positionV>
            <wp:extent cx="5213985" cy="1117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-3896995</wp:posOffset>
            </wp:positionV>
            <wp:extent cx="5213985" cy="1117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-2147570</wp:posOffset>
            </wp:positionV>
            <wp:extent cx="5213985" cy="1289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213985" cy="1289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-1727200</wp:posOffset>
            </wp:positionV>
            <wp:extent cx="5213985" cy="1289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213985" cy="1289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-346710</wp:posOffset>
            </wp:positionV>
            <wp:extent cx="5213985" cy="1117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213985" cy="11176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2620"/>
        <w:spacing w:after="0"/>
        <w:rPr>
          <w:sz w:val="20"/>
          <w:szCs w:val="20"/>
          <w:color w:val="auto"/>
        </w:rPr>
      </w:pPr>
      <w:r>
        <w:rPr>
          <w:rFonts w:ascii="Arial" w:cs="Arial" w:eastAsia="Arial" w:hAnsi="Arial"/>
          <w:sz w:val="18"/>
          <w:szCs w:val="18"/>
          <w:i w:val="1"/>
          <w:iCs w:val="1"/>
          <w:color w:val="auto"/>
        </w:rPr>
        <w:t>See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2" w:name="page13"/>
    <w:bookmarkEnd w:id="12"/>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SCHEDULE OF INVESTMENTS – (continued)</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March 31, 2016</w:t>
      </w: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-48260</wp:posOffset>
            </wp:positionV>
            <wp:extent cx="521398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right"/>
              <w:ind w:right="170"/>
              <w:spacing w:after="0" w:line="121" w:lineRule="exact"/>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gridSpan w:val="2"/>
          </w:tcPr>
          <w:p>
            <w:pPr>
              <w:jc w:val="right"/>
              <w:ind w:right="200"/>
              <w:spacing w:after="0" w:line="121" w:lineRule="exact"/>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53"/>
        </w:trPr>
        <w:tc>
          <w:tcPr>
            <w:tcW w:w="2580" w:type="dxa"/>
            <w:vAlign w:val="bottom"/>
            <w:tcBorders>
              <w:bottom w:val="single" w:sz="8" w:color="auto"/>
            </w:tcBorders>
            <w:gridSpan w:val="11"/>
          </w:tcPr>
          <w:p>
            <w:pPr>
              <w:ind w:left="20"/>
              <w:spacing w:after="0"/>
              <w:rPr>
                <w:sz w:val="20"/>
                <w:szCs w:val="20"/>
                <w:color w:val="auto"/>
              </w:rPr>
            </w:pPr>
            <w:r>
              <w:rPr>
                <w:rFonts w:ascii="Arial" w:cs="Arial" w:eastAsia="Arial" w:hAnsi="Arial"/>
                <w:sz w:val="13"/>
                <w:szCs w:val="13"/>
                <w:b w:val="1"/>
                <w:bCs w:val="1"/>
                <w:color w:val="auto"/>
              </w:rPr>
              <w:t>Portfolio Investments*</w:t>
            </w:r>
          </w:p>
        </w:tc>
        <w:tc>
          <w:tcPr>
            <w:tcW w:w="100" w:type="dxa"/>
            <w:vAlign w:val="bottom"/>
          </w:tcPr>
          <w:p>
            <w:pPr>
              <w:spacing w:after="0"/>
              <w:rPr>
                <w:sz w:val="13"/>
                <w:szCs w:val="13"/>
                <w:color w:val="auto"/>
              </w:rPr>
            </w:pPr>
          </w:p>
        </w:tc>
        <w:tc>
          <w:tcPr>
            <w:tcW w:w="184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Headquarters/Industry</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10"/>
              <w:spacing w:after="0"/>
              <w:rPr>
                <w:sz w:val="20"/>
                <w:szCs w:val="20"/>
                <w:color w:val="auto"/>
              </w:rPr>
            </w:pPr>
            <w:r>
              <w:rPr>
                <w:rFonts w:ascii="Arial" w:cs="Arial" w:eastAsia="Arial" w:hAnsi="Arial"/>
                <w:sz w:val="13"/>
                <w:szCs w:val="13"/>
                <w:b w:val="1"/>
                <w:bCs w:val="1"/>
                <w:color w:val="auto"/>
                <w:w w:val="98"/>
              </w:rPr>
              <w:t>Principal</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w w:val="99"/>
              </w:rPr>
              <w:t>Fair Value</w:t>
            </w:r>
          </w:p>
        </w:tc>
        <w:tc>
          <w:tcPr>
            <w:tcW w:w="180" w:type="dxa"/>
            <w:vAlign w:val="bottom"/>
          </w:tcPr>
          <w:p>
            <w:pPr>
              <w:spacing w:after="0"/>
              <w:rPr>
                <w:sz w:val="13"/>
                <w:szCs w:val="13"/>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w w:val="89"/>
              </w:rPr>
              <w:t>Net Assets</w:t>
            </w:r>
          </w:p>
        </w:tc>
        <w:tc>
          <w:tcPr>
            <w:tcW w:w="0" w:type="dxa"/>
            <w:vAlign w:val="bottom"/>
          </w:tcPr>
          <w:p>
            <w:pPr>
              <w:spacing w:after="0"/>
              <w:rPr>
                <w:sz w:val="1"/>
                <w:szCs w:val="1"/>
                <w:color w:val="auto"/>
              </w:rPr>
            </w:pPr>
          </w:p>
        </w:tc>
      </w:tr>
      <w:tr>
        <w:trPr>
          <w:trHeight w:val="129"/>
        </w:trPr>
        <w:tc>
          <w:tcPr>
            <w:tcW w:w="2680" w:type="dxa"/>
            <w:vAlign w:val="bottom"/>
            <w:gridSpan w:val="12"/>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AliphCom, Inc. (d/b/a Jawbone)</w:t>
            </w:r>
          </w:p>
        </w:tc>
        <w:tc>
          <w:tcPr>
            <w:tcW w:w="2080" w:type="dxa"/>
            <w:vAlign w:val="bottom"/>
            <w:gridSpan w:val="3"/>
            <w:shd w:val="clear" w:color="auto" w:fill="CCEEFF"/>
          </w:tcPr>
          <w:p>
            <w:pPr>
              <w:jc w:val="center"/>
              <w:ind w:right="200"/>
              <w:spacing w:after="0" w:line="129" w:lineRule="exact"/>
              <w:rPr>
                <w:sz w:val="20"/>
                <w:szCs w:val="20"/>
                <w:color w:val="auto"/>
              </w:rPr>
            </w:pPr>
            <w:r>
              <w:rPr>
                <w:rFonts w:ascii="Arial" w:cs="Arial" w:eastAsia="Arial" w:hAnsi="Arial"/>
                <w:sz w:val="14"/>
                <w:szCs w:val="14"/>
                <w:color w:val="auto"/>
                <w:w w:val="92"/>
              </w:rPr>
              <w:t>San Francisco, CA</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gridSpan w:val="12"/>
          </w:tcPr>
          <w:p>
            <w:pPr>
              <w:ind w:left="20"/>
              <w:spacing w:after="0" w:line="142" w:lineRule="exact"/>
              <w:rPr>
                <w:sz w:val="20"/>
                <w:szCs w:val="20"/>
                <w:color w:val="auto"/>
              </w:rPr>
            </w:pPr>
            <w:r>
              <w:rPr>
                <w:rFonts w:ascii="Arial" w:cs="Arial" w:eastAsia="Arial" w:hAnsi="Arial"/>
                <w:sz w:val="14"/>
                <w:szCs w:val="14"/>
                <w:color w:val="auto"/>
              </w:rPr>
              <w:t>Common shares</w:t>
            </w:r>
          </w:p>
        </w:tc>
        <w:tc>
          <w:tcPr>
            <w:tcW w:w="2080" w:type="dxa"/>
            <w:vAlign w:val="bottom"/>
            <w:gridSpan w:val="3"/>
          </w:tcPr>
          <w:p>
            <w:pPr>
              <w:jc w:val="center"/>
              <w:ind w:right="180"/>
              <w:spacing w:after="0" w:line="142" w:lineRule="exact"/>
              <w:rPr>
                <w:sz w:val="20"/>
                <w:szCs w:val="20"/>
                <w:color w:val="auto"/>
              </w:rPr>
            </w:pPr>
            <w:r>
              <w:rPr>
                <w:rFonts w:ascii="Arial" w:cs="Arial" w:eastAsia="Arial" w:hAnsi="Arial"/>
                <w:sz w:val="14"/>
                <w:szCs w:val="14"/>
                <w:color w:val="auto"/>
                <w:w w:val="93"/>
              </w:rPr>
              <w:t>Smart Device Company</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150,000</w:t>
            </w:r>
          </w:p>
        </w:tc>
        <w:tc>
          <w:tcPr>
            <w:tcW w:w="1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793,152</w:t>
            </w:r>
          </w:p>
        </w:tc>
        <w:tc>
          <w:tcPr>
            <w:tcW w:w="24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130,910</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135"/>
        </w:trPr>
        <w:tc>
          <w:tcPr>
            <w:tcW w:w="2680" w:type="dxa"/>
            <w:vAlign w:val="bottom"/>
            <w:gridSpan w:val="12"/>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Upwork Global Inc. (f/k/a Odesk</w:t>
            </w:r>
          </w:p>
        </w:tc>
        <w:tc>
          <w:tcPr>
            <w:tcW w:w="2080" w:type="dxa"/>
            <w:vAlign w:val="bottom"/>
            <w:gridSpan w:val="3"/>
            <w:vMerge w:val="restart"/>
            <w:shd w:val="clear" w:color="auto" w:fill="CCEEFF"/>
          </w:tcPr>
          <w:p>
            <w:pPr>
              <w:jc w:val="center"/>
              <w:ind w:right="180"/>
              <w:spacing w:after="0"/>
              <w:rPr>
                <w:sz w:val="20"/>
                <w:szCs w:val="20"/>
                <w:color w:val="auto"/>
              </w:rPr>
            </w:pPr>
            <w:r>
              <w:rPr>
                <w:rFonts w:ascii="Arial" w:cs="Arial" w:eastAsia="Arial" w:hAnsi="Arial"/>
                <w:sz w:val="14"/>
                <w:szCs w:val="14"/>
                <w:color w:val="auto"/>
                <w:w w:val="96"/>
              </w:rPr>
              <w:t>Redwood City, CA</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Borders>
              <w:top w:val="single" w:sz="8" w:color="CCEEFF"/>
            </w:tcBorders>
            <w:shd w:val="clear" w:color="auto" w:fill="CCEEFF"/>
          </w:tcPr>
          <w:p>
            <w:pPr>
              <w:spacing w:after="0"/>
              <w:rPr>
                <w:sz w:val="11"/>
                <w:szCs w:val="11"/>
                <w:color w:val="auto"/>
              </w:rPr>
            </w:pPr>
          </w:p>
        </w:tc>
        <w:tc>
          <w:tcPr>
            <w:tcW w:w="2020" w:type="dxa"/>
            <w:vAlign w:val="bottom"/>
            <w:tcBorders>
              <w:top w:val="single" w:sz="8" w:color="auto"/>
              <w:right w:val="single" w:sz="8" w:color="CCEEFF"/>
            </w:tcBorders>
            <w:gridSpan w:val="7"/>
            <w:shd w:val="clear" w:color="auto" w:fill="CCEEFF"/>
          </w:tcPr>
          <w:p>
            <w:pPr>
              <w:ind w:left="180"/>
              <w:spacing w:after="0" w:line="129" w:lineRule="exact"/>
              <w:rPr>
                <w:sz w:val="20"/>
                <w:szCs w:val="20"/>
                <w:color w:val="auto"/>
              </w:rPr>
            </w:pPr>
            <w:r>
              <w:rPr>
                <w:rFonts w:ascii="Arial" w:cs="Arial" w:eastAsia="Arial" w:hAnsi="Arial"/>
                <w:sz w:val="14"/>
                <w:szCs w:val="14"/>
                <w:b w:val="1"/>
                <w:bCs w:val="1"/>
                <w:color w:val="auto"/>
              </w:rPr>
              <w:t>Corporation)</w:t>
            </w:r>
          </w:p>
        </w:tc>
        <w:tc>
          <w:tcPr>
            <w:tcW w:w="3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gridSpan w:val="2"/>
            <w:shd w:val="clear" w:color="auto" w:fill="CCEEFF"/>
          </w:tcPr>
          <w:p>
            <w:pPr>
              <w:spacing w:after="0"/>
              <w:rPr>
                <w:sz w:val="11"/>
                <w:szCs w:val="11"/>
                <w:color w:val="auto"/>
              </w:rPr>
            </w:pPr>
          </w:p>
        </w:tc>
        <w:tc>
          <w:tcPr>
            <w:tcW w:w="2080" w:type="dxa"/>
            <w:vAlign w:val="bottom"/>
            <w:tcBorders>
              <w:top w:val="single" w:sz="8" w:color="CCEEFF"/>
            </w:tcBorders>
            <w:gridSpan w:val="3"/>
            <w:vMerge w:val="continue"/>
            <w:shd w:val="clear" w:color="auto" w:fill="CCEEFF"/>
          </w:tcPr>
          <w:p>
            <w:pPr>
              <w:spacing w:after="0"/>
              <w:rPr>
                <w:sz w:val="11"/>
                <w:szCs w:val="11"/>
                <w:color w:val="auto"/>
              </w:rPr>
            </w:pPr>
          </w:p>
        </w:tc>
        <w:tc>
          <w:tcPr>
            <w:tcW w:w="7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left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left w:val="single" w:sz="8" w:color="CCEEFF"/>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gridSpan w:val="12"/>
          </w:tcPr>
          <w:p>
            <w:pPr>
              <w:ind w:left="20"/>
              <w:spacing w:after="0" w:line="142" w:lineRule="exact"/>
              <w:rPr>
                <w:sz w:val="20"/>
                <w:szCs w:val="20"/>
                <w:color w:val="auto"/>
              </w:rPr>
            </w:pPr>
            <w:r>
              <w:rPr>
                <w:rFonts w:ascii="Arial" w:cs="Arial" w:eastAsia="Arial" w:hAnsi="Arial"/>
                <w:sz w:val="14"/>
                <w:szCs w:val="14"/>
                <w:color w:val="auto"/>
              </w:rPr>
              <w:t>Common Shares</w:t>
            </w:r>
          </w:p>
        </w:tc>
        <w:tc>
          <w:tcPr>
            <w:tcW w:w="2080" w:type="dxa"/>
            <w:vAlign w:val="bottom"/>
            <w:gridSpan w:val="3"/>
          </w:tcPr>
          <w:p>
            <w:pPr>
              <w:jc w:val="center"/>
              <w:ind w:right="180"/>
              <w:spacing w:after="0" w:line="142" w:lineRule="exact"/>
              <w:rPr>
                <w:sz w:val="20"/>
                <w:szCs w:val="20"/>
                <w:color w:val="auto"/>
              </w:rPr>
            </w:pPr>
            <w:r>
              <w:rPr>
                <w:rFonts w:ascii="Arial" w:cs="Arial" w:eastAsia="Arial" w:hAnsi="Arial"/>
                <w:sz w:val="14"/>
                <w:szCs w:val="14"/>
                <w:color w:val="auto"/>
                <w:w w:val="94"/>
              </w:rPr>
              <w:t>Online Workplace Platform</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25,159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183,269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114,964</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135"/>
        </w:trPr>
        <w:tc>
          <w:tcPr>
            <w:tcW w:w="2680" w:type="dxa"/>
            <w:vAlign w:val="bottom"/>
            <w:gridSpan w:val="12"/>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Earlyshares.com, Inc.</w:t>
            </w:r>
          </w:p>
        </w:tc>
        <w:tc>
          <w:tcPr>
            <w:tcW w:w="2080" w:type="dxa"/>
            <w:vAlign w:val="bottom"/>
            <w:gridSpan w:val="3"/>
            <w:shd w:val="clear" w:color="auto" w:fill="CCEEFF"/>
          </w:tcPr>
          <w:p>
            <w:pPr>
              <w:jc w:val="center"/>
              <w:ind w:right="180"/>
              <w:spacing w:after="0" w:line="135" w:lineRule="exact"/>
              <w:rPr>
                <w:sz w:val="20"/>
                <w:szCs w:val="20"/>
                <w:color w:val="auto"/>
              </w:rPr>
            </w:pPr>
            <w:r>
              <w:rPr>
                <w:rFonts w:ascii="Arial" w:cs="Arial" w:eastAsia="Arial" w:hAnsi="Arial"/>
                <w:sz w:val="14"/>
                <w:szCs w:val="14"/>
                <w:color w:val="auto"/>
              </w:rPr>
              <w:t>Miami, FL</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680" w:type="dxa"/>
            <w:vAlign w:val="bottom"/>
            <w:gridSpan w:val="12"/>
          </w:tcPr>
          <w:p>
            <w:pPr>
              <w:ind w:left="20"/>
              <w:spacing w:after="0" w:line="155" w:lineRule="exact"/>
              <w:rPr>
                <w:sz w:val="20"/>
                <w:szCs w:val="20"/>
                <w:color w:val="auto"/>
              </w:rPr>
            </w:pPr>
            <w:r>
              <w:rPr>
                <w:rFonts w:ascii="Arial" w:cs="Arial" w:eastAsia="Arial" w:hAnsi="Arial"/>
                <w:sz w:val="14"/>
                <w:szCs w:val="14"/>
                <w:color w:val="auto"/>
              </w:rPr>
              <w:t>Convertible Promissory Note 5%,</w:t>
            </w:r>
          </w:p>
        </w:tc>
        <w:tc>
          <w:tcPr>
            <w:tcW w:w="2080" w:type="dxa"/>
            <w:vAlign w:val="bottom"/>
            <w:gridSpan w:val="3"/>
          </w:tcPr>
          <w:p>
            <w:pPr>
              <w:jc w:val="center"/>
              <w:ind w:right="180"/>
              <w:spacing w:after="0" w:line="155" w:lineRule="exact"/>
              <w:rPr>
                <w:sz w:val="20"/>
                <w:szCs w:val="20"/>
                <w:color w:val="auto"/>
              </w:rPr>
            </w:pPr>
            <w:r>
              <w:rPr>
                <w:rFonts w:ascii="Arial" w:cs="Arial" w:eastAsia="Arial" w:hAnsi="Arial"/>
                <w:sz w:val="14"/>
                <w:szCs w:val="14"/>
                <w:color w:val="auto"/>
                <w:w w:val="97"/>
              </w:rPr>
              <w:t>Equity Crowdfunding</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000" w:type="dxa"/>
            <w:vAlign w:val="bottom"/>
            <w:gridSpan w:val="5"/>
          </w:tcPr>
          <w:p>
            <w:pPr>
              <w:ind w:left="200"/>
              <w:spacing w:after="0" w:line="176" w:lineRule="exact"/>
              <w:rPr>
                <w:sz w:val="20"/>
                <w:szCs w:val="20"/>
                <w:color w:val="auto"/>
              </w:rPr>
            </w:pPr>
            <w:r>
              <w:rPr>
                <w:rFonts w:ascii="Arial" w:cs="Arial" w:eastAsia="Arial" w:hAnsi="Arial"/>
                <w:sz w:val="13"/>
                <w:szCs w:val="13"/>
                <w:color w:val="auto"/>
                <w:w w:val="95"/>
              </w:rPr>
              <w:t>8/02/2016</w:t>
            </w:r>
            <w:r>
              <w:rPr>
                <w:rFonts w:ascii="Arial" w:cs="Arial" w:eastAsia="Arial" w:hAnsi="Arial"/>
                <w:sz w:val="20"/>
                <w:szCs w:val="20"/>
                <w:color w:val="auto"/>
                <w:w w:val="95"/>
                <w:vertAlign w:val="superscript"/>
              </w:rPr>
              <w:t>(11)</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50,000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50,840</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50,000</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149"/>
        </w:trPr>
        <w:tc>
          <w:tcPr>
            <w:tcW w:w="2680" w:type="dxa"/>
            <w:vAlign w:val="bottom"/>
            <w:gridSpan w:val="12"/>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165,715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261,598</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25,023</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660" w:type="dxa"/>
            <w:vAlign w:val="bottom"/>
            <w:gridSpan w:val="11"/>
          </w:tcPr>
          <w:p>
            <w:pPr>
              <w:ind w:left="180"/>
              <w:spacing w:after="0" w:line="142" w:lineRule="exact"/>
              <w:rPr>
                <w:sz w:val="20"/>
                <w:szCs w:val="20"/>
                <w:color w:val="auto"/>
              </w:rPr>
            </w:pPr>
            <w:r>
              <w:rPr>
                <w:rFonts w:ascii="Arial" w:cs="Arial" w:eastAsia="Arial" w:hAnsi="Arial"/>
                <w:sz w:val="14"/>
                <w:szCs w:val="14"/>
                <w:color w:val="auto"/>
              </w:rPr>
              <w:t>Total</w:t>
            </w: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312,438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75,023</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129"/>
        </w:trPr>
        <w:tc>
          <w:tcPr>
            <w:tcW w:w="2680" w:type="dxa"/>
            <w:vAlign w:val="bottom"/>
            <w:gridSpan w:val="12"/>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Orchestra One, Inc. (f/k/a Learnist Inc.)</w:t>
            </w:r>
          </w:p>
        </w:tc>
        <w:tc>
          <w:tcPr>
            <w:tcW w:w="2080" w:type="dxa"/>
            <w:vAlign w:val="bottom"/>
            <w:gridSpan w:val="3"/>
            <w:shd w:val="clear" w:color="auto" w:fill="CCEEFF"/>
          </w:tcPr>
          <w:p>
            <w:pPr>
              <w:jc w:val="center"/>
              <w:ind w:right="200"/>
              <w:spacing w:after="0" w:line="129" w:lineRule="exact"/>
              <w:rPr>
                <w:sz w:val="20"/>
                <w:szCs w:val="20"/>
                <w:color w:val="auto"/>
              </w:rPr>
            </w:pPr>
            <w:r>
              <w:rPr>
                <w:rFonts w:ascii="Arial" w:cs="Arial" w:eastAsia="Arial" w:hAnsi="Arial"/>
                <w:sz w:val="14"/>
                <w:szCs w:val="14"/>
                <w:color w:val="auto"/>
                <w:w w:val="92"/>
              </w:rPr>
              <w:t>San Francisco, CA</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680" w:type="dxa"/>
            <w:vAlign w:val="bottom"/>
            <w:gridSpan w:val="12"/>
          </w:tcPr>
          <w:p>
            <w:pPr>
              <w:ind w:left="20"/>
              <w:spacing w:after="0" w:line="123" w:lineRule="exact"/>
              <w:rPr>
                <w:sz w:val="20"/>
                <w:szCs w:val="20"/>
                <w:color w:val="auto"/>
              </w:rPr>
            </w:pPr>
            <w:r>
              <w:rPr>
                <w:rFonts w:ascii="Arial" w:cs="Arial" w:eastAsia="Arial" w:hAnsi="Arial"/>
                <w:sz w:val="14"/>
                <w:szCs w:val="14"/>
                <w:color w:val="auto"/>
              </w:rPr>
              <w:t>Common shares</w:t>
            </w:r>
          </w:p>
        </w:tc>
        <w:tc>
          <w:tcPr>
            <w:tcW w:w="2080" w:type="dxa"/>
            <w:vAlign w:val="bottom"/>
            <w:gridSpan w:val="3"/>
          </w:tcPr>
          <w:p>
            <w:pPr>
              <w:jc w:val="center"/>
              <w:ind w:right="180"/>
              <w:spacing w:after="0" w:line="123" w:lineRule="exact"/>
              <w:rPr>
                <w:sz w:val="20"/>
                <w:szCs w:val="20"/>
                <w:color w:val="auto"/>
              </w:rPr>
            </w:pPr>
            <w:r>
              <w:rPr>
                <w:rFonts w:ascii="Arial" w:cs="Arial" w:eastAsia="Arial" w:hAnsi="Arial"/>
                <w:sz w:val="14"/>
                <w:szCs w:val="14"/>
                <w:color w:val="auto"/>
                <w:w w:val="93"/>
              </w:rPr>
              <w:t>Consumer Health</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3"/>
          </w:tcPr>
          <w:p>
            <w:pPr>
              <w:jc w:val="center"/>
              <w:ind w:right="200"/>
              <w:spacing w:after="0"/>
              <w:rPr>
                <w:sz w:val="20"/>
                <w:szCs w:val="20"/>
                <w:color w:val="auto"/>
              </w:rPr>
            </w:pPr>
            <w:r>
              <w:rPr>
                <w:rFonts w:ascii="Arial" w:cs="Arial" w:eastAsia="Arial" w:hAnsi="Arial"/>
                <w:sz w:val="14"/>
                <w:szCs w:val="14"/>
                <w:color w:val="auto"/>
                <w:w w:val="93"/>
              </w:rPr>
              <w:t>Technology</w:t>
            </w:r>
          </w:p>
        </w:tc>
        <w:tc>
          <w:tcPr>
            <w:tcW w:w="740" w:type="dxa"/>
            <w:vAlign w:val="bottom"/>
          </w:tcPr>
          <w:p>
            <w:pPr>
              <w:jc w:val="right"/>
              <w:spacing w:after="0"/>
              <w:rPr>
                <w:sz w:val="20"/>
                <w:szCs w:val="20"/>
                <w:color w:val="auto"/>
              </w:rPr>
            </w:pPr>
            <w:r>
              <w:rPr>
                <w:rFonts w:ascii="Arial" w:cs="Arial" w:eastAsia="Arial" w:hAnsi="Arial"/>
                <w:sz w:val="14"/>
                <w:szCs w:val="14"/>
                <w:color w:val="auto"/>
              </w:rPr>
              <w:t>57,026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4,959,614</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4,361</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35"/>
        </w:trPr>
        <w:tc>
          <w:tcPr>
            <w:tcW w:w="2680" w:type="dxa"/>
            <w:vAlign w:val="bottom"/>
            <w:gridSpan w:val="12"/>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Global Education Learning (Holdings)</w:t>
            </w: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2360" w:type="dxa"/>
            <w:vAlign w:val="bottom"/>
            <w:tcBorders>
              <w:top w:val="single" w:sz="8" w:color="auto"/>
            </w:tcBorders>
            <w:gridSpan w:val="8"/>
            <w:shd w:val="clear" w:color="auto" w:fill="CCEEFF"/>
          </w:tcPr>
          <w:p>
            <w:pPr>
              <w:ind w:left="180"/>
              <w:spacing w:after="0" w:line="169" w:lineRule="exact"/>
              <w:rPr>
                <w:sz w:val="20"/>
                <w:szCs w:val="20"/>
                <w:color w:val="auto"/>
              </w:rPr>
            </w:pPr>
            <w:r>
              <w:rPr>
                <w:rFonts w:ascii="Arial" w:cs="Arial" w:eastAsia="Arial" w:hAnsi="Arial"/>
                <w:sz w:val="12"/>
                <w:szCs w:val="12"/>
                <w:b w:val="1"/>
                <w:bCs w:val="1"/>
                <w:color w:val="auto"/>
              </w:rPr>
              <w:t>Ltd.</w:t>
            </w:r>
            <w:r>
              <w:rPr>
                <w:rFonts w:ascii="Arial" w:cs="Arial" w:eastAsia="Arial" w:hAnsi="Arial"/>
                <w:sz w:val="19"/>
                <w:szCs w:val="19"/>
                <w:b w:val="1"/>
                <w:bCs w:val="1"/>
                <w:color w:val="auto"/>
                <w:vertAlign w:val="superscript"/>
              </w:rPr>
              <w:t>(1)</w:t>
            </w:r>
            <w:r>
              <w:rPr>
                <w:rFonts w:ascii="Arial" w:cs="Arial" w:eastAsia="Arial" w:hAnsi="Arial"/>
                <w:sz w:val="12"/>
                <w:szCs w:val="12"/>
                <w:b w:val="1"/>
                <w:bCs w:val="1"/>
                <w:color w:val="auto"/>
              </w:rPr>
              <w:t>**</w:t>
            </w:r>
          </w:p>
        </w:tc>
        <w:tc>
          <w:tcPr>
            <w:tcW w:w="300" w:type="dxa"/>
            <w:vAlign w:val="bottom"/>
            <w:tcBorders>
              <w:top w:val="single" w:sz="8" w:color="CCEEFF"/>
            </w:tcBorders>
            <w:gridSpan w:val="3"/>
            <w:shd w:val="clear" w:color="auto" w:fill="CCEEFF"/>
          </w:tcPr>
          <w:p>
            <w:pPr>
              <w:spacing w:after="0"/>
              <w:rPr>
                <w:sz w:val="14"/>
                <w:szCs w:val="14"/>
                <w:color w:val="auto"/>
              </w:rPr>
            </w:pPr>
          </w:p>
        </w:tc>
        <w:tc>
          <w:tcPr>
            <w:tcW w:w="2080" w:type="dxa"/>
            <w:vAlign w:val="bottom"/>
            <w:tcBorders>
              <w:top w:val="single" w:sz="8" w:color="CCEEFF"/>
            </w:tcBorders>
            <w:gridSpan w:val="3"/>
            <w:shd w:val="clear" w:color="auto" w:fill="CCEEFF"/>
          </w:tcPr>
          <w:p>
            <w:pPr>
              <w:jc w:val="center"/>
              <w:ind w:right="200"/>
              <w:spacing w:after="0"/>
              <w:rPr>
                <w:sz w:val="20"/>
                <w:szCs w:val="20"/>
                <w:color w:val="auto"/>
              </w:rPr>
            </w:pPr>
            <w:r>
              <w:rPr>
                <w:rFonts w:ascii="Arial" w:cs="Arial" w:eastAsia="Arial" w:hAnsi="Arial"/>
                <w:sz w:val="14"/>
                <w:szCs w:val="14"/>
                <w:color w:val="auto"/>
                <w:w w:val="97"/>
              </w:rPr>
              <w:t>Hong Kong</w:t>
            </w:r>
          </w:p>
        </w:tc>
        <w:tc>
          <w:tcPr>
            <w:tcW w:w="7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left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left w:val="single" w:sz="8" w:color="CCEEFF"/>
            </w:tcBorders>
            <w:shd w:val="clear" w:color="auto" w:fill="CCEEFF"/>
          </w:tcPr>
          <w:p>
            <w:pPr>
              <w:spacing w:after="0"/>
              <w:rPr>
                <w:sz w:val="14"/>
                <w:szCs w:val="14"/>
                <w:color w:val="auto"/>
              </w:rPr>
            </w:pPr>
          </w:p>
        </w:tc>
        <w:tc>
          <w:tcPr>
            <w:tcW w:w="4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gridSpan w:val="12"/>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2080" w:type="dxa"/>
            <w:vAlign w:val="bottom"/>
            <w:gridSpan w:val="3"/>
          </w:tcPr>
          <w:p>
            <w:pPr>
              <w:jc w:val="center"/>
              <w:ind w:right="180"/>
              <w:spacing w:after="0" w:line="142" w:lineRule="exact"/>
              <w:rPr>
                <w:sz w:val="20"/>
                <w:szCs w:val="20"/>
                <w:color w:val="auto"/>
              </w:rPr>
            </w:pPr>
            <w:r>
              <w:rPr>
                <w:rFonts w:ascii="Arial" w:cs="Arial" w:eastAsia="Arial" w:hAnsi="Arial"/>
                <w:sz w:val="14"/>
                <w:szCs w:val="14"/>
                <w:color w:val="auto"/>
                <w:w w:val="93"/>
              </w:rPr>
              <w:t>Education Technology</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2,126,475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675,495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6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660" w:type="dxa"/>
            <w:vAlign w:val="bottom"/>
            <w:gridSpan w:val="11"/>
            <w:shd w:val="clear" w:color="auto" w:fill="CCEEFF"/>
          </w:tcPr>
          <w:p>
            <w:pPr>
              <w:ind w:left="180"/>
              <w:spacing w:after="0" w:line="142" w:lineRule="exact"/>
              <w:rPr>
                <w:sz w:val="20"/>
                <w:szCs w:val="20"/>
                <w:color w:val="auto"/>
              </w:rPr>
            </w:pPr>
            <w:r>
              <w:rPr>
                <w:rFonts w:ascii="Arial" w:cs="Arial" w:eastAsia="Arial" w:hAnsi="Arial"/>
                <w:sz w:val="14"/>
                <w:szCs w:val="14"/>
                <w:b w:val="1"/>
                <w:bCs w:val="1"/>
                <w:color w:val="auto"/>
              </w:rPr>
              <w:t>Total Portfolio Investments</w:t>
            </w: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288,250,708</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325,288,396</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133.83%</w:t>
            </w:r>
          </w:p>
        </w:tc>
        <w:tc>
          <w:tcPr>
            <w:tcW w:w="0" w:type="dxa"/>
            <w:vAlign w:val="bottom"/>
          </w:tcPr>
          <w:p>
            <w:pPr>
              <w:spacing w:after="0"/>
              <w:rPr>
                <w:sz w:val="1"/>
                <w:szCs w:val="1"/>
                <w:color w:val="auto"/>
              </w:rPr>
            </w:pPr>
          </w:p>
        </w:tc>
      </w:tr>
      <w:tr>
        <w:trPr>
          <w:trHeight w:val="129"/>
        </w:trPr>
        <w:tc>
          <w:tcPr>
            <w:tcW w:w="2680" w:type="dxa"/>
            <w:vAlign w:val="bottom"/>
            <w:tcBorders>
              <w:top w:val="single" w:sz="8" w:color="CCEEFF"/>
            </w:tcBorders>
            <w:gridSpan w:val="12"/>
          </w:tcPr>
          <w:p>
            <w:pPr>
              <w:ind w:left="20"/>
              <w:spacing w:after="0" w:line="129" w:lineRule="exact"/>
              <w:rPr>
                <w:sz w:val="20"/>
                <w:szCs w:val="20"/>
                <w:color w:val="auto"/>
              </w:rPr>
            </w:pPr>
            <w:r>
              <w:rPr>
                <w:rFonts w:ascii="Arial" w:cs="Arial" w:eastAsia="Arial" w:hAnsi="Arial"/>
                <w:sz w:val="14"/>
                <w:szCs w:val="14"/>
                <w:b w:val="1"/>
                <w:bCs w:val="1"/>
                <w:color w:val="auto"/>
              </w:rPr>
              <w:t>U.S. Treasury</w:t>
            </w:r>
          </w:p>
        </w:tc>
        <w:tc>
          <w:tcPr>
            <w:tcW w:w="18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7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gridSpan w:val="12"/>
            <w:shd w:val="clear" w:color="auto" w:fill="CCEEFF"/>
          </w:tcPr>
          <w:p>
            <w:pPr>
              <w:ind w:left="20"/>
              <w:spacing w:after="0" w:line="142" w:lineRule="exact"/>
              <w:rPr>
                <w:sz w:val="20"/>
                <w:szCs w:val="20"/>
                <w:color w:val="auto"/>
              </w:rPr>
            </w:pPr>
            <w:r>
              <w:rPr>
                <w:rFonts w:ascii="Arial" w:cs="Arial" w:eastAsia="Arial" w:hAnsi="Arial"/>
                <w:sz w:val="14"/>
                <w:szCs w:val="14"/>
                <w:color w:val="auto"/>
              </w:rPr>
              <w:t>U.S. Treasury Bill, 0%, due 4/7/2016</w:t>
            </w:r>
          </w:p>
        </w:tc>
        <w:tc>
          <w:tcPr>
            <w:tcW w:w="2080" w:type="dxa"/>
            <w:vAlign w:val="bottom"/>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30,000,000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29,999,883</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29,999,883</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12.34%</w:t>
            </w:r>
          </w:p>
        </w:tc>
        <w:tc>
          <w:tcPr>
            <w:tcW w:w="0" w:type="dxa"/>
            <w:vAlign w:val="bottom"/>
          </w:tcPr>
          <w:p>
            <w:pPr>
              <w:spacing w:after="0"/>
              <w:rPr>
                <w:sz w:val="1"/>
                <w:szCs w:val="1"/>
                <w:color w:val="auto"/>
              </w:rPr>
            </w:pPr>
          </w:p>
        </w:tc>
      </w:tr>
      <w:tr>
        <w:trPr>
          <w:trHeight w:val="176"/>
        </w:trPr>
        <w:tc>
          <w:tcPr>
            <w:tcW w:w="2680" w:type="dxa"/>
            <w:vAlign w:val="bottom"/>
            <w:gridSpan w:val="12"/>
          </w:tcPr>
          <w:p>
            <w:pPr>
              <w:ind w:left="20"/>
              <w:spacing w:after="0" w:line="176" w:lineRule="exact"/>
              <w:rPr>
                <w:sz w:val="20"/>
                <w:szCs w:val="20"/>
                <w:color w:val="auto"/>
              </w:rPr>
            </w:pPr>
            <w:r>
              <w:rPr>
                <w:rFonts w:ascii="Arial" w:cs="Arial" w:eastAsia="Arial" w:hAnsi="Arial"/>
                <w:sz w:val="13"/>
                <w:szCs w:val="13"/>
                <w:b w:val="1"/>
                <w:bCs w:val="1"/>
                <w:color w:val="auto"/>
              </w:rPr>
              <w:t>U.S. Treasury Strips</w:t>
            </w:r>
            <w:r>
              <w:rPr>
                <w:rFonts w:ascii="Arial" w:cs="Arial" w:eastAsia="Arial" w:hAnsi="Arial"/>
                <w:sz w:val="20"/>
                <w:szCs w:val="20"/>
                <w:b w:val="1"/>
                <w:bCs w:val="1"/>
                <w:color w:val="auto"/>
                <w:vertAlign w:val="superscript"/>
              </w:rPr>
              <w:t>(9)</w:t>
            </w: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680" w:type="dxa"/>
            <w:vAlign w:val="bottom"/>
            <w:gridSpan w:val="12"/>
            <w:shd w:val="clear" w:color="auto" w:fill="CCEEFF"/>
          </w:tcPr>
          <w:p>
            <w:pPr>
              <w:ind w:left="20"/>
              <w:spacing w:after="0" w:line="123" w:lineRule="exact"/>
              <w:rPr>
                <w:sz w:val="20"/>
                <w:szCs w:val="20"/>
                <w:color w:val="auto"/>
              </w:rPr>
            </w:pPr>
            <w:r>
              <w:rPr>
                <w:rFonts w:ascii="Arial" w:cs="Arial" w:eastAsia="Arial" w:hAnsi="Arial"/>
                <w:sz w:val="14"/>
                <w:szCs w:val="14"/>
                <w:color w:val="auto"/>
                <w:w w:val="95"/>
              </w:rPr>
              <w:t>United States Treasury Strip Coupon, 0.00%</w:t>
            </w:r>
          </w:p>
        </w:tc>
        <w:tc>
          <w:tcPr>
            <w:tcW w:w="1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tcBorders>
              <w:left w:val="single" w:sz="8" w:color="CCEEFF"/>
            </w:tcBorders>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660" w:type="dxa"/>
            <w:vAlign w:val="bottom"/>
            <w:gridSpan w:val="11"/>
            <w:shd w:val="clear" w:color="auto" w:fill="CCEEFF"/>
          </w:tcPr>
          <w:p>
            <w:pPr>
              <w:ind w:left="180"/>
              <w:spacing w:after="0"/>
              <w:rPr>
                <w:sz w:val="20"/>
                <w:szCs w:val="20"/>
                <w:color w:val="auto"/>
              </w:rPr>
            </w:pPr>
            <w:r>
              <w:rPr>
                <w:rFonts w:ascii="Arial" w:cs="Arial" w:eastAsia="Arial" w:hAnsi="Arial"/>
                <w:sz w:val="14"/>
                <w:szCs w:val="14"/>
                <w:color w:val="auto"/>
              </w:rPr>
              <w:t>due 08/15/2016</w:t>
            </w:r>
          </w:p>
        </w:tc>
        <w:tc>
          <w:tcPr>
            <w:tcW w:w="20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1,851,000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1,845,845</w:t>
            </w: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1,847,613</w:t>
            </w:r>
          </w:p>
        </w:tc>
        <w:tc>
          <w:tcPr>
            <w:tcW w:w="8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0.76%</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gridSpan w:val="12"/>
          </w:tcPr>
          <w:p>
            <w:pPr>
              <w:ind w:left="20"/>
              <w:spacing w:after="0" w:line="142" w:lineRule="exact"/>
              <w:rPr>
                <w:sz w:val="20"/>
                <w:szCs w:val="20"/>
                <w:color w:val="auto"/>
              </w:rPr>
            </w:pPr>
            <w:r>
              <w:rPr>
                <w:rFonts w:ascii="Arial" w:cs="Arial" w:eastAsia="Arial" w:hAnsi="Arial"/>
                <w:sz w:val="14"/>
                <w:szCs w:val="14"/>
                <w:b w:val="1"/>
                <w:bCs w:val="1"/>
                <w:color w:val="auto"/>
              </w:rPr>
              <w:t>Total Investments</w:t>
            </w: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w w:val="92"/>
              </w:rPr>
              <w:t>320,096,436</w:t>
            </w:r>
          </w:p>
        </w:tc>
        <w:tc>
          <w:tcPr>
            <w:tcW w:w="24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w w:val="89"/>
              </w:rPr>
              <w:t>357,135,892</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146.93%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-1628775</wp:posOffset>
            </wp:positionV>
            <wp:extent cx="5213985" cy="1117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-822960</wp:posOffset>
            </wp:positionV>
            <wp:extent cx="5213985" cy="1028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213985" cy="1028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-316865</wp:posOffset>
            </wp:positionV>
            <wp:extent cx="5213985"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213985" cy="137160"/>
                    </a:xfrm>
                    <a:prstGeom prst="rect">
                      <a:avLst/>
                    </a:prstGeom>
                    <a:noFill/>
                  </pic:spPr>
                </pic:pic>
              </a:graphicData>
            </a:graphic>
          </wp:anchor>
        </w:drawing>
      </w:r>
    </w:p>
    <w:p>
      <w:pPr>
        <w:spacing w:after="0" w:line="236" w:lineRule="exact"/>
        <w:rPr>
          <w:sz w:val="20"/>
          <w:szCs w:val="20"/>
          <w:color w:val="auto"/>
        </w:rPr>
      </w:pPr>
    </w:p>
    <w:p>
      <w:pPr>
        <w:ind w:left="300" w:right="739" w:hanging="272"/>
        <w:spacing w:after="0" w:line="259" w:lineRule="auto"/>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portfolio investments are non-control/non-affiliated and non-income producing, unless identified. Equity investments are subject to lock-up restrictions upon their initial public offering. All investments are pledged as collateral, unless otherwise noted, to the Credit Facility. The Company’s officers and staff may serve on the board of directors of the Company’s portfolio investments.</w:t>
      </w:r>
    </w:p>
    <w:p>
      <w:pPr>
        <w:spacing w:after="0" w:line="79" w:lineRule="exact"/>
        <w:rPr>
          <w:sz w:val="20"/>
          <w:szCs w:val="20"/>
          <w:color w:val="auto"/>
        </w:rPr>
      </w:pPr>
    </w:p>
    <w:p>
      <w:pPr>
        <w:ind w:left="300" w:right="839" w:hanging="272"/>
        <w:spacing w:after="0" w:line="342" w:lineRule="auto"/>
        <w:tabs>
          <w:tab w:leader="none" w:pos="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Indicates assets that GSV Capital Corp. believes do not represent “qualifying assets” under Section 55(a) of the Investment Company Act of 1940, as amended. Of GSV Capital Corp.’s total portfolio, 4.6% of its total investments are non-qualifying.</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***Investment is income producing.</w:t>
      </w:r>
    </w:p>
    <w:p>
      <w:pPr>
        <w:spacing w:after="0" w:line="117" w:lineRule="exact"/>
        <w:rPr>
          <w:sz w:val="20"/>
          <w:szCs w:val="20"/>
          <w:color w:val="auto"/>
        </w:rPr>
      </w:pPr>
    </w:p>
    <w:p>
      <w:pPr>
        <w:jc w:val="both"/>
        <w:ind w:left="300" w:right="599" w:hanging="272"/>
        <w:spacing w:after="0" w:line="286" w:lineRule="auto"/>
        <w:tabs>
          <w:tab w:leader="none" w:pos="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Denotes an Affiliate Investment. “Affiliate Investments” are investments in those companies that are “Affiliated Companies” of GSV Capital Corp., as defined in the Investment Company Act of 1940, as amended. A company is deemed to be an “Affiliate” of GSV Capital Corp. if GSV Capital Corp. owns 5% or more of the voting securities of such company.</w:t>
      </w:r>
    </w:p>
    <w:p>
      <w:pPr>
        <w:spacing w:after="0" w:line="57" w:lineRule="exact"/>
        <w:rPr>
          <w:rFonts w:ascii="Arial" w:cs="Arial" w:eastAsia="Arial" w:hAnsi="Arial"/>
          <w:sz w:val="17"/>
          <w:szCs w:val="17"/>
          <w:color w:val="auto"/>
        </w:rPr>
      </w:pPr>
    </w:p>
    <w:p>
      <w:pPr>
        <w:ind w:left="300" w:right="599" w:hanging="272"/>
        <w:spacing w:after="0" w:line="312" w:lineRule="auto"/>
        <w:tabs>
          <w:tab w:leader="none" w:pos="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Denotes a Control Investment. “Control Investments” are investments in those companies that are “Controlled Companies” of GSV Capital Corp., as defined in the Investment Company Act of 1940, as amended. A company is deemed to be a “Controlled Company” of GSV Capital Corp. if GSV Capital Corp. owns 25% or more of the voting securities of such company.</w:t>
      </w:r>
    </w:p>
    <w:p>
      <w:pPr>
        <w:spacing w:after="0" w:line="38" w:lineRule="exact"/>
        <w:rPr>
          <w:rFonts w:ascii="Arial" w:cs="Arial" w:eastAsia="Arial" w:hAnsi="Arial"/>
          <w:sz w:val="16"/>
          <w:szCs w:val="16"/>
          <w:color w:val="auto"/>
        </w:rPr>
      </w:pPr>
    </w:p>
    <w:p>
      <w:pPr>
        <w:ind w:left="300" w:right="959" w:hanging="272"/>
        <w:spacing w:after="0" w:line="277" w:lineRule="auto"/>
        <w:tabs>
          <w:tab w:leader="none" w:pos="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GSV Capital Corp.’s investment in Avenues Global Holdings, LLC is held through its wholly owned subsidiary GSVC AV Holdings, Inc.</w:t>
      </w:r>
    </w:p>
    <w:p>
      <w:pPr>
        <w:spacing w:after="0" w:line="62" w:lineRule="exact"/>
        <w:rPr>
          <w:rFonts w:ascii="Arial" w:cs="Arial" w:eastAsia="Arial" w:hAnsi="Arial"/>
          <w:sz w:val="18"/>
          <w:szCs w:val="18"/>
          <w:color w:val="auto"/>
        </w:rPr>
      </w:pPr>
    </w:p>
    <w:p>
      <w:pPr>
        <w:ind w:left="300" w:right="559" w:hanging="272"/>
        <w:spacing w:after="0" w:line="264" w:lineRule="auto"/>
        <w:tabs>
          <w:tab w:leader="none" w:pos="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GSV Capital Corp.’s investment in Whittle Schools, LLC is held through its wholly owned subsidiary GSVC WS Holdings, Inc. Whittle Schools, LLC is an investment that is collateralized by Avenues Global Holdings LLC as well as the personal collateral of Chris Whittle, the former chairman of Avenues Global Holdings LLC.</w:t>
      </w:r>
    </w:p>
    <w:p>
      <w:pPr>
        <w:spacing w:after="0" w:line="200" w:lineRule="exact"/>
        <w:rPr>
          <w:sz w:val="20"/>
          <w:szCs w:val="20"/>
          <w:color w:val="auto"/>
        </w:rPr>
      </w:pPr>
    </w:p>
    <w:p>
      <w:pPr>
        <w:spacing w:after="0" w:line="305" w:lineRule="exact"/>
        <w:rPr>
          <w:sz w:val="20"/>
          <w:szCs w:val="20"/>
          <w:color w:val="auto"/>
        </w:rPr>
      </w:pPr>
    </w:p>
    <w:p>
      <w:pPr>
        <w:ind w:left="2620"/>
        <w:spacing w:after="0"/>
        <w:rPr>
          <w:sz w:val="20"/>
          <w:szCs w:val="20"/>
          <w:color w:val="auto"/>
        </w:rPr>
      </w:pPr>
      <w:r>
        <w:rPr>
          <w:rFonts w:ascii="Arial" w:cs="Arial" w:eastAsia="Arial" w:hAnsi="Arial"/>
          <w:sz w:val="18"/>
          <w:szCs w:val="18"/>
          <w:i w:val="1"/>
          <w:iCs w:val="1"/>
          <w:color w:val="auto"/>
        </w:rPr>
        <w:t>See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SCHEDULE OF INVESTMENTS – (continued)</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March 31, 2016</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left="280" w:hanging="272"/>
        <w:spacing w:after="0"/>
        <w:tabs>
          <w:tab w:leader="none" w:pos="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GSV Capital Corp.’s investment in StormWind, LLC is held through its wholly owned subsidiary GSVC SW Holdings, Inc.</w:t>
      </w:r>
    </w:p>
    <w:p>
      <w:pPr>
        <w:spacing w:after="0" w:line="128" w:lineRule="exact"/>
        <w:rPr>
          <w:rFonts w:ascii="Arial" w:cs="Arial" w:eastAsia="Arial" w:hAnsi="Arial"/>
          <w:sz w:val="17"/>
          <w:szCs w:val="17"/>
          <w:color w:val="auto"/>
        </w:rPr>
      </w:pPr>
    </w:p>
    <w:p>
      <w:pPr>
        <w:ind w:left="280" w:hanging="272"/>
        <w:spacing w:after="0"/>
        <w:tabs>
          <w:tab w:leader="none" w:pos="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GSV Capital Corp.’s investment in SharesPost, Inc. is held through its wholly owned subsidiary SPNPM Holdings, LLC.</w:t>
      </w:r>
    </w:p>
    <w:p>
      <w:pPr>
        <w:spacing w:after="0" w:line="128" w:lineRule="exact"/>
        <w:rPr>
          <w:rFonts w:ascii="Arial" w:cs="Arial" w:eastAsia="Arial" w:hAnsi="Arial"/>
          <w:sz w:val="17"/>
          <w:szCs w:val="17"/>
          <w:color w:val="auto"/>
        </w:rPr>
      </w:pPr>
    </w:p>
    <w:p>
      <w:pPr>
        <w:ind w:left="280" w:right="759" w:hanging="272"/>
        <w:spacing w:after="0" w:line="277" w:lineRule="auto"/>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GSV Capital Corp.’s investment in Strategic Data Command, LLC is held through its wholly owned subsidiary GSVC SVDS Holdings, Inc.</w:t>
      </w:r>
    </w:p>
    <w:p>
      <w:pPr>
        <w:spacing w:after="0" w:line="62" w:lineRule="exact"/>
        <w:rPr>
          <w:rFonts w:ascii="Arial" w:cs="Arial" w:eastAsia="Arial" w:hAnsi="Arial"/>
          <w:sz w:val="18"/>
          <w:szCs w:val="18"/>
          <w:color w:val="auto"/>
        </w:rPr>
      </w:pPr>
    </w:p>
    <w:p>
      <w:pPr>
        <w:ind w:left="280" w:right="559" w:hanging="272"/>
        <w:spacing w:after="0" w:line="259" w:lineRule="auto"/>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October 22, 2013, Cricket Media (f/k/a ePals Inc.) priced its initial public offering, selling 40,267,333 shares at a price of CAD $0.075 per share. At March 31, 2016, GSV Capital Corp. valued Cricket Media based on its March 31, 2016 closing price. GSV Capital Corp.’s Chief Executive Officer, Michael Moe, serves on the board of directors for Cricket Media, which subjects GSV Capital Corp. to insider trading restrictions under Canadian securities law.</w:t>
      </w:r>
    </w:p>
    <w:p>
      <w:pPr>
        <w:spacing w:after="0" w:line="78" w:lineRule="exact"/>
        <w:rPr>
          <w:rFonts w:ascii="Arial" w:cs="Arial" w:eastAsia="Arial" w:hAnsi="Arial"/>
          <w:sz w:val="18"/>
          <w:szCs w:val="18"/>
          <w:color w:val="auto"/>
        </w:rPr>
      </w:pPr>
    </w:p>
    <w:p>
      <w:pPr>
        <w:ind w:left="280" w:right="579" w:hanging="272"/>
        <w:spacing w:after="0" w:line="291" w:lineRule="auto"/>
        <w:tabs>
          <w:tab w:leader="none" w:pos="28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Refer to “Note 9 — Long Term Liabilities.” In accordance with the terms of the Company’s Convertible Senior Notes, the Company deposited $10,867,500 in an escrow account with U.S. Bank National Association, the trustee. These funds were used to purchase six U.S. Treasury Strips with an original cost of $10,845,236. As of March 31, 2016, five of the government securities purchased had matured and the proceeds were used by the trustee in accordance with the terms of the escrow agreement. At March 31, 2016, the remaining government securities are shown on the Condensed Consolidated Schedule of Investments with an amortized cost of $1,845,845. These securities do not represent collateral under the Credit Facility, as these securities are pledged exclusively for the repayment of interest under the Convertible Senior Notes.</w:t>
      </w:r>
    </w:p>
    <w:p>
      <w:pPr>
        <w:spacing w:after="0" w:line="59" w:lineRule="exact"/>
        <w:rPr>
          <w:rFonts w:ascii="Arial" w:cs="Arial" w:eastAsia="Arial" w:hAnsi="Arial"/>
          <w:sz w:val="16"/>
          <w:szCs w:val="16"/>
          <w:color w:val="auto"/>
        </w:rPr>
      </w:pPr>
    </w:p>
    <w:p>
      <w:pPr>
        <w:ind w:left="320" w:right="699" w:hanging="312"/>
        <w:spacing w:after="0" w:line="286" w:lineRule="auto"/>
        <w:tabs>
          <w:tab w:leader="none" w:pos="32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Interest will accrue daily on the unpaid principal balance of the note. Accrued interest is not payable until the earlier of (a) the closing of a subsequent equity offering by CUX, Inc. (d/b/a CorpU), or (b) the maturity of the note (November 26, 2018). Interest began compounding annually on November 26, 2015.</w:t>
      </w:r>
    </w:p>
    <w:p>
      <w:pPr>
        <w:spacing w:after="0" w:line="57" w:lineRule="exact"/>
        <w:rPr>
          <w:sz w:val="20"/>
          <w:szCs w:val="20"/>
          <w:color w:val="auto"/>
        </w:rPr>
      </w:pPr>
    </w:p>
    <w:p>
      <w:pPr>
        <w:ind w:left="300" w:right="539" w:hanging="296"/>
        <w:spacing w:after="0" w:line="264" w:lineRule="auto"/>
        <w:rPr>
          <w:sz w:val="20"/>
          <w:szCs w:val="20"/>
          <w:color w:val="auto"/>
        </w:rPr>
      </w:pPr>
      <w:r>
        <w:rPr>
          <w:rFonts w:ascii="Arial" w:cs="Arial" w:eastAsia="Arial" w:hAnsi="Arial"/>
          <w:sz w:val="18"/>
          <w:szCs w:val="18"/>
          <w:color w:val="auto"/>
        </w:rPr>
        <w:t>(11)Interest will accrue daily on the unpaid principal balance of the note. Accrued interest is not payable until the earlier of (a) the closing of a subsequent equity offering by Earlyshares.com, Inc., or (b) the maturity of the note (August 2, 2016). Interest began compounding annually on February 26, 2015.</w:t>
      </w:r>
    </w:p>
    <w:p>
      <w:pPr>
        <w:spacing w:after="0" w:line="200" w:lineRule="exact"/>
        <w:rPr>
          <w:sz w:val="20"/>
          <w:szCs w:val="20"/>
          <w:color w:val="auto"/>
        </w:rPr>
      </w:pPr>
    </w:p>
    <w:p>
      <w:pPr>
        <w:spacing w:after="0" w:line="305" w:lineRule="exact"/>
        <w:rPr>
          <w:sz w:val="20"/>
          <w:szCs w:val="20"/>
          <w:color w:val="auto"/>
        </w:rPr>
      </w:pPr>
    </w:p>
    <w:p>
      <w:pPr>
        <w:ind w:left="2600"/>
        <w:spacing w:after="0"/>
        <w:rPr>
          <w:sz w:val="20"/>
          <w:szCs w:val="20"/>
          <w:color w:val="auto"/>
        </w:rPr>
      </w:pPr>
      <w:r>
        <w:rPr>
          <w:rFonts w:ascii="Arial" w:cs="Arial" w:eastAsia="Arial" w:hAnsi="Arial"/>
          <w:sz w:val="18"/>
          <w:szCs w:val="18"/>
          <w:i w:val="1"/>
          <w:iCs w:val="1"/>
          <w:color w:val="auto"/>
        </w:rPr>
        <w:t>See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4" w:name="page15"/>
    <w:bookmarkEnd w:id="14"/>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SCHEDULE OF INVESTMENTS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521398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51"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 of</w:t>
            </w:r>
          </w:p>
        </w:tc>
      </w:tr>
      <w:tr>
        <w:trPr>
          <w:trHeight w:val="153"/>
        </w:trPr>
        <w:tc>
          <w:tcPr>
            <w:tcW w:w="2580" w:type="dxa"/>
            <w:vAlign w:val="bottom"/>
            <w:tcBorders>
              <w:bottom w:val="single" w:sz="8" w:color="auto"/>
            </w:tcBorders>
            <w:gridSpan w:val="9"/>
          </w:tcPr>
          <w:p>
            <w:pPr>
              <w:ind w:left="20"/>
              <w:spacing w:after="0"/>
              <w:rPr>
                <w:sz w:val="20"/>
                <w:szCs w:val="20"/>
                <w:color w:val="auto"/>
              </w:rPr>
            </w:pPr>
            <w:r>
              <w:rPr>
                <w:rFonts w:ascii="Arial" w:cs="Arial" w:eastAsia="Arial" w:hAnsi="Arial"/>
                <w:sz w:val="13"/>
                <w:szCs w:val="13"/>
                <w:b w:val="1"/>
                <w:bCs w:val="1"/>
                <w:color w:val="auto"/>
              </w:rPr>
              <w:t>Portfolio Investments*</w:t>
            </w:r>
          </w:p>
        </w:tc>
        <w:tc>
          <w:tcPr>
            <w:tcW w:w="100" w:type="dxa"/>
            <w:vAlign w:val="bottom"/>
          </w:tcPr>
          <w:p>
            <w:pPr>
              <w:spacing w:after="0"/>
              <w:rPr>
                <w:sz w:val="13"/>
                <w:szCs w:val="13"/>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Headquarters/Industry</w:t>
            </w:r>
          </w:p>
        </w:tc>
        <w:tc>
          <w:tcPr>
            <w:tcW w:w="100" w:type="dxa"/>
            <w:vAlign w:val="bottom"/>
          </w:tcPr>
          <w:p>
            <w:pPr>
              <w:spacing w:after="0"/>
              <w:rPr>
                <w:sz w:val="13"/>
                <w:szCs w:val="13"/>
                <w:color w:val="auto"/>
              </w:rPr>
            </w:pPr>
          </w:p>
        </w:tc>
        <w:tc>
          <w:tcPr>
            <w:tcW w:w="8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Principal</w:t>
            </w:r>
          </w:p>
        </w:tc>
        <w:tc>
          <w:tcPr>
            <w:tcW w:w="100" w:type="dxa"/>
            <w:vAlign w:val="bottom"/>
          </w:tcPr>
          <w:p>
            <w:pPr>
              <w:spacing w:after="0"/>
              <w:rPr>
                <w:sz w:val="13"/>
                <w:szCs w:val="13"/>
                <w:color w:val="auto"/>
              </w:rPr>
            </w:pPr>
          </w:p>
        </w:tc>
        <w:tc>
          <w:tcPr>
            <w:tcW w:w="86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b w:val="1"/>
                <w:bCs w:val="1"/>
                <w:color w:val="auto"/>
              </w:rPr>
              <w:t>Cost</w:t>
            </w:r>
          </w:p>
        </w:tc>
        <w:tc>
          <w:tcPr>
            <w:tcW w:w="120" w:type="dxa"/>
            <w:vAlign w:val="bottom"/>
          </w:tcPr>
          <w:p>
            <w:pPr>
              <w:spacing w:after="0"/>
              <w:rPr>
                <w:sz w:val="13"/>
                <w:szCs w:val="13"/>
                <w:color w:val="auto"/>
              </w:rPr>
            </w:pPr>
          </w:p>
        </w:tc>
        <w:tc>
          <w:tcPr>
            <w:tcW w:w="86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b w:val="1"/>
                <w:bCs w:val="1"/>
                <w:color w:val="auto"/>
              </w:rPr>
              <w:t>Fair Value</w:t>
            </w:r>
          </w:p>
        </w:tc>
        <w:tc>
          <w:tcPr>
            <w:tcW w:w="120" w:type="dxa"/>
            <w:vAlign w:val="bottom"/>
          </w:tcPr>
          <w:p>
            <w:pPr>
              <w:spacing w:after="0"/>
              <w:rPr>
                <w:sz w:val="13"/>
                <w:szCs w:val="13"/>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w w:val="89"/>
              </w:rPr>
              <w:t>Net Assets</w:t>
            </w:r>
          </w:p>
        </w:tc>
      </w:tr>
      <w:tr>
        <w:trPr>
          <w:trHeight w:val="129"/>
        </w:trPr>
        <w:tc>
          <w:tcPr>
            <w:tcW w:w="2580" w:type="dxa"/>
            <w:vAlign w:val="bottom"/>
            <w:tcBorders>
              <w:left w:val="single" w:sz="8" w:color="CCEEFF"/>
            </w:tcBorders>
            <w:gridSpan w:val="9"/>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Palantir Technologies,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6"/>
              </w:rPr>
              <w:t>Palo Alto,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G</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3"/>
              </w:rPr>
              <w:t>Data Analysis</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326,797</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  1,008,968</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  3,018,787</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1.13%</w:t>
            </w:r>
          </w:p>
        </w:tc>
      </w:tr>
      <w:tr>
        <w:trPr>
          <w:trHeight w:val="149"/>
        </w:trPr>
        <w:tc>
          <w:tcPr>
            <w:tcW w:w="2580" w:type="dxa"/>
            <w:vAlign w:val="bottom"/>
            <w:tcBorders>
              <w:left w:val="single" w:sz="8" w:color="CCEEFF"/>
            </w:tcBorders>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 Class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5,773,690</w:t>
            </w:r>
          </w:p>
        </w:tc>
        <w:tc>
          <w:tcPr>
            <w:tcW w:w="10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16,189,935</w:t>
            </w:r>
          </w:p>
        </w:tc>
        <w:tc>
          <w:tcPr>
            <w:tcW w:w="12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53,334,461</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19.90%</w:t>
            </w:r>
          </w:p>
        </w:tc>
      </w:tr>
      <w:tr>
        <w:trPr>
          <w:trHeight w:val="20"/>
        </w:trPr>
        <w:tc>
          <w:tcPr>
            <w:tcW w:w="58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17,198,903</w:t>
            </w: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56,353,248</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21.03%</w:t>
            </w:r>
          </w:p>
        </w:tc>
      </w:tr>
      <w:tr>
        <w:trPr>
          <w:trHeight w:val="129"/>
        </w:trPr>
        <w:tc>
          <w:tcPr>
            <w:tcW w:w="2580" w:type="dxa"/>
            <w:vAlign w:val="bottom"/>
            <w:tcBorders>
              <w:left w:val="single" w:sz="8" w:color="CCEEFF"/>
            </w:tcBorders>
            <w:gridSpan w:val="9"/>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Dropbox,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2"/>
              </w:rPr>
              <w:t>San Francisco,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A-1</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4"/>
              </w:rPr>
              <w:t>Online Storage</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552,486</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5,015,773</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9,359,241</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3.49%</w:t>
            </w:r>
          </w:p>
        </w:tc>
      </w:tr>
      <w:tr>
        <w:trPr>
          <w:trHeight w:val="149"/>
        </w:trPr>
        <w:tc>
          <w:tcPr>
            <w:tcW w:w="2580" w:type="dxa"/>
            <w:vAlign w:val="bottom"/>
            <w:tcBorders>
              <w:left w:val="single" w:sz="8" w:color="CCEEFF"/>
            </w:tcBorders>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760,000</w:t>
            </w:r>
          </w:p>
        </w:tc>
        <w:tc>
          <w:tcPr>
            <w:tcW w:w="10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8,641,153</w:t>
            </w:r>
          </w:p>
        </w:tc>
        <w:tc>
          <w:tcPr>
            <w:tcW w:w="12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12,872,947</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4.80%</w:t>
            </w:r>
          </w:p>
        </w:tc>
      </w:tr>
      <w:tr>
        <w:trPr>
          <w:trHeight w:val="20"/>
        </w:trPr>
        <w:tc>
          <w:tcPr>
            <w:tcW w:w="58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13,656,926</w:t>
            </w: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22,232,188</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8.29%</w:t>
            </w:r>
          </w:p>
        </w:tc>
      </w:tr>
      <w:tr>
        <w:trPr>
          <w:trHeight w:val="129"/>
        </w:trPr>
        <w:tc>
          <w:tcPr>
            <w:tcW w:w="2580" w:type="dxa"/>
            <w:vAlign w:val="bottom"/>
            <w:tcBorders>
              <w:left w:val="single" w:sz="8" w:color="CCEEFF"/>
            </w:tcBorders>
            <w:gridSpan w:val="9"/>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Twitter,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2"/>
              </w:rPr>
              <w:t>San Francisco,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4"/>
              </w:rPr>
              <w:t>Social Communication</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800,600</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14,271,866</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18,525,884</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6.91%</w:t>
            </w:r>
          </w:p>
        </w:tc>
      </w:tr>
      <w:tr>
        <w:trPr>
          <w:trHeight w:val="135"/>
        </w:trPr>
        <w:tc>
          <w:tcPr>
            <w:tcW w:w="2580" w:type="dxa"/>
            <w:vAlign w:val="bottom"/>
            <w:tcBorders>
              <w:left w:val="single" w:sz="8" w:color="CCEEFF"/>
            </w:tcBorders>
            <w:gridSpan w:val="9"/>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Spotify Technology S.A.**</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3"/>
              </w:rPr>
              <w:t>Stockholm, Sweden</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2"/>
              </w:rPr>
              <w:t>Music Streaming Service</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9,541</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13,599,572</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16,219,700</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6.05%</w:t>
            </w:r>
          </w:p>
        </w:tc>
      </w:tr>
      <w:tr>
        <w:trPr>
          <w:trHeight w:val="135"/>
        </w:trPr>
        <w:tc>
          <w:tcPr>
            <w:tcW w:w="2580" w:type="dxa"/>
            <w:vAlign w:val="bottom"/>
            <w:tcBorders>
              <w:left w:val="single" w:sz="8" w:color="CCEEFF"/>
            </w:tcBorders>
            <w:gridSpan w:val="9"/>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Coursera,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7"/>
              </w:rPr>
              <w:t>Mountain View,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3"/>
              </w:rPr>
              <w:t>Online Education</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2,961,399</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14,519,519</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14,435,486</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5.39%</w:t>
            </w:r>
          </w:p>
        </w:tc>
      </w:tr>
      <w:tr>
        <w:trPr>
          <w:trHeight w:val="135"/>
        </w:trPr>
        <w:tc>
          <w:tcPr>
            <w:tcW w:w="2580" w:type="dxa"/>
            <w:vAlign w:val="bottom"/>
            <w:tcBorders>
              <w:left w:val="single" w:sz="8" w:color="CCEEFF"/>
            </w:tcBorders>
            <w:gridSpan w:val="9"/>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Solexel,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rPr>
              <w:t>Milpitas,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D</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4"/>
              </w:rPr>
              <w:t>Solar Power</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1,613,413</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2,419,751</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2,420,120</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0.90%</w:t>
            </w:r>
          </w:p>
        </w:tc>
      </w:tr>
      <w:tr>
        <w:trPr>
          <w:trHeight w:val="149"/>
        </w:trPr>
        <w:tc>
          <w:tcPr>
            <w:tcW w:w="2580" w:type="dxa"/>
            <w:vAlign w:val="bottom"/>
            <w:tcBorders>
              <w:left w:val="single" w:sz="8" w:color="CCEEFF"/>
            </w:tcBorders>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C</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5,300,158</w:t>
            </w:r>
          </w:p>
        </w:tc>
        <w:tc>
          <w:tcPr>
            <w:tcW w:w="10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11,598,648</w:t>
            </w:r>
          </w:p>
        </w:tc>
        <w:tc>
          <w:tcPr>
            <w:tcW w:w="12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11,607,346</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4.33%</w:t>
            </w:r>
          </w:p>
        </w:tc>
      </w:tr>
      <w:tr>
        <w:trPr>
          <w:trHeight w:val="20"/>
        </w:trPr>
        <w:tc>
          <w:tcPr>
            <w:tcW w:w="58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14,018,399</w:t>
            </w: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14,027,466</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5.23%</w:t>
            </w:r>
          </w:p>
        </w:tc>
      </w:tr>
      <w:tr>
        <w:trPr>
          <w:trHeight w:val="169"/>
        </w:trPr>
        <w:tc>
          <w:tcPr>
            <w:tcW w:w="2580" w:type="dxa"/>
            <w:vAlign w:val="bottom"/>
            <w:tcBorders>
              <w:left w:val="single" w:sz="8" w:color="CCEEFF"/>
            </w:tcBorders>
            <w:gridSpan w:val="9"/>
            <w:shd w:val="clear" w:color="auto" w:fill="CCEEFF"/>
          </w:tcPr>
          <w:p>
            <w:pPr>
              <w:ind w:left="20"/>
              <w:spacing w:after="0" w:line="169" w:lineRule="exact"/>
              <w:rPr>
                <w:sz w:val="20"/>
                <w:szCs w:val="20"/>
                <w:color w:val="auto"/>
              </w:rPr>
            </w:pPr>
            <w:r>
              <w:rPr>
                <w:rFonts w:ascii="Arial" w:cs="Arial" w:eastAsia="Arial" w:hAnsi="Arial"/>
                <w:sz w:val="12"/>
                <w:szCs w:val="12"/>
                <w:b w:val="1"/>
                <w:bCs w:val="1"/>
                <w:color w:val="auto"/>
              </w:rPr>
              <w:t>PayNearMe, Inc.</w:t>
            </w:r>
            <w:r>
              <w:rPr>
                <w:rFonts w:ascii="Arial" w:cs="Arial" w:eastAsia="Arial" w:hAnsi="Arial"/>
                <w:sz w:val="19"/>
                <w:szCs w:val="19"/>
                <w:b w:val="1"/>
                <w:bCs w:val="1"/>
                <w:color w:val="auto"/>
                <w:vertAlign w:val="superscript"/>
              </w:rPr>
              <w:t>(1)</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Sunnyvale, CA</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tcBorders>
              <w:top w:val="single" w:sz="8" w:color="auto"/>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tcBorders>
              <w:top w:val="single" w:sz="8" w:color="auto"/>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E</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2"/>
              </w:rPr>
              <w:t>Cash Payment Network</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5,480,348</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14,000,398</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13,974,887</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5.21%</w:t>
            </w:r>
          </w:p>
        </w:tc>
      </w:tr>
      <w:tr>
        <w:trPr>
          <w:trHeight w:val="135"/>
        </w:trPr>
        <w:tc>
          <w:tcPr>
            <w:tcW w:w="2580" w:type="dxa"/>
            <w:vAlign w:val="bottom"/>
            <w:tcBorders>
              <w:left w:val="single" w:sz="8" w:color="CCEEFF"/>
            </w:tcBorders>
            <w:gridSpan w:val="9"/>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Lyft,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2"/>
              </w:rPr>
              <w:t>San Francisco,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E</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1"/>
              </w:rPr>
              <w:t>Peer to Peer Ridesharing</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128,563</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2,503,585</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2,976,876</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1.11%</w:t>
            </w:r>
          </w:p>
        </w:tc>
      </w:tr>
      <w:tr>
        <w:trPr>
          <w:trHeight w:val="149"/>
        </w:trPr>
        <w:tc>
          <w:tcPr>
            <w:tcW w:w="2580" w:type="dxa"/>
            <w:vAlign w:val="bottom"/>
            <w:tcBorders>
              <w:left w:val="single" w:sz="8" w:color="CCEEFF"/>
            </w:tcBorders>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D</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493,490</w:t>
            </w:r>
          </w:p>
        </w:tc>
        <w:tc>
          <w:tcPr>
            <w:tcW w:w="10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5,003,631</w:t>
            </w:r>
          </w:p>
        </w:tc>
        <w:tc>
          <w:tcPr>
            <w:tcW w:w="12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10,992,490</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4.10%</w:t>
            </w:r>
          </w:p>
        </w:tc>
      </w:tr>
      <w:tr>
        <w:trPr>
          <w:trHeight w:val="20"/>
        </w:trPr>
        <w:tc>
          <w:tcPr>
            <w:tcW w:w="58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7,507,216</w:t>
            </w: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13,969,366</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5.21%</w:t>
            </w:r>
          </w:p>
        </w:tc>
      </w:tr>
      <w:tr>
        <w:trPr>
          <w:trHeight w:val="169"/>
        </w:trPr>
        <w:tc>
          <w:tcPr>
            <w:tcW w:w="2580" w:type="dxa"/>
            <w:vAlign w:val="bottom"/>
            <w:tcBorders>
              <w:left w:val="single" w:sz="8" w:color="CCEEFF"/>
            </w:tcBorders>
            <w:gridSpan w:val="9"/>
            <w:shd w:val="clear" w:color="auto" w:fill="CCEEFF"/>
          </w:tcPr>
          <w:p>
            <w:pPr>
              <w:ind w:left="20"/>
              <w:spacing w:after="0" w:line="169" w:lineRule="exact"/>
              <w:rPr>
                <w:sz w:val="20"/>
                <w:szCs w:val="20"/>
                <w:color w:val="auto"/>
              </w:rPr>
            </w:pPr>
            <w:r>
              <w:rPr>
                <w:rFonts w:ascii="Arial" w:cs="Arial" w:eastAsia="Arial" w:hAnsi="Arial"/>
                <w:sz w:val="12"/>
                <w:szCs w:val="12"/>
                <w:b w:val="1"/>
                <w:bCs w:val="1"/>
                <w:color w:val="auto"/>
              </w:rPr>
              <w:t>Declara, Inc.</w:t>
            </w:r>
            <w:r>
              <w:rPr>
                <w:rFonts w:ascii="Arial" w:cs="Arial" w:eastAsia="Arial" w:hAnsi="Arial"/>
                <w:sz w:val="19"/>
                <w:szCs w:val="19"/>
                <w:b w:val="1"/>
                <w:bCs w:val="1"/>
                <w:color w:val="auto"/>
                <w:vertAlign w:val="superscript"/>
              </w:rPr>
              <w:t>(1)(12)</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tcBorders>
              <w:top w:val="single" w:sz="8" w:color="auto"/>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tcBorders>
              <w:top w:val="single" w:sz="8" w:color="auto"/>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23"/>
        </w:trPr>
        <w:tc>
          <w:tcPr>
            <w:tcW w:w="2580" w:type="dxa"/>
            <w:vAlign w:val="bottom"/>
            <w:gridSpan w:val="9"/>
          </w:tcPr>
          <w:p>
            <w:pPr>
              <w:ind w:left="20"/>
              <w:spacing w:after="0" w:line="123" w:lineRule="exact"/>
              <w:rPr>
                <w:sz w:val="20"/>
                <w:szCs w:val="20"/>
                <w:color w:val="auto"/>
              </w:rPr>
            </w:pPr>
            <w:r>
              <w:rPr>
                <w:rFonts w:ascii="Arial" w:cs="Arial" w:eastAsia="Arial" w:hAnsi="Arial"/>
                <w:sz w:val="14"/>
                <w:szCs w:val="14"/>
                <w:color w:val="auto"/>
              </w:rPr>
              <w:t>Convertible Promissory Note 6%</w:t>
            </w:r>
          </w:p>
        </w:tc>
        <w:tc>
          <w:tcPr>
            <w:tcW w:w="1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167"/>
        </w:trPr>
        <w:tc>
          <w:tcPr>
            <w:tcW w:w="2580" w:type="dxa"/>
            <w:vAlign w:val="bottom"/>
            <w:gridSpan w:val="9"/>
          </w:tcPr>
          <w:p>
            <w:pPr>
              <w:ind w:left="200"/>
              <w:spacing w:after="0"/>
              <w:rPr>
                <w:sz w:val="20"/>
                <w:szCs w:val="20"/>
                <w:color w:val="auto"/>
              </w:rPr>
            </w:pPr>
            <w:r>
              <w:rPr>
                <w:rFonts w:ascii="Arial" w:cs="Arial" w:eastAsia="Arial" w:hAnsi="Arial"/>
                <w:sz w:val="14"/>
                <w:szCs w:val="14"/>
                <w:color w:val="auto"/>
              </w:rPr>
              <w:t>Due 12/30/16***</w:t>
            </w:r>
          </w:p>
        </w:tc>
        <w:tc>
          <w:tcPr>
            <w:tcW w:w="10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6"/>
              </w:rPr>
              <w:t>Palo Alto, CA</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  2,000,000</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2,000,000</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2,000,000</w:t>
            </w:r>
          </w:p>
        </w:tc>
        <w:tc>
          <w:tcPr>
            <w:tcW w:w="780" w:type="dxa"/>
            <w:vAlign w:val="bottom"/>
            <w:gridSpan w:val="3"/>
          </w:tcPr>
          <w:p>
            <w:pPr>
              <w:jc w:val="right"/>
              <w:ind w:right="80"/>
              <w:spacing w:after="0"/>
              <w:rPr>
                <w:sz w:val="20"/>
                <w:szCs w:val="20"/>
                <w:color w:val="auto"/>
              </w:rPr>
            </w:pPr>
            <w:r>
              <w:rPr>
                <w:rFonts w:ascii="Arial" w:cs="Arial" w:eastAsia="Arial" w:hAnsi="Arial"/>
                <w:sz w:val="14"/>
                <w:szCs w:val="14"/>
                <w:color w:val="auto"/>
              </w:rPr>
              <w:t>0.75%</w:t>
            </w:r>
          </w:p>
        </w:tc>
      </w:tr>
      <w:tr>
        <w:trPr>
          <w:trHeight w:val="149"/>
        </w:trPr>
        <w:tc>
          <w:tcPr>
            <w:tcW w:w="2580" w:type="dxa"/>
            <w:vAlign w:val="bottom"/>
            <w:tcBorders>
              <w:left w:val="single" w:sz="8" w:color="CCEEFF"/>
            </w:tcBorders>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Social Cognitive Learning</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10,716,390</w:t>
            </w:r>
          </w:p>
        </w:tc>
        <w:tc>
          <w:tcPr>
            <w:tcW w:w="10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9,999,999</w:t>
            </w:r>
          </w:p>
        </w:tc>
        <w:tc>
          <w:tcPr>
            <w:tcW w:w="12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9,999,999</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3.73%</w:t>
            </w:r>
          </w:p>
        </w:tc>
      </w:tr>
      <w:tr>
        <w:trPr>
          <w:trHeight w:val="20"/>
        </w:trPr>
        <w:tc>
          <w:tcPr>
            <w:tcW w:w="58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11,999,999</w:t>
            </w: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11,999,999</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4.48%</w:t>
            </w:r>
          </w:p>
        </w:tc>
      </w:tr>
      <w:tr>
        <w:trPr>
          <w:trHeight w:val="129"/>
        </w:trPr>
        <w:tc>
          <w:tcPr>
            <w:tcW w:w="2580" w:type="dxa"/>
            <w:vAlign w:val="bottom"/>
            <w:tcBorders>
              <w:left w:val="single" w:sz="8" w:color="CCEEFF"/>
            </w:tcBorders>
            <w:gridSpan w:val="9"/>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General Assembly Space,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rPr>
              <w:t>New York, NY</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C</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3"/>
              </w:rPr>
              <w:t>Online Education</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126,552</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2,999,978</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5,765,799</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2.15%</w:t>
            </w:r>
          </w:p>
        </w:tc>
      </w:tr>
      <w:tr>
        <w:trPr>
          <w:trHeight w:val="149"/>
        </w:trPr>
        <w:tc>
          <w:tcPr>
            <w:tcW w:w="2580" w:type="dxa"/>
            <w:vAlign w:val="bottom"/>
            <w:tcBorders>
              <w:left w:val="single" w:sz="8" w:color="CCEEFF"/>
            </w:tcBorders>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133,213</w:t>
            </w:r>
          </w:p>
        </w:tc>
        <w:tc>
          <w:tcPr>
            <w:tcW w:w="10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2,999,983</w:t>
            </w:r>
          </w:p>
        </w:tc>
        <w:tc>
          <w:tcPr>
            <w:tcW w:w="12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5,755,573</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2.15%</w:t>
            </w:r>
          </w:p>
        </w:tc>
      </w:tr>
      <w:tr>
        <w:trPr>
          <w:trHeight w:val="20"/>
        </w:trPr>
        <w:tc>
          <w:tcPr>
            <w:tcW w:w="58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5,999,961</w:t>
            </w: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11,521,372</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4.30%</w:t>
            </w:r>
          </w:p>
        </w:tc>
      </w:tr>
      <w:tr>
        <w:trPr>
          <w:trHeight w:val="129"/>
        </w:trPr>
        <w:tc>
          <w:tcPr>
            <w:tcW w:w="2580" w:type="dxa"/>
            <w:vAlign w:val="bottom"/>
            <w:tcBorders>
              <w:left w:val="single" w:sz="8" w:color="CCEEFF"/>
            </w:tcBorders>
            <w:gridSpan w:val="9"/>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Dataminr,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rPr>
              <w:t>New York, NY</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C</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7"/>
              </w:rPr>
              <w:t>Social Media Analytics</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301,369</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1,100,909</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2,845,044</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1.06%</w:t>
            </w:r>
          </w:p>
        </w:tc>
      </w:tr>
      <w:tr>
        <w:trPr>
          <w:trHeight w:val="149"/>
        </w:trPr>
        <w:tc>
          <w:tcPr>
            <w:tcW w:w="2580" w:type="dxa"/>
            <w:vAlign w:val="bottom"/>
            <w:tcBorders>
              <w:left w:val="single" w:sz="8" w:color="CCEEFF"/>
            </w:tcBorders>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904,977</w:t>
            </w:r>
          </w:p>
        </w:tc>
        <w:tc>
          <w:tcPr>
            <w:tcW w:w="10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2,063,356</w:t>
            </w:r>
          </w:p>
        </w:tc>
        <w:tc>
          <w:tcPr>
            <w:tcW w:w="12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8,543,345</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3.19%</w:t>
            </w:r>
          </w:p>
        </w:tc>
      </w:tr>
      <w:tr>
        <w:trPr>
          <w:trHeight w:val="20"/>
        </w:trPr>
        <w:tc>
          <w:tcPr>
            <w:tcW w:w="58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3,164,265</w:t>
            </w: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11,388,389</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4.25%</w:t>
            </w:r>
          </w:p>
        </w:tc>
      </w:tr>
      <w:tr>
        <w:trPr>
          <w:trHeight w:val="169"/>
        </w:trPr>
        <w:tc>
          <w:tcPr>
            <w:tcW w:w="2580" w:type="dxa"/>
            <w:vAlign w:val="bottom"/>
            <w:tcBorders>
              <w:left w:val="single" w:sz="8" w:color="CCEEFF"/>
            </w:tcBorders>
            <w:gridSpan w:val="9"/>
            <w:shd w:val="clear" w:color="auto" w:fill="CCEEFF"/>
          </w:tcPr>
          <w:p>
            <w:pPr>
              <w:ind w:left="20"/>
              <w:spacing w:after="0" w:line="169" w:lineRule="exact"/>
              <w:rPr>
                <w:sz w:val="20"/>
                <w:szCs w:val="20"/>
                <w:color w:val="auto"/>
              </w:rPr>
            </w:pPr>
            <w:r>
              <w:rPr>
                <w:rFonts w:ascii="Arial" w:cs="Arial" w:eastAsia="Arial" w:hAnsi="Arial"/>
                <w:sz w:val="12"/>
                <w:szCs w:val="12"/>
                <w:b w:val="1"/>
                <w:bCs w:val="1"/>
                <w:color w:val="auto"/>
              </w:rPr>
              <w:t>Avenues Global Holdings, LLC</w:t>
            </w:r>
            <w:r>
              <w:rPr>
                <w:rFonts w:ascii="Arial" w:cs="Arial" w:eastAsia="Arial" w:hAnsi="Arial"/>
                <w:sz w:val="19"/>
                <w:szCs w:val="19"/>
                <w:b w:val="1"/>
                <w:bCs w:val="1"/>
                <w:color w:val="auto"/>
                <w:vertAlign w:val="superscript"/>
              </w:rPr>
              <w:t>(3)</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New York, NY</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tcBorders>
              <w:top w:val="single" w:sz="8" w:color="auto"/>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tcBorders>
              <w:top w:val="single" w:sz="8" w:color="auto"/>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23"/>
        </w:trPr>
        <w:tc>
          <w:tcPr>
            <w:tcW w:w="2580" w:type="dxa"/>
            <w:vAlign w:val="bottom"/>
            <w:gridSpan w:val="9"/>
          </w:tcPr>
          <w:p>
            <w:pPr>
              <w:ind w:left="20"/>
              <w:spacing w:after="0" w:line="123" w:lineRule="exact"/>
              <w:rPr>
                <w:sz w:val="20"/>
                <w:szCs w:val="20"/>
                <w:color w:val="auto"/>
              </w:rPr>
            </w:pPr>
            <w:r>
              <w:rPr>
                <w:rFonts w:ascii="Arial" w:cs="Arial" w:eastAsia="Arial" w:hAnsi="Arial"/>
                <w:sz w:val="14"/>
                <w:szCs w:val="14"/>
                <w:color w:val="auto"/>
              </w:rPr>
              <w:t>Preferred shares, Junior Preferred Stock</w:t>
            </w:r>
          </w:p>
        </w:tc>
        <w:tc>
          <w:tcPr>
            <w:tcW w:w="100" w:type="dxa"/>
            <w:vAlign w:val="bottom"/>
          </w:tcPr>
          <w:p>
            <w:pPr>
              <w:spacing w:after="0"/>
              <w:rPr>
                <w:sz w:val="10"/>
                <w:szCs w:val="10"/>
                <w:color w:val="auto"/>
              </w:rPr>
            </w:pPr>
          </w:p>
        </w:tc>
        <w:tc>
          <w:tcPr>
            <w:tcW w:w="1840" w:type="dxa"/>
            <w:vAlign w:val="bottom"/>
          </w:tcPr>
          <w:p>
            <w:pPr>
              <w:jc w:val="center"/>
              <w:spacing w:after="0" w:line="123" w:lineRule="exact"/>
              <w:rPr>
                <w:sz w:val="20"/>
                <w:szCs w:val="20"/>
                <w:color w:val="auto"/>
              </w:rPr>
            </w:pPr>
            <w:r>
              <w:rPr>
                <w:rFonts w:ascii="Arial" w:cs="Arial" w:eastAsia="Arial" w:hAnsi="Arial"/>
                <w:sz w:val="14"/>
                <w:szCs w:val="14"/>
                <w:color w:val="auto"/>
                <w:w w:val="94"/>
              </w:rPr>
              <w:t>Globally-focused Private</w:t>
            </w: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167"/>
        </w:trPr>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3"/>
              </w:rPr>
              <w:t>School</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10,014,270</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10,151,857</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11,015,633</w:t>
            </w:r>
          </w:p>
        </w:tc>
        <w:tc>
          <w:tcPr>
            <w:tcW w:w="780" w:type="dxa"/>
            <w:vAlign w:val="bottom"/>
            <w:gridSpan w:val="3"/>
          </w:tcPr>
          <w:p>
            <w:pPr>
              <w:jc w:val="right"/>
              <w:ind w:right="80"/>
              <w:spacing w:after="0"/>
              <w:rPr>
                <w:sz w:val="20"/>
                <w:szCs w:val="20"/>
                <w:color w:val="auto"/>
              </w:rPr>
            </w:pPr>
            <w:r>
              <w:rPr>
                <w:rFonts w:ascii="Arial" w:cs="Arial" w:eastAsia="Arial" w:hAnsi="Arial"/>
                <w:sz w:val="14"/>
                <w:szCs w:val="14"/>
                <w:color w:val="auto"/>
              </w:rPr>
              <w:t>4.11%</w:t>
            </w:r>
          </w:p>
        </w:tc>
      </w:tr>
      <w:tr>
        <w:trPr>
          <w:trHeight w:val="135"/>
        </w:trPr>
        <w:tc>
          <w:tcPr>
            <w:tcW w:w="2580" w:type="dxa"/>
            <w:vAlign w:val="bottom"/>
            <w:tcBorders>
              <w:left w:val="single" w:sz="8" w:color="CCEEFF"/>
            </w:tcBorders>
            <w:gridSpan w:val="9"/>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JAMF Holdings,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9"/>
              </w:rPr>
              <w:t>Minneapolis, MN</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76"/>
        </w:trPr>
        <w:tc>
          <w:tcPr>
            <w:tcW w:w="2580" w:type="dxa"/>
            <w:vAlign w:val="bottom"/>
            <w:gridSpan w:val="9"/>
          </w:tcPr>
          <w:p>
            <w:pPr>
              <w:ind w:left="20"/>
              <w:spacing w:after="0"/>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4"/>
              </w:rPr>
              <w:t>Mobile Device Management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73,440</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9,999,928</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10,722,799</w:t>
            </w:r>
          </w:p>
        </w:tc>
        <w:tc>
          <w:tcPr>
            <w:tcW w:w="780" w:type="dxa"/>
            <w:vAlign w:val="bottom"/>
            <w:gridSpan w:val="3"/>
          </w:tcPr>
          <w:p>
            <w:pPr>
              <w:jc w:val="right"/>
              <w:ind w:right="80"/>
              <w:spacing w:after="0"/>
              <w:rPr>
                <w:sz w:val="20"/>
                <w:szCs w:val="20"/>
                <w:color w:val="auto"/>
              </w:rPr>
            </w:pPr>
            <w:r>
              <w:rPr>
                <w:rFonts w:ascii="Arial" w:cs="Arial" w:eastAsia="Arial" w:hAnsi="Arial"/>
                <w:sz w:val="14"/>
                <w:szCs w:val="14"/>
                <w:color w:val="auto"/>
              </w:rPr>
              <w:t>4.00%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-3896995</wp:posOffset>
            </wp:positionV>
            <wp:extent cx="5213985" cy="1117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-3502660</wp:posOffset>
            </wp:positionV>
            <wp:extent cx="5213985" cy="1117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-2541905</wp:posOffset>
            </wp:positionV>
            <wp:extent cx="5213985" cy="1117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-1932940</wp:posOffset>
            </wp:positionV>
            <wp:extent cx="5213985" cy="1117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-1418590</wp:posOffset>
            </wp:positionV>
            <wp:extent cx="5213985" cy="1117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-1024255</wp:posOffset>
            </wp:positionV>
            <wp:extent cx="5213985" cy="1117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-629920</wp:posOffset>
            </wp:positionV>
            <wp:extent cx="5213985" cy="1117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213985" cy="11176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2620"/>
        <w:spacing w:after="0"/>
        <w:rPr>
          <w:sz w:val="20"/>
          <w:szCs w:val="20"/>
          <w:color w:val="auto"/>
        </w:rPr>
      </w:pPr>
      <w:r>
        <w:rPr>
          <w:rFonts w:ascii="Arial" w:cs="Arial" w:eastAsia="Arial" w:hAnsi="Arial"/>
          <w:sz w:val="18"/>
          <w:szCs w:val="18"/>
          <w:i w:val="1"/>
          <w:iCs w:val="1"/>
          <w:color w:val="auto"/>
        </w:rPr>
        <w:t>See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5" w:name="page16"/>
    <w:bookmarkEnd w:id="15"/>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SCHEDULE OF INVESTMENTS – (continued)</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521398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169"/>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 of</w:t>
            </w:r>
          </w:p>
        </w:tc>
      </w:tr>
      <w:tr>
        <w:trPr>
          <w:trHeight w:val="153"/>
        </w:trPr>
        <w:tc>
          <w:tcPr>
            <w:tcW w:w="2580" w:type="dxa"/>
            <w:vAlign w:val="bottom"/>
            <w:tcBorders>
              <w:bottom w:val="single" w:sz="8" w:color="auto"/>
            </w:tcBorders>
            <w:gridSpan w:val="7"/>
          </w:tcPr>
          <w:p>
            <w:pPr>
              <w:ind w:left="20"/>
              <w:spacing w:after="0"/>
              <w:rPr>
                <w:sz w:val="20"/>
                <w:szCs w:val="20"/>
                <w:color w:val="auto"/>
              </w:rPr>
            </w:pPr>
            <w:r>
              <w:rPr>
                <w:rFonts w:ascii="Arial" w:cs="Arial" w:eastAsia="Arial" w:hAnsi="Arial"/>
                <w:sz w:val="13"/>
                <w:szCs w:val="13"/>
                <w:b w:val="1"/>
                <w:bCs w:val="1"/>
                <w:color w:val="auto"/>
              </w:rPr>
              <w:t>Portfolio Investments*</w:t>
            </w:r>
          </w:p>
        </w:tc>
        <w:tc>
          <w:tcPr>
            <w:tcW w:w="100" w:type="dxa"/>
            <w:vAlign w:val="bottom"/>
          </w:tcPr>
          <w:p>
            <w:pPr>
              <w:spacing w:after="0"/>
              <w:rPr>
                <w:sz w:val="13"/>
                <w:szCs w:val="13"/>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Headquarters/Industry</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w w:val="98"/>
              </w:rPr>
              <w:t>Principal</w:t>
            </w:r>
          </w:p>
        </w:tc>
        <w:tc>
          <w:tcPr>
            <w:tcW w:w="100" w:type="dxa"/>
            <w:vAlign w:val="bottom"/>
          </w:tcPr>
          <w:p>
            <w:pPr>
              <w:spacing w:after="0"/>
              <w:rPr>
                <w:sz w:val="13"/>
                <w:szCs w:val="13"/>
                <w:color w:val="auto"/>
              </w:rPr>
            </w:pPr>
          </w:p>
        </w:tc>
        <w:tc>
          <w:tcPr>
            <w:tcW w:w="82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3"/>
                <w:szCs w:val="13"/>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w w:val="99"/>
              </w:rPr>
              <w:t>Fair Value</w:t>
            </w:r>
          </w:p>
        </w:tc>
        <w:tc>
          <w:tcPr>
            <w:tcW w:w="180" w:type="dxa"/>
            <w:vAlign w:val="bottom"/>
          </w:tcPr>
          <w:p>
            <w:pPr>
              <w:spacing w:after="0"/>
              <w:rPr>
                <w:sz w:val="13"/>
                <w:szCs w:val="13"/>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w w:val="89"/>
              </w:rPr>
              <w:t>Net Assets</w:t>
            </w:r>
          </w:p>
        </w:tc>
      </w:tr>
      <w:tr>
        <w:trPr>
          <w:trHeight w:val="169"/>
        </w:trPr>
        <w:tc>
          <w:tcPr>
            <w:tcW w:w="2580" w:type="dxa"/>
            <w:vAlign w:val="bottom"/>
            <w:gridSpan w:val="7"/>
            <w:shd w:val="clear" w:color="auto" w:fill="CCEEFF"/>
          </w:tcPr>
          <w:p>
            <w:pPr>
              <w:ind w:left="20"/>
              <w:spacing w:after="0" w:line="169" w:lineRule="exact"/>
              <w:rPr>
                <w:sz w:val="20"/>
                <w:szCs w:val="20"/>
                <w:color w:val="auto"/>
              </w:rPr>
            </w:pPr>
            <w:r>
              <w:rPr>
                <w:rFonts w:ascii="Arial" w:cs="Arial" w:eastAsia="Arial" w:hAnsi="Arial"/>
                <w:sz w:val="12"/>
                <w:szCs w:val="12"/>
                <w:b w:val="1"/>
                <w:bCs w:val="1"/>
                <w:color w:val="auto"/>
              </w:rPr>
              <w:t>Ozy Media, Inc.</w:t>
            </w:r>
            <w:r>
              <w:rPr>
                <w:rFonts w:ascii="Arial" w:cs="Arial" w:eastAsia="Arial" w:hAnsi="Arial"/>
                <w:sz w:val="19"/>
                <w:szCs w:val="19"/>
                <w:b w:val="1"/>
                <w:bCs w:val="1"/>
                <w:color w:val="auto"/>
                <w:vertAlign w:val="superscript"/>
              </w:rPr>
              <w:t>(1)</w:t>
            </w:r>
          </w:p>
        </w:tc>
        <w:tc>
          <w:tcPr>
            <w:tcW w:w="100" w:type="dxa"/>
            <w:vAlign w:val="bottom"/>
            <w:shd w:val="clear" w:color="auto" w:fill="CCEEFF"/>
          </w:tcPr>
          <w:p>
            <w:pPr>
              <w:spacing w:after="0"/>
              <w:rPr>
                <w:sz w:val="14"/>
                <w:szCs w:val="14"/>
                <w:color w:val="auto"/>
              </w:rPr>
            </w:pPr>
          </w:p>
        </w:tc>
        <w:tc>
          <w:tcPr>
            <w:tcW w:w="2080" w:type="dxa"/>
            <w:vAlign w:val="bottom"/>
            <w:gridSpan w:val="3"/>
            <w:shd w:val="clear" w:color="auto" w:fill="CCEEFF"/>
          </w:tcPr>
          <w:p>
            <w:pPr>
              <w:jc w:val="center"/>
              <w:ind w:right="200"/>
              <w:spacing w:after="0"/>
              <w:rPr>
                <w:sz w:val="20"/>
                <w:szCs w:val="20"/>
                <w:color w:val="auto"/>
              </w:rPr>
            </w:pPr>
            <w:r>
              <w:rPr>
                <w:rFonts w:ascii="Arial" w:cs="Arial" w:eastAsia="Arial" w:hAnsi="Arial"/>
                <w:sz w:val="14"/>
                <w:szCs w:val="14"/>
                <w:color w:val="auto"/>
                <w:w w:val="97"/>
              </w:rPr>
              <w:t>Mountain View, CA</w:t>
            </w: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CCEEFF"/>
          </w:tcPr>
          <w:p>
            <w:pPr>
              <w:spacing w:after="0" w:line="20" w:lineRule="exact"/>
              <w:rPr>
                <w:sz w:val="1"/>
                <w:szCs w:val="1"/>
                <w:color w:val="auto"/>
              </w:rPr>
            </w:pPr>
          </w:p>
        </w:tc>
        <w:tc>
          <w:tcPr>
            <w:tcW w:w="720" w:type="dxa"/>
            <w:vAlign w:val="bottom"/>
            <w:tcBorders>
              <w:left w:val="single" w:sz="8" w:color="CCEEFF"/>
            </w:tcBorders>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7"/>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2"/>
                <w:szCs w:val="12"/>
                <w:color w:val="auto"/>
              </w:rPr>
            </w:pPr>
          </w:p>
        </w:tc>
        <w:tc>
          <w:tcPr>
            <w:tcW w:w="2080" w:type="dxa"/>
            <w:vAlign w:val="bottom"/>
            <w:gridSpan w:val="3"/>
          </w:tcPr>
          <w:p>
            <w:pPr>
              <w:jc w:val="center"/>
              <w:ind w:right="200"/>
              <w:spacing w:after="0" w:line="142" w:lineRule="exact"/>
              <w:rPr>
                <w:sz w:val="20"/>
                <w:szCs w:val="20"/>
                <w:color w:val="auto"/>
              </w:rPr>
            </w:pPr>
            <w:r>
              <w:rPr>
                <w:rFonts w:ascii="Arial" w:cs="Arial" w:eastAsia="Arial" w:hAnsi="Arial"/>
                <w:sz w:val="14"/>
                <w:szCs w:val="14"/>
                <w:color w:val="auto"/>
                <w:w w:val="94"/>
              </w:rPr>
              <w:t>Daily News and</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922,509</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  4,999,999</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  4,690,178</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1.75%</w:t>
            </w:r>
          </w:p>
        </w:tc>
      </w:tr>
      <w:tr>
        <w:trPr>
          <w:trHeight w:val="149"/>
        </w:trPr>
        <w:tc>
          <w:tcPr>
            <w:tcW w:w="2580" w:type="dxa"/>
            <w:vAlign w:val="bottom"/>
            <w:gridSpan w:val="7"/>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208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7"/>
              </w:rPr>
              <w:t>Information Site</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1,090,909</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3,000,200</w:t>
            </w:r>
          </w:p>
        </w:tc>
        <w:tc>
          <w:tcPr>
            <w:tcW w:w="960" w:type="dxa"/>
            <w:vAlign w:val="bottom"/>
            <w:tcBorders>
              <w:lef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3,907,004</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1.46%</w:t>
            </w:r>
          </w:p>
        </w:tc>
      </w:tr>
      <w:tr>
        <w:trPr>
          <w:trHeight w:val="149"/>
        </w:trPr>
        <w:tc>
          <w:tcPr>
            <w:tcW w:w="2580" w:type="dxa"/>
            <w:vAlign w:val="bottom"/>
            <w:gridSpan w:val="7"/>
          </w:tcPr>
          <w:p>
            <w:pPr>
              <w:ind w:left="20"/>
              <w:spacing w:after="0" w:line="149" w:lineRule="exact"/>
              <w:rPr>
                <w:sz w:val="20"/>
                <w:szCs w:val="20"/>
                <w:color w:val="auto"/>
              </w:rPr>
            </w:pPr>
            <w:r>
              <w:rPr>
                <w:rFonts w:ascii="Arial" w:cs="Arial" w:eastAsia="Arial" w:hAnsi="Arial"/>
                <w:sz w:val="14"/>
                <w:szCs w:val="14"/>
                <w:color w:val="auto"/>
              </w:rPr>
              <w:t>Preferred shares, Series Seed</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1,531,812</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0.57%</w:t>
            </w: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6"/>
            <w:shd w:val="clear" w:color="auto" w:fill="CCEEFF"/>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8,500,199</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10,128,994</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3.78%</w:t>
            </w:r>
          </w:p>
        </w:tc>
      </w:tr>
      <w:tr>
        <w:trPr>
          <w:trHeight w:val="169"/>
        </w:trPr>
        <w:tc>
          <w:tcPr>
            <w:tcW w:w="2580" w:type="dxa"/>
            <w:vAlign w:val="bottom"/>
            <w:tcBorders>
              <w:top w:val="single" w:sz="8" w:color="CCEEFF"/>
            </w:tcBorders>
            <w:gridSpan w:val="7"/>
          </w:tcPr>
          <w:p>
            <w:pPr>
              <w:ind w:left="20"/>
              <w:spacing w:after="0" w:line="169" w:lineRule="exact"/>
              <w:rPr>
                <w:sz w:val="20"/>
                <w:szCs w:val="20"/>
                <w:color w:val="auto"/>
              </w:rPr>
            </w:pPr>
            <w:r>
              <w:rPr>
                <w:rFonts w:ascii="Arial" w:cs="Arial" w:eastAsia="Arial" w:hAnsi="Arial"/>
                <w:sz w:val="12"/>
                <w:szCs w:val="12"/>
                <w:b w:val="1"/>
                <w:bCs w:val="1"/>
                <w:color w:val="auto"/>
              </w:rPr>
              <w:t>Curious.com Inc.</w:t>
            </w:r>
            <w:r>
              <w:rPr>
                <w:rFonts w:ascii="Arial" w:cs="Arial" w:eastAsia="Arial" w:hAnsi="Arial"/>
                <w:sz w:val="19"/>
                <w:szCs w:val="19"/>
                <w:b w:val="1"/>
                <w:bCs w:val="1"/>
                <w:color w:val="auto"/>
                <w:vertAlign w:val="superscript"/>
              </w:rPr>
              <w:t>(1)</w:t>
            </w:r>
          </w:p>
        </w:tc>
        <w:tc>
          <w:tcPr>
            <w:tcW w:w="100" w:type="dxa"/>
            <w:vAlign w:val="bottom"/>
            <w:tcBorders>
              <w:top w:val="single" w:sz="8" w:color="CCEEFF"/>
            </w:tcBorders>
          </w:tcPr>
          <w:p>
            <w:pPr>
              <w:spacing w:after="0"/>
              <w:rPr>
                <w:sz w:val="14"/>
                <w:szCs w:val="14"/>
                <w:color w:val="auto"/>
              </w:rPr>
            </w:pPr>
          </w:p>
        </w:tc>
        <w:tc>
          <w:tcPr>
            <w:tcW w:w="2080" w:type="dxa"/>
            <w:vAlign w:val="bottom"/>
            <w:tcBorders>
              <w:top w:val="single" w:sz="8" w:color="CCEEFF"/>
            </w:tcBorders>
            <w:gridSpan w:val="3"/>
          </w:tcPr>
          <w:p>
            <w:pPr>
              <w:jc w:val="center"/>
              <w:ind w:right="200"/>
              <w:spacing w:after="0"/>
              <w:rPr>
                <w:sz w:val="20"/>
                <w:szCs w:val="20"/>
                <w:color w:val="auto"/>
              </w:rPr>
            </w:pPr>
            <w:r>
              <w:rPr>
                <w:rFonts w:ascii="Arial" w:cs="Arial" w:eastAsia="Arial" w:hAnsi="Arial"/>
                <w:sz w:val="14"/>
                <w:szCs w:val="14"/>
                <w:color w:val="auto"/>
                <w:w w:val="97"/>
              </w:rPr>
              <w:t>Menlo Park, CA</w:t>
            </w:r>
          </w:p>
        </w:tc>
        <w:tc>
          <w:tcPr>
            <w:tcW w:w="7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42"/>
        </w:trPr>
        <w:tc>
          <w:tcPr>
            <w:tcW w:w="2580" w:type="dxa"/>
            <w:vAlign w:val="bottom"/>
            <w:gridSpan w:val="7"/>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100" w:type="dxa"/>
            <w:vAlign w:val="bottom"/>
            <w:shd w:val="clear" w:color="auto" w:fill="CCEEFF"/>
          </w:tcPr>
          <w:p>
            <w:pPr>
              <w:spacing w:after="0"/>
              <w:rPr>
                <w:sz w:val="12"/>
                <w:szCs w:val="12"/>
                <w:color w:val="auto"/>
              </w:rPr>
            </w:pPr>
          </w:p>
        </w:tc>
        <w:tc>
          <w:tcPr>
            <w:tcW w:w="2080" w:type="dxa"/>
            <w:vAlign w:val="bottom"/>
            <w:gridSpan w:val="3"/>
            <w:shd w:val="clear" w:color="auto" w:fill="CCEEFF"/>
          </w:tcPr>
          <w:p>
            <w:pPr>
              <w:jc w:val="center"/>
              <w:ind w:right="200"/>
              <w:spacing w:after="0" w:line="142" w:lineRule="exact"/>
              <w:rPr>
                <w:sz w:val="20"/>
                <w:szCs w:val="20"/>
                <w:color w:val="auto"/>
              </w:rPr>
            </w:pPr>
            <w:r>
              <w:rPr>
                <w:rFonts w:ascii="Arial" w:cs="Arial" w:eastAsia="Arial" w:hAnsi="Arial"/>
                <w:sz w:val="14"/>
                <w:szCs w:val="14"/>
                <w:color w:val="auto"/>
                <w:w w:val="93"/>
              </w:rPr>
              <w:t>Online Education</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2,839,861</w:t>
            </w:r>
          </w:p>
        </w:tc>
        <w:tc>
          <w:tcPr>
            <w:tcW w:w="9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10,000,003</w:t>
            </w:r>
          </w:p>
        </w:tc>
        <w:tc>
          <w:tcPr>
            <w:tcW w:w="960" w:type="dxa"/>
            <w:vAlign w:val="bottom"/>
            <w:tcBorders>
              <w:left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9,996,311</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3.73%</w:t>
            </w:r>
          </w:p>
        </w:tc>
      </w:tr>
      <w:tr>
        <w:trPr>
          <w:trHeight w:val="135"/>
        </w:trPr>
        <w:tc>
          <w:tcPr>
            <w:tcW w:w="2580" w:type="dxa"/>
            <w:vAlign w:val="bottom"/>
            <w:gridSpan w:val="7"/>
          </w:tcPr>
          <w:p>
            <w:pPr>
              <w:ind w:left="20"/>
              <w:spacing w:after="0" w:line="135" w:lineRule="exact"/>
              <w:rPr>
                <w:sz w:val="20"/>
                <w:szCs w:val="20"/>
                <w:color w:val="auto"/>
              </w:rPr>
            </w:pPr>
            <w:r>
              <w:rPr>
                <w:rFonts w:ascii="Arial" w:cs="Arial" w:eastAsia="Arial" w:hAnsi="Arial"/>
                <w:sz w:val="14"/>
                <w:szCs w:val="14"/>
                <w:b w:val="1"/>
                <w:bCs w:val="1"/>
                <w:color w:val="auto"/>
              </w:rPr>
              <w:t>SugarCRM, Inc.</w:t>
            </w:r>
          </w:p>
        </w:tc>
        <w:tc>
          <w:tcPr>
            <w:tcW w:w="100" w:type="dxa"/>
            <w:vAlign w:val="bottom"/>
          </w:tcPr>
          <w:p>
            <w:pPr>
              <w:spacing w:after="0"/>
              <w:rPr>
                <w:sz w:val="11"/>
                <w:szCs w:val="11"/>
                <w:color w:val="auto"/>
              </w:rPr>
            </w:pPr>
          </w:p>
        </w:tc>
        <w:tc>
          <w:tcPr>
            <w:tcW w:w="2080" w:type="dxa"/>
            <w:vAlign w:val="bottom"/>
            <w:gridSpan w:val="3"/>
          </w:tcPr>
          <w:p>
            <w:pPr>
              <w:jc w:val="center"/>
              <w:ind w:right="200"/>
              <w:spacing w:after="0" w:line="135" w:lineRule="exact"/>
              <w:rPr>
                <w:sz w:val="20"/>
                <w:szCs w:val="20"/>
                <w:color w:val="auto"/>
              </w:rPr>
            </w:pPr>
            <w:r>
              <w:rPr>
                <w:rFonts w:ascii="Arial" w:cs="Arial" w:eastAsia="Arial" w:hAnsi="Arial"/>
                <w:sz w:val="14"/>
                <w:szCs w:val="14"/>
                <w:color w:val="auto"/>
                <w:w w:val="95"/>
              </w:rPr>
              <w:t>Cupertino, CA</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42"/>
        </w:trPr>
        <w:tc>
          <w:tcPr>
            <w:tcW w:w="2580" w:type="dxa"/>
            <w:vAlign w:val="bottom"/>
            <w:gridSpan w:val="7"/>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E</w:t>
            </w:r>
          </w:p>
        </w:tc>
        <w:tc>
          <w:tcPr>
            <w:tcW w:w="100" w:type="dxa"/>
            <w:vAlign w:val="bottom"/>
            <w:shd w:val="clear" w:color="auto" w:fill="CCEEFF"/>
          </w:tcPr>
          <w:p>
            <w:pPr>
              <w:spacing w:after="0"/>
              <w:rPr>
                <w:sz w:val="12"/>
                <w:szCs w:val="12"/>
                <w:color w:val="auto"/>
              </w:rPr>
            </w:pPr>
          </w:p>
        </w:tc>
        <w:tc>
          <w:tcPr>
            <w:tcW w:w="2080" w:type="dxa"/>
            <w:vAlign w:val="bottom"/>
            <w:gridSpan w:val="3"/>
            <w:shd w:val="clear" w:color="auto" w:fill="CCEEFF"/>
          </w:tcPr>
          <w:p>
            <w:pPr>
              <w:jc w:val="center"/>
              <w:ind w:right="200"/>
              <w:spacing w:after="0" w:line="142" w:lineRule="exact"/>
              <w:rPr>
                <w:sz w:val="20"/>
                <w:szCs w:val="20"/>
                <w:color w:val="auto"/>
              </w:rPr>
            </w:pPr>
            <w:r>
              <w:rPr>
                <w:rFonts w:ascii="Arial" w:cs="Arial" w:eastAsia="Arial" w:hAnsi="Arial"/>
                <w:sz w:val="14"/>
                <w:szCs w:val="14"/>
                <w:color w:val="auto"/>
                <w:w w:val="93"/>
              </w:rPr>
              <w:t>Customer Relationship</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373,134</w:t>
            </w:r>
          </w:p>
        </w:tc>
        <w:tc>
          <w:tcPr>
            <w:tcW w:w="9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1,500,522</w:t>
            </w:r>
          </w:p>
        </w:tc>
        <w:tc>
          <w:tcPr>
            <w:tcW w:w="960" w:type="dxa"/>
            <w:vAlign w:val="bottom"/>
            <w:tcBorders>
              <w:left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2,152,983</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0.80%</w:t>
            </w:r>
          </w:p>
        </w:tc>
      </w:tr>
      <w:tr>
        <w:trPr>
          <w:trHeight w:val="149"/>
        </w:trPr>
        <w:tc>
          <w:tcPr>
            <w:tcW w:w="2580" w:type="dxa"/>
            <w:vAlign w:val="bottom"/>
            <w:gridSpan w:val="7"/>
          </w:tcPr>
          <w:p>
            <w:pPr>
              <w:ind w:left="20"/>
              <w:spacing w:after="0" w:line="149" w:lineRule="exact"/>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2"/>
                <w:szCs w:val="12"/>
                <w:color w:val="auto"/>
              </w:rPr>
            </w:pPr>
          </w:p>
        </w:tc>
        <w:tc>
          <w:tcPr>
            <w:tcW w:w="208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4"/>
              </w:rPr>
              <w:t>Manager</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1,524,799</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5,476,502</w:t>
            </w: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7,830,323</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2.92%</w:t>
            </w: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6"/>
            <w:shd w:val="clear" w:color="auto" w:fill="CCEEFF"/>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6,977,024</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9,983,306</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3.72%</w:t>
            </w:r>
          </w:p>
        </w:tc>
      </w:tr>
      <w:tr>
        <w:trPr>
          <w:trHeight w:val="169"/>
        </w:trPr>
        <w:tc>
          <w:tcPr>
            <w:tcW w:w="2580" w:type="dxa"/>
            <w:vAlign w:val="bottom"/>
            <w:tcBorders>
              <w:top w:val="single" w:sz="8" w:color="CCEEFF"/>
            </w:tcBorders>
            <w:gridSpan w:val="7"/>
          </w:tcPr>
          <w:p>
            <w:pPr>
              <w:ind w:left="20"/>
              <w:spacing w:after="0" w:line="169" w:lineRule="exact"/>
              <w:rPr>
                <w:sz w:val="20"/>
                <w:szCs w:val="20"/>
                <w:color w:val="auto"/>
              </w:rPr>
            </w:pPr>
            <w:r>
              <w:rPr>
                <w:rFonts w:ascii="Arial" w:cs="Arial" w:eastAsia="Arial" w:hAnsi="Arial"/>
                <w:sz w:val="12"/>
                <w:szCs w:val="12"/>
                <w:b w:val="1"/>
                <w:bCs w:val="1"/>
                <w:color w:val="auto"/>
              </w:rPr>
              <w:t>StormWind, LLC</w:t>
            </w:r>
            <w:r>
              <w:rPr>
                <w:rFonts w:ascii="Arial" w:cs="Arial" w:eastAsia="Arial" w:hAnsi="Arial"/>
                <w:sz w:val="19"/>
                <w:szCs w:val="19"/>
                <w:b w:val="1"/>
                <w:bCs w:val="1"/>
                <w:color w:val="auto"/>
                <w:vertAlign w:val="superscript"/>
              </w:rPr>
              <w:t>(2)(5)</w:t>
            </w:r>
          </w:p>
        </w:tc>
        <w:tc>
          <w:tcPr>
            <w:tcW w:w="100" w:type="dxa"/>
            <w:vAlign w:val="bottom"/>
            <w:tcBorders>
              <w:top w:val="single" w:sz="8" w:color="CCEEFF"/>
            </w:tcBorders>
          </w:tcPr>
          <w:p>
            <w:pPr>
              <w:spacing w:after="0"/>
              <w:rPr>
                <w:sz w:val="14"/>
                <w:szCs w:val="14"/>
                <w:color w:val="auto"/>
              </w:rPr>
            </w:pPr>
          </w:p>
        </w:tc>
        <w:tc>
          <w:tcPr>
            <w:tcW w:w="2080" w:type="dxa"/>
            <w:vAlign w:val="bottom"/>
            <w:tcBorders>
              <w:top w:val="single" w:sz="8" w:color="CCEEFF"/>
            </w:tcBorders>
            <w:gridSpan w:val="3"/>
          </w:tcPr>
          <w:p>
            <w:pPr>
              <w:jc w:val="center"/>
              <w:ind w:right="200"/>
              <w:spacing w:after="0"/>
              <w:rPr>
                <w:sz w:val="20"/>
                <w:szCs w:val="20"/>
                <w:color w:val="auto"/>
              </w:rPr>
            </w:pPr>
            <w:r>
              <w:rPr>
                <w:rFonts w:ascii="Arial" w:cs="Arial" w:eastAsia="Arial" w:hAnsi="Arial"/>
                <w:sz w:val="14"/>
                <w:szCs w:val="14"/>
                <w:color w:val="auto"/>
                <w:w w:val="92"/>
              </w:rPr>
              <w:t>Scottsdale, AZ</w:t>
            </w:r>
          </w:p>
        </w:tc>
        <w:tc>
          <w:tcPr>
            <w:tcW w:w="7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720" w:type="dxa"/>
            <w:vAlign w:val="bottom"/>
            <w:tcBorders>
              <w:lef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42"/>
        </w:trPr>
        <w:tc>
          <w:tcPr>
            <w:tcW w:w="2580" w:type="dxa"/>
            <w:vAlign w:val="bottom"/>
            <w:gridSpan w:val="7"/>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C</w:t>
            </w:r>
          </w:p>
        </w:tc>
        <w:tc>
          <w:tcPr>
            <w:tcW w:w="100" w:type="dxa"/>
            <w:vAlign w:val="bottom"/>
            <w:shd w:val="clear" w:color="auto" w:fill="CCEEFF"/>
          </w:tcPr>
          <w:p>
            <w:pPr>
              <w:spacing w:after="0"/>
              <w:rPr>
                <w:sz w:val="12"/>
                <w:szCs w:val="12"/>
                <w:color w:val="auto"/>
              </w:rPr>
            </w:pPr>
          </w:p>
        </w:tc>
        <w:tc>
          <w:tcPr>
            <w:tcW w:w="2080" w:type="dxa"/>
            <w:vAlign w:val="bottom"/>
            <w:gridSpan w:val="3"/>
            <w:shd w:val="clear" w:color="auto" w:fill="CCEEFF"/>
          </w:tcPr>
          <w:p>
            <w:pPr>
              <w:jc w:val="center"/>
              <w:ind w:right="200"/>
              <w:spacing w:after="0" w:line="142" w:lineRule="exact"/>
              <w:rPr>
                <w:sz w:val="20"/>
                <w:szCs w:val="20"/>
                <w:color w:val="auto"/>
              </w:rPr>
            </w:pPr>
            <w:r>
              <w:rPr>
                <w:rFonts w:ascii="Arial" w:cs="Arial" w:eastAsia="Arial" w:hAnsi="Arial"/>
                <w:sz w:val="14"/>
                <w:szCs w:val="14"/>
                <w:color w:val="auto"/>
                <w:w w:val="94"/>
              </w:rPr>
              <w:t>Interactive Learning</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2,779,134</w:t>
            </w:r>
          </w:p>
        </w:tc>
        <w:tc>
          <w:tcPr>
            <w:tcW w:w="9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4,000,787</w:t>
            </w:r>
          </w:p>
        </w:tc>
        <w:tc>
          <w:tcPr>
            <w:tcW w:w="960" w:type="dxa"/>
            <w:vAlign w:val="bottom"/>
            <w:tcBorders>
              <w:left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4,599,718</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1.72%</w:t>
            </w:r>
          </w:p>
        </w:tc>
      </w:tr>
      <w:tr>
        <w:trPr>
          <w:trHeight w:val="149"/>
        </w:trPr>
        <w:tc>
          <w:tcPr>
            <w:tcW w:w="2580" w:type="dxa"/>
            <w:vAlign w:val="bottom"/>
            <w:gridSpan w:val="7"/>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3,279,629</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2,019,687</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4,633,228</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1.73%</w:t>
            </w:r>
          </w:p>
        </w:tc>
      </w:tr>
      <w:tr>
        <w:trPr>
          <w:trHeight w:val="149"/>
        </w:trPr>
        <w:tc>
          <w:tcPr>
            <w:tcW w:w="2580" w:type="dxa"/>
            <w:vAlign w:val="bottom"/>
            <w:gridSpan w:val="7"/>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366,666</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110,000</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518,000</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0.19%</w:t>
            </w:r>
          </w:p>
        </w:tc>
      </w:tr>
      <w:tr>
        <w:trPr>
          <w:trHeight w:val="20"/>
        </w:trPr>
        <w:tc>
          <w:tcPr>
            <w:tcW w:w="2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720" w:type="dxa"/>
            <w:vAlign w:val="bottom"/>
            <w:tcBorders>
              <w:left w:val="single" w:sz="8" w:color="CCEEFF"/>
            </w:tcBorders>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gridSpan w:val="6"/>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rPr>
              <w:t>6,130,474</w:t>
            </w:r>
          </w:p>
        </w:tc>
        <w:tc>
          <w:tcPr>
            <w:tcW w:w="16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9,750,946</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3.64%</w:t>
            </w:r>
          </w:p>
        </w:tc>
      </w:tr>
      <w:tr>
        <w:trPr>
          <w:trHeight w:val="129"/>
        </w:trPr>
        <w:tc>
          <w:tcPr>
            <w:tcW w:w="2580" w:type="dxa"/>
            <w:vAlign w:val="bottom"/>
            <w:gridSpan w:val="7"/>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Chegg, Inc.**</w:t>
            </w:r>
          </w:p>
        </w:tc>
        <w:tc>
          <w:tcPr>
            <w:tcW w:w="100" w:type="dxa"/>
            <w:vAlign w:val="bottom"/>
            <w:shd w:val="clear" w:color="auto" w:fill="CCEEFF"/>
          </w:tcPr>
          <w:p>
            <w:pPr>
              <w:spacing w:after="0"/>
              <w:rPr>
                <w:sz w:val="11"/>
                <w:szCs w:val="11"/>
                <w:color w:val="auto"/>
              </w:rPr>
            </w:pPr>
          </w:p>
        </w:tc>
        <w:tc>
          <w:tcPr>
            <w:tcW w:w="2080" w:type="dxa"/>
            <w:vAlign w:val="bottom"/>
            <w:gridSpan w:val="3"/>
            <w:shd w:val="clear" w:color="auto" w:fill="CCEEFF"/>
          </w:tcPr>
          <w:p>
            <w:pPr>
              <w:jc w:val="center"/>
              <w:ind w:right="200"/>
              <w:spacing w:after="0" w:line="129" w:lineRule="exact"/>
              <w:rPr>
                <w:sz w:val="20"/>
                <w:szCs w:val="20"/>
                <w:color w:val="auto"/>
              </w:rPr>
            </w:pPr>
            <w:r>
              <w:rPr>
                <w:rFonts w:ascii="Arial" w:cs="Arial" w:eastAsia="Arial" w:hAnsi="Arial"/>
                <w:sz w:val="14"/>
                <w:szCs w:val="14"/>
                <w:color w:val="auto"/>
                <w:w w:val="90"/>
              </w:rPr>
              <w:t>Santa Clara, CA</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720" w:type="dxa"/>
            <w:vAlign w:val="bottom"/>
            <w:tcBorders>
              <w:left w:val="single" w:sz="8" w:color="CCEEFF"/>
            </w:tcBorders>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7"/>
          </w:tcPr>
          <w:p>
            <w:pPr>
              <w:ind w:left="20"/>
              <w:spacing w:after="0" w:line="142" w:lineRule="exact"/>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2"/>
                <w:szCs w:val="12"/>
                <w:color w:val="auto"/>
              </w:rPr>
            </w:pPr>
          </w:p>
        </w:tc>
        <w:tc>
          <w:tcPr>
            <w:tcW w:w="2080" w:type="dxa"/>
            <w:vAlign w:val="bottom"/>
            <w:gridSpan w:val="3"/>
          </w:tcPr>
          <w:p>
            <w:pPr>
              <w:jc w:val="center"/>
              <w:ind w:right="200"/>
              <w:spacing w:after="0" w:line="142" w:lineRule="exact"/>
              <w:rPr>
                <w:sz w:val="20"/>
                <w:szCs w:val="20"/>
                <w:color w:val="auto"/>
              </w:rPr>
            </w:pPr>
            <w:r>
              <w:rPr>
                <w:rFonts w:ascii="Arial" w:cs="Arial" w:eastAsia="Arial" w:hAnsi="Arial"/>
                <w:sz w:val="14"/>
                <w:szCs w:val="14"/>
                <w:color w:val="auto"/>
                <w:w w:val="94"/>
              </w:rPr>
              <w:t>Textbook Rental</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1,182,792</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14,022,863</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7,960,190</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2.97%</w:t>
            </w:r>
          </w:p>
        </w:tc>
      </w:tr>
      <w:tr>
        <w:trPr>
          <w:trHeight w:val="135"/>
        </w:trPr>
        <w:tc>
          <w:tcPr>
            <w:tcW w:w="2580" w:type="dxa"/>
            <w:vAlign w:val="bottom"/>
            <w:gridSpan w:val="7"/>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Lytro, Inc.</w:t>
            </w:r>
          </w:p>
        </w:tc>
        <w:tc>
          <w:tcPr>
            <w:tcW w:w="100" w:type="dxa"/>
            <w:vAlign w:val="bottom"/>
            <w:shd w:val="clear" w:color="auto" w:fill="CCEEFF"/>
          </w:tcPr>
          <w:p>
            <w:pPr>
              <w:spacing w:after="0"/>
              <w:rPr>
                <w:sz w:val="11"/>
                <w:szCs w:val="11"/>
                <w:color w:val="auto"/>
              </w:rPr>
            </w:pPr>
          </w:p>
        </w:tc>
        <w:tc>
          <w:tcPr>
            <w:tcW w:w="2080" w:type="dxa"/>
            <w:vAlign w:val="bottom"/>
            <w:gridSpan w:val="3"/>
            <w:shd w:val="clear" w:color="auto" w:fill="CCEEFF"/>
          </w:tcPr>
          <w:p>
            <w:pPr>
              <w:jc w:val="center"/>
              <w:ind w:right="200"/>
              <w:spacing w:after="0" w:line="135" w:lineRule="exact"/>
              <w:rPr>
                <w:sz w:val="20"/>
                <w:szCs w:val="20"/>
                <w:color w:val="auto"/>
              </w:rPr>
            </w:pPr>
            <w:r>
              <w:rPr>
                <w:rFonts w:ascii="Arial" w:cs="Arial" w:eastAsia="Arial" w:hAnsi="Arial"/>
                <w:sz w:val="14"/>
                <w:szCs w:val="14"/>
                <w:color w:val="auto"/>
                <w:w w:val="97"/>
              </w:rPr>
              <w:t>Mountain View, CA</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720" w:type="dxa"/>
            <w:vAlign w:val="bottom"/>
            <w:tcBorders>
              <w:left w:val="single" w:sz="8" w:color="CCEEFF"/>
            </w:tcBorders>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7"/>
          </w:tcPr>
          <w:p>
            <w:pPr>
              <w:ind w:left="20"/>
              <w:spacing w:after="0" w:line="142" w:lineRule="exact"/>
              <w:rPr>
                <w:sz w:val="20"/>
                <w:szCs w:val="20"/>
                <w:color w:val="auto"/>
              </w:rPr>
            </w:pPr>
            <w:r>
              <w:rPr>
                <w:rFonts w:ascii="Arial" w:cs="Arial" w:eastAsia="Arial" w:hAnsi="Arial"/>
                <w:sz w:val="14"/>
                <w:szCs w:val="14"/>
                <w:color w:val="auto"/>
              </w:rPr>
              <w:t>Preferred shares, Series C-1</w:t>
            </w:r>
          </w:p>
        </w:tc>
        <w:tc>
          <w:tcPr>
            <w:tcW w:w="100" w:type="dxa"/>
            <w:vAlign w:val="bottom"/>
          </w:tcPr>
          <w:p>
            <w:pPr>
              <w:spacing w:after="0"/>
              <w:rPr>
                <w:sz w:val="12"/>
                <w:szCs w:val="12"/>
                <w:color w:val="auto"/>
              </w:rPr>
            </w:pPr>
          </w:p>
        </w:tc>
        <w:tc>
          <w:tcPr>
            <w:tcW w:w="2080" w:type="dxa"/>
            <w:vAlign w:val="bottom"/>
            <w:gridSpan w:val="3"/>
          </w:tcPr>
          <w:p>
            <w:pPr>
              <w:jc w:val="center"/>
              <w:ind w:right="200"/>
              <w:spacing w:after="0" w:line="142" w:lineRule="exact"/>
              <w:rPr>
                <w:sz w:val="20"/>
                <w:szCs w:val="20"/>
                <w:color w:val="auto"/>
              </w:rPr>
            </w:pPr>
            <w:r>
              <w:rPr>
                <w:rFonts w:ascii="Arial" w:cs="Arial" w:eastAsia="Arial" w:hAnsi="Arial"/>
                <w:sz w:val="14"/>
                <w:szCs w:val="14"/>
                <w:color w:val="auto"/>
                <w:w w:val="93"/>
              </w:rPr>
              <w:t>Consumer Electronics</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2,533,784</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7,500,001</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7,500,001</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2.80%</w:t>
            </w:r>
          </w:p>
        </w:tc>
      </w:tr>
      <w:tr>
        <w:trPr>
          <w:trHeight w:val="176"/>
        </w:trPr>
        <w:tc>
          <w:tcPr>
            <w:tcW w:w="2580" w:type="dxa"/>
            <w:vAlign w:val="bottom"/>
            <w:gridSpan w:val="7"/>
            <w:shd w:val="clear" w:color="auto" w:fill="CCEEFF"/>
          </w:tcPr>
          <w:p>
            <w:pPr>
              <w:ind w:left="20"/>
              <w:spacing w:after="0" w:line="176" w:lineRule="exact"/>
              <w:rPr>
                <w:sz w:val="20"/>
                <w:szCs w:val="20"/>
                <w:color w:val="auto"/>
              </w:rPr>
            </w:pPr>
            <w:r>
              <w:rPr>
                <w:rFonts w:ascii="Arial" w:cs="Arial" w:eastAsia="Arial" w:hAnsi="Arial"/>
                <w:sz w:val="13"/>
                <w:szCs w:val="13"/>
                <w:b w:val="1"/>
                <w:bCs w:val="1"/>
                <w:color w:val="auto"/>
              </w:rPr>
              <w:t>NestGSV, Inc. (d/b/a GSV Labs, Inc.)</w:t>
            </w:r>
            <w:r>
              <w:rPr>
                <w:rFonts w:ascii="Arial" w:cs="Arial" w:eastAsia="Arial" w:hAnsi="Arial"/>
                <w:sz w:val="20"/>
                <w:szCs w:val="20"/>
                <w:b w:val="1"/>
                <w:bCs w:val="1"/>
                <w:color w:val="auto"/>
                <w:vertAlign w:val="superscript"/>
              </w:rPr>
              <w:t>(2)</w:t>
            </w:r>
          </w:p>
        </w:tc>
        <w:tc>
          <w:tcPr>
            <w:tcW w:w="100" w:type="dxa"/>
            <w:vAlign w:val="bottom"/>
            <w:shd w:val="clear" w:color="auto" w:fill="CCEEFF"/>
          </w:tcPr>
          <w:p>
            <w:pPr>
              <w:spacing w:after="0"/>
              <w:rPr>
                <w:sz w:val="15"/>
                <w:szCs w:val="15"/>
                <w:color w:val="auto"/>
              </w:rPr>
            </w:pPr>
          </w:p>
        </w:tc>
        <w:tc>
          <w:tcPr>
            <w:tcW w:w="2080" w:type="dxa"/>
            <w:vAlign w:val="bottom"/>
            <w:gridSpan w:val="3"/>
            <w:shd w:val="clear" w:color="auto" w:fill="CCEEFF"/>
          </w:tcPr>
          <w:p>
            <w:pPr>
              <w:jc w:val="center"/>
              <w:ind w:right="200"/>
              <w:spacing w:after="0"/>
              <w:rPr>
                <w:sz w:val="20"/>
                <w:szCs w:val="20"/>
                <w:color w:val="auto"/>
              </w:rPr>
            </w:pPr>
            <w:r>
              <w:rPr>
                <w:rFonts w:ascii="Arial" w:cs="Arial" w:eastAsia="Arial" w:hAnsi="Arial"/>
                <w:sz w:val="14"/>
                <w:szCs w:val="14"/>
                <w:color w:val="auto"/>
                <w:w w:val="94"/>
              </w:rPr>
              <w:t>Redwood City, CA</w:t>
            </w: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720" w:type="dxa"/>
            <w:vAlign w:val="bottom"/>
            <w:tcBorders>
              <w:lef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7"/>
          </w:tcPr>
          <w:p>
            <w:pPr>
              <w:ind w:left="20"/>
              <w:spacing w:after="0" w:line="142" w:lineRule="exact"/>
              <w:rPr>
                <w:sz w:val="20"/>
                <w:szCs w:val="20"/>
                <w:color w:val="auto"/>
              </w:rPr>
            </w:pPr>
            <w:r>
              <w:rPr>
                <w:rFonts w:ascii="Arial" w:cs="Arial" w:eastAsia="Arial" w:hAnsi="Arial"/>
                <w:sz w:val="14"/>
                <w:szCs w:val="14"/>
                <w:color w:val="auto"/>
              </w:rPr>
              <w:t>Preferred shares, Series D</w:t>
            </w:r>
          </w:p>
        </w:tc>
        <w:tc>
          <w:tcPr>
            <w:tcW w:w="100" w:type="dxa"/>
            <w:vAlign w:val="bottom"/>
          </w:tcPr>
          <w:p>
            <w:pPr>
              <w:spacing w:after="0"/>
              <w:rPr>
                <w:sz w:val="12"/>
                <w:szCs w:val="12"/>
                <w:color w:val="auto"/>
              </w:rPr>
            </w:pPr>
          </w:p>
        </w:tc>
        <w:tc>
          <w:tcPr>
            <w:tcW w:w="2080" w:type="dxa"/>
            <w:vAlign w:val="bottom"/>
            <w:gridSpan w:val="3"/>
          </w:tcPr>
          <w:p>
            <w:pPr>
              <w:jc w:val="center"/>
              <w:ind w:right="200"/>
              <w:spacing w:after="0" w:line="142" w:lineRule="exact"/>
              <w:rPr>
                <w:sz w:val="20"/>
                <w:szCs w:val="20"/>
                <w:color w:val="auto"/>
              </w:rPr>
            </w:pPr>
            <w:r>
              <w:rPr>
                <w:rFonts w:ascii="Arial" w:cs="Arial" w:eastAsia="Arial" w:hAnsi="Arial"/>
                <w:sz w:val="14"/>
                <w:szCs w:val="14"/>
                <w:color w:val="auto"/>
                <w:w w:val="95"/>
              </w:rPr>
              <w:t>Incubator</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3,720,424</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4,904,498</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4,960,565</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1.85%</w:t>
            </w:r>
          </w:p>
        </w:tc>
      </w:tr>
      <w:tr>
        <w:trPr>
          <w:trHeight w:val="149"/>
        </w:trPr>
        <w:tc>
          <w:tcPr>
            <w:tcW w:w="2580" w:type="dxa"/>
            <w:vAlign w:val="bottom"/>
            <w:gridSpan w:val="7"/>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C</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1,561,625</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2,005,730</w:t>
            </w:r>
          </w:p>
        </w:tc>
        <w:tc>
          <w:tcPr>
            <w:tcW w:w="960" w:type="dxa"/>
            <w:vAlign w:val="bottom"/>
            <w:tcBorders>
              <w:lef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1,733,404</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0.65%</w:t>
            </w:r>
          </w:p>
        </w:tc>
      </w:tr>
      <w:tr>
        <w:trPr>
          <w:trHeight w:val="149"/>
        </w:trPr>
        <w:tc>
          <w:tcPr>
            <w:tcW w:w="2580" w:type="dxa"/>
            <w:vAlign w:val="bottom"/>
            <w:gridSpan w:val="7"/>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450,000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605,500</w:t>
            </w: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0.00%</w:t>
            </w:r>
          </w:p>
        </w:tc>
      </w:tr>
      <w:tr>
        <w:trPr>
          <w:trHeight w:val="149"/>
        </w:trPr>
        <w:tc>
          <w:tcPr>
            <w:tcW w:w="2580" w:type="dxa"/>
            <w:vAlign w:val="bottom"/>
            <w:gridSpan w:val="7"/>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1,021,778</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0.00%</w:t>
            </w:r>
          </w:p>
        </w:tc>
      </w:tr>
      <w:tr>
        <w:trPr>
          <w:trHeight w:val="149"/>
        </w:trPr>
        <w:tc>
          <w:tcPr>
            <w:tcW w:w="2580" w:type="dxa"/>
            <w:vAlign w:val="bottom"/>
            <w:gridSpan w:val="7"/>
          </w:tcPr>
          <w:p>
            <w:pPr>
              <w:ind w:left="20"/>
              <w:spacing w:after="0" w:line="149" w:lineRule="exact"/>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w:t>
            </w: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0.00%</w:t>
            </w:r>
          </w:p>
        </w:tc>
      </w:tr>
      <w:tr>
        <w:trPr>
          <w:trHeight w:val="130"/>
        </w:trPr>
        <w:tc>
          <w:tcPr>
            <w:tcW w:w="2580" w:type="dxa"/>
            <w:vAlign w:val="bottom"/>
            <w:gridSpan w:val="7"/>
            <w:shd w:val="clear" w:color="auto" w:fill="CCEEFF"/>
          </w:tcPr>
          <w:p>
            <w:pPr>
              <w:ind w:left="20"/>
              <w:spacing w:after="0" w:line="130" w:lineRule="exact"/>
              <w:rPr>
                <w:sz w:val="20"/>
                <w:szCs w:val="20"/>
                <w:color w:val="auto"/>
              </w:rPr>
            </w:pPr>
            <w:r>
              <w:rPr>
                <w:rFonts w:ascii="Arial" w:cs="Arial" w:eastAsia="Arial" w:hAnsi="Arial"/>
                <w:sz w:val="14"/>
                <w:szCs w:val="14"/>
                <w:color w:val="auto"/>
                <w:w w:val="94"/>
              </w:rPr>
              <w:t>Preferred warrants, Series D – $1.33 Strike</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67"/>
        </w:trPr>
        <w:tc>
          <w:tcPr>
            <w:tcW w:w="20" w:type="dxa"/>
            <w:vAlign w:val="bottom"/>
            <w:shd w:val="clear" w:color="auto" w:fill="CCEEFF"/>
          </w:tcPr>
          <w:p>
            <w:pPr>
              <w:spacing w:after="0"/>
              <w:rPr>
                <w:sz w:val="14"/>
                <w:szCs w:val="14"/>
                <w:color w:val="auto"/>
              </w:rPr>
            </w:pPr>
          </w:p>
        </w:tc>
        <w:tc>
          <w:tcPr>
            <w:tcW w:w="2560" w:type="dxa"/>
            <w:vAlign w:val="bottom"/>
            <w:gridSpan w:val="6"/>
            <w:shd w:val="clear" w:color="auto" w:fill="CCEEFF"/>
          </w:tcPr>
          <w:p>
            <w:pPr>
              <w:ind w:left="180"/>
              <w:spacing w:after="0"/>
              <w:rPr>
                <w:sz w:val="20"/>
                <w:szCs w:val="20"/>
                <w:color w:val="auto"/>
              </w:rPr>
            </w:pPr>
            <w:r>
              <w:rPr>
                <w:rFonts w:ascii="Arial" w:cs="Arial" w:eastAsia="Arial" w:hAnsi="Arial"/>
                <w:sz w:val="14"/>
                <w:szCs w:val="14"/>
                <w:color w:val="auto"/>
              </w:rPr>
              <w:t>Price, Expiration Date 10/6/2019</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145,000</w:t>
            </w:r>
          </w:p>
        </w:tc>
        <w:tc>
          <w:tcPr>
            <w:tcW w:w="8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0.05%</w:t>
            </w:r>
          </w:p>
        </w:tc>
      </w:tr>
      <w:tr>
        <w:trPr>
          <w:trHeight w:val="130"/>
        </w:trPr>
        <w:tc>
          <w:tcPr>
            <w:tcW w:w="2580" w:type="dxa"/>
            <w:vAlign w:val="bottom"/>
            <w:gridSpan w:val="7"/>
          </w:tcPr>
          <w:p>
            <w:pPr>
              <w:ind w:left="20"/>
              <w:spacing w:after="0" w:line="130" w:lineRule="exact"/>
              <w:rPr>
                <w:sz w:val="20"/>
                <w:szCs w:val="20"/>
                <w:color w:val="auto"/>
              </w:rPr>
            </w:pPr>
            <w:r>
              <w:rPr>
                <w:rFonts w:ascii="Arial" w:cs="Arial" w:eastAsia="Arial" w:hAnsi="Arial"/>
                <w:sz w:val="14"/>
                <w:szCs w:val="14"/>
                <w:color w:val="auto"/>
                <w:w w:val="94"/>
              </w:rPr>
              <w:t>Preferred warrants, Series C – $1.33 Strike</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560" w:type="dxa"/>
            <w:vAlign w:val="bottom"/>
            <w:gridSpan w:val="6"/>
          </w:tcPr>
          <w:p>
            <w:pPr>
              <w:ind w:left="180"/>
              <w:spacing w:after="0"/>
              <w:rPr>
                <w:sz w:val="20"/>
                <w:szCs w:val="20"/>
                <w:color w:val="auto"/>
              </w:rPr>
            </w:pPr>
            <w:r>
              <w:rPr>
                <w:rFonts w:ascii="Arial" w:cs="Arial" w:eastAsia="Arial" w:hAnsi="Arial"/>
                <w:sz w:val="14"/>
                <w:szCs w:val="14"/>
                <w:color w:val="auto"/>
              </w:rPr>
              <w:t>Price, Expiration Date 4/9/2019</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187,500</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31,875</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0.01%</w:t>
            </w: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6"/>
            <w:shd w:val="clear" w:color="auto" w:fill="CCEEFF"/>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8,538,506</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6,870,844</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2.56%</w:t>
            </w:r>
          </w:p>
        </w:tc>
      </w:tr>
      <w:tr>
        <w:trPr>
          <w:trHeight w:val="169"/>
        </w:trPr>
        <w:tc>
          <w:tcPr>
            <w:tcW w:w="2580" w:type="dxa"/>
            <w:vAlign w:val="bottom"/>
            <w:tcBorders>
              <w:top w:val="single" w:sz="8" w:color="CCEEFF"/>
            </w:tcBorders>
            <w:gridSpan w:val="7"/>
          </w:tcPr>
          <w:p>
            <w:pPr>
              <w:ind w:left="20"/>
              <w:spacing w:after="0" w:line="169" w:lineRule="exact"/>
              <w:rPr>
                <w:sz w:val="20"/>
                <w:szCs w:val="20"/>
                <w:color w:val="auto"/>
              </w:rPr>
            </w:pPr>
            <w:r>
              <w:rPr>
                <w:rFonts w:ascii="Arial" w:cs="Arial" w:eastAsia="Arial" w:hAnsi="Arial"/>
                <w:sz w:val="12"/>
                <w:szCs w:val="12"/>
                <w:b w:val="1"/>
                <w:bCs w:val="1"/>
                <w:color w:val="auto"/>
              </w:rPr>
              <w:t>GSV Sustainability Partners</w:t>
            </w:r>
            <w:r>
              <w:rPr>
                <w:rFonts w:ascii="Arial" w:cs="Arial" w:eastAsia="Arial" w:hAnsi="Arial"/>
                <w:sz w:val="19"/>
                <w:szCs w:val="19"/>
                <w:b w:val="1"/>
                <w:bCs w:val="1"/>
                <w:color w:val="auto"/>
                <w:vertAlign w:val="superscript"/>
              </w:rPr>
              <w:t>(2)</w:t>
            </w:r>
          </w:p>
        </w:tc>
        <w:tc>
          <w:tcPr>
            <w:tcW w:w="100" w:type="dxa"/>
            <w:vAlign w:val="bottom"/>
            <w:tcBorders>
              <w:top w:val="single" w:sz="8" w:color="CCEEFF"/>
            </w:tcBorders>
          </w:tcPr>
          <w:p>
            <w:pPr>
              <w:spacing w:after="0"/>
              <w:rPr>
                <w:sz w:val="14"/>
                <w:szCs w:val="14"/>
                <w:color w:val="auto"/>
              </w:rPr>
            </w:pPr>
          </w:p>
        </w:tc>
        <w:tc>
          <w:tcPr>
            <w:tcW w:w="2080" w:type="dxa"/>
            <w:vAlign w:val="bottom"/>
            <w:tcBorders>
              <w:top w:val="single" w:sz="8" w:color="CCEEFF"/>
            </w:tcBorders>
            <w:gridSpan w:val="3"/>
          </w:tcPr>
          <w:p>
            <w:pPr>
              <w:jc w:val="center"/>
              <w:ind w:right="200"/>
              <w:spacing w:after="0"/>
              <w:rPr>
                <w:sz w:val="20"/>
                <w:szCs w:val="20"/>
                <w:color w:val="auto"/>
              </w:rPr>
            </w:pPr>
            <w:r>
              <w:rPr>
                <w:rFonts w:ascii="Arial" w:cs="Arial" w:eastAsia="Arial" w:hAnsi="Arial"/>
                <w:sz w:val="14"/>
                <w:szCs w:val="14"/>
                <w:color w:val="auto"/>
                <w:w w:val="93"/>
              </w:rPr>
              <w:t>Woodside, CA</w:t>
            </w:r>
          </w:p>
        </w:tc>
        <w:tc>
          <w:tcPr>
            <w:tcW w:w="7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720" w:type="dxa"/>
            <w:vAlign w:val="bottom"/>
            <w:tcBorders>
              <w:left w:val="single" w:sz="8" w:color="auto"/>
            </w:tcBorders>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42"/>
        </w:trPr>
        <w:tc>
          <w:tcPr>
            <w:tcW w:w="2580" w:type="dxa"/>
            <w:vAlign w:val="bottom"/>
            <w:gridSpan w:val="7"/>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Class A</w:t>
            </w:r>
          </w:p>
        </w:tc>
        <w:tc>
          <w:tcPr>
            <w:tcW w:w="100" w:type="dxa"/>
            <w:vAlign w:val="bottom"/>
            <w:shd w:val="clear" w:color="auto" w:fill="CCEEFF"/>
          </w:tcPr>
          <w:p>
            <w:pPr>
              <w:spacing w:after="0"/>
              <w:rPr>
                <w:sz w:val="12"/>
                <w:szCs w:val="12"/>
                <w:color w:val="auto"/>
              </w:rPr>
            </w:pPr>
          </w:p>
        </w:tc>
        <w:tc>
          <w:tcPr>
            <w:tcW w:w="2080" w:type="dxa"/>
            <w:vAlign w:val="bottom"/>
            <w:gridSpan w:val="3"/>
            <w:shd w:val="clear" w:color="auto" w:fill="CCEEFF"/>
          </w:tcPr>
          <w:p>
            <w:pPr>
              <w:jc w:val="center"/>
              <w:ind w:right="200"/>
              <w:spacing w:after="0" w:line="142" w:lineRule="exact"/>
              <w:rPr>
                <w:sz w:val="20"/>
                <w:szCs w:val="20"/>
                <w:color w:val="auto"/>
              </w:rPr>
            </w:pPr>
            <w:r>
              <w:rPr>
                <w:rFonts w:ascii="Arial" w:cs="Arial" w:eastAsia="Arial" w:hAnsi="Arial"/>
                <w:sz w:val="14"/>
                <w:szCs w:val="14"/>
                <w:color w:val="auto"/>
                <w:w w:val="92"/>
              </w:rPr>
              <w:t>Clean Technology</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14,300,000</w:t>
            </w:r>
          </w:p>
        </w:tc>
        <w:tc>
          <w:tcPr>
            <w:tcW w:w="9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7,151,412</w:t>
            </w:r>
          </w:p>
        </w:tc>
        <w:tc>
          <w:tcPr>
            <w:tcW w:w="960" w:type="dxa"/>
            <w:vAlign w:val="bottom"/>
            <w:tcBorders>
              <w:left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6,250,000</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2.33%</w:t>
            </w:r>
          </w:p>
        </w:tc>
      </w:tr>
      <w:tr>
        <w:trPr>
          <w:trHeight w:val="149"/>
        </w:trPr>
        <w:tc>
          <w:tcPr>
            <w:tcW w:w="2580" w:type="dxa"/>
            <w:vAlign w:val="bottom"/>
            <w:gridSpan w:val="7"/>
          </w:tcPr>
          <w:p>
            <w:pPr>
              <w:ind w:left="20"/>
              <w:spacing w:after="0" w:line="149" w:lineRule="exact"/>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100,000</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10,000</w:t>
            </w: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0.00</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0.00%</w:t>
            </w: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6"/>
            <w:shd w:val="clear" w:color="auto" w:fill="CCEEFF"/>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7,161,412</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6,250,000</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2.33%</w:t>
            </w:r>
          </w:p>
        </w:tc>
      </w:tr>
      <w:tr>
        <w:trPr>
          <w:trHeight w:val="169"/>
        </w:trPr>
        <w:tc>
          <w:tcPr>
            <w:tcW w:w="2580" w:type="dxa"/>
            <w:vAlign w:val="bottom"/>
            <w:tcBorders>
              <w:top w:val="single" w:sz="8" w:color="CCEEFF"/>
            </w:tcBorders>
            <w:gridSpan w:val="7"/>
          </w:tcPr>
          <w:p>
            <w:pPr>
              <w:ind w:left="20"/>
              <w:spacing w:after="0" w:line="169" w:lineRule="exact"/>
              <w:rPr>
                <w:sz w:val="20"/>
                <w:szCs w:val="20"/>
                <w:color w:val="auto"/>
              </w:rPr>
            </w:pPr>
            <w:r>
              <w:rPr>
                <w:rFonts w:ascii="Arial" w:cs="Arial" w:eastAsia="Arial" w:hAnsi="Arial"/>
                <w:sz w:val="12"/>
                <w:szCs w:val="12"/>
                <w:b w:val="1"/>
                <w:bCs w:val="1"/>
                <w:color w:val="auto"/>
              </w:rPr>
              <w:t>Fullbridge, Inc.</w:t>
            </w:r>
            <w:r>
              <w:rPr>
                <w:rFonts w:ascii="Arial" w:cs="Arial" w:eastAsia="Arial" w:hAnsi="Arial"/>
                <w:sz w:val="19"/>
                <w:szCs w:val="19"/>
                <w:b w:val="1"/>
                <w:bCs w:val="1"/>
                <w:color w:val="auto"/>
                <w:vertAlign w:val="superscript"/>
              </w:rPr>
              <w:t>(1)</w:t>
            </w:r>
          </w:p>
        </w:tc>
        <w:tc>
          <w:tcPr>
            <w:tcW w:w="100" w:type="dxa"/>
            <w:vAlign w:val="bottom"/>
            <w:tcBorders>
              <w:top w:val="single" w:sz="8" w:color="CCEEFF"/>
            </w:tcBorders>
          </w:tcPr>
          <w:p>
            <w:pPr>
              <w:spacing w:after="0"/>
              <w:rPr>
                <w:sz w:val="14"/>
                <w:szCs w:val="14"/>
                <w:color w:val="auto"/>
              </w:rPr>
            </w:pPr>
          </w:p>
        </w:tc>
        <w:tc>
          <w:tcPr>
            <w:tcW w:w="2080" w:type="dxa"/>
            <w:vAlign w:val="bottom"/>
            <w:tcBorders>
              <w:top w:val="single" w:sz="8" w:color="CCEEFF"/>
            </w:tcBorders>
            <w:gridSpan w:val="3"/>
          </w:tcPr>
          <w:p>
            <w:pPr>
              <w:jc w:val="center"/>
              <w:ind w:right="200"/>
              <w:spacing w:after="0"/>
              <w:rPr>
                <w:sz w:val="20"/>
                <w:szCs w:val="20"/>
                <w:color w:val="auto"/>
              </w:rPr>
            </w:pPr>
            <w:r>
              <w:rPr>
                <w:rFonts w:ascii="Arial" w:cs="Arial" w:eastAsia="Arial" w:hAnsi="Arial"/>
                <w:sz w:val="14"/>
                <w:szCs w:val="14"/>
                <w:color w:val="auto"/>
                <w:w w:val="98"/>
              </w:rPr>
              <w:t>Cambridge, MA</w:t>
            </w:r>
          </w:p>
        </w:tc>
        <w:tc>
          <w:tcPr>
            <w:tcW w:w="7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23"/>
        </w:trPr>
        <w:tc>
          <w:tcPr>
            <w:tcW w:w="2580" w:type="dxa"/>
            <w:vAlign w:val="bottom"/>
            <w:gridSpan w:val="7"/>
            <w:shd w:val="clear" w:color="auto" w:fill="CCEEFF"/>
          </w:tcPr>
          <w:p>
            <w:pPr>
              <w:ind w:left="20"/>
              <w:spacing w:after="0" w:line="123" w:lineRule="exact"/>
              <w:rPr>
                <w:sz w:val="20"/>
                <w:szCs w:val="20"/>
                <w:color w:val="auto"/>
              </w:rPr>
            </w:pPr>
            <w:r>
              <w:rPr>
                <w:rFonts w:ascii="Arial" w:cs="Arial" w:eastAsia="Arial" w:hAnsi="Arial"/>
                <w:sz w:val="14"/>
                <w:szCs w:val="14"/>
                <w:color w:val="auto"/>
              </w:rPr>
              <w:t>Convertible Promissory Note 10% Due</w:t>
            </w:r>
          </w:p>
        </w:tc>
        <w:tc>
          <w:tcPr>
            <w:tcW w:w="100" w:type="dxa"/>
            <w:vAlign w:val="bottom"/>
            <w:shd w:val="clear" w:color="auto" w:fill="CCEEFF"/>
          </w:tcPr>
          <w:p>
            <w:pPr>
              <w:spacing w:after="0"/>
              <w:rPr>
                <w:sz w:val="10"/>
                <w:szCs w:val="10"/>
                <w:color w:val="auto"/>
              </w:rPr>
            </w:pPr>
          </w:p>
        </w:tc>
        <w:tc>
          <w:tcPr>
            <w:tcW w:w="2080" w:type="dxa"/>
            <w:vAlign w:val="bottom"/>
            <w:gridSpan w:val="3"/>
            <w:shd w:val="clear" w:color="auto" w:fill="CCEEFF"/>
          </w:tcPr>
          <w:p>
            <w:pPr>
              <w:jc w:val="center"/>
              <w:ind w:right="200"/>
              <w:spacing w:after="0" w:line="123" w:lineRule="exact"/>
              <w:rPr>
                <w:sz w:val="20"/>
                <w:szCs w:val="20"/>
                <w:color w:val="auto"/>
              </w:rPr>
            </w:pPr>
            <w:r>
              <w:rPr>
                <w:rFonts w:ascii="Arial" w:cs="Arial" w:eastAsia="Arial" w:hAnsi="Arial"/>
                <w:sz w:val="14"/>
                <w:szCs w:val="14"/>
                <w:color w:val="auto"/>
                <w:w w:val="91"/>
              </w:rPr>
              <w:t>Business Education</w:t>
            </w: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tcBorders>
              <w:left w:val="single" w:sz="8" w:color="CCEEFF"/>
            </w:tcBorders>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80" w:type="dxa"/>
            <w:vAlign w:val="bottom"/>
            <w:tcBorders>
              <w:left w:val="single" w:sz="8" w:color="CCEEFF"/>
            </w:tcBorders>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r>
      <w:tr>
        <w:trPr>
          <w:trHeight w:val="167"/>
        </w:trPr>
        <w:tc>
          <w:tcPr>
            <w:tcW w:w="96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03/02/16***</w:t>
            </w:r>
          </w:p>
        </w:tc>
        <w:tc>
          <w:tcPr>
            <w:tcW w:w="80" w:type="dxa"/>
            <w:vAlign w:val="bottom"/>
            <w:tcBorders>
              <w:left w:val="single" w:sz="8" w:color="CCEEFF"/>
            </w:tcBorders>
            <w:shd w:val="clear" w:color="auto" w:fill="CCEEFF"/>
          </w:tcPr>
          <w:p>
            <w:pPr>
              <w:spacing w:after="0"/>
              <w:rPr>
                <w:sz w:val="14"/>
                <w:szCs w:val="14"/>
                <w:color w:val="auto"/>
              </w:rPr>
            </w:pPr>
          </w:p>
        </w:tc>
        <w:tc>
          <w:tcPr>
            <w:tcW w:w="720" w:type="dxa"/>
            <w:vAlign w:val="bottom"/>
            <w:tcBorders>
              <w:left w:val="single" w:sz="8" w:color="CCEEFF"/>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18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1,030,507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1,020,859</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1,020,859</w:t>
            </w:r>
          </w:p>
        </w:tc>
        <w:tc>
          <w:tcPr>
            <w:tcW w:w="8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0.39%</w:t>
            </w:r>
          </w:p>
        </w:tc>
      </w:tr>
      <w:tr>
        <w:trPr>
          <w:trHeight w:val="149"/>
        </w:trPr>
        <w:tc>
          <w:tcPr>
            <w:tcW w:w="2580" w:type="dxa"/>
            <w:vAlign w:val="bottom"/>
            <w:gridSpan w:val="7"/>
          </w:tcPr>
          <w:p>
            <w:pPr>
              <w:ind w:left="20"/>
              <w:spacing w:after="0" w:line="149" w:lineRule="exact"/>
              <w:rPr>
                <w:sz w:val="20"/>
                <w:szCs w:val="20"/>
                <w:color w:val="auto"/>
              </w:rPr>
            </w:pPr>
            <w:r>
              <w:rPr>
                <w:rFonts w:ascii="Arial" w:cs="Arial" w:eastAsia="Arial" w:hAnsi="Arial"/>
                <w:sz w:val="14"/>
                <w:szCs w:val="14"/>
                <w:color w:val="auto"/>
              </w:rPr>
              <w:t>Preferred shares, Series D</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1,655,167</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2,956,022</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3,111,714</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1.16%</w:t>
            </w:r>
          </w:p>
        </w:tc>
      </w:tr>
      <w:tr>
        <w:trPr>
          <w:trHeight w:val="149"/>
        </w:trPr>
        <w:tc>
          <w:tcPr>
            <w:tcW w:w="2580" w:type="dxa"/>
            <w:vAlign w:val="bottom"/>
            <w:gridSpan w:val="7"/>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C</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1,728,724</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3,193,444</w:t>
            </w:r>
          </w:p>
        </w:tc>
        <w:tc>
          <w:tcPr>
            <w:tcW w:w="960" w:type="dxa"/>
            <w:vAlign w:val="bottom"/>
            <w:tcBorders>
              <w:lef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1,625,001</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0.61%</w:t>
            </w:r>
          </w:p>
        </w:tc>
      </w:tr>
      <w:tr>
        <w:trPr>
          <w:trHeight w:val="130"/>
        </w:trPr>
        <w:tc>
          <w:tcPr>
            <w:tcW w:w="2580" w:type="dxa"/>
            <w:vAlign w:val="bottom"/>
            <w:gridSpan w:val="7"/>
          </w:tcPr>
          <w:p>
            <w:pPr>
              <w:ind w:left="20"/>
              <w:spacing w:after="0" w:line="130" w:lineRule="exact"/>
              <w:rPr>
                <w:sz w:val="20"/>
                <w:szCs w:val="20"/>
                <w:color w:val="auto"/>
              </w:rPr>
            </w:pPr>
            <w:r>
              <w:rPr>
                <w:rFonts w:ascii="Arial" w:cs="Arial" w:eastAsia="Arial" w:hAnsi="Arial"/>
                <w:sz w:val="14"/>
                <w:szCs w:val="14"/>
                <w:color w:val="auto"/>
              </w:rPr>
              <w:t>Common Warrants – Strike Price $0.91,</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560" w:type="dxa"/>
            <w:vAlign w:val="bottom"/>
            <w:gridSpan w:val="6"/>
          </w:tcPr>
          <w:p>
            <w:pPr>
              <w:ind w:left="180"/>
              <w:spacing w:after="0"/>
              <w:rPr>
                <w:sz w:val="20"/>
                <w:szCs w:val="20"/>
                <w:color w:val="auto"/>
              </w:rPr>
            </w:pPr>
            <w:r>
              <w:rPr>
                <w:rFonts w:ascii="Arial" w:cs="Arial" w:eastAsia="Arial" w:hAnsi="Arial"/>
                <w:sz w:val="14"/>
                <w:szCs w:val="14"/>
                <w:color w:val="auto"/>
              </w:rPr>
              <w:t>Expiration Date 3/02/2020</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283,106</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35,767</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2,831</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0.00%</w:t>
            </w:r>
          </w:p>
        </w:tc>
      </w:tr>
      <w:tr>
        <w:trPr>
          <w:trHeight w:val="130"/>
        </w:trPr>
        <w:tc>
          <w:tcPr>
            <w:tcW w:w="2580" w:type="dxa"/>
            <w:vAlign w:val="bottom"/>
            <w:gridSpan w:val="7"/>
            <w:shd w:val="clear" w:color="auto" w:fill="CCEEFF"/>
          </w:tcPr>
          <w:p>
            <w:pPr>
              <w:ind w:left="20"/>
              <w:spacing w:after="0" w:line="130" w:lineRule="exact"/>
              <w:rPr>
                <w:sz w:val="20"/>
                <w:szCs w:val="20"/>
                <w:color w:val="auto"/>
              </w:rPr>
            </w:pPr>
            <w:r>
              <w:rPr>
                <w:rFonts w:ascii="Arial" w:cs="Arial" w:eastAsia="Arial" w:hAnsi="Arial"/>
                <w:sz w:val="14"/>
                <w:szCs w:val="14"/>
                <w:color w:val="auto"/>
              </w:rPr>
              <w:t>Common Warrants – Strike Price $0.91,</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67"/>
        </w:trPr>
        <w:tc>
          <w:tcPr>
            <w:tcW w:w="20" w:type="dxa"/>
            <w:vAlign w:val="bottom"/>
            <w:shd w:val="clear" w:color="auto" w:fill="CCEEFF"/>
          </w:tcPr>
          <w:p>
            <w:pPr>
              <w:spacing w:after="0"/>
              <w:rPr>
                <w:sz w:val="14"/>
                <w:szCs w:val="14"/>
                <w:color w:val="auto"/>
              </w:rPr>
            </w:pPr>
          </w:p>
        </w:tc>
        <w:tc>
          <w:tcPr>
            <w:tcW w:w="2560" w:type="dxa"/>
            <w:vAlign w:val="bottom"/>
            <w:gridSpan w:val="6"/>
            <w:shd w:val="clear" w:color="auto" w:fill="CCEEFF"/>
          </w:tcPr>
          <w:p>
            <w:pPr>
              <w:ind w:left="180"/>
              <w:spacing w:after="0"/>
              <w:rPr>
                <w:sz w:val="20"/>
                <w:szCs w:val="20"/>
                <w:color w:val="auto"/>
              </w:rPr>
            </w:pPr>
            <w:r>
              <w:rPr>
                <w:rFonts w:ascii="Arial" w:cs="Arial" w:eastAsia="Arial" w:hAnsi="Arial"/>
                <w:sz w:val="14"/>
                <w:szCs w:val="14"/>
                <w:color w:val="auto"/>
              </w:rPr>
              <w:t>Expiration Date 3/22/2020</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186,170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23,521</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1,862</w:t>
            </w:r>
          </w:p>
        </w:tc>
        <w:tc>
          <w:tcPr>
            <w:tcW w:w="8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0.00%</w:t>
            </w:r>
          </w:p>
        </w:tc>
      </w:tr>
      <w:tr>
        <w:trPr>
          <w:trHeight w:val="130"/>
        </w:trPr>
        <w:tc>
          <w:tcPr>
            <w:tcW w:w="2580" w:type="dxa"/>
            <w:vAlign w:val="bottom"/>
            <w:gridSpan w:val="7"/>
          </w:tcPr>
          <w:p>
            <w:pPr>
              <w:ind w:left="20"/>
              <w:spacing w:after="0" w:line="130" w:lineRule="exact"/>
              <w:rPr>
                <w:sz w:val="20"/>
                <w:szCs w:val="20"/>
                <w:color w:val="auto"/>
              </w:rPr>
            </w:pPr>
            <w:r>
              <w:rPr>
                <w:rFonts w:ascii="Arial" w:cs="Arial" w:eastAsia="Arial" w:hAnsi="Arial"/>
                <w:sz w:val="14"/>
                <w:szCs w:val="14"/>
                <w:color w:val="auto"/>
              </w:rPr>
              <w:t>Common Warrants – Strike Price $0.91,</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560" w:type="dxa"/>
            <w:vAlign w:val="bottom"/>
            <w:gridSpan w:val="6"/>
          </w:tcPr>
          <w:p>
            <w:pPr>
              <w:ind w:left="180"/>
              <w:spacing w:after="0"/>
              <w:rPr>
                <w:sz w:val="20"/>
                <w:szCs w:val="20"/>
                <w:color w:val="auto"/>
              </w:rPr>
            </w:pPr>
            <w:r>
              <w:rPr>
                <w:rFonts w:ascii="Arial" w:cs="Arial" w:eastAsia="Arial" w:hAnsi="Arial"/>
                <w:sz w:val="14"/>
                <w:szCs w:val="14"/>
                <w:color w:val="auto"/>
              </w:rPr>
              <w:t>Expiration Date 5/16/2019</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192,308</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24,296</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1,923</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0.00%</w:t>
            </w:r>
          </w:p>
        </w:tc>
      </w:tr>
      <w:tr>
        <w:trPr>
          <w:trHeight w:val="130"/>
        </w:trPr>
        <w:tc>
          <w:tcPr>
            <w:tcW w:w="2580" w:type="dxa"/>
            <w:vAlign w:val="bottom"/>
            <w:gridSpan w:val="7"/>
            <w:shd w:val="clear" w:color="auto" w:fill="CCEEFF"/>
          </w:tcPr>
          <w:p>
            <w:pPr>
              <w:ind w:left="20"/>
              <w:spacing w:after="0" w:line="130" w:lineRule="exact"/>
              <w:rPr>
                <w:sz w:val="20"/>
                <w:szCs w:val="20"/>
                <w:color w:val="auto"/>
              </w:rPr>
            </w:pPr>
            <w:r>
              <w:rPr>
                <w:rFonts w:ascii="Arial" w:cs="Arial" w:eastAsia="Arial" w:hAnsi="Arial"/>
                <w:sz w:val="14"/>
                <w:szCs w:val="14"/>
                <w:color w:val="auto"/>
              </w:rPr>
              <w:t>Common Warrants – Strike Price $0.91,</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67"/>
        </w:trPr>
        <w:tc>
          <w:tcPr>
            <w:tcW w:w="20" w:type="dxa"/>
            <w:vAlign w:val="bottom"/>
            <w:shd w:val="clear" w:color="auto" w:fill="CCEEFF"/>
          </w:tcPr>
          <w:p>
            <w:pPr>
              <w:spacing w:after="0"/>
              <w:rPr>
                <w:sz w:val="14"/>
                <w:szCs w:val="14"/>
                <w:color w:val="auto"/>
              </w:rPr>
            </w:pPr>
          </w:p>
        </w:tc>
        <w:tc>
          <w:tcPr>
            <w:tcW w:w="2560" w:type="dxa"/>
            <w:vAlign w:val="bottom"/>
            <w:gridSpan w:val="6"/>
            <w:shd w:val="clear" w:color="auto" w:fill="CCEEFF"/>
          </w:tcPr>
          <w:p>
            <w:pPr>
              <w:ind w:left="180"/>
              <w:spacing w:after="0"/>
              <w:rPr>
                <w:sz w:val="20"/>
                <w:szCs w:val="20"/>
                <w:color w:val="auto"/>
              </w:rPr>
            </w:pPr>
            <w:r>
              <w:rPr>
                <w:rFonts w:ascii="Arial" w:cs="Arial" w:eastAsia="Arial" w:hAnsi="Arial"/>
                <w:sz w:val="14"/>
                <w:szCs w:val="14"/>
                <w:color w:val="auto"/>
              </w:rPr>
              <w:t>Expiration Date 4/03/2019</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412,088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52,063</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4,121</w:t>
            </w:r>
          </w:p>
        </w:tc>
        <w:tc>
          <w:tcPr>
            <w:tcW w:w="840" w:type="dxa"/>
            <w:vAlign w:val="bottom"/>
            <w:tcBorders>
              <w:lef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-4261485</wp:posOffset>
            </wp:positionV>
            <wp:extent cx="5213985" cy="1289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213985" cy="1289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-3652520</wp:posOffset>
            </wp:positionV>
            <wp:extent cx="5213985" cy="1289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213985" cy="1289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-3241040</wp:posOffset>
            </wp:positionV>
            <wp:extent cx="5213985" cy="1117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-1680210</wp:posOffset>
            </wp:positionV>
            <wp:extent cx="5213985" cy="1289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213985" cy="1289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-1259840</wp:posOffset>
            </wp:positionV>
            <wp:extent cx="5213985" cy="1289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213985" cy="12890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620"/>
        <w:spacing w:after="0"/>
        <w:rPr>
          <w:sz w:val="20"/>
          <w:szCs w:val="20"/>
          <w:color w:val="auto"/>
        </w:rPr>
      </w:pPr>
      <w:r>
        <w:rPr>
          <w:rFonts w:ascii="Arial" w:cs="Arial" w:eastAsia="Arial" w:hAnsi="Arial"/>
          <w:sz w:val="18"/>
          <w:szCs w:val="18"/>
          <w:i w:val="1"/>
          <w:iCs w:val="1"/>
          <w:color w:val="auto"/>
        </w:rPr>
        <w:t>See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6" w:name="page17"/>
    <w:bookmarkEnd w:id="16"/>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SCHEDULE OF INVESTMENTS – (continued)</w:t>
      </w:r>
    </w:p>
    <w:p>
      <w:pPr>
        <w:spacing w:after="0" w:line="1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-48260</wp:posOffset>
            </wp:positionV>
            <wp:extent cx="521398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21"/>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right"/>
              <w:ind w:right="169"/>
              <w:spacing w:after="0" w:line="121" w:lineRule="exact"/>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gridSpan w:val="2"/>
          </w:tcPr>
          <w:p>
            <w:pPr>
              <w:jc w:val="right"/>
              <w:ind w:right="200"/>
              <w:spacing w:after="0" w:line="121" w:lineRule="exact"/>
              <w:rPr>
                <w:sz w:val="20"/>
                <w:szCs w:val="20"/>
                <w:color w:val="auto"/>
              </w:rPr>
            </w:pPr>
            <w:r>
              <w:rPr>
                <w:rFonts w:ascii="Arial" w:cs="Arial" w:eastAsia="Arial" w:hAnsi="Arial"/>
                <w:sz w:val="13"/>
                <w:szCs w:val="13"/>
                <w:b w:val="1"/>
                <w:bCs w:val="1"/>
                <w:color w:val="auto"/>
              </w:rPr>
              <w:t>% of</w:t>
            </w:r>
          </w:p>
        </w:tc>
      </w:tr>
      <w:tr>
        <w:trPr>
          <w:trHeight w:val="153"/>
        </w:trPr>
        <w:tc>
          <w:tcPr>
            <w:tcW w:w="2580" w:type="dxa"/>
            <w:vAlign w:val="bottom"/>
            <w:gridSpan w:val="7"/>
          </w:tcPr>
          <w:p>
            <w:pPr>
              <w:ind w:left="20"/>
              <w:spacing w:after="0"/>
              <w:rPr>
                <w:sz w:val="20"/>
                <w:szCs w:val="20"/>
                <w:color w:val="auto"/>
              </w:rPr>
            </w:pPr>
            <w:r>
              <w:rPr>
                <w:rFonts w:ascii="Arial" w:cs="Arial" w:eastAsia="Arial" w:hAnsi="Arial"/>
                <w:sz w:val="13"/>
                <w:szCs w:val="13"/>
                <w:b w:val="1"/>
                <w:bCs w:val="1"/>
                <w:color w:val="auto"/>
              </w:rPr>
              <w:t>Portfolio Investments*</w:t>
            </w:r>
          </w:p>
        </w:tc>
        <w:tc>
          <w:tcPr>
            <w:tcW w:w="100" w:type="dxa"/>
            <w:vAlign w:val="bottom"/>
          </w:tcPr>
          <w:p>
            <w:pPr>
              <w:spacing w:after="0"/>
              <w:rPr>
                <w:sz w:val="13"/>
                <w:szCs w:val="13"/>
                <w:color w:val="auto"/>
              </w:rPr>
            </w:pPr>
          </w:p>
        </w:tc>
        <w:tc>
          <w:tcPr>
            <w:tcW w:w="208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0"/>
              </w:rPr>
              <w:t>Headquarters/Industry</w:t>
            </w:r>
          </w:p>
        </w:tc>
        <w:tc>
          <w:tcPr>
            <w:tcW w:w="740" w:type="dxa"/>
            <w:vAlign w:val="bottom"/>
          </w:tcPr>
          <w:p>
            <w:pPr>
              <w:jc w:val="right"/>
              <w:ind w:right="109"/>
              <w:spacing w:after="0"/>
              <w:rPr>
                <w:sz w:val="20"/>
                <w:szCs w:val="20"/>
                <w:color w:val="auto"/>
              </w:rPr>
            </w:pPr>
            <w:r>
              <w:rPr>
                <w:rFonts w:ascii="Arial" w:cs="Arial" w:eastAsia="Arial" w:hAnsi="Arial"/>
                <w:sz w:val="13"/>
                <w:szCs w:val="13"/>
                <w:b w:val="1"/>
                <w:bCs w:val="1"/>
                <w:color w:val="auto"/>
                <w:w w:val="98"/>
              </w:rPr>
              <w:t>Principal</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188"/>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3"/>
                <w:szCs w:val="13"/>
                <w:b w:val="1"/>
                <w:bCs w:val="1"/>
                <w:color w:val="auto"/>
                <w:w w:val="99"/>
              </w:rPr>
              <w:t>Fair Value</w:t>
            </w:r>
          </w:p>
        </w:tc>
        <w:tc>
          <w:tcPr>
            <w:tcW w:w="18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w w:val="89"/>
              </w:rPr>
              <w:t>Net Assets</w:t>
            </w:r>
          </w:p>
        </w:tc>
      </w:tr>
      <w:tr>
        <w:trPr>
          <w:trHeight w:val="123"/>
        </w:trPr>
        <w:tc>
          <w:tcPr>
            <w:tcW w:w="2580" w:type="dxa"/>
            <w:vAlign w:val="bottom"/>
            <w:tcBorders>
              <w:top w:val="single" w:sz="8" w:color="auto"/>
              <w:left w:val="single" w:sz="8" w:color="CCEEFF"/>
            </w:tcBorders>
            <w:gridSpan w:val="7"/>
            <w:shd w:val="clear" w:color="auto" w:fill="CCEEFF"/>
          </w:tcPr>
          <w:p>
            <w:pPr>
              <w:ind w:left="20"/>
              <w:spacing w:after="0" w:line="123" w:lineRule="exact"/>
              <w:rPr>
                <w:sz w:val="20"/>
                <w:szCs w:val="20"/>
                <w:color w:val="auto"/>
              </w:rPr>
            </w:pPr>
            <w:r>
              <w:rPr>
                <w:rFonts w:ascii="Arial" w:cs="Arial" w:eastAsia="Arial" w:hAnsi="Arial"/>
                <w:sz w:val="14"/>
                <w:szCs w:val="14"/>
                <w:color w:val="auto"/>
              </w:rPr>
              <w:t>Common Warrants – Strike Price $0.91,</w:t>
            </w:r>
          </w:p>
        </w:tc>
        <w:tc>
          <w:tcPr>
            <w:tcW w:w="100" w:type="dxa"/>
            <w:vAlign w:val="bottom"/>
            <w:shd w:val="clear" w:color="auto" w:fill="CCEEFF"/>
          </w:tcPr>
          <w:p>
            <w:pPr>
              <w:spacing w:after="0"/>
              <w:rPr>
                <w:sz w:val="10"/>
                <w:szCs w:val="10"/>
                <w:color w:val="auto"/>
              </w:rPr>
            </w:pPr>
          </w:p>
        </w:tc>
        <w:tc>
          <w:tcPr>
            <w:tcW w:w="184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60" w:type="dxa"/>
            <w:vAlign w:val="bottom"/>
            <w:tcBorders>
              <w:left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80" w:type="dxa"/>
            <w:vAlign w:val="bottom"/>
            <w:tcBorders>
              <w:left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r>
      <w:tr>
        <w:trPr>
          <w:trHeight w:val="167"/>
        </w:trPr>
        <w:tc>
          <w:tcPr>
            <w:tcW w:w="2580" w:type="dxa"/>
            <w:vAlign w:val="bottom"/>
            <w:tcBorders>
              <w:left w:val="single" w:sz="8" w:color="CCEEFF"/>
            </w:tcBorders>
            <w:gridSpan w:val="7"/>
            <w:shd w:val="clear" w:color="auto" w:fill="CCEEFF"/>
          </w:tcPr>
          <w:p>
            <w:pPr>
              <w:ind w:left="200"/>
              <w:spacing w:after="0"/>
              <w:rPr>
                <w:sz w:val="20"/>
                <w:szCs w:val="20"/>
                <w:color w:val="auto"/>
              </w:rPr>
            </w:pPr>
            <w:r>
              <w:rPr>
                <w:rFonts w:ascii="Arial" w:cs="Arial" w:eastAsia="Arial" w:hAnsi="Arial"/>
                <w:sz w:val="14"/>
                <w:szCs w:val="14"/>
                <w:color w:val="auto"/>
              </w:rPr>
              <w:t>Expiration Date 12/11/2018</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82,418</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10,413</w:t>
            </w:r>
          </w:p>
        </w:tc>
        <w:tc>
          <w:tcPr>
            <w:tcW w:w="2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w:t>
            </w:r>
          </w:p>
        </w:tc>
        <w:tc>
          <w:tcPr>
            <w:tcW w:w="8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0.00%</w:t>
            </w:r>
          </w:p>
        </w:tc>
      </w:tr>
      <w:tr>
        <w:trPr>
          <w:trHeight w:val="130"/>
        </w:trPr>
        <w:tc>
          <w:tcPr>
            <w:tcW w:w="2580" w:type="dxa"/>
            <w:vAlign w:val="bottom"/>
            <w:gridSpan w:val="7"/>
          </w:tcPr>
          <w:p>
            <w:pPr>
              <w:ind w:left="20"/>
              <w:spacing w:after="0" w:line="130" w:lineRule="exact"/>
              <w:rPr>
                <w:sz w:val="20"/>
                <w:szCs w:val="20"/>
                <w:color w:val="auto"/>
              </w:rPr>
            </w:pPr>
            <w:r>
              <w:rPr>
                <w:rFonts w:ascii="Arial" w:cs="Arial" w:eastAsia="Arial" w:hAnsi="Arial"/>
                <w:sz w:val="14"/>
                <w:szCs w:val="14"/>
                <w:color w:val="auto"/>
              </w:rPr>
              <w:t>Common Warrants – Strike Price $0.91,</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67"/>
        </w:trPr>
        <w:tc>
          <w:tcPr>
            <w:tcW w:w="2580" w:type="dxa"/>
            <w:vAlign w:val="bottom"/>
            <w:gridSpan w:val="7"/>
          </w:tcPr>
          <w:p>
            <w:pPr>
              <w:ind w:left="200"/>
              <w:spacing w:after="0"/>
              <w:rPr>
                <w:sz w:val="20"/>
                <w:szCs w:val="20"/>
                <w:color w:val="auto"/>
              </w:rPr>
            </w:pPr>
            <w:r>
              <w:rPr>
                <w:rFonts w:ascii="Arial" w:cs="Arial" w:eastAsia="Arial" w:hAnsi="Arial"/>
                <w:sz w:val="14"/>
                <w:szCs w:val="14"/>
                <w:color w:val="auto"/>
              </w:rPr>
              <w:t>Expiration Date 10/10/2018</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82,418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10,412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824</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0.00%</w:t>
            </w:r>
          </w:p>
        </w:tc>
      </w:tr>
      <w:tr>
        <w:trPr>
          <w:trHeight w:val="130"/>
        </w:trPr>
        <w:tc>
          <w:tcPr>
            <w:tcW w:w="2580" w:type="dxa"/>
            <w:vAlign w:val="bottom"/>
            <w:tcBorders>
              <w:left w:val="single" w:sz="8" w:color="CCEEFF"/>
            </w:tcBorders>
            <w:gridSpan w:val="7"/>
            <w:shd w:val="clear" w:color="auto" w:fill="CCEEFF"/>
          </w:tcPr>
          <w:p>
            <w:pPr>
              <w:ind w:left="20"/>
              <w:spacing w:after="0" w:line="130" w:lineRule="exact"/>
              <w:rPr>
                <w:sz w:val="20"/>
                <w:szCs w:val="20"/>
                <w:color w:val="auto"/>
              </w:rPr>
            </w:pPr>
            <w:r>
              <w:rPr>
                <w:rFonts w:ascii="Arial" w:cs="Arial" w:eastAsia="Arial" w:hAnsi="Arial"/>
                <w:sz w:val="14"/>
                <w:szCs w:val="14"/>
                <w:color w:val="auto"/>
              </w:rPr>
              <w:t>Common Warrants – Strike Price $0.91,</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67"/>
        </w:trPr>
        <w:tc>
          <w:tcPr>
            <w:tcW w:w="2580" w:type="dxa"/>
            <w:vAlign w:val="bottom"/>
            <w:tcBorders>
              <w:left w:val="single" w:sz="8" w:color="CCEEFF"/>
            </w:tcBorders>
            <w:gridSpan w:val="7"/>
            <w:shd w:val="clear" w:color="auto" w:fill="CCEEFF"/>
          </w:tcPr>
          <w:p>
            <w:pPr>
              <w:ind w:left="200"/>
              <w:spacing w:after="0"/>
              <w:rPr>
                <w:sz w:val="20"/>
                <w:szCs w:val="20"/>
                <w:color w:val="auto"/>
              </w:rPr>
            </w:pPr>
            <w:r>
              <w:rPr>
                <w:rFonts w:ascii="Arial" w:cs="Arial" w:eastAsia="Arial" w:hAnsi="Arial"/>
                <w:sz w:val="14"/>
                <w:szCs w:val="14"/>
                <w:color w:val="auto"/>
              </w:rPr>
              <w:t>Expiration Date 2/18/2019</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714,286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90,242</w:t>
            </w:r>
          </w:p>
        </w:tc>
        <w:tc>
          <w:tcPr>
            <w:tcW w:w="16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7,143</w:t>
            </w:r>
          </w:p>
        </w:tc>
        <w:tc>
          <w:tcPr>
            <w:tcW w:w="8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0.00%</w:t>
            </w:r>
          </w:p>
        </w:tc>
      </w:tr>
      <w:tr>
        <w:trPr>
          <w:trHeight w:val="20"/>
        </w:trPr>
        <w:tc>
          <w:tcPr>
            <w:tcW w:w="10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7"/>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7,417,039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5,777,102</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2.16%</w:t>
            </w:r>
          </w:p>
        </w:tc>
      </w:tr>
      <w:tr>
        <w:trPr>
          <w:trHeight w:val="129"/>
        </w:trPr>
        <w:tc>
          <w:tcPr>
            <w:tcW w:w="2580" w:type="dxa"/>
            <w:vAlign w:val="bottom"/>
            <w:tcBorders>
              <w:left w:val="single" w:sz="8" w:color="CCEEFF"/>
            </w:tcBorders>
            <w:gridSpan w:val="7"/>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Enjoy Technology, Inc.</w:t>
            </w:r>
          </w:p>
        </w:tc>
        <w:tc>
          <w:tcPr>
            <w:tcW w:w="100" w:type="dxa"/>
            <w:vAlign w:val="bottom"/>
            <w:shd w:val="clear" w:color="auto" w:fill="CCEEFF"/>
          </w:tcPr>
          <w:p>
            <w:pPr>
              <w:spacing w:after="0"/>
              <w:rPr>
                <w:sz w:val="11"/>
                <w:szCs w:val="11"/>
                <w:color w:val="auto"/>
              </w:rPr>
            </w:pPr>
          </w:p>
        </w:tc>
        <w:tc>
          <w:tcPr>
            <w:tcW w:w="2080" w:type="dxa"/>
            <w:vAlign w:val="bottom"/>
            <w:gridSpan w:val="3"/>
            <w:shd w:val="clear" w:color="auto" w:fill="CCEEFF"/>
          </w:tcPr>
          <w:p>
            <w:pPr>
              <w:jc w:val="center"/>
              <w:ind w:right="200"/>
              <w:spacing w:after="0" w:line="129" w:lineRule="exact"/>
              <w:rPr>
                <w:sz w:val="20"/>
                <w:szCs w:val="20"/>
                <w:color w:val="auto"/>
              </w:rPr>
            </w:pPr>
            <w:r>
              <w:rPr>
                <w:rFonts w:ascii="Arial" w:cs="Arial" w:eastAsia="Arial" w:hAnsi="Arial"/>
                <w:sz w:val="14"/>
                <w:szCs w:val="14"/>
                <w:color w:val="auto"/>
                <w:w w:val="97"/>
              </w:rPr>
              <w:t>Menlo Park, CA</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20"/>
        </w:trPr>
        <w:tc>
          <w:tcPr>
            <w:tcW w:w="100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7"/>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2"/>
                <w:szCs w:val="12"/>
                <w:color w:val="auto"/>
              </w:rPr>
            </w:pPr>
          </w:p>
        </w:tc>
        <w:tc>
          <w:tcPr>
            <w:tcW w:w="2080" w:type="dxa"/>
            <w:vAlign w:val="bottom"/>
            <w:gridSpan w:val="3"/>
          </w:tcPr>
          <w:p>
            <w:pPr>
              <w:jc w:val="center"/>
              <w:ind w:right="200"/>
              <w:spacing w:after="0" w:line="142" w:lineRule="exact"/>
              <w:rPr>
                <w:sz w:val="20"/>
                <w:szCs w:val="20"/>
                <w:color w:val="auto"/>
              </w:rPr>
            </w:pPr>
            <w:r>
              <w:rPr>
                <w:rFonts w:ascii="Arial" w:cs="Arial" w:eastAsia="Arial" w:hAnsi="Arial"/>
                <w:sz w:val="14"/>
                <w:szCs w:val="14"/>
                <w:color w:val="auto"/>
                <w:w w:val="92"/>
              </w:rPr>
              <w:t>Online Shopping</w:t>
            </w:r>
          </w:p>
        </w:tc>
        <w:tc>
          <w:tcPr>
            <w:tcW w:w="740" w:type="dxa"/>
            <w:vAlign w:val="bottom"/>
          </w:tcPr>
          <w:p>
            <w:pPr>
              <w:jc w:val="right"/>
              <w:ind w:right="9"/>
              <w:spacing w:after="0" w:line="142" w:lineRule="exact"/>
              <w:rPr>
                <w:sz w:val="20"/>
                <w:szCs w:val="20"/>
                <w:color w:val="auto"/>
              </w:rPr>
            </w:pPr>
            <w:r>
              <w:rPr>
                <w:rFonts w:ascii="Arial" w:cs="Arial" w:eastAsia="Arial" w:hAnsi="Arial"/>
                <w:sz w:val="14"/>
                <w:szCs w:val="14"/>
                <w:color w:val="auto"/>
              </w:rPr>
              <w:t>1,681,520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4,000,280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4,000,000</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1.49%</w:t>
            </w:r>
          </w:p>
        </w:tc>
      </w:tr>
      <w:tr>
        <w:trPr>
          <w:trHeight w:val="149"/>
        </w:trPr>
        <w:tc>
          <w:tcPr>
            <w:tcW w:w="2580" w:type="dxa"/>
            <w:vAlign w:val="bottom"/>
            <w:tcBorders>
              <w:left w:val="single" w:sz="8" w:color="CCEEFF"/>
            </w:tcBorders>
            <w:gridSpan w:val="7"/>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879,198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1,002,440</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1,439,400</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0.54%</w:t>
            </w:r>
          </w:p>
        </w:tc>
      </w:tr>
      <w:tr>
        <w:trPr>
          <w:trHeight w:val="20"/>
        </w:trPr>
        <w:tc>
          <w:tcPr>
            <w:tcW w:w="10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7"/>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5,002,720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5,439,400</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2.03%</w:t>
            </w:r>
          </w:p>
        </w:tc>
      </w:tr>
      <w:tr>
        <w:trPr>
          <w:trHeight w:val="129"/>
        </w:trPr>
        <w:tc>
          <w:tcPr>
            <w:tcW w:w="2580" w:type="dxa"/>
            <w:vAlign w:val="bottom"/>
            <w:tcBorders>
              <w:left w:val="single" w:sz="8" w:color="CCEEFF"/>
            </w:tcBorders>
            <w:gridSpan w:val="7"/>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Course Hero, Inc.</w:t>
            </w:r>
          </w:p>
        </w:tc>
        <w:tc>
          <w:tcPr>
            <w:tcW w:w="100" w:type="dxa"/>
            <w:vAlign w:val="bottom"/>
            <w:shd w:val="clear" w:color="auto" w:fill="CCEEFF"/>
          </w:tcPr>
          <w:p>
            <w:pPr>
              <w:spacing w:after="0"/>
              <w:rPr>
                <w:sz w:val="11"/>
                <w:szCs w:val="11"/>
                <w:color w:val="auto"/>
              </w:rPr>
            </w:pPr>
          </w:p>
        </w:tc>
        <w:tc>
          <w:tcPr>
            <w:tcW w:w="2080" w:type="dxa"/>
            <w:vAlign w:val="bottom"/>
            <w:gridSpan w:val="3"/>
            <w:shd w:val="clear" w:color="auto" w:fill="CCEEFF"/>
          </w:tcPr>
          <w:p>
            <w:pPr>
              <w:jc w:val="center"/>
              <w:ind w:right="200"/>
              <w:spacing w:after="0" w:line="129" w:lineRule="exact"/>
              <w:rPr>
                <w:sz w:val="20"/>
                <w:szCs w:val="20"/>
                <w:color w:val="auto"/>
              </w:rPr>
            </w:pPr>
            <w:r>
              <w:rPr>
                <w:rFonts w:ascii="Arial" w:cs="Arial" w:eastAsia="Arial" w:hAnsi="Arial"/>
                <w:sz w:val="14"/>
                <w:szCs w:val="14"/>
                <w:color w:val="auto"/>
                <w:w w:val="94"/>
              </w:rPr>
              <w:t>Redwood City, CA</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20"/>
        </w:trPr>
        <w:tc>
          <w:tcPr>
            <w:tcW w:w="100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7"/>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100" w:type="dxa"/>
            <w:vAlign w:val="bottom"/>
          </w:tcPr>
          <w:p>
            <w:pPr>
              <w:spacing w:after="0"/>
              <w:rPr>
                <w:sz w:val="12"/>
                <w:szCs w:val="12"/>
                <w:color w:val="auto"/>
              </w:rPr>
            </w:pPr>
          </w:p>
        </w:tc>
        <w:tc>
          <w:tcPr>
            <w:tcW w:w="2080" w:type="dxa"/>
            <w:vAlign w:val="bottom"/>
            <w:gridSpan w:val="3"/>
          </w:tcPr>
          <w:p>
            <w:pPr>
              <w:jc w:val="center"/>
              <w:ind w:right="200"/>
              <w:spacing w:after="0" w:line="142" w:lineRule="exact"/>
              <w:rPr>
                <w:sz w:val="20"/>
                <w:szCs w:val="20"/>
                <w:color w:val="auto"/>
              </w:rPr>
            </w:pPr>
            <w:r>
              <w:rPr>
                <w:rFonts w:ascii="Arial" w:cs="Arial" w:eastAsia="Arial" w:hAnsi="Arial"/>
                <w:sz w:val="14"/>
                <w:szCs w:val="14"/>
                <w:color w:val="auto"/>
                <w:w w:val="93"/>
              </w:rPr>
              <w:t>Online Education</w:t>
            </w:r>
          </w:p>
        </w:tc>
        <w:tc>
          <w:tcPr>
            <w:tcW w:w="740" w:type="dxa"/>
            <w:vAlign w:val="bottom"/>
          </w:tcPr>
          <w:p>
            <w:pPr>
              <w:jc w:val="right"/>
              <w:ind w:right="9"/>
              <w:spacing w:after="0" w:line="142" w:lineRule="exact"/>
              <w:rPr>
                <w:sz w:val="20"/>
                <w:szCs w:val="20"/>
                <w:color w:val="auto"/>
              </w:rPr>
            </w:pPr>
            <w:r>
              <w:rPr>
                <w:rFonts w:ascii="Arial" w:cs="Arial" w:eastAsia="Arial" w:hAnsi="Arial"/>
                <w:sz w:val="14"/>
                <w:szCs w:val="14"/>
                <w:color w:val="auto"/>
              </w:rPr>
              <w:t>2,145,509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5,000,001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5,000,001</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1.87%</w:t>
            </w:r>
          </w:p>
        </w:tc>
      </w:tr>
      <w:tr>
        <w:trPr>
          <w:trHeight w:val="135"/>
        </w:trPr>
        <w:tc>
          <w:tcPr>
            <w:tcW w:w="2580" w:type="dxa"/>
            <w:vAlign w:val="bottom"/>
            <w:tcBorders>
              <w:left w:val="single" w:sz="8" w:color="CCEEFF"/>
            </w:tcBorders>
            <w:gridSpan w:val="7"/>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Knewton, Inc.</w:t>
            </w:r>
          </w:p>
        </w:tc>
        <w:tc>
          <w:tcPr>
            <w:tcW w:w="100" w:type="dxa"/>
            <w:vAlign w:val="bottom"/>
            <w:shd w:val="clear" w:color="auto" w:fill="CCEEFF"/>
          </w:tcPr>
          <w:p>
            <w:pPr>
              <w:spacing w:after="0"/>
              <w:rPr>
                <w:sz w:val="11"/>
                <w:szCs w:val="11"/>
                <w:color w:val="auto"/>
              </w:rPr>
            </w:pPr>
          </w:p>
        </w:tc>
        <w:tc>
          <w:tcPr>
            <w:tcW w:w="2080" w:type="dxa"/>
            <w:vAlign w:val="bottom"/>
            <w:gridSpan w:val="3"/>
            <w:shd w:val="clear" w:color="auto" w:fill="CCEEFF"/>
          </w:tcPr>
          <w:p>
            <w:pPr>
              <w:jc w:val="center"/>
              <w:ind w:right="200"/>
              <w:spacing w:after="0" w:line="135" w:lineRule="exact"/>
              <w:rPr>
                <w:sz w:val="20"/>
                <w:szCs w:val="20"/>
                <w:color w:val="auto"/>
              </w:rPr>
            </w:pPr>
            <w:r>
              <w:rPr>
                <w:rFonts w:ascii="Arial" w:cs="Arial" w:eastAsia="Arial" w:hAnsi="Arial"/>
                <w:sz w:val="14"/>
                <w:szCs w:val="14"/>
                <w:color w:val="auto"/>
              </w:rPr>
              <w:t>New York, NY</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20"/>
        </w:trPr>
        <w:tc>
          <w:tcPr>
            <w:tcW w:w="1000" w:type="dxa"/>
            <w:vAlign w:val="bottom"/>
            <w:tcBorders>
              <w:left w:val="single" w:sz="8" w:color="CCEEFF"/>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7"/>
          </w:tcPr>
          <w:p>
            <w:pPr>
              <w:ind w:left="20"/>
              <w:spacing w:after="0" w:line="142" w:lineRule="exact"/>
              <w:rPr>
                <w:sz w:val="20"/>
                <w:szCs w:val="20"/>
                <w:color w:val="auto"/>
              </w:rPr>
            </w:pPr>
            <w:r>
              <w:rPr>
                <w:rFonts w:ascii="Arial" w:cs="Arial" w:eastAsia="Arial" w:hAnsi="Arial"/>
                <w:sz w:val="14"/>
                <w:szCs w:val="14"/>
                <w:color w:val="auto"/>
              </w:rPr>
              <w:t>Preferred shares, Series E</w:t>
            </w:r>
          </w:p>
        </w:tc>
        <w:tc>
          <w:tcPr>
            <w:tcW w:w="100" w:type="dxa"/>
            <w:vAlign w:val="bottom"/>
          </w:tcPr>
          <w:p>
            <w:pPr>
              <w:spacing w:after="0"/>
              <w:rPr>
                <w:sz w:val="12"/>
                <w:szCs w:val="12"/>
                <w:color w:val="auto"/>
              </w:rPr>
            </w:pPr>
          </w:p>
        </w:tc>
        <w:tc>
          <w:tcPr>
            <w:tcW w:w="2080" w:type="dxa"/>
            <w:vAlign w:val="bottom"/>
            <w:gridSpan w:val="3"/>
          </w:tcPr>
          <w:p>
            <w:pPr>
              <w:jc w:val="center"/>
              <w:ind w:right="200"/>
              <w:spacing w:after="0" w:line="142" w:lineRule="exact"/>
              <w:rPr>
                <w:sz w:val="20"/>
                <w:szCs w:val="20"/>
                <w:color w:val="auto"/>
              </w:rPr>
            </w:pPr>
            <w:r>
              <w:rPr>
                <w:rFonts w:ascii="Arial" w:cs="Arial" w:eastAsia="Arial" w:hAnsi="Arial"/>
                <w:sz w:val="14"/>
                <w:szCs w:val="14"/>
                <w:color w:val="auto"/>
                <w:w w:val="93"/>
              </w:rPr>
              <w:t>Online Education</w:t>
            </w:r>
          </w:p>
        </w:tc>
        <w:tc>
          <w:tcPr>
            <w:tcW w:w="740" w:type="dxa"/>
            <w:vAlign w:val="bottom"/>
          </w:tcPr>
          <w:p>
            <w:pPr>
              <w:jc w:val="right"/>
              <w:ind w:right="9"/>
              <w:spacing w:after="0" w:line="142" w:lineRule="exact"/>
              <w:rPr>
                <w:sz w:val="20"/>
                <w:szCs w:val="20"/>
                <w:color w:val="auto"/>
              </w:rPr>
            </w:pPr>
            <w:r>
              <w:rPr>
                <w:rFonts w:ascii="Arial" w:cs="Arial" w:eastAsia="Arial" w:hAnsi="Arial"/>
                <w:sz w:val="14"/>
                <w:szCs w:val="14"/>
                <w:color w:val="auto"/>
              </w:rPr>
              <w:t>375,985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4,999,999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4,954,086</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1.85%</w:t>
            </w:r>
          </w:p>
        </w:tc>
      </w:tr>
      <w:tr>
        <w:trPr>
          <w:trHeight w:val="176"/>
        </w:trPr>
        <w:tc>
          <w:tcPr>
            <w:tcW w:w="2580" w:type="dxa"/>
            <w:vAlign w:val="bottom"/>
            <w:tcBorders>
              <w:left w:val="single" w:sz="8" w:color="CCEEFF"/>
            </w:tcBorders>
            <w:gridSpan w:val="7"/>
            <w:shd w:val="clear" w:color="auto" w:fill="CCEEFF"/>
          </w:tcPr>
          <w:p>
            <w:pPr>
              <w:ind w:left="20"/>
              <w:spacing w:after="0" w:line="176" w:lineRule="exact"/>
              <w:rPr>
                <w:sz w:val="20"/>
                <w:szCs w:val="20"/>
                <w:color w:val="auto"/>
              </w:rPr>
            </w:pPr>
            <w:r>
              <w:rPr>
                <w:rFonts w:ascii="Arial" w:cs="Arial" w:eastAsia="Arial" w:hAnsi="Arial"/>
                <w:sz w:val="13"/>
                <w:szCs w:val="13"/>
                <w:b w:val="1"/>
                <w:bCs w:val="1"/>
                <w:color w:val="auto"/>
              </w:rPr>
              <w:t>Whittle Schools, LLC</w:t>
            </w:r>
            <w:r>
              <w:rPr>
                <w:rFonts w:ascii="Arial" w:cs="Arial" w:eastAsia="Arial" w:hAnsi="Arial"/>
                <w:sz w:val="20"/>
                <w:szCs w:val="20"/>
                <w:b w:val="1"/>
                <w:bCs w:val="1"/>
                <w:color w:val="auto"/>
                <w:vertAlign w:val="superscript"/>
              </w:rPr>
              <w:t>(1)(4)</w:t>
            </w:r>
          </w:p>
        </w:tc>
        <w:tc>
          <w:tcPr>
            <w:tcW w:w="100" w:type="dxa"/>
            <w:vAlign w:val="bottom"/>
            <w:shd w:val="clear" w:color="auto" w:fill="CCEEFF"/>
          </w:tcPr>
          <w:p>
            <w:pPr>
              <w:spacing w:after="0"/>
              <w:rPr>
                <w:sz w:val="15"/>
                <w:szCs w:val="15"/>
                <w:color w:val="auto"/>
              </w:rPr>
            </w:pPr>
          </w:p>
        </w:tc>
        <w:tc>
          <w:tcPr>
            <w:tcW w:w="2080" w:type="dxa"/>
            <w:vAlign w:val="bottom"/>
            <w:gridSpan w:val="3"/>
            <w:shd w:val="clear" w:color="auto" w:fill="CCEEFF"/>
          </w:tcPr>
          <w:p>
            <w:pPr>
              <w:jc w:val="center"/>
              <w:ind w:right="200"/>
              <w:spacing w:after="0"/>
              <w:rPr>
                <w:sz w:val="20"/>
                <w:szCs w:val="20"/>
                <w:color w:val="auto"/>
              </w:rPr>
            </w:pPr>
            <w:r>
              <w:rPr>
                <w:rFonts w:ascii="Arial" w:cs="Arial" w:eastAsia="Arial" w:hAnsi="Arial"/>
                <w:sz w:val="14"/>
                <w:szCs w:val="14"/>
                <w:color w:val="auto"/>
              </w:rPr>
              <w:t>New York, NY</w:t>
            </w: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r>
      <w:tr>
        <w:trPr>
          <w:trHeight w:val="20"/>
        </w:trPr>
        <w:tc>
          <w:tcPr>
            <w:tcW w:w="100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23"/>
        </w:trPr>
        <w:tc>
          <w:tcPr>
            <w:tcW w:w="2580" w:type="dxa"/>
            <w:vAlign w:val="bottom"/>
            <w:gridSpan w:val="7"/>
          </w:tcPr>
          <w:p>
            <w:pPr>
              <w:ind w:left="20"/>
              <w:spacing w:after="0" w:line="123"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0"/>
                <w:szCs w:val="10"/>
                <w:color w:val="auto"/>
              </w:rPr>
            </w:pPr>
          </w:p>
        </w:tc>
        <w:tc>
          <w:tcPr>
            <w:tcW w:w="2080" w:type="dxa"/>
            <w:vAlign w:val="bottom"/>
            <w:gridSpan w:val="3"/>
          </w:tcPr>
          <w:p>
            <w:pPr>
              <w:jc w:val="center"/>
              <w:ind w:right="200"/>
              <w:spacing w:after="0" w:line="123" w:lineRule="exact"/>
              <w:rPr>
                <w:sz w:val="20"/>
                <w:szCs w:val="20"/>
                <w:color w:val="auto"/>
              </w:rPr>
            </w:pPr>
            <w:r>
              <w:rPr>
                <w:rFonts w:ascii="Arial" w:cs="Arial" w:eastAsia="Arial" w:hAnsi="Arial"/>
                <w:sz w:val="14"/>
                <w:szCs w:val="14"/>
                <w:color w:val="auto"/>
                <w:w w:val="94"/>
              </w:rPr>
              <w:t>Globally-focused Private</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67"/>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3"/>
          </w:tcPr>
          <w:p>
            <w:pPr>
              <w:jc w:val="center"/>
              <w:ind w:right="200"/>
              <w:spacing w:after="0"/>
              <w:rPr>
                <w:sz w:val="20"/>
                <w:szCs w:val="20"/>
                <w:color w:val="auto"/>
              </w:rPr>
            </w:pPr>
            <w:r>
              <w:rPr>
                <w:rFonts w:ascii="Arial" w:cs="Arial" w:eastAsia="Arial" w:hAnsi="Arial"/>
                <w:sz w:val="14"/>
                <w:szCs w:val="14"/>
                <w:color w:val="auto"/>
                <w:w w:val="93"/>
              </w:rPr>
              <w:t>School</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3,000,000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3,000,000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3,000,000</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1.12%</w:t>
            </w:r>
          </w:p>
        </w:tc>
      </w:tr>
      <w:tr>
        <w:trPr>
          <w:trHeight w:val="149"/>
        </w:trPr>
        <w:tc>
          <w:tcPr>
            <w:tcW w:w="2580" w:type="dxa"/>
            <w:vAlign w:val="bottom"/>
            <w:tcBorders>
              <w:left w:val="single" w:sz="8" w:color="CCEEFF"/>
            </w:tcBorders>
            <w:gridSpan w:val="7"/>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229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1,577,097</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1,500,000</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0.56%</w:t>
            </w:r>
          </w:p>
        </w:tc>
      </w:tr>
      <w:tr>
        <w:trPr>
          <w:trHeight w:val="20"/>
        </w:trPr>
        <w:tc>
          <w:tcPr>
            <w:tcW w:w="10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7"/>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4,577,097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4,500,000</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1.68%</w:t>
            </w:r>
          </w:p>
        </w:tc>
      </w:tr>
      <w:tr>
        <w:trPr>
          <w:trHeight w:val="129"/>
        </w:trPr>
        <w:tc>
          <w:tcPr>
            <w:tcW w:w="2580" w:type="dxa"/>
            <w:vAlign w:val="bottom"/>
            <w:tcBorders>
              <w:left w:val="single" w:sz="8" w:color="CCEEFF"/>
            </w:tcBorders>
            <w:gridSpan w:val="7"/>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Parchment, Inc.</w:t>
            </w:r>
          </w:p>
        </w:tc>
        <w:tc>
          <w:tcPr>
            <w:tcW w:w="100" w:type="dxa"/>
            <w:vAlign w:val="bottom"/>
            <w:shd w:val="clear" w:color="auto" w:fill="CCEEFF"/>
          </w:tcPr>
          <w:p>
            <w:pPr>
              <w:spacing w:after="0"/>
              <w:rPr>
                <w:sz w:val="11"/>
                <w:szCs w:val="11"/>
                <w:color w:val="auto"/>
              </w:rPr>
            </w:pPr>
          </w:p>
        </w:tc>
        <w:tc>
          <w:tcPr>
            <w:tcW w:w="2080" w:type="dxa"/>
            <w:vAlign w:val="bottom"/>
            <w:gridSpan w:val="3"/>
            <w:shd w:val="clear" w:color="auto" w:fill="CCEEFF"/>
          </w:tcPr>
          <w:p>
            <w:pPr>
              <w:jc w:val="center"/>
              <w:ind w:right="200"/>
              <w:spacing w:after="0" w:line="129" w:lineRule="exact"/>
              <w:rPr>
                <w:sz w:val="20"/>
                <w:szCs w:val="20"/>
                <w:color w:val="auto"/>
              </w:rPr>
            </w:pPr>
            <w:r>
              <w:rPr>
                <w:rFonts w:ascii="Arial" w:cs="Arial" w:eastAsia="Arial" w:hAnsi="Arial"/>
                <w:sz w:val="14"/>
                <w:szCs w:val="14"/>
                <w:color w:val="auto"/>
                <w:w w:val="92"/>
              </w:rPr>
              <w:t>Scottsdale, AZ</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20"/>
        </w:trPr>
        <w:tc>
          <w:tcPr>
            <w:tcW w:w="100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7"/>
          </w:tcPr>
          <w:p>
            <w:pPr>
              <w:ind w:left="20"/>
              <w:spacing w:after="0" w:line="142" w:lineRule="exact"/>
              <w:rPr>
                <w:sz w:val="20"/>
                <w:szCs w:val="20"/>
                <w:color w:val="auto"/>
              </w:rPr>
            </w:pPr>
            <w:r>
              <w:rPr>
                <w:rFonts w:ascii="Arial" w:cs="Arial" w:eastAsia="Arial" w:hAnsi="Arial"/>
                <w:sz w:val="14"/>
                <w:szCs w:val="14"/>
                <w:color w:val="auto"/>
              </w:rPr>
              <w:t>Preferred shares, Series D</w:t>
            </w:r>
          </w:p>
        </w:tc>
        <w:tc>
          <w:tcPr>
            <w:tcW w:w="100" w:type="dxa"/>
            <w:vAlign w:val="bottom"/>
          </w:tcPr>
          <w:p>
            <w:pPr>
              <w:spacing w:after="0"/>
              <w:rPr>
                <w:sz w:val="12"/>
                <w:szCs w:val="12"/>
                <w:color w:val="auto"/>
              </w:rPr>
            </w:pPr>
          </w:p>
        </w:tc>
        <w:tc>
          <w:tcPr>
            <w:tcW w:w="2080" w:type="dxa"/>
            <w:vAlign w:val="bottom"/>
            <w:gridSpan w:val="3"/>
          </w:tcPr>
          <w:p>
            <w:pPr>
              <w:jc w:val="center"/>
              <w:ind w:right="200"/>
              <w:spacing w:after="0" w:line="142" w:lineRule="exact"/>
              <w:rPr>
                <w:sz w:val="20"/>
                <w:szCs w:val="20"/>
                <w:color w:val="auto"/>
              </w:rPr>
            </w:pPr>
            <w:r>
              <w:rPr>
                <w:rFonts w:ascii="Arial" w:cs="Arial" w:eastAsia="Arial" w:hAnsi="Arial"/>
                <w:sz w:val="14"/>
                <w:szCs w:val="14"/>
                <w:color w:val="auto"/>
                <w:w w:val="92"/>
              </w:rPr>
              <w:t>E-Transcript Exchange</w:t>
            </w:r>
          </w:p>
        </w:tc>
        <w:tc>
          <w:tcPr>
            <w:tcW w:w="740" w:type="dxa"/>
            <w:vAlign w:val="bottom"/>
          </w:tcPr>
          <w:p>
            <w:pPr>
              <w:jc w:val="right"/>
              <w:ind w:right="9"/>
              <w:spacing w:after="0" w:line="142" w:lineRule="exact"/>
              <w:rPr>
                <w:sz w:val="20"/>
                <w:szCs w:val="20"/>
                <w:color w:val="auto"/>
              </w:rPr>
            </w:pPr>
            <w:r>
              <w:rPr>
                <w:rFonts w:ascii="Arial" w:cs="Arial" w:eastAsia="Arial" w:hAnsi="Arial"/>
                <w:sz w:val="14"/>
                <w:szCs w:val="14"/>
                <w:color w:val="auto"/>
              </w:rPr>
              <w:t>3,200,512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4,000,982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4,000,000</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1.49%</w:t>
            </w:r>
          </w:p>
        </w:tc>
      </w:tr>
      <w:tr>
        <w:trPr>
          <w:trHeight w:val="176"/>
        </w:trPr>
        <w:tc>
          <w:tcPr>
            <w:tcW w:w="2580" w:type="dxa"/>
            <w:vAlign w:val="bottom"/>
            <w:tcBorders>
              <w:left w:val="single" w:sz="8" w:color="CCEEFF"/>
            </w:tcBorders>
            <w:gridSpan w:val="7"/>
            <w:shd w:val="clear" w:color="auto" w:fill="CCEEFF"/>
          </w:tcPr>
          <w:p>
            <w:pPr>
              <w:ind w:left="20"/>
              <w:spacing w:after="0" w:line="176" w:lineRule="exact"/>
              <w:rPr>
                <w:sz w:val="20"/>
                <w:szCs w:val="20"/>
                <w:color w:val="auto"/>
              </w:rPr>
            </w:pPr>
            <w:r>
              <w:rPr>
                <w:rFonts w:ascii="Arial" w:cs="Arial" w:eastAsia="Arial" w:hAnsi="Arial"/>
                <w:sz w:val="13"/>
                <w:szCs w:val="13"/>
                <w:b w:val="1"/>
                <w:bCs w:val="1"/>
                <w:color w:val="auto"/>
              </w:rPr>
              <w:t>CUX, Inc. (d/b/a CorpU)</w:t>
            </w:r>
            <w:r>
              <w:rPr>
                <w:rFonts w:ascii="Arial" w:cs="Arial" w:eastAsia="Arial" w:hAnsi="Arial"/>
                <w:sz w:val="20"/>
                <w:szCs w:val="20"/>
                <w:b w:val="1"/>
                <w:bCs w:val="1"/>
                <w:color w:val="auto"/>
                <w:vertAlign w:val="superscript"/>
              </w:rPr>
              <w:t>(1)</w:t>
            </w:r>
          </w:p>
        </w:tc>
        <w:tc>
          <w:tcPr>
            <w:tcW w:w="100" w:type="dxa"/>
            <w:vAlign w:val="bottom"/>
            <w:shd w:val="clear" w:color="auto" w:fill="CCEEFF"/>
          </w:tcPr>
          <w:p>
            <w:pPr>
              <w:spacing w:after="0"/>
              <w:rPr>
                <w:sz w:val="15"/>
                <w:szCs w:val="15"/>
                <w:color w:val="auto"/>
              </w:rPr>
            </w:pPr>
          </w:p>
        </w:tc>
        <w:tc>
          <w:tcPr>
            <w:tcW w:w="2080" w:type="dxa"/>
            <w:vAlign w:val="bottom"/>
            <w:gridSpan w:val="3"/>
            <w:shd w:val="clear" w:color="auto" w:fill="CCEEFF"/>
          </w:tcPr>
          <w:p>
            <w:pPr>
              <w:jc w:val="center"/>
              <w:ind w:right="200"/>
              <w:spacing w:after="0"/>
              <w:rPr>
                <w:sz w:val="20"/>
                <w:szCs w:val="20"/>
                <w:color w:val="auto"/>
              </w:rPr>
            </w:pPr>
            <w:r>
              <w:rPr>
                <w:rFonts w:ascii="Arial" w:cs="Arial" w:eastAsia="Arial" w:hAnsi="Arial"/>
                <w:sz w:val="14"/>
                <w:szCs w:val="14"/>
                <w:color w:val="auto"/>
                <w:w w:val="92"/>
              </w:rPr>
              <w:t>San Francisco, CA</w:t>
            </w: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r>
      <w:tr>
        <w:trPr>
          <w:trHeight w:val="20"/>
        </w:trPr>
        <w:tc>
          <w:tcPr>
            <w:tcW w:w="100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29"/>
        </w:trPr>
        <w:tc>
          <w:tcPr>
            <w:tcW w:w="2580" w:type="dxa"/>
            <w:vAlign w:val="bottom"/>
            <w:gridSpan w:val="7"/>
          </w:tcPr>
          <w:p>
            <w:pPr>
              <w:ind w:left="20"/>
              <w:spacing w:after="0" w:line="129" w:lineRule="exact"/>
              <w:rPr>
                <w:sz w:val="20"/>
                <w:szCs w:val="20"/>
                <w:color w:val="auto"/>
              </w:rPr>
            </w:pPr>
            <w:r>
              <w:rPr>
                <w:rFonts w:ascii="Arial" w:cs="Arial" w:eastAsia="Arial" w:hAnsi="Arial"/>
                <w:sz w:val="14"/>
                <w:szCs w:val="14"/>
                <w:color w:val="auto"/>
              </w:rPr>
              <w:t>Senior Subordinated Convertible</w:t>
            </w:r>
          </w:p>
        </w:tc>
        <w:tc>
          <w:tcPr>
            <w:tcW w:w="100" w:type="dxa"/>
            <w:vAlign w:val="bottom"/>
          </w:tcPr>
          <w:p>
            <w:pPr>
              <w:spacing w:after="0"/>
              <w:rPr>
                <w:sz w:val="11"/>
                <w:szCs w:val="11"/>
                <w:color w:val="auto"/>
              </w:rPr>
            </w:pPr>
          </w:p>
        </w:tc>
        <w:tc>
          <w:tcPr>
            <w:tcW w:w="2080" w:type="dxa"/>
            <w:vAlign w:val="bottom"/>
            <w:gridSpan w:val="3"/>
          </w:tcPr>
          <w:p>
            <w:pPr>
              <w:jc w:val="center"/>
              <w:ind w:right="200"/>
              <w:spacing w:after="0" w:line="129" w:lineRule="exact"/>
              <w:rPr>
                <w:sz w:val="20"/>
                <w:szCs w:val="20"/>
                <w:color w:val="auto"/>
              </w:rPr>
            </w:pPr>
            <w:r>
              <w:rPr>
                <w:rFonts w:ascii="Arial" w:cs="Arial" w:eastAsia="Arial" w:hAnsi="Arial"/>
                <w:sz w:val="14"/>
                <w:szCs w:val="14"/>
                <w:color w:val="auto"/>
                <w:w w:val="93"/>
              </w:rPr>
              <w:t>Corporate Education</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53"/>
        </w:trPr>
        <w:tc>
          <w:tcPr>
            <w:tcW w:w="2580" w:type="dxa"/>
            <w:vAlign w:val="bottom"/>
            <w:gridSpan w:val="7"/>
          </w:tcPr>
          <w:p>
            <w:pPr>
              <w:ind w:left="200"/>
              <w:spacing w:after="0" w:line="153" w:lineRule="exact"/>
              <w:rPr>
                <w:sz w:val="20"/>
                <w:szCs w:val="20"/>
                <w:color w:val="auto"/>
              </w:rPr>
            </w:pPr>
            <w:r>
              <w:rPr>
                <w:rFonts w:ascii="Arial" w:cs="Arial" w:eastAsia="Arial" w:hAnsi="Arial"/>
                <w:sz w:val="14"/>
                <w:szCs w:val="14"/>
                <w:color w:val="auto"/>
                <w:w w:val="95"/>
              </w:rPr>
              <w:t>Promissory Note 8% Due 11/26/2018***</w:t>
            </w:r>
          </w:p>
        </w:tc>
        <w:tc>
          <w:tcPr>
            <w:tcW w:w="1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1"/>
        </w:trPr>
        <w:tc>
          <w:tcPr>
            <w:tcW w:w="1000" w:type="dxa"/>
            <w:vAlign w:val="bottom"/>
          </w:tcPr>
          <w:p>
            <w:pPr>
              <w:ind w:left="200"/>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180" w:type="dxa"/>
            <w:vAlign w:val="bottom"/>
            <w:gridSpan w:val="4"/>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1,080,000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1,080,000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1,080,000</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0.40%</w:t>
            </w:r>
          </w:p>
        </w:tc>
      </w:tr>
      <w:tr>
        <w:trPr>
          <w:trHeight w:val="149"/>
        </w:trPr>
        <w:tc>
          <w:tcPr>
            <w:tcW w:w="2580" w:type="dxa"/>
            <w:vAlign w:val="bottom"/>
            <w:tcBorders>
              <w:left w:val="single" w:sz="8" w:color="CCEEFF"/>
            </w:tcBorders>
            <w:gridSpan w:val="7"/>
            <w:shd w:val="clear" w:color="auto" w:fill="CCEEFF"/>
          </w:tcPr>
          <w:p>
            <w:pPr>
              <w:ind w:left="20"/>
              <w:spacing w:after="0" w:line="149" w:lineRule="exact"/>
              <w:rPr>
                <w:sz w:val="20"/>
                <w:szCs w:val="20"/>
                <w:color w:val="auto"/>
              </w:rPr>
            </w:pPr>
            <w:r>
              <w:rPr>
                <w:rFonts w:ascii="Arial" w:cs="Arial" w:eastAsia="Arial" w:hAnsi="Arial"/>
                <w:sz w:val="14"/>
                <w:szCs w:val="14"/>
                <w:color w:val="auto"/>
              </w:rPr>
              <w:t>Convertible preferred shares, Series D</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169,033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778,607</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775,861</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0.29%</w:t>
            </w:r>
          </w:p>
        </w:tc>
      </w:tr>
      <w:tr>
        <w:trPr>
          <w:trHeight w:val="149"/>
        </w:trPr>
        <w:tc>
          <w:tcPr>
            <w:tcW w:w="2580" w:type="dxa"/>
            <w:vAlign w:val="bottom"/>
            <w:gridSpan w:val="7"/>
          </w:tcPr>
          <w:p>
            <w:pPr>
              <w:ind w:left="20"/>
              <w:spacing w:after="0" w:line="149" w:lineRule="exact"/>
              <w:rPr>
                <w:sz w:val="20"/>
                <w:szCs w:val="20"/>
                <w:color w:val="auto"/>
              </w:rPr>
            </w:pPr>
            <w:r>
              <w:rPr>
                <w:rFonts w:ascii="Arial" w:cs="Arial" w:eastAsia="Arial" w:hAnsi="Arial"/>
                <w:sz w:val="14"/>
                <w:szCs w:val="14"/>
                <w:color w:val="auto"/>
              </w:rPr>
              <w:t>Convertible preferred shares, Series C</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9"/>
              <w:spacing w:after="0" w:line="149" w:lineRule="exact"/>
              <w:rPr>
                <w:sz w:val="20"/>
                <w:szCs w:val="20"/>
                <w:color w:val="auto"/>
              </w:rPr>
            </w:pPr>
            <w:r>
              <w:rPr>
                <w:rFonts w:ascii="Arial" w:cs="Arial" w:eastAsia="Arial" w:hAnsi="Arial"/>
                <w:sz w:val="14"/>
                <w:szCs w:val="14"/>
                <w:color w:val="auto"/>
              </w:rPr>
              <w:t>615,763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2,006,077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1,959,127</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0.73%</w:t>
            </w:r>
          </w:p>
        </w:tc>
      </w:tr>
      <w:tr>
        <w:trPr>
          <w:trHeight w:val="130"/>
        </w:trPr>
        <w:tc>
          <w:tcPr>
            <w:tcW w:w="2580" w:type="dxa"/>
            <w:vAlign w:val="bottom"/>
            <w:tcBorders>
              <w:left w:val="single" w:sz="8" w:color="CCEEFF"/>
            </w:tcBorders>
            <w:gridSpan w:val="7"/>
            <w:shd w:val="clear" w:color="auto" w:fill="CCEEFF"/>
          </w:tcPr>
          <w:p>
            <w:pPr>
              <w:ind w:left="20"/>
              <w:spacing w:after="0" w:line="130" w:lineRule="exact"/>
              <w:rPr>
                <w:sz w:val="20"/>
                <w:szCs w:val="20"/>
                <w:color w:val="auto"/>
              </w:rPr>
            </w:pPr>
            <w:r>
              <w:rPr>
                <w:rFonts w:ascii="Arial" w:cs="Arial" w:eastAsia="Arial" w:hAnsi="Arial"/>
                <w:sz w:val="14"/>
                <w:szCs w:val="14"/>
                <w:color w:val="auto"/>
              </w:rPr>
              <w:t>Preferred warrants, $4.59 Strike Price,</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67"/>
        </w:trPr>
        <w:tc>
          <w:tcPr>
            <w:tcW w:w="2580" w:type="dxa"/>
            <w:vAlign w:val="bottom"/>
            <w:tcBorders>
              <w:left w:val="single" w:sz="8" w:color="CCEEFF"/>
            </w:tcBorders>
            <w:gridSpan w:val="7"/>
            <w:shd w:val="clear" w:color="auto" w:fill="CCEEFF"/>
          </w:tcPr>
          <w:p>
            <w:pPr>
              <w:ind w:left="200"/>
              <w:spacing w:after="0"/>
              <w:rPr>
                <w:sz w:val="20"/>
                <w:szCs w:val="20"/>
                <w:color w:val="auto"/>
              </w:rPr>
            </w:pPr>
            <w:r>
              <w:rPr>
                <w:rFonts w:ascii="Arial" w:cs="Arial" w:eastAsia="Arial" w:hAnsi="Arial"/>
                <w:sz w:val="14"/>
                <w:szCs w:val="14"/>
                <w:color w:val="auto"/>
              </w:rPr>
              <w:t>Expiration Date 02/25/2018</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16,903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10,142</w:t>
            </w:r>
          </w:p>
        </w:tc>
        <w:tc>
          <w:tcPr>
            <w:tcW w:w="180" w:type="dxa"/>
            <w:vAlign w:val="bottom"/>
            <w:tcBorders>
              <w:left w:val="single" w:sz="8" w:color="CCEEFF"/>
            </w:tcBorders>
            <w:shd w:val="clear" w:color="auto" w:fill="CCEEFF"/>
          </w:tcPr>
          <w:p>
            <w:pPr>
              <w:spacing w:after="0"/>
              <w:rPr>
                <w:sz w:val="14"/>
                <w:szCs w:val="14"/>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r>
      <w:tr>
        <w:trPr>
          <w:trHeight w:val="20"/>
        </w:trPr>
        <w:tc>
          <w:tcPr>
            <w:tcW w:w="10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7"/>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3,864,684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3,825,130</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1.42%</w:t>
            </w:r>
          </w:p>
        </w:tc>
      </w:tr>
      <w:tr>
        <w:trPr>
          <w:trHeight w:val="129"/>
        </w:trPr>
        <w:tc>
          <w:tcPr>
            <w:tcW w:w="2580" w:type="dxa"/>
            <w:vAlign w:val="bottom"/>
            <w:tcBorders>
              <w:left w:val="single" w:sz="8" w:color="CCEEFF"/>
            </w:tcBorders>
            <w:gridSpan w:val="7"/>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Bloom Energy Corporation</w:t>
            </w:r>
          </w:p>
        </w:tc>
        <w:tc>
          <w:tcPr>
            <w:tcW w:w="100" w:type="dxa"/>
            <w:vAlign w:val="bottom"/>
            <w:shd w:val="clear" w:color="auto" w:fill="CCEEFF"/>
          </w:tcPr>
          <w:p>
            <w:pPr>
              <w:spacing w:after="0"/>
              <w:rPr>
                <w:sz w:val="11"/>
                <w:szCs w:val="11"/>
                <w:color w:val="auto"/>
              </w:rPr>
            </w:pPr>
          </w:p>
        </w:tc>
        <w:tc>
          <w:tcPr>
            <w:tcW w:w="2080" w:type="dxa"/>
            <w:vAlign w:val="bottom"/>
            <w:gridSpan w:val="3"/>
            <w:shd w:val="clear" w:color="auto" w:fill="CCEEFF"/>
          </w:tcPr>
          <w:p>
            <w:pPr>
              <w:jc w:val="center"/>
              <w:ind w:right="200"/>
              <w:spacing w:after="0" w:line="129" w:lineRule="exact"/>
              <w:rPr>
                <w:sz w:val="20"/>
                <w:szCs w:val="20"/>
                <w:color w:val="auto"/>
              </w:rPr>
            </w:pPr>
            <w:r>
              <w:rPr>
                <w:rFonts w:ascii="Arial" w:cs="Arial" w:eastAsia="Arial" w:hAnsi="Arial"/>
                <w:sz w:val="14"/>
                <w:szCs w:val="14"/>
                <w:color w:val="auto"/>
                <w:w w:val="94"/>
              </w:rPr>
              <w:t>Sunnyvale, CA</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20"/>
        </w:trPr>
        <w:tc>
          <w:tcPr>
            <w:tcW w:w="100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7"/>
          </w:tcPr>
          <w:p>
            <w:pPr>
              <w:ind w:left="20"/>
              <w:spacing w:after="0" w:line="142" w:lineRule="exact"/>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2"/>
                <w:szCs w:val="12"/>
                <w:color w:val="auto"/>
              </w:rPr>
            </w:pPr>
          </w:p>
        </w:tc>
        <w:tc>
          <w:tcPr>
            <w:tcW w:w="2080" w:type="dxa"/>
            <w:vAlign w:val="bottom"/>
            <w:gridSpan w:val="3"/>
          </w:tcPr>
          <w:p>
            <w:pPr>
              <w:jc w:val="center"/>
              <w:ind w:right="200"/>
              <w:spacing w:after="0" w:line="142" w:lineRule="exact"/>
              <w:rPr>
                <w:sz w:val="20"/>
                <w:szCs w:val="20"/>
                <w:color w:val="auto"/>
              </w:rPr>
            </w:pPr>
            <w:r>
              <w:rPr>
                <w:rFonts w:ascii="Arial" w:cs="Arial" w:eastAsia="Arial" w:hAnsi="Arial"/>
                <w:sz w:val="14"/>
                <w:szCs w:val="14"/>
                <w:color w:val="auto"/>
                <w:w w:val="96"/>
              </w:rPr>
              <w:t>Fuel Cell Energy</w:t>
            </w:r>
          </w:p>
        </w:tc>
        <w:tc>
          <w:tcPr>
            <w:tcW w:w="740" w:type="dxa"/>
            <w:vAlign w:val="bottom"/>
          </w:tcPr>
          <w:p>
            <w:pPr>
              <w:jc w:val="right"/>
              <w:ind w:right="9"/>
              <w:spacing w:after="0" w:line="142" w:lineRule="exact"/>
              <w:rPr>
                <w:sz w:val="20"/>
                <w:szCs w:val="20"/>
                <w:color w:val="auto"/>
              </w:rPr>
            </w:pPr>
            <w:r>
              <w:rPr>
                <w:rFonts w:ascii="Arial" w:cs="Arial" w:eastAsia="Arial" w:hAnsi="Arial"/>
                <w:sz w:val="14"/>
                <w:szCs w:val="14"/>
                <w:color w:val="auto"/>
              </w:rPr>
              <w:t>201,589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3,855,601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3,014,861</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1.12%</w:t>
            </w:r>
          </w:p>
        </w:tc>
      </w:tr>
      <w:tr>
        <w:trPr>
          <w:trHeight w:val="135"/>
        </w:trPr>
        <w:tc>
          <w:tcPr>
            <w:tcW w:w="2580" w:type="dxa"/>
            <w:vAlign w:val="bottom"/>
            <w:tcBorders>
              <w:left w:val="single" w:sz="8" w:color="CCEEFF"/>
            </w:tcBorders>
            <w:gridSpan w:val="7"/>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DogVacay, Inc.</w:t>
            </w:r>
          </w:p>
        </w:tc>
        <w:tc>
          <w:tcPr>
            <w:tcW w:w="100" w:type="dxa"/>
            <w:vAlign w:val="bottom"/>
            <w:shd w:val="clear" w:color="auto" w:fill="CCEEFF"/>
          </w:tcPr>
          <w:p>
            <w:pPr>
              <w:spacing w:after="0"/>
              <w:rPr>
                <w:sz w:val="11"/>
                <w:szCs w:val="11"/>
                <w:color w:val="auto"/>
              </w:rPr>
            </w:pPr>
          </w:p>
        </w:tc>
        <w:tc>
          <w:tcPr>
            <w:tcW w:w="2080" w:type="dxa"/>
            <w:vAlign w:val="bottom"/>
            <w:gridSpan w:val="3"/>
            <w:shd w:val="clear" w:color="auto" w:fill="CCEEFF"/>
          </w:tcPr>
          <w:p>
            <w:pPr>
              <w:jc w:val="center"/>
              <w:ind w:right="200"/>
              <w:spacing w:after="0" w:line="135" w:lineRule="exact"/>
              <w:rPr>
                <w:sz w:val="20"/>
                <w:szCs w:val="20"/>
                <w:color w:val="auto"/>
              </w:rPr>
            </w:pPr>
            <w:r>
              <w:rPr>
                <w:rFonts w:ascii="Arial" w:cs="Arial" w:eastAsia="Arial" w:hAnsi="Arial"/>
                <w:sz w:val="14"/>
                <w:szCs w:val="14"/>
                <w:color w:val="auto"/>
                <w:w w:val="95"/>
              </w:rPr>
              <w:t>Santa Monica, CA</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20"/>
        </w:trPr>
        <w:tc>
          <w:tcPr>
            <w:tcW w:w="100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7"/>
          </w:tcPr>
          <w:p>
            <w:pPr>
              <w:ind w:left="20"/>
              <w:spacing w:after="0" w:line="142" w:lineRule="exact"/>
              <w:rPr>
                <w:sz w:val="20"/>
                <w:szCs w:val="20"/>
                <w:color w:val="auto"/>
              </w:rPr>
            </w:pPr>
            <w:r>
              <w:rPr>
                <w:rFonts w:ascii="Arial" w:cs="Arial" w:eastAsia="Arial" w:hAnsi="Arial"/>
                <w:sz w:val="14"/>
                <w:szCs w:val="14"/>
                <w:color w:val="auto"/>
              </w:rPr>
              <w:t>Preferred shares, Series B-1</w:t>
            </w:r>
          </w:p>
        </w:tc>
        <w:tc>
          <w:tcPr>
            <w:tcW w:w="100" w:type="dxa"/>
            <w:vAlign w:val="bottom"/>
          </w:tcPr>
          <w:p>
            <w:pPr>
              <w:spacing w:after="0"/>
              <w:rPr>
                <w:sz w:val="12"/>
                <w:szCs w:val="12"/>
                <w:color w:val="auto"/>
              </w:rPr>
            </w:pPr>
          </w:p>
        </w:tc>
        <w:tc>
          <w:tcPr>
            <w:tcW w:w="2080" w:type="dxa"/>
            <w:vAlign w:val="bottom"/>
            <w:gridSpan w:val="3"/>
          </w:tcPr>
          <w:p>
            <w:pPr>
              <w:jc w:val="center"/>
              <w:ind w:right="200"/>
              <w:spacing w:after="0" w:line="142" w:lineRule="exact"/>
              <w:rPr>
                <w:sz w:val="20"/>
                <w:szCs w:val="20"/>
                <w:color w:val="auto"/>
              </w:rPr>
            </w:pPr>
            <w:r>
              <w:rPr>
                <w:rFonts w:ascii="Arial" w:cs="Arial" w:eastAsia="Arial" w:hAnsi="Arial"/>
                <w:sz w:val="14"/>
                <w:szCs w:val="14"/>
                <w:color w:val="auto"/>
                <w:w w:val="93"/>
              </w:rPr>
              <w:t>Dog Boarding</w:t>
            </w:r>
          </w:p>
        </w:tc>
        <w:tc>
          <w:tcPr>
            <w:tcW w:w="740" w:type="dxa"/>
            <w:vAlign w:val="bottom"/>
          </w:tcPr>
          <w:p>
            <w:pPr>
              <w:jc w:val="right"/>
              <w:ind w:right="9"/>
              <w:spacing w:after="0" w:line="142" w:lineRule="exact"/>
              <w:rPr>
                <w:sz w:val="20"/>
                <w:szCs w:val="20"/>
                <w:color w:val="auto"/>
              </w:rPr>
            </w:pPr>
            <w:r>
              <w:rPr>
                <w:rFonts w:ascii="Arial" w:cs="Arial" w:eastAsia="Arial" w:hAnsi="Arial"/>
                <w:sz w:val="14"/>
                <w:szCs w:val="14"/>
                <w:color w:val="auto"/>
              </w:rPr>
              <w:t>514,562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2,506,119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2,500,771</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0.93%</w:t>
            </w:r>
          </w:p>
        </w:tc>
      </w:tr>
      <w:tr>
        <w:trPr>
          <w:trHeight w:val="176"/>
        </w:trPr>
        <w:tc>
          <w:tcPr>
            <w:tcW w:w="2580" w:type="dxa"/>
            <w:vAlign w:val="bottom"/>
            <w:tcBorders>
              <w:left w:val="single" w:sz="8" w:color="CCEEFF"/>
            </w:tcBorders>
            <w:gridSpan w:val="7"/>
            <w:shd w:val="clear" w:color="auto" w:fill="CCEEFF"/>
          </w:tcPr>
          <w:p>
            <w:pPr>
              <w:ind w:left="20"/>
              <w:spacing w:after="0" w:line="176" w:lineRule="exact"/>
              <w:rPr>
                <w:sz w:val="20"/>
                <w:szCs w:val="20"/>
                <w:color w:val="auto"/>
              </w:rPr>
            </w:pPr>
            <w:r>
              <w:rPr>
                <w:rFonts w:ascii="Arial" w:cs="Arial" w:eastAsia="Arial" w:hAnsi="Arial"/>
                <w:sz w:val="13"/>
                <w:szCs w:val="13"/>
                <w:b w:val="1"/>
                <w:bCs w:val="1"/>
                <w:color w:val="auto"/>
              </w:rPr>
              <w:t>SharesPost, Inc.</w:t>
            </w:r>
            <w:r>
              <w:rPr>
                <w:rFonts w:ascii="Arial" w:cs="Arial" w:eastAsia="Arial" w:hAnsi="Arial"/>
                <w:sz w:val="20"/>
                <w:szCs w:val="20"/>
                <w:b w:val="1"/>
                <w:bCs w:val="1"/>
                <w:color w:val="auto"/>
                <w:vertAlign w:val="superscript"/>
              </w:rPr>
              <w:t>(6)</w:t>
            </w:r>
          </w:p>
        </w:tc>
        <w:tc>
          <w:tcPr>
            <w:tcW w:w="100" w:type="dxa"/>
            <w:vAlign w:val="bottom"/>
            <w:shd w:val="clear" w:color="auto" w:fill="CCEEFF"/>
          </w:tcPr>
          <w:p>
            <w:pPr>
              <w:spacing w:after="0"/>
              <w:rPr>
                <w:sz w:val="15"/>
                <w:szCs w:val="15"/>
                <w:color w:val="auto"/>
              </w:rPr>
            </w:pPr>
          </w:p>
        </w:tc>
        <w:tc>
          <w:tcPr>
            <w:tcW w:w="2080" w:type="dxa"/>
            <w:vAlign w:val="bottom"/>
            <w:gridSpan w:val="3"/>
            <w:shd w:val="clear" w:color="auto" w:fill="CCEEFF"/>
          </w:tcPr>
          <w:p>
            <w:pPr>
              <w:jc w:val="center"/>
              <w:ind w:right="200"/>
              <w:spacing w:after="0"/>
              <w:rPr>
                <w:sz w:val="20"/>
                <w:szCs w:val="20"/>
                <w:color w:val="auto"/>
              </w:rPr>
            </w:pPr>
            <w:r>
              <w:rPr>
                <w:rFonts w:ascii="Arial" w:cs="Arial" w:eastAsia="Arial" w:hAnsi="Arial"/>
                <w:sz w:val="14"/>
                <w:szCs w:val="14"/>
                <w:color w:val="auto"/>
                <w:w w:val="94"/>
              </w:rPr>
              <w:t>San Bruno, CA</w:t>
            </w: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r>
      <w:tr>
        <w:trPr>
          <w:trHeight w:val="20"/>
        </w:trPr>
        <w:tc>
          <w:tcPr>
            <w:tcW w:w="100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7"/>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2"/>
                <w:szCs w:val="12"/>
                <w:color w:val="auto"/>
              </w:rPr>
            </w:pPr>
          </w:p>
        </w:tc>
        <w:tc>
          <w:tcPr>
            <w:tcW w:w="2080" w:type="dxa"/>
            <w:vAlign w:val="bottom"/>
            <w:gridSpan w:val="3"/>
          </w:tcPr>
          <w:p>
            <w:pPr>
              <w:jc w:val="center"/>
              <w:ind w:right="200"/>
              <w:spacing w:after="0" w:line="142" w:lineRule="exact"/>
              <w:rPr>
                <w:sz w:val="20"/>
                <w:szCs w:val="20"/>
                <w:color w:val="auto"/>
              </w:rPr>
            </w:pPr>
            <w:r>
              <w:rPr>
                <w:rFonts w:ascii="Arial" w:cs="Arial" w:eastAsia="Arial" w:hAnsi="Arial"/>
                <w:sz w:val="14"/>
                <w:szCs w:val="14"/>
                <w:color w:val="auto"/>
                <w:w w:val="94"/>
              </w:rPr>
              <w:t>Online Marketplace Finance</w:t>
            </w:r>
          </w:p>
        </w:tc>
        <w:tc>
          <w:tcPr>
            <w:tcW w:w="740" w:type="dxa"/>
            <w:vAlign w:val="bottom"/>
          </w:tcPr>
          <w:p>
            <w:pPr>
              <w:jc w:val="right"/>
              <w:ind w:right="9"/>
              <w:spacing w:after="0" w:line="142" w:lineRule="exact"/>
              <w:rPr>
                <w:sz w:val="20"/>
                <w:szCs w:val="20"/>
                <w:color w:val="auto"/>
              </w:rPr>
            </w:pPr>
            <w:r>
              <w:rPr>
                <w:rFonts w:ascii="Arial" w:cs="Arial" w:eastAsia="Arial" w:hAnsi="Arial"/>
                <w:sz w:val="14"/>
                <w:szCs w:val="14"/>
                <w:color w:val="auto"/>
              </w:rPr>
              <w:t>1,771,653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2,259,716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2,249,999</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0.84%</w:t>
            </w:r>
          </w:p>
        </w:tc>
      </w:tr>
      <w:tr>
        <w:trPr>
          <w:trHeight w:val="130"/>
        </w:trPr>
        <w:tc>
          <w:tcPr>
            <w:tcW w:w="2580" w:type="dxa"/>
            <w:vAlign w:val="bottom"/>
            <w:tcBorders>
              <w:left w:val="single" w:sz="8" w:color="CCEEFF"/>
            </w:tcBorders>
            <w:gridSpan w:val="7"/>
            <w:shd w:val="clear" w:color="auto" w:fill="CCEEFF"/>
          </w:tcPr>
          <w:p>
            <w:pPr>
              <w:ind w:left="20"/>
              <w:spacing w:after="0" w:line="130" w:lineRule="exact"/>
              <w:rPr>
                <w:sz w:val="20"/>
                <w:szCs w:val="20"/>
                <w:color w:val="auto"/>
              </w:rPr>
            </w:pPr>
            <w:r>
              <w:rPr>
                <w:rFonts w:ascii="Arial" w:cs="Arial" w:eastAsia="Arial" w:hAnsi="Arial"/>
                <w:sz w:val="14"/>
                <w:szCs w:val="14"/>
                <w:color w:val="auto"/>
              </w:rPr>
              <w:t>Common warrants, $0.13 Strike Price,</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67"/>
        </w:trPr>
        <w:tc>
          <w:tcPr>
            <w:tcW w:w="2580" w:type="dxa"/>
            <w:vAlign w:val="bottom"/>
            <w:tcBorders>
              <w:left w:val="single" w:sz="8" w:color="CCEEFF"/>
            </w:tcBorders>
            <w:gridSpan w:val="7"/>
            <w:shd w:val="clear" w:color="auto" w:fill="CCEEFF"/>
          </w:tcPr>
          <w:p>
            <w:pPr>
              <w:ind w:left="200"/>
              <w:spacing w:after="0"/>
              <w:rPr>
                <w:sz w:val="20"/>
                <w:szCs w:val="20"/>
                <w:color w:val="auto"/>
              </w:rPr>
            </w:pPr>
            <w:r>
              <w:rPr>
                <w:rFonts w:ascii="Arial" w:cs="Arial" w:eastAsia="Arial" w:hAnsi="Arial"/>
                <w:sz w:val="14"/>
                <w:szCs w:val="14"/>
                <w:color w:val="auto"/>
              </w:rPr>
              <w:t>Expiration Date 6/15/2018</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770,934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23,128</w:t>
            </w:r>
          </w:p>
        </w:tc>
        <w:tc>
          <w:tcPr>
            <w:tcW w:w="16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177,315</w:t>
            </w:r>
          </w:p>
        </w:tc>
        <w:tc>
          <w:tcPr>
            <w:tcW w:w="8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0.07%</w:t>
            </w:r>
          </w:p>
        </w:tc>
      </w:tr>
      <w:tr>
        <w:trPr>
          <w:trHeight w:val="20"/>
        </w:trPr>
        <w:tc>
          <w:tcPr>
            <w:tcW w:w="10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7"/>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2,282,844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2,427,314</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0.91%</w:t>
            </w:r>
          </w:p>
        </w:tc>
      </w:tr>
      <w:tr>
        <w:trPr>
          <w:trHeight w:val="169"/>
        </w:trPr>
        <w:tc>
          <w:tcPr>
            <w:tcW w:w="2580" w:type="dxa"/>
            <w:vAlign w:val="bottom"/>
            <w:tcBorders>
              <w:left w:val="single" w:sz="8" w:color="CCEEFF"/>
            </w:tcBorders>
            <w:gridSpan w:val="7"/>
            <w:shd w:val="clear" w:color="auto" w:fill="CCEEFF"/>
          </w:tcPr>
          <w:p>
            <w:pPr>
              <w:ind w:left="20"/>
              <w:spacing w:after="0" w:line="169" w:lineRule="exact"/>
              <w:rPr>
                <w:sz w:val="20"/>
                <w:szCs w:val="20"/>
                <w:color w:val="auto"/>
              </w:rPr>
            </w:pPr>
            <w:r>
              <w:rPr>
                <w:rFonts w:ascii="Arial" w:cs="Arial" w:eastAsia="Arial" w:hAnsi="Arial"/>
                <w:sz w:val="12"/>
                <w:szCs w:val="12"/>
                <w:b w:val="1"/>
                <w:bCs w:val="1"/>
                <w:color w:val="auto"/>
              </w:rPr>
              <w:t>Maven Research, Inc.</w:t>
            </w:r>
            <w:r>
              <w:rPr>
                <w:rFonts w:ascii="Arial" w:cs="Arial" w:eastAsia="Arial" w:hAnsi="Arial"/>
                <w:sz w:val="19"/>
                <w:szCs w:val="19"/>
                <w:b w:val="1"/>
                <w:bCs w:val="1"/>
                <w:color w:val="auto"/>
                <w:vertAlign w:val="superscript"/>
              </w:rPr>
              <w:t>(1)</w:t>
            </w:r>
          </w:p>
        </w:tc>
        <w:tc>
          <w:tcPr>
            <w:tcW w:w="100" w:type="dxa"/>
            <w:vAlign w:val="bottom"/>
            <w:shd w:val="clear" w:color="auto" w:fill="CCEEFF"/>
          </w:tcPr>
          <w:p>
            <w:pPr>
              <w:spacing w:after="0"/>
              <w:rPr>
                <w:sz w:val="14"/>
                <w:szCs w:val="14"/>
                <w:color w:val="auto"/>
              </w:rPr>
            </w:pPr>
          </w:p>
        </w:tc>
        <w:tc>
          <w:tcPr>
            <w:tcW w:w="2080" w:type="dxa"/>
            <w:vAlign w:val="bottom"/>
            <w:gridSpan w:val="3"/>
            <w:shd w:val="clear" w:color="auto" w:fill="CCEEFF"/>
          </w:tcPr>
          <w:p>
            <w:pPr>
              <w:jc w:val="center"/>
              <w:ind w:right="200"/>
              <w:spacing w:after="0"/>
              <w:rPr>
                <w:sz w:val="20"/>
                <w:szCs w:val="20"/>
                <w:color w:val="auto"/>
              </w:rPr>
            </w:pPr>
            <w:r>
              <w:rPr>
                <w:rFonts w:ascii="Arial" w:cs="Arial" w:eastAsia="Arial" w:hAnsi="Arial"/>
                <w:sz w:val="14"/>
                <w:szCs w:val="14"/>
                <w:color w:val="auto"/>
                <w:w w:val="92"/>
              </w:rPr>
              <w:t>San Francisco, CA</w:t>
            </w: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20"/>
        </w:trPr>
        <w:tc>
          <w:tcPr>
            <w:tcW w:w="100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7"/>
          </w:tcPr>
          <w:p>
            <w:pPr>
              <w:ind w:left="20"/>
              <w:spacing w:after="0" w:line="142" w:lineRule="exact"/>
              <w:rPr>
                <w:sz w:val="20"/>
                <w:szCs w:val="20"/>
                <w:color w:val="auto"/>
              </w:rPr>
            </w:pPr>
            <w:r>
              <w:rPr>
                <w:rFonts w:ascii="Arial" w:cs="Arial" w:eastAsia="Arial" w:hAnsi="Arial"/>
                <w:sz w:val="14"/>
                <w:szCs w:val="14"/>
                <w:color w:val="auto"/>
              </w:rPr>
              <w:t>Preferred shares, Series C</w:t>
            </w:r>
          </w:p>
        </w:tc>
        <w:tc>
          <w:tcPr>
            <w:tcW w:w="100" w:type="dxa"/>
            <w:vAlign w:val="bottom"/>
          </w:tcPr>
          <w:p>
            <w:pPr>
              <w:spacing w:after="0"/>
              <w:rPr>
                <w:sz w:val="12"/>
                <w:szCs w:val="12"/>
                <w:color w:val="auto"/>
              </w:rPr>
            </w:pPr>
          </w:p>
        </w:tc>
        <w:tc>
          <w:tcPr>
            <w:tcW w:w="2080" w:type="dxa"/>
            <w:vAlign w:val="bottom"/>
            <w:gridSpan w:val="3"/>
          </w:tcPr>
          <w:p>
            <w:pPr>
              <w:jc w:val="center"/>
              <w:ind w:right="200"/>
              <w:spacing w:after="0" w:line="142" w:lineRule="exact"/>
              <w:rPr>
                <w:sz w:val="20"/>
                <w:szCs w:val="20"/>
                <w:color w:val="auto"/>
              </w:rPr>
            </w:pPr>
            <w:r>
              <w:rPr>
                <w:rFonts w:ascii="Arial" w:cs="Arial" w:eastAsia="Arial" w:hAnsi="Arial"/>
                <w:sz w:val="14"/>
                <w:szCs w:val="14"/>
                <w:color w:val="auto"/>
                <w:w w:val="94"/>
              </w:rPr>
              <w:t>Knowledge Networks</w:t>
            </w:r>
          </w:p>
        </w:tc>
        <w:tc>
          <w:tcPr>
            <w:tcW w:w="740" w:type="dxa"/>
            <w:vAlign w:val="bottom"/>
          </w:tcPr>
          <w:p>
            <w:pPr>
              <w:jc w:val="right"/>
              <w:ind w:right="9"/>
              <w:spacing w:after="0" w:line="142" w:lineRule="exact"/>
              <w:rPr>
                <w:sz w:val="20"/>
                <w:szCs w:val="20"/>
                <w:color w:val="auto"/>
              </w:rPr>
            </w:pPr>
            <w:r>
              <w:rPr>
                <w:rFonts w:ascii="Arial" w:cs="Arial" w:eastAsia="Arial" w:hAnsi="Arial"/>
                <w:sz w:val="14"/>
                <w:szCs w:val="14"/>
                <w:color w:val="auto"/>
              </w:rPr>
              <w:t>318,979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2,000,447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1,999,998</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0.75%</w:t>
            </w:r>
          </w:p>
        </w:tc>
      </w:tr>
      <w:tr>
        <w:trPr>
          <w:trHeight w:val="149"/>
        </w:trPr>
        <w:tc>
          <w:tcPr>
            <w:tcW w:w="2580" w:type="dxa"/>
            <w:vAlign w:val="bottom"/>
            <w:tcBorders>
              <w:left w:val="single" w:sz="8" w:color="CCEEFF"/>
            </w:tcBorders>
            <w:gridSpan w:val="7"/>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49,505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217,206</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249,691</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0.09%</w:t>
            </w:r>
          </w:p>
        </w:tc>
      </w:tr>
      <w:tr>
        <w:trPr>
          <w:trHeight w:val="20"/>
        </w:trPr>
        <w:tc>
          <w:tcPr>
            <w:tcW w:w="10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7"/>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2,217,653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2,249,689</w:t>
            </w:r>
          </w:p>
        </w:tc>
        <w:tc>
          <w:tcPr>
            <w:tcW w:w="840" w:type="dxa"/>
            <w:vAlign w:val="bottom"/>
            <w:gridSpan w:val="3"/>
          </w:tcPr>
          <w:p>
            <w:pPr>
              <w:jc w:val="right"/>
              <w:ind w:right="180"/>
              <w:spacing w:after="0" w:line="142" w:lineRule="exact"/>
              <w:rPr>
                <w:sz w:val="20"/>
                <w:szCs w:val="20"/>
                <w:color w:val="auto"/>
              </w:rPr>
            </w:pPr>
            <w:r>
              <w:rPr>
                <w:rFonts w:ascii="Arial" w:cs="Arial" w:eastAsia="Arial" w:hAnsi="Arial"/>
                <w:sz w:val="14"/>
                <w:szCs w:val="14"/>
                <w:color w:val="auto"/>
              </w:rPr>
              <w:t>0.84%</w:t>
            </w: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-3798570</wp:posOffset>
            </wp:positionV>
            <wp:extent cx="5213985" cy="1117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-3404235</wp:posOffset>
            </wp:positionV>
            <wp:extent cx="5213985" cy="1117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-2512060</wp:posOffset>
            </wp:positionV>
            <wp:extent cx="5213985" cy="1117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-1423035</wp:posOffset>
            </wp:positionV>
            <wp:extent cx="5213985" cy="1117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-530860</wp:posOffset>
            </wp:positionV>
            <wp:extent cx="5213985" cy="1117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-111125</wp:posOffset>
            </wp:positionV>
            <wp:extent cx="5213985" cy="1117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213985" cy="11176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620"/>
        <w:spacing w:after="0"/>
        <w:rPr>
          <w:sz w:val="20"/>
          <w:szCs w:val="20"/>
          <w:color w:val="auto"/>
        </w:rPr>
      </w:pPr>
      <w:r>
        <w:rPr>
          <w:rFonts w:ascii="Arial" w:cs="Arial" w:eastAsia="Arial" w:hAnsi="Arial"/>
          <w:sz w:val="18"/>
          <w:szCs w:val="18"/>
          <w:i w:val="1"/>
          <w:iCs w:val="1"/>
          <w:color w:val="auto"/>
        </w:rPr>
        <w:t>See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7" w:name="page18"/>
    <w:bookmarkEnd w:id="17"/>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SCHEDULE OF INVESTMENTS – (continued)</w:t>
      </w:r>
    </w:p>
    <w:p>
      <w:pPr>
        <w:spacing w:after="0" w:line="1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-48260</wp:posOffset>
            </wp:positionV>
            <wp:extent cx="521398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right"/>
              <w:ind w:right="169"/>
              <w:spacing w:after="0" w:line="121" w:lineRule="exact"/>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gridSpan w:val="2"/>
          </w:tcPr>
          <w:p>
            <w:pPr>
              <w:jc w:val="right"/>
              <w:ind w:right="200"/>
              <w:spacing w:after="0" w:line="121" w:lineRule="exact"/>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53"/>
        </w:trPr>
        <w:tc>
          <w:tcPr>
            <w:tcW w:w="2580" w:type="dxa"/>
            <w:vAlign w:val="bottom"/>
            <w:tcBorders>
              <w:bottom w:val="single" w:sz="8" w:color="auto"/>
            </w:tcBorders>
            <w:gridSpan w:val="13"/>
          </w:tcPr>
          <w:p>
            <w:pPr>
              <w:ind w:left="20"/>
              <w:spacing w:after="0"/>
              <w:rPr>
                <w:sz w:val="20"/>
                <w:szCs w:val="20"/>
                <w:color w:val="auto"/>
              </w:rPr>
            </w:pPr>
            <w:r>
              <w:rPr>
                <w:rFonts w:ascii="Arial" w:cs="Arial" w:eastAsia="Arial" w:hAnsi="Arial"/>
                <w:sz w:val="13"/>
                <w:szCs w:val="13"/>
                <w:b w:val="1"/>
                <w:bCs w:val="1"/>
                <w:color w:val="auto"/>
              </w:rPr>
              <w:t>Portfolio Investments*</w:t>
            </w:r>
          </w:p>
        </w:tc>
        <w:tc>
          <w:tcPr>
            <w:tcW w:w="100" w:type="dxa"/>
            <w:vAlign w:val="bottom"/>
          </w:tcPr>
          <w:p>
            <w:pPr>
              <w:spacing w:after="0"/>
              <w:rPr>
                <w:sz w:val="13"/>
                <w:szCs w:val="13"/>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Headquarters/Industry</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w w:val="98"/>
              </w:rPr>
              <w:t>Principal</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88"/>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w w:val="99"/>
              </w:rPr>
              <w:t>Fair Value</w:t>
            </w:r>
          </w:p>
        </w:tc>
        <w:tc>
          <w:tcPr>
            <w:tcW w:w="180" w:type="dxa"/>
            <w:vAlign w:val="bottom"/>
          </w:tcPr>
          <w:p>
            <w:pPr>
              <w:spacing w:after="0"/>
              <w:rPr>
                <w:sz w:val="13"/>
                <w:szCs w:val="13"/>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w w:val="89"/>
              </w:rPr>
              <w:t>Net Assets</w:t>
            </w:r>
          </w:p>
        </w:tc>
        <w:tc>
          <w:tcPr>
            <w:tcW w:w="0" w:type="dxa"/>
            <w:vAlign w:val="bottom"/>
          </w:tcPr>
          <w:p>
            <w:pPr>
              <w:spacing w:after="0"/>
              <w:rPr>
                <w:sz w:val="1"/>
                <w:szCs w:val="1"/>
                <w:color w:val="auto"/>
              </w:rPr>
            </w:pPr>
          </w:p>
        </w:tc>
      </w:tr>
      <w:tr>
        <w:trPr>
          <w:trHeight w:val="129"/>
        </w:trPr>
        <w:tc>
          <w:tcPr>
            <w:tcW w:w="2580" w:type="dxa"/>
            <w:vAlign w:val="bottom"/>
            <w:gridSpan w:val="13"/>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DreamBox Learning,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5"/>
              </w:rPr>
              <w:t>Bellevue, WA</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3"/>
          </w:tcPr>
          <w:p>
            <w:pPr>
              <w:ind w:left="20"/>
              <w:spacing w:after="0" w:line="142" w:lineRule="exact"/>
              <w:rPr>
                <w:sz w:val="20"/>
                <w:szCs w:val="20"/>
                <w:color w:val="auto"/>
              </w:rPr>
            </w:pPr>
            <w:r>
              <w:rPr>
                <w:rFonts w:ascii="Arial" w:cs="Arial" w:eastAsia="Arial" w:hAnsi="Arial"/>
                <w:sz w:val="14"/>
                <w:szCs w:val="14"/>
                <w:color w:val="auto"/>
              </w:rPr>
              <w:t>Preferred shares, Series A-1</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2"/>
              </w:rPr>
              <w:t>Education Technology</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9"/>
              <w:spacing w:after="0" w:line="142" w:lineRule="exact"/>
              <w:rPr>
                <w:sz w:val="20"/>
                <w:szCs w:val="20"/>
                <w:color w:val="auto"/>
              </w:rPr>
            </w:pPr>
            <w:r>
              <w:rPr>
                <w:rFonts w:ascii="Arial" w:cs="Arial" w:eastAsia="Arial" w:hAnsi="Arial"/>
                <w:sz w:val="14"/>
                <w:szCs w:val="14"/>
                <w:color w:val="auto"/>
              </w:rPr>
              <w:t>7,159,221</w:t>
            </w:r>
          </w:p>
        </w:tc>
        <w:tc>
          <w:tcPr>
            <w:tcW w:w="26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1,502,362</w:t>
            </w:r>
          </w:p>
        </w:tc>
        <w:tc>
          <w:tcPr>
            <w:tcW w:w="26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1,448,538</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0.54%</w:t>
            </w:r>
          </w:p>
        </w:tc>
        <w:tc>
          <w:tcPr>
            <w:tcW w:w="0" w:type="dxa"/>
            <w:vAlign w:val="bottom"/>
          </w:tcPr>
          <w:p>
            <w:pPr>
              <w:spacing w:after="0"/>
              <w:rPr>
                <w:sz w:val="1"/>
                <w:szCs w:val="1"/>
                <w:color w:val="auto"/>
              </w:rPr>
            </w:pPr>
          </w:p>
        </w:tc>
      </w:tr>
      <w:tr>
        <w:trPr>
          <w:trHeight w:val="149"/>
        </w:trPr>
        <w:tc>
          <w:tcPr>
            <w:tcW w:w="2580" w:type="dxa"/>
            <w:vAlign w:val="bottom"/>
            <w:gridSpan w:val="13"/>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3,579,610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758,017</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724,269</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0.27%</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gridSpan w:val="12"/>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2,260,379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2,172,807</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0.81%</w:t>
            </w:r>
          </w:p>
        </w:tc>
        <w:tc>
          <w:tcPr>
            <w:tcW w:w="0" w:type="dxa"/>
            <w:vAlign w:val="bottom"/>
          </w:tcPr>
          <w:p>
            <w:pPr>
              <w:spacing w:after="0"/>
              <w:rPr>
                <w:sz w:val="1"/>
                <w:szCs w:val="1"/>
                <w:color w:val="auto"/>
              </w:rPr>
            </w:pPr>
          </w:p>
        </w:tc>
      </w:tr>
      <w:tr>
        <w:trPr>
          <w:trHeight w:val="129"/>
        </w:trPr>
        <w:tc>
          <w:tcPr>
            <w:tcW w:w="2580" w:type="dxa"/>
            <w:vAlign w:val="bottom"/>
            <w:gridSpan w:val="13"/>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Clever,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2"/>
              </w:rPr>
              <w:t>San Francisco, CA</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3"/>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2"/>
              </w:rPr>
              <w:t>Education Software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9"/>
              <w:spacing w:after="0" w:line="142" w:lineRule="exact"/>
              <w:rPr>
                <w:sz w:val="20"/>
                <w:szCs w:val="20"/>
                <w:color w:val="auto"/>
              </w:rPr>
            </w:pPr>
            <w:r>
              <w:rPr>
                <w:rFonts w:ascii="Arial" w:cs="Arial" w:eastAsia="Arial" w:hAnsi="Arial"/>
                <w:sz w:val="14"/>
                <w:szCs w:val="14"/>
                <w:color w:val="auto"/>
              </w:rPr>
              <w:t>1,799,047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2,000,601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2,026,414</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0.76%</w:t>
            </w:r>
          </w:p>
        </w:tc>
        <w:tc>
          <w:tcPr>
            <w:tcW w:w="0" w:type="dxa"/>
            <w:vAlign w:val="bottom"/>
          </w:tcPr>
          <w:p>
            <w:pPr>
              <w:spacing w:after="0"/>
              <w:rPr>
                <w:sz w:val="1"/>
                <w:szCs w:val="1"/>
                <w:color w:val="auto"/>
              </w:rPr>
            </w:pPr>
          </w:p>
        </w:tc>
      </w:tr>
      <w:tr>
        <w:trPr>
          <w:trHeight w:val="135"/>
        </w:trPr>
        <w:tc>
          <w:tcPr>
            <w:tcW w:w="2580" w:type="dxa"/>
            <w:vAlign w:val="bottom"/>
            <w:gridSpan w:val="13"/>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Circle Media (f/k/a S3 Digital Corp.</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2180" w:type="dxa"/>
            <w:vAlign w:val="bottom"/>
            <w:tcBorders>
              <w:top w:val="single" w:sz="8" w:color="auto"/>
            </w:tcBorders>
            <w:gridSpan w:val="10"/>
            <w:shd w:val="clear" w:color="auto" w:fill="CCEEFF"/>
          </w:tcPr>
          <w:p>
            <w:pPr>
              <w:ind w:left="180"/>
              <w:spacing w:after="0" w:line="169" w:lineRule="exact"/>
              <w:rPr>
                <w:sz w:val="20"/>
                <w:szCs w:val="20"/>
                <w:color w:val="auto"/>
              </w:rPr>
            </w:pPr>
            <w:r>
              <w:rPr>
                <w:rFonts w:ascii="Arial" w:cs="Arial" w:eastAsia="Arial" w:hAnsi="Arial"/>
                <w:sz w:val="12"/>
                <w:szCs w:val="12"/>
                <w:b w:val="1"/>
                <w:bCs w:val="1"/>
                <w:color w:val="auto"/>
              </w:rPr>
              <w:t>(d/b/a S3i))</w:t>
            </w:r>
            <w:r>
              <w:rPr>
                <w:rFonts w:ascii="Arial" w:cs="Arial" w:eastAsia="Arial" w:hAnsi="Arial"/>
                <w:sz w:val="19"/>
                <w:szCs w:val="19"/>
                <w:b w:val="1"/>
                <w:bCs w:val="1"/>
                <w:color w:val="auto"/>
                <w:vertAlign w:val="superscript"/>
              </w:rPr>
              <w:t>(1)</w:t>
            </w:r>
          </w:p>
        </w:tc>
        <w:tc>
          <w:tcPr>
            <w:tcW w:w="4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New York, NY</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left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left w:val="single" w:sz="8" w:color="CCEEFF"/>
            </w:tcBorders>
            <w:shd w:val="clear" w:color="auto" w:fill="CCEEFF"/>
          </w:tcPr>
          <w:p>
            <w:pPr>
              <w:spacing w:after="0"/>
              <w:rPr>
                <w:sz w:val="14"/>
                <w:szCs w:val="14"/>
                <w:color w:val="auto"/>
              </w:rPr>
            </w:pPr>
          </w:p>
        </w:tc>
        <w:tc>
          <w:tcPr>
            <w:tcW w:w="4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3"/>
          </w:tcPr>
          <w:p>
            <w:pPr>
              <w:ind w:left="20"/>
              <w:spacing w:after="0" w:line="142" w:lineRule="exact"/>
              <w:rPr>
                <w:sz w:val="20"/>
                <w:szCs w:val="20"/>
                <w:color w:val="auto"/>
              </w:rPr>
            </w:pPr>
            <w:r>
              <w:rPr>
                <w:rFonts w:ascii="Arial" w:cs="Arial" w:eastAsia="Arial" w:hAnsi="Arial"/>
                <w:sz w:val="14"/>
                <w:szCs w:val="14"/>
                <w:color w:val="auto"/>
              </w:rPr>
              <w:t>Promissory Note 12%, 11/18/2016***</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5"/>
              </w:rPr>
              <w:t>Sports Analytics</w:t>
            </w:r>
          </w:p>
        </w:tc>
        <w:tc>
          <w:tcPr>
            <w:tcW w:w="24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9"/>
              <w:spacing w:after="0" w:line="142" w:lineRule="exact"/>
              <w:rPr>
                <w:sz w:val="20"/>
                <w:szCs w:val="20"/>
                <w:color w:val="auto"/>
              </w:rPr>
            </w:pPr>
            <w:r>
              <w:rPr>
                <w:rFonts w:ascii="Arial" w:cs="Arial" w:eastAsia="Arial" w:hAnsi="Arial"/>
                <w:sz w:val="14"/>
                <w:szCs w:val="14"/>
                <w:color w:val="auto"/>
              </w:rPr>
              <w:t>25,000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26,104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25,000</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49"/>
        </w:trPr>
        <w:tc>
          <w:tcPr>
            <w:tcW w:w="2580" w:type="dxa"/>
            <w:vAlign w:val="bottom"/>
            <w:gridSpan w:val="13"/>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1,864,495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1,777,576</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1,156,175</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0.43%</w:t>
            </w:r>
          </w:p>
        </w:tc>
        <w:tc>
          <w:tcPr>
            <w:tcW w:w="0" w:type="dxa"/>
            <w:vAlign w:val="bottom"/>
          </w:tcPr>
          <w:p>
            <w:pPr>
              <w:spacing w:after="0"/>
              <w:rPr>
                <w:sz w:val="1"/>
                <w:szCs w:val="1"/>
                <w:color w:val="auto"/>
              </w:rPr>
            </w:pPr>
          </w:p>
        </w:tc>
      </w:tr>
      <w:tr>
        <w:trPr>
          <w:trHeight w:val="130"/>
        </w:trPr>
        <w:tc>
          <w:tcPr>
            <w:tcW w:w="2580" w:type="dxa"/>
            <w:vAlign w:val="bottom"/>
            <w:gridSpan w:val="13"/>
          </w:tcPr>
          <w:p>
            <w:pPr>
              <w:ind w:left="20"/>
              <w:spacing w:after="0" w:line="130" w:lineRule="exact"/>
              <w:rPr>
                <w:sz w:val="20"/>
                <w:szCs w:val="20"/>
                <w:color w:val="auto"/>
              </w:rPr>
            </w:pPr>
            <w:r>
              <w:rPr>
                <w:rFonts w:ascii="Arial" w:cs="Arial" w:eastAsia="Arial" w:hAnsi="Arial"/>
                <w:sz w:val="14"/>
                <w:szCs w:val="14"/>
                <w:color w:val="auto"/>
              </w:rPr>
              <w:t>Preferred warrants, $1.17 Strike Price,</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gridSpan w:val="12"/>
          </w:tcPr>
          <w:p>
            <w:pPr>
              <w:ind w:left="180"/>
              <w:spacing w:after="0"/>
              <w:rPr>
                <w:sz w:val="20"/>
                <w:szCs w:val="20"/>
                <w:color w:val="auto"/>
              </w:rPr>
            </w:pPr>
            <w:r>
              <w:rPr>
                <w:rFonts w:ascii="Arial" w:cs="Arial" w:eastAsia="Arial" w:hAnsi="Arial"/>
                <w:sz w:val="14"/>
                <w:szCs w:val="14"/>
                <w:color w:val="auto"/>
              </w:rPr>
              <w:t>Expiration Date 11/18/2022</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5,360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576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429</w:t>
            </w:r>
          </w:p>
        </w:tc>
        <w:tc>
          <w:tcPr>
            <w:tcW w:w="1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580" w:type="dxa"/>
            <w:vAlign w:val="bottom"/>
            <w:gridSpan w:val="13"/>
            <w:shd w:val="clear" w:color="auto" w:fill="CCEEFF"/>
          </w:tcPr>
          <w:p>
            <w:pPr>
              <w:ind w:left="20"/>
              <w:spacing w:after="0" w:line="130" w:lineRule="exact"/>
              <w:rPr>
                <w:sz w:val="20"/>
                <w:szCs w:val="20"/>
                <w:color w:val="auto"/>
              </w:rPr>
            </w:pPr>
            <w:r>
              <w:rPr>
                <w:rFonts w:ascii="Arial" w:cs="Arial" w:eastAsia="Arial" w:hAnsi="Arial"/>
                <w:sz w:val="14"/>
                <w:szCs w:val="14"/>
                <w:color w:val="auto"/>
              </w:rPr>
              <w:t>Preferred warrants, $1.17 Strike Price,</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560" w:type="dxa"/>
            <w:vAlign w:val="bottom"/>
            <w:gridSpan w:val="12"/>
            <w:shd w:val="clear" w:color="auto" w:fill="CCEEFF"/>
          </w:tcPr>
          <w:p>
            <w:pPr>
              <w:ind w:left="180"/>
              <w:spacing w:after="0"/>
              <w:rPr>
                <w:sz w:val="20"/>
                <w:szCs w:val="20"/>
                <w:color w:val="auto"/>
              </w:rPr>
            </w:pPr>
            <w:r>
              <w:rPr>
                <w:rFonts w:ascii="Arial" w:cs="Arial" w:eastAsia="Arial" w:hAnsi="Arial"/>
                <w:sz w:val="14"/>
                <w:szCs w:val="14"/>
                <w:color w:val="auto"/>
              </w:rPr>
              <w:t>Expiration Date 08/29/2021</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175,815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14,065</w:t>
            </w:r>
          </w:p>
        </w:tc>
        <w:tc>
          <w:tcPr>
            <w:tcW w:w="8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30"/>
        </w:trPr>
        <w:tc>
          <w:tcPr>
            <w:tcW w:w="2580" w:type="dxa"/>
            <w:vAlign w:val="bottom"/>
            <w:gridSpan w:val="13"/>
          </w:tcPr>
          <w:p>
            <w:pPr>
              <w:ind w:left="20"/>
              <w:spacing w:after="0" w:line="130" w:lineRule="exact"/>
              <w:rPr>
                <w:sz w:val="20"/>
                <w:szCs w:val="20"/>
                <w:color w:val="auto"/>
              </w:rPr>
            </w:pPr>
            <w:r>
              <w:rPr>
                <w:rFonts w:ascii="Arial" w:cs="Arial" w:eastAsia="Arial" w:hAnsi="Arial"/>
                <w:sz w:val="14"/>
                <w:szCs w:val="14"/>
                <w:color w:val="auto"/>
              </w:rPr>
              <w:t>Preferred warrants, $1.17 Strike Price,</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gridSpan w:val="12"/>
          </w:tcPr>
          <w:p>
            <w:pPr>
              <w:ind w:left="180"/>
              <w:spacing w:after="0"/>
              <w:rPr>
                <w:sz w:val="20"/>
                <w:szCs w:val="20"/>
                <w:color w:val="auto"/>
              </w:rPr>
            </w:pPr>
            <w:r>
              <w:rPr>
                <w:rFonts w:ascii="Arial" w:cs="Arial" w:eastAsia="Arial" w:hAnsi="Arial"/>
                <w:sz w:val="14"/>
                <w:szCs w:val="14"/>
                <w:color w:val="auto"/>
              </w:rPr>
              <w:t>Expiration Date 6/26/2021</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38,594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3,088</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30"/>
        </w:trPr>
        <w:tc>
          <w:tcPr>
            <w:tcW w:w="2580" w:type="dxa"/>
            <w:vAlign w:val="bottom"/>
            <w:gridSpan w:val="13"/>
            <w:shd w:val="clear" w:color="auto" w:fill="CCEEFF"/>
          </w:tcPr>
          <w:p>
            <w:pPr>
              <w:ind w:left="20"/>
              <w:spacing w:after="0" w:line="130" w:lineRule="exact"/>
              <w:rPr>
                <w:sz w:val="20"/>
                <w:szCs w:val="20"/>
                <w:color w:val="auto"/>
              </w:rPr>
            </w:pPr>
            <w:r>
              <w:rPr>
                <w:rFonts w:ascii="Arial" w:cs="Arial" w:eastAsia="Arial" w:hAnsi="Arial"/>
                <w:sz w:val="14"/>
                <w:szCs w:val="14"/>
                <w:color w:val="auto"/>
              </w:rPr>
              <w:t>Preferred warrants, $1.17 Strike Price,</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560" w:type="dxa"/>
            <w:vAlign w:val="bottom"/>
            <w:gridSpan w:val="12"/>
            <w:shd w:val="clear" w:color="auto" w:fill="CCEEFF"/>
          </w:tcPr>
          <w:p>
            <w:pPr>
              <w:ind w:left="180"/>
              <w:spacing w:after="0"/>
              <w:rPr>
                <w:sz w:val="20"/>
                <w:szCs w:val="20"/>
                <w:color w:val="auto"/>
              </w:rPr>
            </w:pPr>
            <w:r>
              <w:rPr>
                <w:rFonts w:ascii="Arial" w:cs="Arial" w:eastAsia="Arial" w:hAnsi="Arial"/>
                <w:sz w:val="14"/>
                <w:szCs w:val="14"/>
                <w:color w:val="auto"/>
              </w:rPr>
              <w:t>Expiration Date 09/30/2020</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160,806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12,864</w:t>
            </w:r>
          </w:p>
        </w:tc>
        <w:tc>
          <w:tcPr>
            <w:tcW w:w="8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30"/>
        </w:trPr>
        <w:tc>
          <w:tcPr>
            <w:tcW w:w="2580" w:type="dxa"/>
            <w:vAlign w:val="bottom"/>
            <w:gridSpan w:val="13"/>
          </w:tcPr>
          <w:p>
            <w:pPr>
              <w:ind w:left="20"/>
              <w:spacing w:after="0" w:line="130" w:lineRule="exact"/>
              <w:rPr>
                <w:sz w:val="20"/>
                <w:szCs w:val="20"/>
                <w:color w:val="auto"/>
              </w:rPr>
            </w:pPr>
            <w:r>
              <w:rPr>
                <w:rFonts w:ascii="Arial" w:cs="Arial" w:eastAsia="Arial" w:hAnsi="Arial"/>
                <w:sz w:val="14"/>
                <w:szCs w:val="14"/>
                <w:color w:val="auto"/>
              </w:rPr>
              <w:t>Preferred warrants, $1.00 Strike Price,</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gridSpan w:val="12"/>
          </w:tcPr>
          <w:p>
            <w:pPr>
              <w:ind w:left="180"/>
              <w:spacing w:after="0"/>
              <w:rPr>
                <w:sz w:val="20"/>
                <w:szCs w:val="20"/>
                <w:color w:val="auto"/>
              </w:rPr>
            </w:pPr>
            <w:r>
              <w:rPr>
                <w:rFonts w:ascii="Arial" w:cs="Arial" w:eastAsia="Arial" w:hAnsi="Arial"/>
                <w:sz w:val="14"/>
                <w:szCs w:val="14"/>
                <w:color w:val="auto"/>
              </w:rPr>
              <w:t>Expiration Date 11/21/2017</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500,000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31,354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55,000</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12"/>
            <w:shd w:val="clear" w:color="auto" w:fill="CCEEFF"/>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1,835,610</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1,266,621</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0.47%</w:t>
            </w:r>
          </w:p>
        </w:tc>
        <w:tc>
          <w:tcPr>
            <w:tcW w:w="0" w:type="dxa"/>
            <w:vAlign w:val="bottom"/>
          </w:tcPr>
          <w:p>
            <w:pPr>
              <w:spacing w:after="0"/>
              <w:rPr>
                <w:sz w:val="1"/>
                <w:szCs w:val="1"/>
                <w:color w:val="auto"/>
              </w:rPr>
            </w:pPr>
          </w:p>
        </w:tc>
      </w:tr>
      <w:tr>
        <w:trPr>
          <w:trHeight w:val="169"/>
        </w:trPr>
        <w:tc>
          <w:tcPr>
            <w:tcW w:w="2580" w:type="dxa"/>
            <w:vAlign w:val="bottom"/>
            <w:tcBorders>
              <w:top w:val="single" w:sz="8" w:color="CCEEFF"/>
            </w:tcBorders>
            <w:gridSpan w:val="13"/>
          </w:tcPr>
          <w:p>
            <w:pPr>
              <w:ind w:left="20"/>
              <w:spacing w:after="0" w:line="169" w:lineRule="exact"/>
              <w:rPr>
                <w:sz w:val="20"/>
                <w:szCs w:val="20"/>
                <w:color w:val="auto"/>
              </w:rPr>
            </w:pPr>
            <w:r>
              <w:rPr>
                <w:rFonts w:ascii="Arial" w:cs="Arial" w:eastAsia="Arial" w:hAnsi="Arial"/>
                <w:sz w:val="12"/>
                <w:szCs w:val="12"/>
                <w:b w:val="1"/>
                <w:bCs w:val="1"/>
                <w:color w:val="auto"/>
              </w:rPr>
              <w:t>EdSurge, Inc.</w:t>
            </w:r>
            <w:r>
              <w:rPr>
                <w:rFonts w:ascii="Arial" w:cs="Arial" w:eastAsia="Arial" w:hAnsi="Arial"/>
                <w:sz w:val="19"/>
                <w:szCs w:val="19"/>
                <w:b w:val="1"/>
                <w:bCs w:val="1"/>
                <w:color w:val="auto"/>
                <w:vertAlign w:val="superscript"/>
              </w:rPr>
              <w:t>(1)</w:t>
            </w:r>
          </w:p>
        </w:tc>
        <w:tc>
          <w:tcPr>
            <w:tcW w:w="100" w:type="dxa"/>
            <w:vAlign w:val="bottom"/>
            <w:tcBorders>
              <w:top w:val="single" w:sz="8" w:color="CCEEFF"/>
            </w:tcBorders>
          </w:tcPr>
          <w:p>
            <w:pPr>
              <w:spacing w:after="0"/>
              <w:rPr>
                <w:sz w:val="14"/>
                <w:szCs w:val="14"/>
                <w:color w:val="auto"/>
              </w:rPr>
            </w:pPr>
          </w:p>
        </w:tc>
        <w:tc>
          <w:tcPr>
            <w:tcW w:w="1840" w:type="dxa"/>
            <w:vAlign w:val="bottom"/>
            <w:tcBorders>
              <w:top w:val="single" w:sz="8" w:color="CCEEFF"/>
            </w:tcBorders>
          </w:tcPr>
          <w:p>
            <w:pPr>
              <w:jc w:val="center"/>
              <w:spacing w:after="0"/>
              <w:rPr>
                <w:sz w:val="20"/>
                <w:szCs w:val="20"/>
                <w:color w:val="auto"/>
              </w:rPr>
            </w:pPr>
            <w:r>
              <w:rPr>
                <w:rFonts w:ascii="Arial" w:cs="Arial" w:eastAsia="Arial" w:hAnsi="Arial"/>
                <w:sz w:val="14"/>
                <w:szCs w:val="14"/>
                <w:color w:val="auto"/>
                <w:w w:val="97"/>
              </w:rPr>
              <w:t>Burlingame, CA</w:t>
            </w: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7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3"/>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A-1</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Education Media Platform</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375,909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500,960</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500,000</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0.18%</w:t>
            </w:r>
          </w:p>
        </w:tc>
        <w:tc>
          <w:tcPr>
            <w:tcW w:w="0" w:type="dxa"/>
            <w:vAlign w:val="bottom"/>
          </w:tcPr>
          <w:p>
            <w:pPr>
              <w:spacing w:after="0"/>
              <w:rPr>
                <w:sz w:val="1"/>
                <w:szCs w:val="1"/>
                <w:color w:val="auto"/>
              </w:rPr>
            </w:pPr>
          </w:p>
        </w:tc>
      </w:tr>
      <w:tr>
        <w:trPr>
          <w:trHeight w:val="149"/>
        </w:trPr>
        <w:tc>
          <w:tcPr>
            <w:tcW w:w="2580" w:type="dxa"/>
            <w:vAlign w:val="bottom"/>
            <w:gridSpan w:val="13"/>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9"/>
              <w:spacing w:after="0" w:line="149" w:lineRule="exact"/>
              <w:rPr>
                <w:sz w:val="20"/>
                <w:szCs w:val="20"/>
                <w:color w:val="auto"/>
              </w:rPr>
            </w:pPr>
            <w:r>
              <w:rPr>
                <w:rFonts w:ascii="Arial" w:cs="Arial" w:eastAsia="Arial" w:hAnsi="Arial"/>
                <w:sz w:val="14"/>
                <w:szCs w:val="14"/>
                <w:color w:val="auto"/>
              </w:rPr>
              <w:t>494,365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500,801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524,867</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12"/>
            <w:shd w:val="clear" w:color="auto" w:fill="CCEEFF"/>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1,001,761</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1,024,867</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0.38%</w:t>
            </w:r>
          </w:p>
        </w:tc>
        <w:tc>
          <w:tcPr>
            <w:tcW w:w="0" w:type="dxa"/>
            <w:vAlign w:val="bottom"/>
          </w:tcPr>
          <w:p>
            <w:pPr>
              <w:spacing w:after="0"/>
              <w:rPr>
                <w:sz w:val="1"/>
                <w:szCs w:val="1"/>
                <w:color w:val="auto"/>
              </w:rPr>
            </w:pPr>
          </w:p>
        </w:tc>
      </w:tr>
      <w:tr>
        <w:trPr>
          <w:trHeight w:val="169"/>
        </w:trPr>
        <w:tc>
          <w:tcPr>
            <w:tcW w:w="2580" w:type="dxa"/>
            <w:vAlign w:val="bottom"/>
            <w:tcBorders>
              <w:top w:val="single" w:sz="8" w:color="CCEEFF"/>
            </w:tcBorders>
            <w:gridSpan w:val="13"/>
          </w:tcPr>
          <w:p>
            <w:pPr>
              <w:ind w:left="20"/>
              <w:spacing w:after="0" w:line="169" w:lineRule="exact"/>
              <w:rPr>
                <w:sz w:val="20"/>
                <w:szCs w:val="20"/>
                <w:color w:val="auto"/>
              </w:rPr>
            </w:pPr>
            <w:r>
              <w:rPr>
                <w:rFonts w:ascii="Arial" w:cs="Arial" w:eastAsia="Arial" w:hAnsi="Arial"/>
                <w:sz w:val="12"/>
                <w:szCs w:val="12"/>
                <w:b w:val="1"/>
                <w:bCs w:val="1"/>
                <w:color w:val="auto"/>
              </w:rPr>
              <w:t>Strategic Data Command, LLC</w:t>
            </w:r>
            <w:r>
              <w:rPr>
                <w:rFonts w:ascii="Arial" w:cs="Arial" w:eastAsia="Arial" w:hAnsi="Arial"/>
                <w:sz w:val="19"/>
                <w:szCs w:val="19"/>
                <w:b w:val="1"/>
                <w:bCs w:val="1"/>
                <w:color w:val="auto"/>
                <w:vertAlign w:val="superscript"/>
              </w:rPr>
              <w:t>(1)(7)(13)</w:t>
            </w:r>
          </w:p>
        </w:tc>
        <w:tc>
          <w:tcPr>
            <w:tcW w:w="100" w:type="dxa"/>
            <w:vAlign w:val="bottom"/>
            <w:tcBorders>
              <w:top w:val="single" w:sz="8" w:color="CCEEFF"/>
            </w:tcBorders>
          </w:tcPr>
          <w:p>
            <w:pPr>
              <w:spacing w:after="0"/>
              <w:rPr>
                <w:sz w:val="14"/>
                <w:szCs w:val="14"/>
                <w:color w:val="auto"/>
              </w:rPr>
            </w:pPr>
          </w:p>
        </w:tc>
        <w:tc>
          <w:tcPr>
            <w:tcW w:w="1840" w:type="dxa"/>
            <w:vAlign w:val="bottom"/>
            <w:tcBorders>
              <w:top w:val="single" w:sz="8" w:color="CCEEFF"/>
            </w:tcBorders>
          </w:tcPr>
          <w:p>
            <w:pPr>
              <w:jc w:val="center"/>
              <w:spacing w:after="0"/>
              <w:rPr>
                <w:sz w:val="20"/>
                <w:szCs w:val="20"/>
                <w:color w:val="auto"/>
              </w:rPr>
            </w:pPr>
            <w:r>
              <w:rPr>
                <w:rFonts w:ascii="Arial" w:cs="Arial" w:eastAsia="Arial" w:hAnsi="Arial"/>
                <w:sz w:val="14"/>
                <w:szCs w:val="14"/>
                <w:color w:val="auto"/>
                <w:w w:val="94"/>
              </w:rPr>
              <w:t>Sunnyvale, CA</w:t>
            </w: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7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3"/>
            <w:shd w:val="clear" w:color="auto" w:fill="CCEEFF"/>
          </w:tcPr>
          <w:p>
            <w:pPr>
              <w:ind w:left="20"/>
              <w:spacing w:after="0" w:line="142" w:lineRule="exact"/>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Software Development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2,400,000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989,277</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1,001,650</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0.37%</w:t>
            </w:r>
          </w:p>
        </w:tc>
        <w:tc>
          <w:tcPr>
            <w:tcW w:w="0" w:type="dxa"/>
            <w:vAlign w:val="bottom"/>
          </w:tcPr>
          <w:p>
            <w:pPr>
              <w:spacing w:after="0"/>
              <w:rPr>
                <w:sz w:val="1"/>
                <w:szCs w:val="1"/>
                <w:color w:val="auto"/>
              </w:rPr>
            </w:pPr>
          </w:p>
        </w:tc>
      </w:tr>
      <w:tr>
        <w:trPr>
          <w:trHeight w:val="135"/>
        </w:trPr>
        <w:tc>
          <w:tcPr>
            <w:tcW w:w="2580" w:type="dxa"/>
            <w:vAlign w:val="bottom"/>
            <w:gridSpan w:val="13"/>
          </w:tcPr>
          <w:p>
            <w:pPr>
              <w:ind w:left="20"/>
              <w:spacing w:after="0" w:line="135" w:lineRule="exact"/>
              <w:rPr>
                <w:sz w:val="20"/>
                <w:szCs w:val="20"/>
                <w:color w:val="auto"/>
              </w:rPr>
            </w:pPr>
            <w:r>
              <w:rPr>
                <w:rFonts w:ascii="Arial" w:cs="Arial" w:eastAsia="Arial" w:hAnsi="Arial"/>
                <w:sz w:val="14"/>
                <w:szCs w:val="14"/>
                <w:b w:val="1"/>
                <w:bCs w:val="1"/>
                <w:color w:val="auto"/>
              </w:rPr>
              <w:t>Aspiration Partners, Inc.</w:t>
            </w:r>
          </w:p>
        </w:tc>
        <w:tc>
          <w:tcPr>
            <w:tcW w:w="100" w:type="dxa"/>
            <w:vAlign w:val="bottom"/>
          </w:tcPr>
          <w:p>
            <w:pPr>
              <w:spacing w:after="0"/>
              <w:rPr>
                <w:sz w:val="11"/>
                <w:szCs w:val="11"/>
                <w:color w:val="auto"/>
              </w:rPr>
            </w:pPr>
          </w:p>
        </w:tc>
        <w:tc>
          <w:tcPr>
            <w:tcW w:w="1840" w:type="dxa"/>
            <w:vAlign w:val="bottom"/>
          </w:tcPr>
          <w:p>
            <w:pPr>
              <w:jc w:val="center"/>
              <w:spacing w:after="0" w:line="135" w:lineRule="exact"/>
              <w:rPr>
                <w:sz w:val="20"/>
                <w:szCs w:val="20"/>
                <w:color w:val="auto"/>
              </w:rPr>
            </w:pPr>
            <w:r>
              <w:rPr>
                <w:rFonts w:ascii="Arial" w:cs="Arial" w:eastAsia="Arial" w:hAnsi="Arial"/>
                <w:sz w:val="14"/>
                <w:szCs w:val="14"/>
                <w:color w:val="auto"/>
                <w:w w:val="96"/>
              </w:rPr>
              <w:t>Marina Del Rey, CA</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3"/>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1"/>
              </w:rPr>
              <w:t>Financial Services</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18,009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1,001,815</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918,720</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0.34%</w:t>
            </w:r>
          </w:p>
        </w:tc>
        <w:tc>
          <w:tcPr>
            <w:tcW w:w="0" w:type="dxa"/>
            <w:vAlign w:val="bottom"/>
          </w:tcPr>
          <w:p>
            <w:pPr>
              <w:spacing w:after="0"/>
              <w:rPr>
                <w:sz w:val="1"/>
                <w:szCs w:val="1"/>
                <w:color w:val="auto"/>
              </w:rPr>
            </w:pPr>
          </w:p>
        </w:tc>
      </w:tr>
      <w:tr>
        <w:trPr>
          <w:trHeight w:val="135"/>
        </w:trPr>
        <w:tc>
          <w:tcPr>
            <w:tcW w:w="2580" w:type="dxa"/>
            <w:vAlign w:val="bottom"/>
            <w:gridSpan w:val="13"/>
          </w:tcPr>
          <w:p>
            <w:pPr>
              <w:ind w:left="20"/>
              <w:spacing w:after="0" w:line="135" w:lineRule="exact"/>
              <w:rPr>
                <w:sz w:val="20"/>
                <w:szCs w:val="20"/>
                <w:color w:val="auto"/>
              </w:rPr>
            </w:pPr>
            <w:r>
              <w:rPr>
                <w:rFonts w:ascii="Arial" w:cs="Arial" w:eastAsia="Arial" w:hAnsi="Arial"/>
                <w:sz w:val="14"/>
                <w:szCs w:val="14"/>
                <w:b w:val="1"/>
                <w:bCs w:val="1"/>
                <w:color w:val="auto"/>
              </w:rPr>
              <w:t>4C Insights (f/k/a The Echo Systems</w:t>
            </w:r>
          </w:p>
        </w:tc>
        <w:tc>
          <w:tcPr>
            <w:tcW w:w="100" w:type="dxa"/>
            <w:vAlign w:val="bottom"/>
          </w:tcPr>
          <w:p>
            <w:pPr>
              <w:spacing w:after="0"/>
              <w:rPr>
                <w:sz w:val="11"/>
                <w:szCs w:val="11"/>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color w:val="auto"/>
                <w:w w:val="95"/>
              </w:rPr>
              <w:t>Chicago, IL</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20" w:type="dxa"/>
            <w:vAlign w:val="bottom"/>
            <w:tcBorders>
              <w:top w:val="single" w:sz="8" w:color="auto"/>
            </w:tcBorders>
            <w:gridSpan w:val="11"/>
          </w:tcPr>
          <w:p>
            <w:pPr>
              <w:ind w:left="180"/>
              <w:spacing w:after="0" w:line="129" w:lineRule="exact"/>
              <w:rPr>
                <w:sz w:val="20"/>
                <w:szCs w:val="20"/>
                <w:color w:val="auto"/>
              </w:rPr>
            </w:pPr>
            <w:r>
              <w:rPr>
                <w:rFonts w:ascii="Arial" w:cs="Arial" w:eastAsia="Arial" w:hAnsi="Arial"/>
                <w:sz w:val="14"/>
                <w:szCs w:val="14"/>
                <w:b w:val="1"/>
                <w:bCs w:val="1"/>
                <w:color w:val="auto"/>
              </w:rPr>
              <w:t>Corp.)</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3"/>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Social Data Platform</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512,365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1,436,404</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850,210</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0.32%</w:t>
            </w:r>
          </w:p>
        </w:tc>
        <w:tc>
          <w:tcPr>
            <w:tcW w:w="0" w:type="dxa"/>
            <w:vAlign w:val="bottom"/>
          </w:tcPr>
          <w:p>
            <w:pPr>
              <w:spacing w:after="0"/>
              <w:rPr>
                <w:sz w:val="1"/>
                <w:szCs w:val="1"/>
                <w:color w:val="auto"/>
              </w:rPr>
            </w:pPr>
          </w:p>
        </w:tc>
      </w:tr>
      <w:tr>
        <w:trPr>
          <w:trHeight w:val="135"/>
        </w:trPr>
        <w:tc>
          <w:tcPr>
            <w:tcW w:w="2580" w:type="dxa"/>
            <w:vAlign w:val="bottom"/>
            <w:gridSpan w:val="13"/>
          </w:tcPr>
          <w:p>
            <w:pPr>
              <w:ind w:left="20"/>
              <w:spacing w:after="0" w:line="135" w:lineRule="exact"/>
              <w:rPr>
                <w:sz w:val="20"/>
                <w:szCs w:val="20"/>
                <w:color w:val="auto"/>
              </w:rPr>
            </w:pPr>
            <w:r>
              <w:rPr>
                <w:rFonts w:ascii="Arial" w:cs="Arial" w:eastAsia="Arial" w:hAnsi="Arial"/>
                <w:sz w:val="14"/>
                <w:szCs w:val="14"/>
                <w:b w:val="1"/>
                <w:bCs w:val="1"/>
                <w:color w:val="auto"/>
              </w:rPr>
              <w:t>Tynker (f/k/a Neuron Fuel, Inc.)</w:t>
            </w:r>
          </w:p>
        </w:tc>
        <w:tc>
          <w:tcPr>
            <w:tcW w:w="100" w:type="dxa"/>
            <w:vAlign w:val="bottom"/>
          </w:tcPr>
          <w:p>
            <w:pPr>
              <w:spacing w:after="0"/>
              <w:rPr>
                <w:sz w:val="11"/>
                <w:szCs w:val="11"/>
                <w:color w:val="auto"/>
              </w:rPr>
            </w:pPr>
          </w:p>
        </w:tc>
        <w:tc>
          <w:tcPr>
            <w:tcW w:w="1840" w:type="dxa"/>
            <w:vAlign w:val="bottom"/>
          </w:tcPr>
          <w:p>
            <w:pPr>
              <w:jc w:val="center"/>
              <w:spacing w:after="0" w:line="135" w:lineRule="exact"/>
              <w:rPr>
                <w:sz w:val="20"/>
                <w:szCs w:val="20"/>
                <w:color w:val="auto"/>
              </w:rPr>
            </w:pPr>
            <w:r>
              <w:rPr>
                <w:rFonts w:ascii="Arial" w:cs="Arial" w:eastAsia="Arial" w:hAnsi="Arial"/>
                <w:sz w:val="14"/>
                <w:szCs w:val="14"/>
                <w:color w:val="auto"/>
                <w:w w:val="88"/>
              </w:rPr>
              <w:t>San Jose, CA</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3"/>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2"/>
              </w:rPr>
              <w:t>Computer Software</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534,162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309,310</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674,108</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0.25%</w:t>
            </w:r>
          </w:p>
        </w:tc>
        <w:tc>
          <w:tcPr>
            <w:tcW w:w="0" w:type="dxa"/>
            <w:vAlign w:val="bottom"/>
          </w:tcPr>
          <w:p>
            <w:pPr>
              <w:spacing w:after="0"/>
              <w:rPr>
                <w:sz w:val="1"/>
                <w:szCs w:val="1"/>
                <w:color w:val="auto"/>
              </w:rPr>
            </w:pPr>
          </w:p>
        </w:tc>
      </w:tr>
      <w:tr>
        <w:trPr>
          <w:trHeight w:val="176"/>
        </w:trPr>
        <w:tc>
          <w:tcPr>
            <w:tcW w:w="2580" w:type="dxa"/>
            <w:vAlign w:val="bottom"/>
            <w:gridSpan w:val="13"/>
          </w:tcPr>
          <w:p>
            <w:pPr>
              <w:ind w:left="20"/>
              <w:spacing w:after="0" w:line="176" w:lineRule="exact"/>
              <w:rPr>
                <w:sz w:val="20"/>
                <w:szCs w:val="20"/>
                <w:color w:val="auto"/>
              </w:rPr>
            </w:pPr>
            <w:r>
              <w:rPr>
                <w:rFonts w:ascii="Arial" w:cs="Arial" w:eastAsia="Arial" w:hAnsi="Arial"/>
                <w:sz w:val="13"/>
                <w:szCs w:val="13"/>
                <w:b w:val="1"/>
                <w:bCs w:val="1"/>
                <w:color w:val="auto"/>
              </w:rPr>
              <w:t>Gilt Groupe Holdings, Inc.</w:t>
            </w:r>
            <w:r>
              <w:rPr>
                <w:rFonts w:ascii="Arial" w:cs="Arial" w:eastAsia="Arial" w:hAnsi="Arial"/>
                <w:sz w:val="20"/>
                <w:szCs w:val="20"/>
                <w:b w:val="1"/>
                <w:bCs w:val="1"/>
                <w:color w:val="auto"/>
                <w:vertAlign w:val="superscript"/>
              </w:rPr>
              <w:t>(15)</w:t>
            </w:r>
          </w:p>
        </w:tc>
        <w:tc>
          <w:tcPr>
            <w:tcW w:w="1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rPr>
              <w:t>New York, NY</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3"/>
            <w:shd w:val="clear" w:color="auto" w:fill="CCEEFF"/>
          </w:tcPr>
          <w:p>
            <w:pPr>
              <w:ind w:left="20"/>
              <w:spacing w:after="0" w:line="142" w:lineRule="exact"/>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1"/>
              </w:rPr>
              <w:t>e-Commerce Flash Sales</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248,600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6,594,433</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539,387</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0.20%</w:t>
            </w:r>
          </w:p>
        </w:tc>
        <w:tc>
          <w:tcPr>
            <w:tcW w:w="0" w:type="dxa"/>
            <w:vAlign w:val="bottom"/>
          </w:tcPr>
          <w:p>
            <w:pPr>
              <w:spacing w:after="0"/>
              <w:rPr>
                <w:sz w:val="1"/>
                <w:szCs w:val="1"/>
                <w:color w:val="auto"/>
              </w:rPr>
            </w:pPr>
          </w:p>
        </w:tc>
      </w:tr>
      <w:tr>
        <w:trPr>
          <w:trHeight w:val="176"/>
        </w:trPr>
        <w:tc>
          <w:tcPr>
            <w:tcW w:w="2580" w:type="dxa"/>
            <w:vAlign w:val="bottom"/>
            <w:gridSpan w:val="13"/>
          </w:tcPr>
          <w:p>
            <w:pPr>
              <w:ind w:left="20"/>
              <w:spacing w:after="0" w:line="176" w:lineRule="exact"/>
              <w:rPr>
                <w:sz w:val="20"/>
                <w:szCs w:val="20"/>
                <w:color w:val="auto"/>
              </w:rPr>
            </w:pPr>
            <w:r>
              <w:rPr>
                <w:rFonts w:ascii="Arial" w:cs="Arial" w:eastAsia="Arial" w:hAnsi="Arial"/>
                <w:sz w:val="13"/>
                <w:szCs w:val="13"/>
                <w:b w:val="1"/>
                <w:bCs w:val="1"/>
                <w:color w:val="auto"/>
              </w:rPr>
              <w:t>AlwaysOn, Inc.</w:t>
            </w:r>
            <w:r>
              <w:rPr>
                <w:rFonts w:ascii="Arial" w:cs="Arial" w:eastAsia="Arial" w:hAnsi="Arial"/>
                <w:sz w:val="20"/>
                <w:szCs w:val="20"/>
                <w:b w:val="1"/>
                <w:bCs w:val="1"/>
                <w:color w:val="auto"/>
                <w:vertAlign w:val="superscript"/>
              </w:rPr>
              <w:t>(1)</w:t>
            </w:r>
          </w:p>
        </w:tc>
        <w:tc>
          <w:tcPr>
            <w:tcW w:w="1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3"/>
              </w:rPr>
              <w:t>Woodside, CA</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3"/>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A-1</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Social Media</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4,465,925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876,023</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133,978</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149"/>
        </w:trPr>
        <w:tc>
          <w:tcPr>
            <w:tcW w:w="2580" w:type="dxa"/>
            <w:vAlign w:val="bottom"/>
            <w:gridSpan w:val="13"/>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9"/>
              <w:spacing w:after="0" w:line="149" w:lineRule="exact"/>
              <w:rPr>
                <w:sz w:val="20"/>
                <w:szCs w:val="20"/>
                <w:color w:val="auto"/>
              </w:rPr>
            </w:pPr>
            <w:r>
              <w:rPr>
                <w:rFonts w:ascii="Arial" w:cs="Arial" w:eastAsia="Arial" w:hAnsi="Arial"/>
                <w:sz w:val="14"/>
                <w:szCs w:val="14"/>
                <w:color w:val="auto"/>
              </w:rPr>
              <w:t>1,066,626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1,027,391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191,993</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0.07%</w:t>
            </w:r>
          </w:p>
        </w:tc>
        <w:tc>
          <w:tcPr>
            <w:tcW w:w="0" w:type="dxa"/>
            <w:vAlign w:val="bottom"/>
          </w:tcPr>
          <w:p>
            <w:pPr>
              <w:spacing w:after="0"/>
              <w:rPr>
                <w:sz w:val="1"/>
                <w:szCs w:val="1"/>
                <w:color w:val="auto"/>
              </w:rPr>
            </w:pPr>
          </w:p>
        </w:tc>
      </w:tr>
      <w:tr>
        <w:trPr>
          <w:trHeight w:val="130"/>
        </w:trPr>
        <w:tc>
          <w:tcPr>
            <w:tcW w:w="2580" w:type="dxa"/>
            <w:vAlign w:val="bottom"/>
            <w:gridSpan w:val="13"/>
            <w:shd w:val="clear" w:color="auto" w:fill="CCEEFF"/>
          </w:tcPr>
          <w:p>
            <w:pPr>
              <w:ind w:left="20"/>
              <w:spacing w:after="0" w:line="130" w:lineRule="exact"/>
              <w:rPr>
                <w:sz w:val="20"/>
                <w:szCs w:val="20"/>
                <w:color w:val="auto"/>
              </w:rPr>
            </w:pPr>
            <w:r>
              <w:rPr>
                <w:rFonts w:ascii="Arial" w:cs="Arial" w:eastAsia="Arial" w:hAnsi="Arial"/>
                <w:sz w:val="14"/>
                <w:szCs w:val="14"/>
                <w:color w:val="auto"/>
              </w:rPr>
              <w:t>Preferred warrants Series A, $1.00 strike</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560" w:type="dxa"/>
            <w:vAlign w:val="bottom"/>
            <w:gridSpan w:val="12"/>
            <w:shd w:val="clear" w:color="auto" w:fill="CCEEFF"/>
          </w:tcPr>
          <w:p>
            <w:pPr>
              <w:ind w:left="180"/>
              <w:spacing w:after="0"/>
              <w:rPr>
                <w:sz w:val="20"/>
                <w:szCs w:val="20"/>
                <w:color w:val="auto"/>
              </w:rPr>
            </w:pPr>
            <w:r>
              <w:rPr>
                <w:rFonts w:ascii="Arial" w:cs="Arial" w:eastAsia="Arial" w:hAnsi="Arial"/>
                <w:sz w:val="14"/>
                <w:szCs w:val="14"/>
                <w:color w:val="auto"/>
              </w:rPr>
              <w:t>price, expire 1/9/2017</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109,375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gridSpan w:val="12"/>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1,903,414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325,971</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0.12%</w:t>
            </w:r>
          </w:p>
        </w:tc>
        <w:tc>
          <w:tcPr>
            <w:tcW w:w="0" w:type="dxa"/>
            <w:vAlign w:val="bottom"/>
          </w:tcPr>
          <w:p>
            <w:pPr>
              <w:spacing w:after="0"/>
              <w:rPr>
                <w:sz w:val="1"/>
                <w:szCs w:val="1"/>
                <w:color w:val="auto"/>
              </w:rPr>
            </w:pPr>
          </w:p>
        </w:tc>
      </w:tr>
      <w:tr>
        <w:trPr>
          <w:trHeight w:val="129"/>
        </w:trPr>
        <w:tc>
          <w:tcPr>
            <w:tcW w:w="2580" w:type="dxa"/>
            <w:vAlign w:val="bottom"/>
            <w:gridSpan w:val="13"/>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Earlyshares.com,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rPr>
              <w:t>Miami, FL</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580" w:type="dxa"/>
            <w:vAlign w:val="bottom"/>
            <w:gridSpan w:val="13"/>
          </w:tcPr>
          <w:p>
            <w:pPr>
              <w:ind w:left="20"/>
              <w:spacing w:after="0" w:line="155" w:lineRule="exact"/>
              <w:rPr>
                <w:sz w:val="20"/>
                <w:szCs w:val="20"/>
                <w:color w:val="auto"/>
              </w:rPr>
            </w:pPr>
            <w:r>
              <w:rPr>
                <w:rFonts w:ascii="Arial" w:cs="Arial" w:eastAsia="Arial" w:hAnsi="Arial"/>
                <w:sz w:val="14"/>
                <w:szCs w:val="14"/>
                <w:color w:val="auto"/>
              </w:rPr>
              <w:t>Convertible Promissory Note 5%,</w:t>
            </w:r>
          </w:p>
        </w:tc>
        <w:tc>
          <w:tcPr>
            <w:tcW w:w="100" w:type="dxa"/>
            <w:vAlign w:val="bottom"/>
          </w:tcPr>
          <w:p>
            <w:pPr>
              <w:spacing w:after="0"/>
              <w:rPr>
                <w:sz w:val="13"/>
                <w:szCs w:val="13"/>
                <w:color w:val="auto"/>
              </w:rPr>
            </w:pPr>
          </w:p>
        </w:tc>
        <w:tc>
          <w:tcPr>
            <w:tcW w:w="1840" w:type="dxa"/>
            <w:vAlign w:val="bottom"/>
          </w:tcPr>
          <w:p>
            <w:pPr>
              <w:jc w:val="center"/>
              <w:spacing w:after="0" w:line="155" w:lineRule="exact"/>
              <w:rPr>
                <w:sz w:val="20"/>
                <w:szCs w:val="20"/>
                <w:color w:val="auto"/>
              </w:rPr>
            </w:pPr>
            <w:r>
              <w:rPr>
                <w:rFonts w:ascii="Arial" w:cs="Arial" w:eastAsia="Arial" w:hAnsi="Arial"/>
                <w:sz w:val="14"/>
                <w:szCs w:val="14"/>
                <w:color w:val="auto"/>
                <w:w w:val="95"/>
              </w:rPr>
              <w:t>Equity Crowdfunding</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340" w:type="dxa"/>
            <w:vAlign w:val="bottom"/>
            <w:gridSpan w:val="7"/>
          </w:tcPr>
          <w:p>
            <w:pPr>
              <w:ind w:left="200"/>
              <w:spacing w:after="0" w:line="176" w:lineRule="exact"/>
              <w:rPr>
                <w:sz w:val="20"/>
                <w:szCs w:val="20"/>
                <w:color w:val="auto"/>
              </w:rPr>
            </w:pPr>
            <w:r>
              <w:rPr>
                <w:rFonts w:ascii="Arial" w:cs="Arial" w:eastAsia="Arial" w:hAnsi="Arial"/>
                <w:sz w:val="13"/>
                <w:szCs w:val="13"/>
                <w:color w:val="auto"/>
              </w:rPr>
              <w:t>8/02/2016</w:t>
            </w:r>
            <w:r>
              <w:rPr>
                <w:rFonts w:ascii="Arial" w:cs="Arial" w:eastAsia="Arial" w:hAnsi="Arial"/>
                <w:sz w:val="20"/>
                <w:szCs w:val="20"/>
                <w:color w:val="auto"/>
                <w:vertAlign w:val="superscript"/>
              </w:rPr>
              <w:t>(11)</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50,000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50,840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50,000</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149"/>
        </w:trPr>
        <w:tc>
          <w:tcPr>
            <w:tcW w:w="2580" w:type="dxa"/>
            <w:vAlign w:val="bottom"/>
            <w:gridSpan w:val="13"/>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165,715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261,598</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125,115</w:t>
            </w:r>
          </w:p>
        </w:tc>
        <w:tc>
          <w:tcPr>
            <w:tcW w:w="8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gridSpan w:val="12"/>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312,438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175,115</w:t>
            </w:r>
          </w:p>
        </w:tc>
        <w:tc>
          <w:tcPr>
            <w:tcW w:w="840" w:type="dxa"/>
            <w:vAlign w:val="bottom"/>
            <w:gridSpan w:val="3"/>
          </w:tcPr>
          <w:p>
            <w:pPr>
              <w:jc w:val="right"/>
              <w:ind w:right="180"/>
              <w:spacing w:after="0" w:line="142" w:lineRule="exact"/>
              <w:rPr>
                <w:sz w:val="20"/>
                <w:szCs w:val="20"/>
                <w:color w:val="auto"/>
              </w:rPr>
            </w:pPr>
            <w:r>
              <w:rPr>
                <w:rFonts w:ascii="Arial" w:cs="Arial" w:eastAsia="Arial" w:hAnsi="Arial"/>
                <w:sz w:val="14"/>
                <w:szCs w:val="14"/>
                <w:color w:val="auto"/>
              </w:rPr>
              <w:t>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-4390390</wp:posOffset>
            </wp:positionV>
            <wp:extent cx="5213985" cy="1117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-2640965</wp:posOffset>
            </wp:positionV>
            <wp:extent cx="5213985" cy="1289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213985" cy="1289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-2220595</wp:posOffset>
            </wp:positionV>
            <wp:extent cx="5213985" cy="1289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213985" cy="1289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-625475</wp:posOffset>
            </wp:positionV>
            <wp:extent cx="5213985" cy="1117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-111125</wp:posOffset>
            </wp:positionV>
            <wp:extent cx="5213985" cy="1117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213985" cy="11176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620"/>
        <w:spacing w:after="0"/>
        <w:rPr>
          <w:sz w:val="20"/>
          <w:szCs w:val="20"/>
          <w:color w:val="auto"/>
        </w:rPr>
      </w:pPr>
      <w:r>
        <w:rPr>
          <w:rFonts w:ascii="Arial" w:cs="Arial" w:eastAsia="Arial" w:hAnsi="Arial"/>
          <w:sz w:val="18"/>
          <w:szCs w:val="18"/>
          <w:i w:val="1"/>
          <w:iCs w:val="1"/>
          <w:color w:val="auto"/>
        </w:rPr>
        <w:t>See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8" w:name="page19"/>
    <w:bookmarkEnd w:id="18"/>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SCHEDULE OF INVESTMENTS – (continued)</w:t>
      </w:r>
    </w:p>
    <w:p>
      <w:pPr>
        <w:spacing w:after="0" w:line="1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-48260</wp:posOffset>
            </wp:positionV>
            <wp:extent cx="521398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right"/>
              <w:ind w:right="170"/>
              <w:spacing w:after="0" w:line="121" w:lineRule="exact"/>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gridSpan w:val="2"/>
          </w:tcPr>
          <w:p>
            <w:pPr>
              <w:jc w:val="right"/>
              <w:ind w:right="200"/>
              <w:spacing w:after="0" w:line="121" w:lineRule="exact"/>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53"/>
        </w:trPr>
        <w:tc>
          <w:tcPr>
            <w:tcW w:w="2580" w:type="dxa"/>
            <w:vAlign w:val="bottom"/>
            <w:tcBorders>
              <w:bottom w:val="single" w:sz="8" w:color="auto"/>
            </w:tcBorders>
            <w:gridSpan w:val="10"/>
          </w:tcPr>
          <w:p>
            <w:pPr>
              <w:ind w:left="20"/>
              <w:spacing w:after="0"/>
              <w:rPr>
                <w:sz w:val="20"/>
                <w:szCs w:val="20"/>
                <w:color w:val="auto"/>
              </w:rPr>
            </w:pPr>
            <w:r>
              <w:rPr>
                <w:rFonts w:ascii="Arial" w:cs="Arial" w:eastAsia="Arial" w:hAnsi="Arial"/>
                <w:sz w:val="13"/>
                <w:szCs w:val="13"/>
                <w:b w:val="1"/>
                <w:bCs w:val="1"/>
                <w:color w:val="auto"/>
              </w:rPr>
              <w:t>Portfolio Investments*</w:t>
            </w:r>
          </w:p>
        </w:tc>
        <w:tc>
          <w:tcPr>
            <w:tcW w:w="100" w:type="dxa"/>
            <w:vAlign w:val="bottom"/>
          </w:tcPr>
          <w:p>
            <w:pPr>
              <w:spacing w:after="0"/>
              <w:rPr>
                <w:sz w:val="13"/>
                <w:szCs w:val="13"/>
                <w:color w:val="auto"/>
              </w:rPr>
            </w:pPr>
          </w:p>
        </w:tc>
        <w:tc>
          <w:tcPr>
            <w:tcW w:w="184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Headquarters/Industry</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10"/>
              <w:spacing w:after="0"/>
              <w:rPr>
                <w:sz w:val="20"/>
                <w:szCs w:val="20"/>
                <w:color w:val="auto"/>
              </w:rPr>
            </w:pPr>
            <w:r>
              <w:rPr>
                <w:rFonts w:ascii="Arial" w:cs="Arial" w:eastAsia="Arial" w:hAnsi="Arial"/>
                <w:sz w:val="13"/>
                <w:szCs w:val="13"/>
                <w:b w:val="1"/>
                <w:bCs w:val="1"/>
                <w:color w:val="auto"/>
                <w:w w:val="98"/>
              </w:rPr>
              <w:t>Principal</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w w:val="99"/>
              </w:rPr>
              <w:t>Fair Value</w:t>
            </w:r>
          </w:p>
        </w:tc>
        <w:tc>
          <w:tcPr>
            <w:tcW w:w="180" w:type="dxa"/>
            <w:vAlign w:val="bottom"/>
          </w:tcPr>
          <w:p>
            <w:pPr>
              <w:spacing w:after="0"/>
              <w:rPr>
                <w:sz w:val="13"/>
                <w:szCs w:val="13"/>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w w:val="89"/>
              </w:rPr>
              <w:t>Net Assets</w:t>
            </w:r>
          </w:p>
        </w:tc>
        <w:tc>
          <w:tcPr>
            <w:tcW w:w="0" w:type="dxa"/>
            <w:vAlign w:val="bottom"/>
          </w:tcPr>
          <w:p>
            <w:pPr>
              <w:spacing w:after="0"/>
              <w:rPr>
                <w:sz w:val="1"/>
                <w:szCs w:val="1"/>
                <w:color w:val="auto"/>
              </w:rPr>
            </w:pPr>
          </w:p>
        </w:tc>
      </w:tr>
      <w:tr>
        <w:trPr>
          <w:trHeight w:val="129"/>
        </w:trPr>
        <w:tc>
          <w:tcPr>
            <w:tcW w:w="2680" w:type="dxa"/>
            <w:vAlign w:val="bottom"/>
            <w:gridSpan w:val="11"/>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AliphCom, Inc. (d/b/a Jawbone)</w:t>
            </w:r>
          </w:p>
        </w:tc>
        <w:tc>
          <w:tcPr>
            <w:tcW w:w="2080" w:type="dxa"/>
            <w:vAlign w:val="bottom"/>
            <w:gridSpan w:val="3"/>
            <w:shd w:val="clear" w:color="auto" w:fill="CCEEFF"/>
          </w:tcPr>
          <w:p>
            <w:pPr>
              <w:jc w:val="center"/>
              <w:ind w:right="200"/>
              <w:spacing w:after="0" w:line="129" w:lineRule="exact"/>
              <w:rPr>
                <w:sz w:val="20"/>
                <w:szCs w:val="20"/>
                <w:color w:val="auto"/>
              </w:rPr>
            </w:pPr>
            <w:r>
              <w:rPr>
                <w:rFonts w:ascii="Arial" w:cs="Arial" w:eastAsia="Arial" w:hAnsi="Arial"/>
                <w:sz w:val="14"/>
                <w:szCs w:val="14"/>
                <w:color w:val="auto"/>
                <w:w w:val="92"/>
              </w:rPr>
              <w:t>San Francisco, CA</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gridSpan w:val="11"/>
          </w:tcPr>
          <w:p>
            <w:pPr>
              <w:ind w:left="20"/>
              <w:spacing w:after="0" w:line="142" w:lineRule="exact"/>
              <w:rPr>
                <w:sz w:val="20"/>
                <w:szCs w:val="20"/>
                <w:color w:val="auto"/>
              </w:rPr>
            </w:pPr>
            <w:r>
              <w:rPr>
                <w:rFonts w:ascii="Arial" w:cs="Arial" w:eastAsia="Arial" w:hAnsi="Arial"/>
                <w:sz w:val="14"/>
                <w:szCs w:val="14"/>
                <w:color w:val="auto"/>
              </w:rPr>
              <w:t>Common shares</w:t>
            </w:r>
          </w:p>
        </w:tc>
        <w:tc>
          <w:tcPr>
            <w:tcW w:w="2080" w:type="dxa"/>
            <w:vAlign w:val="bottom"/>
            <w:gridSpan w:val="3"/>
          </w:tcPr>
          <w:p>
            <w:pPr>
              <w:jc w:val="center"/>
              <w:ind w:right="180"/>
              <w:spacing w:after="0" w:line="142" w:lineRule="exact"/>
              <w:rPr>
                <w:sz w:val="20"/>
                <w:szCs w:val="20"/>
                <w:color w:val="auto"/>
              </w:rPr>
            </w:pPr>
            <w:r>
              <w:rPr>
                <w:rFonts w:ascii="Arial" w:cs="Arial" w:eastAsia="Arial" w:hAnsi="Arial"/>
                <w:sz w:val="14"/>
                <w:szCs w:val="14"/>
                <w:color w:val="auto"/>
                <w:w w:val="93"/>
              </w:rPr>
              <w:t>Smart Device Company</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150,000</w:t>
            </w:r>
          </w:p>
        </w:tc>
        <w:tc>
          <w:tcPr>
            <w:tcW w:w="1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793,152</w:t>
            </w:r>
          </w:p>
        </w:tc>
        <w:tc>
          <w:tcPr>
            <w:tcW w:w="24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130,910</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135"/>
        </w:trPr>
        <w:tc>
          <w:tcPr>
            <w:tcW w:w="2680" w:type="dxa"/>
            <w:vAlign w:val="bottom"/>
            <w:gridSpan w:val="11"/>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Upwork Global Inc. (f/k/a Odesk</w:t>
            </w:r>
          </w:p>
        </w:tc>
        <w:tc>
          <w:tcPr>
            <w:tcW w:w="2080" w:type="dxa"/>
            <w:vAlign w:val="bottom"/>
            <w:gridSpan w:val="3"/>
            <w:vMerge w:val="restart"/>
            <w:shd w:val="clear" w:color="auto" w:fill="CCEEFF"/>
          </w:tcPr>
          <w:p>
            <w:pPr>
              <w:jc w:val="center"/>
              <w:ind w:right="180"/>
              <w:spacing w:after="0"/>
              <w:rPr>
                <w:sz w:val="20"/>
                <w:szCs w:val="20"/>
                <w:color w:val="auto"/>
              </w:rPr>
            </w:pPr>
            <w:r>
              <w:rPr>
                <w:rFonts w:ascii="Arial" w:cs="Arial" w:eastAsia="Arial" w:hAnsi="Arial"/>
                <w:sz w:val="14"/>
                <w:szCs w:val="14"/>
                <w:color w:val="auto"/>
                <w:w w:val="96"/>
              </w:rPr>
              <w:t>Redwood City, CA</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Borders>
              <w:top w:val="single" w:sz="8" w:color="CCEEFF"/>
            </w:tcBorders>
            <w:shd w:val="clear" w:color="auto" w:fill="CCEEFF"/>
          </w:tcPr>
          <w:p>
            <w:pPr>
              <w:spacing w:after="0"/>
              <w:rPr>
                <w:sz w:val="11"/>
                <w:szCs w:val="11"/>
                <w:color w:val="auto"/>
              </w:rPr>
            </w:pPr>
          </w:p>
        </w:tc>
        <w:tc>
          <w:tcPr>
            <w:tcW w:w="2020" w:type="dxa"/>
            <w:vAlign w:val="bottom"/>
            <w:tcBorders>
              <w:top w:val="single" w:sz="8" w:color="auto"/>
              <w:right w:val="single" w:sz="8" w:color="CCEEFF"/>
            </w:tcBorders>
            <w:gridSpan w:val="6"/>
            <w:shd w:val="clear" w:color="auto" w:fill="CCEEFF"/>
          </w:tcPr>
          <w:p>
            <w:pPr>
              <w:ind w:left="180"/>
              <w:spacing w:after="0" w:line="129" w:lineRule="exact"/>
              <w:rPr>
                <w:sz w:val="20"/>
                <w:szCs w:val="20"/>
                <w:color w:val="auto"/>
              </w:rPr>
            </w:pPr>
            <w:r>
              <w:rPr>
                <w:rFonts w:ascii="Arial" w:cs="Arial" w:eastAsia="Arial" w:hAnsi="Arial"/>
                <w:sz w:val="14"/>
                <w:szCs w:val="14"/>
                <w:b w:val="1"/>
                <w:bCs w:val="1"/>
                <w:color w:val="auto"/>
              </w:rPr>
              <w:t>Corporation)</w:t>
            </w:r>
          </w:p>
        </w:tc>
        <w:tc>
          <w:tcPr>
            <w:tcW w:w="3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gridSpan w:val="2"/>
            <w:shd w:val="clear" w:color="auto" w:fill="CCEEFF"/>
          </w:tcPr>
          <w:p>
            <w:pPr>
              <w:spacing w:after="0"/>
              <w:rPr>
                <w:sz w:val="11"/>
                <w:szCs w:val="11"/>
                <w:color w:val="auto"/>
              </w:rPr>
            </w:pPr>
          </w:p>
        </w:tc>
        <w:tc>
          <w:tcPr>
            <w:tcW w:w="2080" w:type="dxa"/>
            <w:vAlign w:val="bottom"/>
            <w:tcBorders>
              <w:top w:val="single" w:sz="8" w:color="CCEEFF"/>
            </w:tcBorders>
            <w:gridSpan w:val="3"/>
            <w:vMerge w:val="continue"/>
            <w:shd w:val="clear" w:color="auto" w:fill="CCEEFF"/>
          </w:tcPr>
          <w:p>
            <w:pPr>
              <w:spacing w:after="0"/>
              <w:rPr>
                <w:sz w:val="11"/>
                <w:szCs w:val="11"/>
                <w:color w:val="auto"/>
              </w:rPr>
            </w:pPr>
          </w:p>
        </w:tc>
        <w:tc>
          <w:tcPr>
            <w:tcW w:w="7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left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left w:val="single" w:sz="8" w:color="CCEEFF"/>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gridSpan w:val="11"/>
          </w:tcPr>
          <w:p>
            <w:pPr>
              <w:ind w:left="20"/>
              <w:spacing w:after="0" w:line="142" w:lineRule="exact"/>
              <w:rPr>
                <w:sz w:val="20"/>
                <w:szCs w:val="20"/>
                <w:color w:val="auto"/>
              </w:rPr>
            </w:pPr>
            <w:r>
              <w:rPr>
                <w:rFonts w:ascii="Arial" w:cs="Arial" w:eastAsia="Arial" w:hAnsi="Arial"/>
                <w:sz w:val="14"/>
                <w:szCs w:val="14"/>
                <w:color w:val="auto"/>
              </w:rPr>
              <w:t>Common Shares</w:t>
            </w:r>
          </w:p>
        </w:tc>
        <w:tc>
          <w:tcPr>
            <w:tcW w:w="2080" w:type="dxa"/>
            <w:vAlign w:val="bottom"/>
            <w:gridSpan w:val="3"/>
          </w:tcPr>
          <w:p>
            <w:pPr>
              <w:jc w:val="center"/>
              <w:ind w:right="180"/>
              <w:spacing w:after="0" w:line="142" w:lineRule="exact"/>
              <w:rPr>
                <w:sz w:val="20"/>
                <w:szCs w:val="20"/>
                <w:color w:val="auto"/>
              </w:rPr>
            </w:pPr>
            <w:r>
              <w:rPr>
                <w:rFonts w:ascii="Arial" w:cs="Arial" w:eastAsia="Arial" w:hAnsi="Arial"/>
                <w:sz w:val="14"/>
                <w:szCs w:val="14"/>
                <w:color w:val="auto"/>
                <w:w w:val="94"/>
              </w:rPr>
              <w:t>Online Workplace Platform</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25,159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183,269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114,964</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176"/>
        </w:trPr>
        <w:tc>
          <w:tcPr>
            <w:tcW w:w="2680" w:type="dxa"/>
            <w:vAlign w:val="bottom"/>
            <w:gridSpan w:val="11"/>
            <w:shd w:val="clear" w:color="auto" w:fill="CCEEFF"/>
          </w:tcPr>
          <w:p>
            <w:pPr>
              <w:ind w:left="20"/>
              <w:spacing w:after="0" w:line="176" w:lineRule="exact"/>
              <w:rPr>
                <w:sz w:val="20"/>
                <w:szCs w:val="20"/>
                <w:color w:val="auto"/>
              </w:rPr>
            </w:pPr>
            <w:r>
              <w:rPr>
                <w:rFonts w:ascii="Arial" w:cs="Arial" w:eastAsia="Arial" w:hAnsi="Arial"/>
                <w:sz w:val="13"/>
                <w:szCs w:val="13"/>
                <w:b w:val="1"/>
                <w:bCs w:val="1"/>
                <w:color w:val="auto"/>
              </w:rPr>
              <w:t>Cricket Media (f/k/a ePals Inc.)**</w:t>
            </w:r>
            <w:r>
              <w:rPr>
                <w:rFonts w:ascii="Arial" w:cs="Arial" w:eastAsia="Arial" w:hAnsi="Arial"/>
                <w:sz w:val="20"/>
                <w:szCs w:val="20"/>
                <w:b w:val="1"/>
                <w:bCs w:val="1"/>
                <w:color w:val="auto"/>
                <w:vertAlign w:val="superscript"/>
              </w:rPr>
              <w:t>(8)</w:t>
            </w:r>
          </w:p>
        </w:tc>
        <w:tc>
          <w:tcPr>
            <w:tcW w:w="2080" w:type="dxa"/>
            <w:vAlign w:val="bottom"/>
            <w:gridSpan w:val="3"/>
            <w:shd w:val="clear" w:color="auto" w:fill="CCEEFF"/>
          </w:tcPr>
          <w:p>
            <w:pPr>
              <w:jc w:val="center"/>
              <w:ind w:right="200"/>
              <w:spacing w:after="0"/>
              <w:rPr>
                <w:sz w:val="20"/>
                <w:szCs w:val="20"/>
                <w:color w:val="auto"/>
              </w:rPr>
            </w:pPr>
            <w:r>
              <w:rPr>
                <w:rFonts w:ascii="Arial" w:cs="Arial" w:eastAsia="Arial" w:hAnsi="Arial"/>
                <w:sz w:val="14"/>
                <w:szCs w:val="14"/>
                <w:color w:val="auto"/>
                <w:w w:val="94"/>
              </w:rPr>
              <w:t>Herndon, VA</w:t>
            </w: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gridSpan w:val="11"/>
          </w:tcPr>
          <w:p>
            <w:pPr>
              <w:ind w:left="20"/>
              <w:spacing w:after="0" w:line="142" w:lineRule="exact"/>
              <w:rPr>
                <w:sz w:val="20"/>
                <w:szCs w:val="20"/>
                <w:color w:val="auto"/>
              </w:rPr>
            </w:pPr>
            <w:r>
              <w:rPr>
                <w:rFonts w:ascii="Arial" w:cs="Arial" w:eastAsia="Arial" w:hAnsi="Arial"/>
                <w:sz w:val="14"/>
                <w:szCs w:val="14"/>
                <w:color w:val="auto"/>
              </w:rPr>
              <w:t>Common shares</w:t>
            </w:r>
          </w:p>
        </w:tc>
        <w:tc>
          <w:tcPr>
            <w:tcW w:w="2080" w:type="dxa"/>
            <w:vAlign w:val="bottom"/>
            <w:gridSpan w:val="3"/>
          </w:tcPr>
          <w:p>
            <w:pPr>
              <w:jc w:val="center"/>
              <w:ind w:right="180"/>
              <w:spacing w:after="0" w:line="142" w:lineRule="exact"/>
              <w:rPr>
                <w:sz w:val="20"/>
                <w:szCs w:val="20"/>
                <w:color w:val="auto"/>
              </w:rPr>
            </w:pPr>
            <w:r>
              <w:rPr>
                <w:rFonts w:ascii="Arial" w:cs="Arial" w:eastAsia="Arial" w:hAnsi="Arial"/>
                <w:sz w:val="14"/>
                <w:szCs w:val="14"/>
                <w:color w:val="auto"/>
                <w:w w:val="95"/>
              </w:rPr>
              <w:t>Online Education</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1,333,333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2,448,959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67,296</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135"/>
        </w:trPr>
        <w:tc>
          <w:tcPr>
            <w:tcW w:w="2680" w:type="dxa"/>
            <w:vAlign w:val="bottom"/>
            <w:gridSpan w:val="11"/>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Orchestra One, Inc. (f/k/a Learnist Inc.)</w:t>
            </w:r>
          </w:p>
        </w:tc>
        <w:tc>
          <w:tcPr>
            <w:tcW w:w="2080" w:type="dxa"/>
            <w:vAlign w:val="bottom"/>
            <w:gridSpan w:val="3"/>
            <w:vMerge w:val="restart"/>
            <w:shd w:val="clear" w:color="auto" w:fill="CCEEFF"/>
          </w:tcPr>
          <w:p>
            <w:pPr>
              <w:jc w:val="center"/>
              <w:ind w:right="200"/>
              <w:spacing w:after="0"/>
              <w:rPr>
                <w:sz w:val="20"/>
                <w:szCs w:val="20"/>
                <w:color w:val="auto"/>
              </w:rPr>
            </w:pPr>
            <w:r>
              <w:rPr>
                <w:rFonts w:ascii="Arial" w:cs="Arial" w:eastAsia="Arial" w:hAnsi="Arial"/>
                <w:sz w:val="14"/>
                <w:szCs w:val="14"/>
                <w:color w:val="auto"/>
                <w:w w:val="92"/>
              </w:rPr>
              <w:t>San Francisco, CA</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gridSpan w:val="3"/>
            <w:shd w:val="clear" w:color="auto" w:fill="CCEEFF"/>
          </w:tcPr>
          <w:p>
            <w:pPr>
              <w:ind w:left="180"/>
              <w:spacing w:after="0"/>
              <w:rPr>
                <w:sz w:val="20"/>
                <w:szCs w:val="20"/>
                <w:color w:val="auto"/>
              </w:rPr>
            </w:pPr>
            <w:r>
              <w:rPr>
                <w:rFonts w:ascii="Arial" w:cs="Arial" w:eastAsia="Arial" w:hAnsi="Arial"/>
                <w:sz w:val="12"/>
                <w:szCs w:val="12"/>
                <w:b w:val="1"/>
                <w:bCs w:val="1"/>
                <w:color w:val="auto"/>
              </w:rPr>
              <w:t>(1)(14)</w:t>
            </w:r>
          </w:p>
        </w:tc>
        <w:tc>
          <w:tcPr>
            <w:tcW w:w="14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right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80" w:type="dxa"/>
            <w:vAlign w:val="bottom"/>
            <w:tcBorders>
              <w:top w:val="single" w:sz="8" w:color="CCEEFF"/>
            </w:tcBorders>
            <w:gridSpan w:val="3"/>
            <w:vMerge w:val="continue"/>
            <w:shd w:val="clear" w:color="auto" w:fill="CCEEFF"/>
          </w:tcPr>
          <w:p>
            <w:pPr>
              <w:spacing w:after="0"/>
              <w:rPr>
                <w:sz w:val="13"/>
                <w:szCs w:val="13"/>
                <w:color w:val="auto"/>
              </w:rPr>
            </w:pPr>
          </w:p>
        </w:tc>
        <w:tc>
          <w:tcPr>
            <w:tcW w:w="7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left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left w:val="single" w:sz="8" w:color="CCEEFF"/>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680" w:type="dxa"/>
            <w:vAlign w:val="bottom"/>
            <w:gridSpan w:val="11"/>
          </w:tcPr>
          <w:p>
            <w:pPr>
              <w:ind w:left="20"/>
              <w:spacing w:after="0" w:line="130" w:lineRule="exact"/>
              <w:rPr>
                <w:sz w:val="20"/>
                <w:szCs w:val="20"/>
                <w:color w:val="auto"/>
              </w:rPr>
            </w:pPr>
            <w:r>
              <w:rPr>
                <w:rFonts w:ascii="Arial" w:cs="Arial" w:eastAsia="Arial" w:hAnsi="Arial"/>
                <w:sz w:val="14"/>
                <w:szCs w:val="14"/>
                <w:color w:val="auto"/>
              </w:rPr>
              <w:t>Common shares</w:t>
            </w:r>
          </w:p>
        </w:tc>
        <w:tc>
          <w:tcPr>
            <w:tcW w:w="2080" w:type="dxa"/>
            <w:vAlign w:val="bottom"/>
            <w:gridSpan w:val="3"/>
          </w:tcPr>
          <w:p>
            <w:pPr>
              <w:jc w:val="center"/>
              <w:ind w:right="180"/>
              <w:spacing w:after="0" w:line="130" w:lineRule="exact"/>
              <w:rPr>
                <w:sz w:val="20"/>
                <w:szCs w:val="20"/>
                <w:color w:val="auto"/>
              </w:rPr>
            </w:pPr>
            <w:r>
              <w:rPr>
                <w:rFonts w:ascii="Arial" w:cs="Arial" w:eastAsia="Arial" w:hAnsi="Arial"/>
                <w:sz w:val="14"/>
                <w:szCs w:val="14"/>
                <w:color w:val="auto"/>
                <w:w w:val="93"/>
              </w:rPr>
              <w:t>Consumer Health</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3"/>
          </w:tcPr>
          <w:p>
            <w:pPr>
              <w:jc w:val="center"/>
              <w:ind w:right="200"/>
              <w:spacing w:after="0"/>
              <w:rPr>
                <w:sz w:val="20"/>
                <w:szCs w:val="20"/>
                <w:color w:val="auto"/>
              </w:rPr>
            </w:pPr>
            <w:r>
              <w:rPr>
                <w:rFonts w:ascii="Arial" w:cs="Arial" w:eastAsia="Arial" w:hAnsi="Arial"/>
                <w:sz w:val="14"/>
                <w:szCs w:val="14"/>
                <w:color w:val="auto"/>
                <w:w w:val="93"/>
              </w:rPr>
              <w:t>Technology</w:t>
            </w:r>
          </w:p>
        </w:tc>
        <w:tc>
          <w:tcPr>
            <w:tcW w:w="740" w:type="dxa"/>
            <w:vAlign w:val="bottom"/>
          </w:tcPr>
          <w:p>
            <w:pPr>
              <w:jc w:val="right"/>
              <w:spacing w:after="0"/>
              <w:rPr>
                <w:sz w:val="20"/>
                <w:szCs w:val="20"/>
                <w:color w:val="auto"/>
              </w:rPr>
            </w:pPr>
            <w:r>
              <w:rPr>
                <w:rFonts w:ascii="Arial" w:cs="Arial" w:eastAsia="Arial" w:hAnsi="Arial"/>
                <w:sz w:val="14"/>
                <w:szCs w:val="14"/>
                <w:color w:val="auto"/>
              </w:rPr>
              <w:t>57,026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4,959,616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4,364</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35"/>
        </w:trPr>
        <w:tc>
          <w:tcPr>
            <w:tcW w:w="2680" w:type="dxa"/>
            <w:vAlign w:val="bottom"/>
            <w:gridSpan w:val="11"/>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Global Education Learning (Holdings)</w:t>
            </w: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2360" w:type="dxa"/>
            <w:vAlign w:val="bottom"/>
            <w:tcBorders>
              <w:top w:val="single" w:sz="8" w:color="auto"/>
            </w:tcBorders>
            <w:gridSpan w:val="7"/>
            <w:shd w:val="clear" w:color="auto" w:fill="CCEEFF"/>
          </w:tcPr>
          <w:p>
            <w:pPr>
              <w:ind w:left="180"/>
              <w:spacing w:after="0" w:line="169" w:lineRule="exact"/>
              <w:rPr>
                <w:sz w:val="20"/>
                <w:szCs w:val="20"/>
                <w:color w:val="auto"/>
              </w:rPr>
            </w:pPr>
            <w:r>
              <w:rPr>
                <w:rFonts w:ascii="Arial" w:cs="Arial" w:eastAsia="Arial" w:hAnsi="Arial"/>
                <w:sz w:val="12"/>
                <w:szCs w:val="12"/>
                <w:b w:val="1"/>
                <w:bCs w:val="1"/>
                <w:color w:val="auto"/>
              </w:rPr>
              <w:t>Ltd.</w:t>
            </w:r>
            <w:r>
              <w:rPr>
                <w:rFonts w:ascii="Arial" w:cs="Arial" w:eastAsia="Arial" w:hAnsi="Arial"/>
                <w:sz w:val="19"/>
                <w:szCs w:val="19"/>
                <w:b w:val="1"/>
                <w:bCs w:val="1"/>
                <w:color w:val="auto"/>
                <w:vertAlign w:val="superscript"/>
              </w:rPr>
              <w:t>(1)</w:t>
            </w:r>
            <w:r>
              <w:rPr>
                <w:rFonts w:ascii="Arial" w:cs="Arial" w:eastAsia="Arial" w:hAnsi="Arial"/>
                <w:sz w:val="12"/>
                <w:szCs w:val="12"/>
                <w:b w:val="1"/>
                <w:bCs w:val="1"/>
                <w:color w:val="auto"/>
              </w:rPr>
              <w:t>**</w:t>
            </w:r>
          </w:p>
        </w:tc>
        <w:tc>
          <w:tcPr>
            <w:tcW w:w="300" w:type="dxa"/>
            <w:vAlign w:val="bottom"/>
            <w:tcBorders>
              <w:top w:val="single" w:sz="8" w:color="CCEEFF"/>
            </w:tcBorders>
            <w:gridSpan w:val="3"/>
            <w:shd w:val="clear" w:color="auto" w:fill="CCEEFF"/>
          </w:tcPr>
          <w:p>
            <w:pPr>
              <w:spacing w:after="0"/>
              <w:rPr>
                <w:sz w:val="14"/>
                <w:szCs w:val="14"/>
                <w:color w:val="auto"/>
              </w:rPr>
            </w:pPr>
          </w:p>
        </w:tc>
        <w:tc>
          <w:tcPr>
            <w:tcW w:w="2080" w:type="dxa"/>
            <w:vAlign w:val="bottom"/>
            <w:tcBorders>
              <w:top w:val="single" w:sz="8" w:color="CCEEFF"/>
            </w:tcBorders>
            <w:gridSpan w:val="3"/>
            <w:shd w:val="clear" w:color="auto" w:fill="CCEEFF"/>
          </w:tcPr>
          <w:p>
            <w:pPr>
              <w:jc w:val="center"/>
              <w:ind w:right="200"/>
              <w:spacing w:after="0"/>
              <w:rPr>
                <w:sz w:val="20"/>
                <w:szCs w:val="20"/>
                <w:color w:val="auto"/>
              </w:rPr>
            </w:pPr>
            <w:r>
              <w:rPr>
                <w:rFonts w:ascii="Arial" w:cs="Arial" w:eastAsia="Arial" w:hAnsi="Arial"/>
                <w:sz w:val="14"/>
                <w:szCs w:val="14"/>
                <w:color w:val="auto"/>
                <w:w w:val="97"/>
              </w:rPr>
              <w:t>Hong Kong</w:t>
            </w:r>
          </w:p>
        </w:tc>
        <w:tc>
          <w:tcPr>
            <w:tcW w:w="7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left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left w:val="single" w:sz="8" w:color="CCEEFF"/>
            </w:tcBorders>
            <w:shd w:val="clear" w:color="auto" w:fill="CCEEFF"/>
          </w:tcPr>
          <w:p>
            <w:pPr>
              <w:spacing w:after="0"/>
              <w:rPr>
                <w:sz w:val="14"/>
                <w:szCs w:val="14"/>
                <w:color w:val="auto"/>
              </w:rPr>
            </w:pPr>
          </w:p>
        </w:tc>
        <w:tc>
          <w:tcPr>
            <w:tcW w:w="4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gridSpan w:val="11"/>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2080" w:type="dxa"/>
            <w:vAlign w:val="bottom"/>
            <w:gridSpan w:val="3"/>
          </w:tcPr>
          <w:p>
            <w:pPr>
              <w:jc w:val="center"/>
              <w:ind w:right="180"/>
              <w:spacing w:after="0" w:line="142" w:lineRule="exact"/>
              <w:rPr>
                <w:sz w:val="20"/>
                <w:szCs w:val="20"/>
                <w:color w:val="auto"/>
              </w:rPr>
            </w:pPr>
            <w:r>
              <w:rPr>
                <w:rFonts w:ascii="Arial" w:cs="Arial" w:eastAsia="Arial" w:hAnsi="Arial"/>
                <w:sz w:val="14"/>
                <w:szCs w:val="14"/>
                <w:color w:val="auto"/>
                <w:w w:val="93"/>
              </w:rPr>
              <w:t>Education Technology</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2,126,475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675,375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660" w:type="dxa"/>
            <w:vAlign w:val="bottom"/>
            <w:gridSpan w:val="10"/>
            <w:shd w:val="clear" w:color="auto" w:fill="CCEEFF"/>
          </w:tcPr>
          <w:p>
            <w:pPr>
              <w:ind w:left="180"/>
              <w:spacing w:after="0" w:line="142" w:lineRule="exact"/>
              <w:rPr>
                <w:sz w:val="20"/>
                <w:szCs w:val="20"/>
                <w:color w:val="auto"/>
              </w:rPr>
            </w:pPr>
            <w:r>
              <w:rPr>
                <w:rFonts w:ascii="Arial" w:cs="Arial" w:eastAsia="Arial" w:hAnsi="Arial"/>
                <w:sz w:val="14"/>
                <w:szCs w:val="14"/>
                <w:b w:val="1"/>
                <w:bCs w:val="1"/>
                <w:color w:val="auto"/>
              </w:rPr>
              <w:t>Total Portfolio Investments</w:t>
            </w: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293,349,843</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349,808,767</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130.52%</w:t>
            </w:r>
          </w:p>
        </w:tc>
        <w:tc>
          <w:tcPr>
            <w:tcW w:w="0" w:type="dxa"/>
            <w:vAlign w:val="bottom"/>
          </w:tcPr>
          <w:p>
            <w:pPr>
              <w:spacing w:after="0"/>
              <w:rPr>
                <w:sz w:val="1"/>
                <w:szCs w:val="1"/>
                <w:color w:val="auto"/>
              </w:rPr>
            </w:pPr>
          </w:p>
        </w:tc>
      </w:tr>
      <w:tr>
        <w:trPr>
          <w:trHeight w:val="129"/>
        </w:trPr>
        <w:tc>
          <w:tcPr>
            <w:tcW w:w="2680" w:type="dxa"/>
            <w:vAlign w:val="bottom"/>
            <w:tcBorders>
              <w:top w:val="single" w:sz="8" w:color="CCEEFF"/>
            </w:tcBorders>
            <w:gridSpan w:val="11"/>
          </w:tcPr>
          <w:p>
            <w:pPr>
              <w:ind w:left="20"/>
              <w:spacing w:after="0" w:line="129" w:lineRule="exact"/>
              <w:rPr>
                <w:sz w:val="20"/>
                <w:szCs w:val="20"/>
                <w:color w:val="auto"/>
              </w:rPr>
            </w:pPr>
            <w:r>
              <w:rPr>
                <w:rFonts w:ascii="Arial" w:cs="Arial" w:eastAsia="Arial" w:hAnsi="Arial"/>
                <w:sz w:val="14"/>
                <w:szCs w:val="14"/>
                <w:b w:val="1"/>
                <w:bCs w:val="1"/>
                <w:color w:val="auto"/>
              </w:rPr>
              <w:t>U.S. Treasury</w:t>
            </w:r>
          </w:p>
        </w:tc>
        <w:tc>
          <w:tcPr>
            <w:tcW w:w="18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7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gridSpan w:val="11"/>
            <w:shd w:val="clear" w:color="auto" w:fill="CCEEFF"/>
          </w:tcPr>
          <w:p>
            <w:pPr>
              <w:ind w:left="20"/>
              <w:spacing w:after="0" w:line="142" w:lineRule="exact"/>
              <w:rPr>
                <w:sz w:val="20"/>
                <w:szCs w:val="20"/>
                <w:color w:val="auto"/>
              </w:rPr>
            </w:pPr>
            <w:r>
              <w:rPr>
                <w:rFonts w:ascii="Arial" w:cs="Arial" w:eastAsia="Arial" w:hAnsi="Arial"/>
                <w:sz w:val="14"/>
                <w:szCs w:val="14"/>
                <w:color w:val="auto"/>
              </w:rPr>
              <w:t>U.S. Treasury Bill, 0%, due 1/7/2016</w:t>
            </w:r>
          </w:p>
        </w:tc>
        <w:tc>
          <w:tcPr>
            <w:tcW w:w="2080" w:type="dxa"/>
            <w:vAlign w:val="bottom"/>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30,000,000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29,999,968</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30,000,000</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11.19%</w:t>
            </w:r>
          </w:p>
        </w:tc>
        <w:tc>
          <w:tcPr>
            <w:tcW w:w="0" w:type="dxa"/>
            <w:vAlign w:val="bottom"/>
          </w:tcPr>
          <w:p>
            <w:pPr>
              <w:spacing w:after="0"/>
              <w:rPr>
                <w:sz w:val="1"/>
                <w:szCs w:val="1"/>
                <w:color w:val="auto"/>
              </w:rPr>
            </w:pPr>
          </w:p>
        </w:tc>
      </w:tr>
      <w:tr>
        <w:trPr>
          <w:trHeight w:val="176"/>
        </w:trPr>
        <w:tc>
          <w:tcPr>
            <w:tcW w:w="2680" w:type="dxa"/>
            <w:vAlign w:val="bottom"/>
            <w:gridSpan w:val="11"/>
          </w:tcPr>
          <w:p>
            <w:pPr>
              <w:ind w:left="20"/>
              <w:spacing w:after="0" w:line="176" w:lineRule="exact"/>
              <w:rPr>
                <w:sz w:val="20"/>
                <w:szCs w:val="20"/>
                <w:color w:val="auto"/>
              </w:rPr>
            </w:pPr>
            <w:r>
              <w:rPr>
                <w:rFonts w:ascii="Arial" w:cs="Arial" w:eastAsia="Arial" w:hAnsi="Arial"/>
                <w:sz w:val="13"/>
                <w:szCs w:val="13"/>
                <w:b w:val="1"/>
                <w:bCs w:val="1"/>
                <w:color w:val="auto"/>
              </w:rPr>
              <w:t>U.S. Treasury Strips</w:t>
            </w:r>
            <w:r>
              <w:rPr>
                <w:rFonts w:ascii="Arial" w:cs="Arial" w:eastAsia="Arial" w:hAnsi="Arial"/>
                <w:sz w:val="20"/>
                <w:szCs w:val="20"/>
                <w:b w:val="1"/>
                <w:bCs w:val="1"/>
                <w:color w:val="auto"/>
                <w:vertAlign w:val="superscript"/>
              </w:rPr>
              <w:t>(9)</w:t>
            </w: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680" w:type="dxa"/>
            <w:vAlign w:val="bottom"/>
            <w:gridSpan w:val="11"/>
            <w:shd w:val="clear" w:color="auto" w:fill="CCEEFF"/>
          </w:tcPr>
          <w:p>
            <w:pPr>
              <w:ind w:left="20"/>
              <w:spacing w:after="0" w:line="123" w:lineRule="exact"/>
              <w:rPr>
                <w:sz w:val="20"/>
                <w:szCs w:val="20"/>
                <w:color w:val="auto"/>
              </w:rPr>
            </w:pPr>
            <w:r>
              <w:rPr>
                <w:rFonts w:ascii="Arial" w:cs="Arial" w:eastAsia="Arial" w:hAnsi="Arial"/>
                <w:sz w:val="14"/>
                <w:szCs w:val="14"/>
                <w:color w:val="auto"/>
                <w:w w:val="95"/>
              </w:rPr>
              <w:t>United States Treasury Strip Coupon, 0.00%</w:t>
            </w:r>
          </w:p>
        </w:tc>
        <w:tc>
          <w:tcPr>
            <w:tcW w:w="1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tcBorders>
              <w:left w:val="single" w:sz="8" w:color="CCEEFF"/>
            </w:tcBorders>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660" w:type="dxa"/>
            <w:vAlign w:val="bottom"/>
            <w:gridSpan w:val="10"/>
            <w:shd w:val="clear" w:color="auto" w:fill="CCEEFF"/>
          </w:tcPr>
          <w:p>
            <w:pPr>
              <w:ind w:left="180"/>
              <w:spacing w:after="0"/>
              <w:rPr>
                <w:sz w:val="20"/>
                <w:szCs w:val="20"/>
                <w:color w:val="auto"/>
              </w:rPr>
            </w:pPr>
            <w:r>
              <w:rPr>
                <w:rFonts w:ascii="Arial" w:cs="Arial" w:eastAsia="Arial" w:hAnsi="Arial"/>
                <w:sz w:val="14"/>
                <w:szCs w:val="14"/>
                <w:color w:val="auto"/>
              </w:rPr>
              <w:t>due 08/15/2016</w:t>
            </w:r>
          </w:p>
        </w:tc>
        <w:tc>
          <w:tcPr>
            <w:tcW w:w="20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1,851,000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1,842,412</w:t>
            </w: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1,843,170</w:t>
            </w:r>
          </w:p>
        </w:tc>
        <w:tc>
          <w:tcPr>
            <w:tcW w:w="8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0.69%</w:t>
            </w:r>
          </w:p>
        </w:tc>
        <w:tc>
          <w:tcPr>
            <w:tcW w:w="0" w:type="dxa"/>
            <w:vAlign w:val="bottom"/>
          </w:tcPr>
          <w:p>
            <w:pPr>
              <w:spacing w:after="0"/>
              <w:rPr>
                <w:sz w:val="1"/>
                <w:szCs w:val="1"/>
                <w:color w:val="auto"/>
              </w:rPr>
            </w:pPr>
          </w:p>
        </w:tc>
      </w:tr>
      <w:tr>
        <w:trPr>
          <w:trHeight w:val="130"/>
        </w:trPr>
        <w:tc>
          <w:tcPr>
            <w:tcW w:w="2680" w:type="dxa"/>
            <w:vAlign w:val="bottom"/>
            <w:gridSpan w:val="11"/>
          </w:tcPr>
          <w:p>
            <w:pPr>
              <w:ind w:left="20"/>
              <w:spacing w:after="0" w:line="130" w:lineRule="exact"/>
              <w:rPr>
                <w:sz w:val="20"/>
                <w:szCs w:val="20"/>
                <w:color w:val="auto"/>
              </w:rPr>
            </w:pPr>
            <w:r>
              <w:rPr>
                <w:rFonts w:ascii="Arial" w:cs="Arial" w:eastAsia="Arial" w:hAnsi="Arial"/>
                <w:sz w:val="14"/>
                <w:szCs w:val="14"/>
                <w:color w:val="auto"/>
                <w:w w:val="95"/>
              </w:rPr>
              <w:t>United States Treasury Strip Coupon, 0.00%</w:t>
            </w: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60" w:type="dxa"/>
            <w:vAlign w:val="bottom"/>
            <w:gridSpan w:val="10"/>
          </w:tcPr>
          <w:p>
            <w:pPr>
              <w:ind w:left="180"/>
              <w:spacing w:after="0"/>
              <w:rPr>
                <w:sz w:val="20"/>
                <w:szCs w:val="20"/>
                <w:color w:val="auto"/>
              </w:rPr>
            </w:pPr>
            <w:r>
              <w:rPr>
                <w:rFonts w:ascii="Arial" w:cs="Arial" w:eastAsia="Arial" w:hAnsi="Arial"/>
                <w:sz w:val="14"/>
                <w:szCs w:val="14"/>
                <w:color w:val="auto"/>
              </w:rPr>
              <w:t>due 02/15/2016</w:t>
            </w:r>
          </w:p>
        </w:tc>
        <w:tc>
          <w:tcPr>
            <w:tcW w:w="20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1,834,000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1,832,780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1,833,523</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0.68%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660" w:type="dxa"/>
            <w:vAlign w:val="bottom"/>
            <w:gridSpan w:val="10"/>
            <w:shd w:val="clear" w:color="auto" w:fill="CCEEFF"/>
          </w:tcPr>
          <w:p>
            <w:pPr>
              <w:ind w:left="180"/>
              <w:spacing w:after="0" w:line="142" w:lineRule="exact"/>
              <w:rPr>
                <w:sz w:val="20"/>
                <w:szCs w:val="20"/>
                <w:color w:val="auto"/>
              </w:rPr>
            </w:pPr>
            <w:r>
              <w:rPr>
                <w:rFonts w:ascii="Arial" w:cs="Arial" w:eastAsia="Arial" w:hAnsi="Arial"/>
                <w:sz w:val="14"/>
                <w:szCs w:val="14"/>
                <w:color w:val="auto"/>
              </w:rPr>
              <w:t>Total</w:t>
            </w: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3,675,192</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3,676,693</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gridSpan w:val="11"/>
          </w:tcPr>
          <w:p>
            <w:pPr>
              <w:ind w:left="20"/>
              <w:spacing w:after="0" w:line="142" w:lineRule="exact"/>
              <w:rPr>
                <w:sz w:val="20"/>
                <w:szCs w:val="20"/>
                <w:color w:val="auto"/>
              </w:rPr>
            </w:pPr>
            <w:r>
              <w:rPr>
                <w:rFonts w:ascii="Arial" w:cs="Arial" w:eastAsia="Arial" w:hAnsi="Arial"/>
                <w:sz w:val="14"/>
                <w:szCs w:val="14"/>
                <w:b w:val="1"/>
                <w:bCs w:val="1"/>
                <w:color w:val="auto"/>
              </w:rPr>
              <w:t>Total Investments</w:t>
            </w: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w w:val="92"/>
              </w:rPr>
              <w:t>327,025,003</w:t>
            </w:r>
          </w:p>
        </w:tc>
        <w:tc>
          <w:tcPr>
            <w:tcW w:w="24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w w:val="89"/>
              </w:rPr>
              <w:t>383,485,460</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143.08%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-1114425</wp:posOffset>
            </wp:positionV>
            <wp:extent cx="5213985" cy="1028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213985" cy="1028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-316865</wp:posOffset>
            </wp:positionV>
            <wp:extent cx="5213985"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213985" cy="137160"/>
                    </a:xfrm>
                    <a:prstGeom prst="rect">
                      <a:avLst/>
                    </a:prstGeom>
                    <a:noFill/>
                  </pic:spPr>
                </pic:pic>
              </a:graphicData>
            </a:graphic>
          </wp:anchor>
        </w:drawing>
      </w:r>
    </w:p>
    <w:p>
      <w:pPr>
        <w:spacing w:after="0" w:line="236" w:lineRule="exact"/>
        <w:rPr>
          <w:sz w:val="20"/>
          <w:szCs w:val="20"/>
          <w:color w:val="auto"/>
        </w:rPr>
      </w:pPr>
    </w:p>
    <w:p>
      <w:pPr>
        <w:ind w:left="300" w:right="739" w:hanging="272"/>
        <w:spacing w:after="0" w:line="259" w:lineRule="auto"/>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portfolio investments are non-control/non-affiliated and non-income producing, unless identified. Equity investments are subject to lock-up restrictions upon their initial public offering. All investments are pledged as collateral, unless otherwise noted, to the Credit Facility. The Company’s officers and staff may serve on the board of directors of the Company’s portfolio investments.</w:t>
      </w:r>
    </w:p>
    <w:p>
      <w:pPr>
        <w:spacing w:after="0" w:line="79" w:lineRule="exact"/>
        <w:rPr>
          <w:sz w:val="20"/>
          <w:szCs w:val="20"/>
          <w:color w:val="auto"/>
        </w:rPr>
      </w:pPr>
    </w:p>
    <w:p>
      <w:pPr>
        <w:ind w:left="300" w:right="939" w:hanging="272"/>
        <w:spacing w:after="0" w:line="277" w:lineRule="auto"/>
        <w:tabs>
          <w:tab w:leader="none" w:pos="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Indicates assets that GSV Capital Corp. believes do not represent “qualifying assets” under Section 55(a) of the Investment Company Act of 1940, as amended.</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***Investment is income producing.</w:t>
      </w:r>
    </w:p>
    <w:p>
      <w:pPr>
        <w:spacing w:after="0" w:line="117" w:lineRule="exact"/>
        <w:rPr>
          <w:sz w:val="20"/>
          <w:szCs w:val="20"/>
          <w:color w:val="auto"/>
        </w:rPr>
      </w:pPr>
    </w:p>
    <w:p>
      <w:pPr>
        <w:jc w:val="both"/>
        <w:ind w:left="300" w:right="599" w:hanging="272"/>
        <w:spacing w:after="0" w:line="286" w:lineRule="auto"/>
        <w:tabs>
          <w:tab w:leader="none" w:pos="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Denotes an Affiliate Investment. “Affiliate Investments” are investments in those companies that are “Affiliated Companies” of GSV Capital Corp., as defined in the Investment Company Act of 1940, as amended. A company is deemed to be an “Affiliate” of GSV Capital Corp. if GSV Capital Corp. owns 5% or more of the voting securities of such company.</w:t>
      </w:r>
    </w:p>
    <w:p>
      <w:pPr>
        <w:spacing w:after="0" w:line="57" w:lineRule="exact"/>
        <w:rPr>
          <w:rFonts w:ascii="Arial" w:cs="Arial" w:eastAsia="Arial" w:hAnsi="Arial"/>
          <w:sz w:val="17"/>
          <w:szCs w:val="17"/>
          <w:color w:val="auto"/>
        </w:rPr>
      </w:pPr>
    </w:p>
    <w:p>
      <w:pPr>
        <w:ind w:left="300" w:right="599" w:hanging="272"/>
        <w:spacing w:after="0" w:line="312" w:lineRule="auto"/>
        <w:tabs>
          <w:tab w:leader="none" w:pos="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Denotes a Control Investment. “Control Investments” are investments in those companies that are “Controlled Companies” of GSV Capital Corp., as defined in the Investment Company Act of 1940, as amended. A company is deemed to be a “Controlled Company” of GSV Capital Corp. if GSV Capital Corp. owns 25% or more of the voting securities of such company.</w:t>
      </w:r>
    </w:p>
    <w:p>
      <w:pPr>
        <w:spacing w:after="0" w:line="38" w:lineRule="exact"/>
        <w:rPr>
          <w:rFonts w:ascii="Arial" w:cs="Arial" w:eastAsia="Arial" w:hAnsi="Arial"/>
          <w:sz w:val="16"/>
          <w:szCs w:val="16"/>
          <w:color w:val="auto"/>
        </w:rPr>
      </w:pPr>
    </w:p>
    <w:p>
      <w:pPr>
        <w:ind w:left="300" w:right="959" w:hanging="272"/>
        <w:spacing w:after="0" w:line="277" w:lineRule="auto"/>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GSV Capital Corp.’s investment in Avenues Global Holdings, LLC is held through its wholly owned subsidiary GSVC AV Holdings, Inc.</w:t>
      </w:r>
    </w:p>
    <w:p>
      <w:pPr>
        <w:spacing w:after="0" w:line="62" w:lineRule="exact"/>
        <w:rPr>
          <w:rFonts w:ascii="Arial" w:cs="Arial" w:eastAsia="Arial" w:hAnsi="Arial"/>
          <w:sz w:val="18"/>
          <w:szCs w:val="18"/>
          <w:color w:val="auto"/>
        </w:rPr>
      </w:pPr>
    </w:p>
    <w:p>
      <w:pPr>
        <w:ind w:left="300" w:right="559" w:hanging="272"/>
        <w:spacing w:after="0" w:line="264" w:lineRule="auto"/>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GSV Capital Corp.’s investment in Whittle Schools, LLC is held through its wholly owned subsidiary GSVC WS Holdings, Inc. Whittle Schools, LLC is an investment that is collateralized by Avenues Global Holdings LLC as well as the personal collateral of Chris Whittle, the former chairman of Avenues Global Holdings LLC.</w:t>
      </w:r>
    </w:p>
    <w:p>
      <w:pPr>
        <w:spacing w:after="0" w:line="73" w:lineRule="exact"/>
        <w:rPr>
          <w:rFonts w:ascii="Arial" w:cs="Arial" w:eastAsia="Arial" w:hAnsi="Arial"/>
          <w:sz w:val="18"/>
          <w:szCs w:val="18"/>
          <w:color w:val="auto"/>
        </w:rPr>
      </w:pPr>
    </w:p>
    <w:p>
      <w:pPr>
        <w:ind w:left="300" w:hanging="272"/>
        <w:spacing w:after="0"/>
        <w:tabs>
          <w:tab w:leader="none" w:pos="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GSV Capital Corp.’s investment in StormWind, LLC is held through its wholly owned subsidiary GSVC SW Holdings, Inc.</w:t>
      </w:r>
    </w:p>
    <w:p>
      <w:pPr>
        <w:spacing w:after="0" w:line="200" w:lineRule="exact"/>
        <w:rPr>
          <w:sz w:val="20"/>
          <w:szCs w:val="20"/>
          <w:color w:val="auto"/>
        </w:rPr>
      </w:pPr>
    </w:p>
    <w:p>
      <w:pPr>
        <w:spacing w:after="0" w:line="361" w:lineRule="exact"/>
        <w:rPr>
          <w:sz w:val="20"/>
          <w:szCs w:val="20"/>
          <w:color w:val="auto"/>
        </w:rPr>
      </w:pPr>
    </w:p>
    <w:p>
      <w:pPr>
        <w:ind w:left="2620"/>
        <w:spacing w:after="0"/>
        <w:rPr>
          <w:sz w:val="20"/>
          <w:szCs w:val="20"/>
          <w:color w:val="auto"/>
        </w:rPr>
      </w:pPr>
      <w:r>
        <w:rPr>
          <w:rFonts w:ascii="Arial" w:cs="Arial" w:eastAsia="Arial" w:hAnsi="Arial"/>
          <w:sz w:val="18"/>
          <w:szCs w:val="18"/>
          <w:i w:val="1"/>
          <w:iCs w:val="1"/>
          <w:color w:val="auto"/>
        </w:rPr>
        <w:t>See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SCHEDULE OF INVESTMENTS – (continued)</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2015</w:t>
      </w:r>
    </w:p>
    <w:p>
      <w:pPr>
        <w:spacing w:after="0" w:line="103" w:lineRule="exact"/>
        <w:rPr>
          <w:sz w:val="20"/>
          <w:szCs w:val="20"/>
          <w:color w:val="auto"/>
        </w:rPr>
      </w:pPr>
    </w:p>
    <w:p>
      <w:pPr>
        <w:ind w:left="280" w:hanging="272"/>
        <w:spacing w:after="0"/>
        <w:tabs>
          <w:tab w:leader="none" w:pos="2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GSV Capital Corp.’s investment in SharesPost, Inc. is held through its wholly owned subsidiary SPNPM Holdings, LLC.</w:t>
      </w:r>
    </w:p>
    <w:p>
      <w:pPr>
        <w:spacing w:after="0" w:line="128" w:lineRule="exact"/>
        <w:rPr>
          <w:rFonts w:ascii="Arial" w:cs="Arial" w:eastAsia="Arial" w:hAnsi="Arial"/>
          <w:sz w:val="17"/>
          <w:szCs w:val="17"/>
          <w:color w:val="auto"/>
        </w:rPr>
      </w:pPr>
    </w:p>
    <w:p>
      <w:pPr>
        <w:ind w:left="280" w:right="759" w:hanging="272"/>
        <w:spacing w:after="0" w:line="277" w:lineRule="auto"/>
        <w:tabs>
          <w:tab w:leader="none" w:pos="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GSV Capital Corp.’s investment in Strategic Data Command, LLC is held through its wholly owned subsidiary GSVC SVDS Holdings, Inc.</w:t>
      </w:r>
    </w:p>
    <w:p>
      <w:pPr>
        <w:spacing w:after="0" w:line="62" w:lineRule="exact"/>
        <w:rPr>
          <w:rFonts w:ascii="Arial" w:cs="Arial" w:eastAsia="Arial" w:hAnsi="Arial"/>
          <w:sz w:val="18"/>
          <w:szCs w:val="18"/>
          <w:color w:val="auto"/>
        </w:rPr>
      </w:pPr>
    </w:p>
    <w:p>
      <w:pPr>
        <w:ind w:left="280" w:right="659" w:hanging="272"/>
        <w:spacing w:after="0" w:line="257" w:lineRule="auto"/>
        <w:tabs>
          <w:tab w:leader="none" w:pos="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October 22, 2013, Cricket Media (f/k/a ePals Inc.), priced its initial public offering, selling 40,267,333 shares at a price of CAD $0.075 per share. At December 31, 2015, GSV Capital Corp. valued Cricket Media (f/k/a ePals Inc.), based on its December 31, 2015 closing price. GSV Capital Corp.’s Chief Executive Officer, Michael Moe, serves on the board of directors for Cricket Media (f/k/a ePals Inc.), which subjects GSV Capital Corp. to insider trading restrictions under Canadian securities law.</w:t>
      </w:r>
    </w:p>
    <w:p>
      <w:pPr>
        <w:spacing w:after="0" w:line="80" w:lineRule="exact"/>
        <w:rPr>
          <w:rFonts w:ascii="Arial" w:cs="Arial" w:eastAsia="Arial" w:hAnsi="Arial"/>
          <w:sz w:val="18"/>
          <w:szCs w:val="18"/>
          <w:color w:val="auto"/>
        </w:rPr>
      </w:pPr>
    </w:p>
    <w:p>
      <w:pPr>
        <w:ind w:left="280" w:right="579" w:hanging="272"/>
        <w:spacing w:after="0" w:line="291" w:lineRule="auto"/>
        <w:tabs>
          <w:tab w:leader="none" w:pos="2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Refer to “Note 9 — Long Term Liabilities.” In accordance with the terms of the Company’s Convertible Senior Notes payable, the Company deposited $10,867,500 in an escrow account with U.S. Bank National Association, the trustee. These funds were used to purchase six U.S. Treasury Strips with an original cost of $10,845,236. As of December 31, 2015, four of the government securities purchased had matured and the proceeds were used by the trustee in accordance with the terms of the escrow agreement. At December 31, 2015, the remaining government securities are shown on the consolidated Schedule of Investments with an amortized cost of $3,675,192. These securities do not represent collateral under the Credit Facility, as these securities are pledged exclusively for the repayment of interest under the Convertible Senior Notes.</w:t>
      </w:r>
    </w:p>
    <w:p>
      <w:pPr>
        <w:spacing w:after="0" w:line="59" w:lineRule="exact"/>
        <w:rPr>
          <w:rFonts w:ascii="Arial" w:cs="Arial" w:eastAsia="Arial" w:hAnsi="Arial"/>
          <w:sz w:val="16"/>
          <w:szCs w:val="16"/>
          <w:color w:val="auto"/>
        </w:rPr>
      </w:pPr>
    </w:p>
    <w:p>
      <w:pPr>
        <w:ind w:left="320" w:right="699" w:hanging="312"/>
        <w:spacing w:after="0" w:line="286" w:lineRule="auto"/>
        <w:tabs>
          <w:tab w:leader="none" w:pos="3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Interest will accrue daily on the unpaid principal balance of the note. Accrued interest is not payable until the earlier of (a) the closing of a subsequent equity offering by CUX, Inc. (d/b/a CorpU), or (b) the maturity of the note (November 26, 2018). Interest will compound annually beginning on November 26, 2015.</w:t>
      </w:r>
    </w:p>
    <w:p>
      <w:pPr>
        <w:spacing w:after="0" w:line="57" w:lineRule="exact"/>
        <w:rPr>
          <w:sz w:val="20"/>
          <w:szCs w:val="20"/>
          <w:color w:val="auto"/>
        </w:rPr>
      </w:pPr>
    </w:p>
    <w:p>
      <w:pPr>
        <w:jc w:val="both"/>
        <w:ind w:left="300" w:right="699" w:hanging="296"/>
        <w:spacing w:after="0" w:line="264" w:lineRule="auto"/>
        <w:rPr>
          <w:sz w:val="20"/>
          <w:szCs w:val="20"/>
          <w:color w:val="auto"/>
        </w:rPr>
      </w:pPr>
      <w:r>
        <w:rPr>
          <w:rFonts w:ascii="Arial" w:cs="Arial" w:eastAsia="Arial" w:hAnsi="Arial"/>
          <w:sz w:val="18"/>
          <w:szCs w:val="18"/>
          <w:color w:val="auto"/>
        </w:rPr>
        <w:t>(11)Interest will accrue daily on the unpaid principal balance of the note. Accrued interest is not payable until the earlier of (a) the closing of a subsequent equity offering by Earlyshares.com, Inc., or (b) the maturity of the note (August 2, 2016). Interest will compound annually beginning on February 26, 2015.</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(12)On December 30, 2015 Declara, Inc. effected a 2:1 forward stock split on all its common and preferred shares.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(13)On December 22, 2015 Strategic Data Command, LLC effected a 3:1 stock split on its common shares.</w:t>
      </w:r>
    </w:p>
    <w:p>
      <w:pPr>
        <w:spacing w:after="0" w:line="117" w:lineRule="exact"/>
        <w:rPr>
          <w:sz w:val="20"/>
          <w:szCs w:val="20"/>
          <w:color w:val="auto"/>
        </w:rPr>
      </w:pPr>
    </w:p>
    <w:p>
      <w:pPr>
        <w:ind w:left="320" w:right="699" w:hanging="310"/>
        <w:spacing w:after="0" w:line="264" w:lineRule="auto"/>
        <w:rPr>
          <w:sz w:val="20"/>
          <w:szCs w:val="20"/>
          <w:color w:val="auto"/>
        </w:rPr>
      </w:pPr>
      <w:r>
        <w:rPr>
          <w:rFonts w:ascii="Arial" w:cs="Arial" w:eastAsia="Arial" w:hAnsi="Arial"/>
          <w:sz w:val="18"/>
          <w:szCs w:val="18"/>
          <w:color w:val="auto"/>
        </w:rPr>
        <w:t>(14)On October 28, 2015, Orchestra One, Inc. (f/k/a Learnist Inc.) completed a change in business, recapitalization and series A-1 preferred stock financing. The Company elected to convert its existing preferred shares into common shares effective November 9, 2015.</w:t>
      </w:r>
    </w:p>
    <w:p>
      <w:pPr>
        <w:spacing w:after="0" w:line="73" w:lineRule="exact"/>
        <w:rPr>
          <w:sz w:val="20"/>
          <w:szCs w:val="20"/>
          <w:color w:val="auto"/>
        </w:rPr>
      </w:pPr>
    </w:p>
    <w:p>
      <w:pPr>
        <w:ind w:left="320" w:right="579" w:hanging="310"/>
        <w:spacing w:after="0" w:line="259" w:lineRule="auto"/>
        <w:rPr>
          <w:sz w:val="20"/>
          <w:szCs w:val="20"/>
          <w:color w:val="auto"/>
        </w:rPr>
      </w:pPr>
      <w:r>
        <w:rPr>
          <w:rFonts w:ascii="Arial" w:cs="Arial" w:eastAsia="Arial" w:hAnsi="Arial"/>
          <w:sz w:val="18"/>
          <w:szCs w:val="18"/>
          <w:color w:val="auto"/>
        </w:rPr>
        <w:t>(15)On January 6, 2016, Gilt Groupe Holdings, Inc. entered into an agreement and plan of merger with Lord and Taylor Acquisition, Inc. to acquire the outstanding Gilt Groupe Holdings, Inc. common stock for approximately $2.1697 per share less applicable costs of the transaction. These are estimates and are subject to change in connection with the final aggregate merger consideration.</w:t>
      </w:r>
    </w:p>
    <w:p>
      <w:pPr>
        <w:spacing w:after="0" w:line="200" w:lineRule="exact"/>
        <w:rPr>
          <w:sz w:val="20"/>
          <w:szCs w:val="20"/>
          <w:color w:val="auto"/>
        </w:rPr>
      </w:pPr>
    </w:p>
    <w:p>
      <w:pPr>
        <w:spacing w:after="0" w:line="311" w:lineRule="exact"/>
        <w:rPr>
          <w:sz w:val="20"/>
          <w:szCs w:val="20"/>
          <w:color w:val="auto"/>
        </w:rPr>
      </w:pPr>
    </w:p>
    <w:p>
      <w:pPr>
        <w:ind w:left="2600"/>
        <w:spacing w:after="0"/>
        <w:rPr>
          <w:sz w:val="20"/>
          <w:szCs w:val="20"/>
          <w:color w:val="auto"/>
        </w:rPr>
      </w:pPr>
      <w:r>
        <w:rPr>
          <w:rFonts w:ascii="Arial" w:cs="Arial" w:eastAsia="Arial" w:hAnsi="Arial"/>
          <w:sz w:val="18"/>
          <w:szCs w:val="18"/>
          <w:i w:val="1"/>
          <w:iCs w:val="1"/>
          <w:color w:val="auto"/>
        </w:rPr>
        <w:t>See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0" w:name="page21"/>
    <w:bookmarkEnd w:id="20"/>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March 31, 2016</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60" w:right="2979"/>
        <w:spacing w:after="0" w:line="401" w:lineRule="auto"/>
        <w:rPr>
          <w:sz w:val="20"/>
          <w:szCs w:val="20"/>
          <w:color w:val="auto"/>
        </w:rPr>
      </w:pPr>
      <w:r>
        <w:rPr>
          <w:rFonts w:ascii="Arial" w:cs="Arial" w:eastAsia="Arial" w:hAnsi="Arial"/>
          <w:sz w:val="18"/>
          <w:szCs w:val="18"/>
          <w:b w:val="1"/>
          <w:bCs w:val="1"/>
          <w:color w:val="auto"/>
        </w:rPr>
        <w:t xml:space="preserve">NOTE 1 — NATURE OF OPERATIONS AND SIGNIFICANT ACCOUNTING POLICIES </w:t>
      </w:r>
      <w:r>
        <w:rPr>
          <w:rFonts w:ascii="Arial" w:cs="Arial" w:eastAsia="Arial" w:hAnsi="Arial"/>
          <w:sz w:val="18"/>
          <w:szCs w:val="18"/>
          <w:b w:val="1"/>
          <w:bCs w:val="1"/>
          <w:u w:val="single" w:color="auto"/>
          <w:color w:val="auto"/>
        </w:rPr>
        <w:t>Nature of Operations</w:t>
      </w:r>
    </w:p>
    <w:p>
      <w:pPr>
        <w:spacing w:after="0" w:line="1" w:lineRule="exact"/>
        <w:rPr>
          <w:sz w:val="20"/>
          <w:szCs w:val="20"/>
          <w:color w:val="auto"/>
        </w:rPr>
      </w:pPr>
    </w:p>
    <w:p>
      <w:pPr>
        <w:ind w:left="60" w:right="579" w:firstLine="270"/>
        <w:spacing w:after="0" w:line="297" w:lineRule="auto"/>
        <w:rPr>
          <w:sz w:val="20"/>
          <w:szCs w:val="20"/>
          <w:color w:val="auto"/>
        </w:rPr>
      </w:pPr>
      <w:r>
        <w:rPr>
          <w:rFonts w:ascii="Arial" w:cs="Arial" w:eastAsia="Arial" w:hAnsi="Arial"/>
          <w:sz w:val="16"/>
          <w:szCs w:val="16"/>
          <w:color w:val="auto"/>
        </w:rPr>
        <w:t>GSV Capital Corp. (the “Company” or “GSV Capital”) was formed in September 2010 as a Maryland corporation structured as an externally managed, non-diversified closed-end management investment company. The Company has elected to be regulated as a business development company under the Investment Company Act of 1940, as amended (the “1940 Act”). The Company’s investment activities are managed by GSV Asset Management, LLC (“GSV Asset Management”), and GSV Capital Service Company, LLC (“GSV Capital Service Company”) provides the administrative services necessary for the Company to operate.</w:t>
      </w:r>
    </w:p>
    <w:p>
      <w:pPr>
        <w:spacing w:after="0" w:line="50" w:lineRule="exact"/>
        <w:rPr>
          <w:sz w:val="20"/>
          <w:szCs w:val="20"/>
          <w:color w:val="auto"/>
        </w:rPr>
      </w:pPr>
    </w:p>
    <w:p>
      <w:pPr>
        <w:ind w:left="60" w:right="979" w:firstLine="270"/>
        <w:spacing w:after="0" w:line="264" w:lineRule="auto"/>
        <w:rPr>
          <w:sz w:val="20"/>
          <w:szCs w:val="20"/>
          <w:color w:val="auto"/>
        </w:rPr>
      </w:pPr>
      <w:r>
        <w:rPr>
          <w:rFonts w:ascii="Arial" w:cs="Arial" w:eastAsia="Arial" w:hAnsi="Arial"/>
          <w:sz w:val="18"/>
          <w:szCs w:val="18"/>
          <w:color w:val="auto"/>
        </w:rPr>
        <w:t>The Company’s date of inception is January 6, 2011, which is the date it commenced its development stage activities. The Company’s shares are currently listed on the Nasdaq Capital Market under the symbol “GSVC”. The Company began its investment operations during the second quarter of 2011.</w:t>
      </w:r>
    </w:p>
    <w:p>
      <w:pPr>
        <w:spacing w:after="0" w:line="73" w:lineRule="exact"/>
        <w:rPr>
          <w:sz w:val="20"/>
          <w:szCs w:val="20"/>
          <w:color w:val="auto"/>
        </w:rPr>
      </w:pPr>
    </w:p>
    <w:p>
      <w:pPr>
        <w:ind w:left="60" w:right="539" w:firstLine="270"/>
        <w:spacing w:after="0" w:line="255" w:lineRule="auto"/>
        <w:rPr>
          <w:sz w:val="20"/>
          <w:szCs w:val="20"/>
          <w:color w:val="auto"/>
        </w:rPr>
      </w:pPr>
      <w:r>
        <w:rPr>
          <w:rFonts w:ascii="Arial" w:cs="Arial" w:eastAsia="Arial" w:hAnsi="Arial"/>
          <w:sz w:val="18"/>
          <w:szCs w:val="18"/>
          <w:color w:val="auto"/>
        </w:rPr>
        <w:t>The table below displays all the Company’s subsidiaries as of March 31, 2016. The “GSVC Holdings,” were formed to hold portfolio investments. The GSVC Holdings, including their associated portfolio investments are consolidated with the Company for accounting purposes, but have elected to be treated as separate entities for U.S. federal income tax purposes. GSV Capital Lending, LLC (“GCL”), was formed to originate portfolio loan investments within the state of California and is consolidated with the Company for accounting purposes. Refer to “— Summary of Significant Accounting Policies — Basis of Consolidation” below for further detail.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20320</wp:posOffset>
            </wp:positionV>
            <wp:extent cx="521398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1"/>
              </w:rPr>
              <w:t>Jurisdiction of</w:t>
            </w:r>
          </w:p>
        </w:tc>
        <w:tc>
          <w:tcPr>
            <w:tcW w:w="160" w:type="dxa"/>
            <w:vAlign w:val="bottom"/>
          </w:tcPr>
          <w:p>
            <w:pPr>
              <w:spacing w:after="0"/>
              <w:rPr>
                <w:sz w:val="13"/>
                <w:szCs w:val="13"/>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Formation Date</w:t>
            </w:r>
          </w:p>
        </w:tc>
        <w:tc>
          <w:tcPr>
            <w:tcW w:w="16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71"/>
        </w:trPr>
        <w:tc>
          <w:tcPr>
            <w:tcW w:w="44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incorporation</w:t>
            </w:r>
          </w:p>
        </w:tc>
        <w:tc>
          <w:tcPr>
            <w:tcW w:w="160" w:type="dxa"/>
            <w:vAlign w:val="bottom"/>
          </w:tcPr>
          <w:p>
            <w:pPr>
              <w:spacing w:after="0"/>
              <w:rPr>
                <w:sz w:val="14"/>
                <w:szCs w:val="14"/>
                <w:color w:val="auto"/>
              </w:rPr>
            </w:pPr>
          </w:p>
        </w:tc>
        <w:tc>
          <w:tcPr>
            <w:tcW w:w="16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GCL</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April 13, 2012</w:t>
            </w:r>
          </w:p>
        </w:tc>
        <w:tc>
          <w:tcPr>
            <w:tcW w:w="92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198"/>
        </w:trPr>
        <w:tc>
          <w:tcPr>
            <w:tcW w:w="4420" w:type="dxa"/>
            <w:vAlign w:val="bottom"/>
          </w:tcPr>
          <w:p>
            <w:pPr>
              <w:ind w:left="20"/>
              <w:spacing w:after="0" w:line="198" w:lineRule="exact"/>
              <w:rPr>
                <w:sz w:val="20"/>
                <w:szCs w:val="20"/>
                <w:color w:val="auto"/>
              </w:rPr>
            </w:pPr>
            <w:r>
              <w:rPr>
                <w:rFonts w:ascii="Arial" w:cs="Arial" w:eastAsia="Arial" w:hAnsi="Arial"/>
                <w:sz w:val="18"/>
                <w:szCs w:val="18"/>
                <w:b w:val="1"/>
                <w:bCs w:val="1"/>
                <w:color w:val="auto"/>
              </w:rPr>
              <w:t>Subsidiaries below are referred to Collectively, the</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20" w:type="dxa"/>
            <w:vAlign w:val="bottom"/>
          </w:tcPr>
          <w:p>
            <w:pPr>
              <w:ind w:left="200"/>
              <w:spacing w:after="0"/>
              <w:rPr>
                <w:sz w:val="20"/>
                <w:szCs w:val="20"/>
                <w:color w:val="auto"/>
              </w:rPr>
            </w:pPr>
            <w:r>
              <w:rPr>
                <w:rFonts w:ascii="Arial" w:cs="Arial" w:eastAsia="Arial" w:hAnsi="Arial"/>
                <w:sz w:val="18"/>
                <w:szCs w:val="18"/>
                <w:b w:val="1"/>
                <w:bCs w:val="1"/>
                <w:color w:val="auto"/>
              </w:rPr>
              <w:t>“GSVC Holdings”</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GSVC AE Holdings, Inc. (“GAE”)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November 28, 2012</w:t>
            </w:r>
          </w:p>
        </w:tc>
        <w:tc>
          <w:tcPr>
            <w:tcW w:w="92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4420" w:type="dxa"/>
            <w:vAlign w:val="bottom"/>
          </w:tcPr>
          <w:p>
            <w:pPr>
              <w:ind w:left="20"/>
              <w:spacing w:after="0"/>
              <w:rPr>
                <w:sz w:val="20"/>
                <w:szCs w:val="20"/>
                <w:color w:val="auto"/>
              </w:rPr>
            </w:pPr>
            <w:r>
              <w:rPr>
                <w:rFonts w:ascii="Arial" w:cs="Arial" w:eastAsia="Arial" w:hAnsi="Arial"/>
                <w:sz w:val="18"/>
                <w:szCs w:val="18"/>
                <w:color w:val="auto"/>
              </w:rPr>
              <w:t>GSVC AV Holdings, Inc. (“GAV”)</w:t>
            </w:r>
          </w:p>
        </w:tc>
        <w:tc>
          <w:tcPr>
            <w:tcW w:w="1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1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November 28, 2012</w:t>
            </w:r>
          </w:p>
        </w:tc>
        <w:tc>
          <w:tcPr>
            <w:tcW w:w="92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GSVC NG Holdings, Inc. (“GNG”)</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November 28, 2012</w:t>
            </w:r>
          </w:p>
        </w:tc>
        <w:tc>
          <w:tcPr>
            <w:tcW w:w="92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4420" w:type="dxa"/>
            <w:vAlign w:val="bottom"/>
          </w:tcPr>
          <w:p>
            <w:pPr>
              <w:ind w:left="20"/>
              <w:spacing w:after="0"/>
              <w:rPr>
                <w:sz w:val="20"/>
                <w:szCs w:val="20"/>
                <w:color w:val="auto"/>
              </w:rPr>
            </w:pPr>
            <w:r>
              <w:rPr>
                <w:rFonts w:ascii="Arial" w:cs="Arial" w:eastAsia="Arial" w:hAnsi="Arial"/>
                <w:sz w:val="18"/>
                <w:szCs w:val="18"/>
                <w:color w:val="auto"/>
              </w:rPr>
              <w:t>GSVC SW Holdings, Inc. (“GSW”)</w:t>
            </w:r>
          </w:p>
        </w:tc>
        <w:tc>
          <w:tcPr>
            <w:tcW w:w="1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1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November 28, 2012</w:t>
            </w:r>
          </w:p>
        </w:tc>
        <w:tc>
          <w:tcPr>
            <w:tcW w:w="92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GSVC WS Holdings, Inc. (“GWS”)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November 28, 2012</w:t>
            </w:r>
          </w:p>
        </w:tc>
        <w:tc>
          <w:tcPr>
            <w:tcW w:w="92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4420" w:type="dxa"/>
            <w:vAlign w:val="bottom"/>
          </w:tcPr>
          <w:p>
            <w:pPr>
              <w:ind w:left="20"/>
              <w:spacing w:after="0"/>
              <w:rPr>
                <w:sz w:val="20"/>
                <w:szCs w:val="20"/>
                <w:color w:val="auto"/>
              </w:rPr>
            </w:pPr>
            <w:r>
              <w:rPr>
                <w:rFonts w:ascii="Arial" w:cs="Arial" w:eastAsia="Arial" w:hAnsi="Arial"/>
                <w:sz w:val="18"/>
                <w:szCs w:val="18"/>
                <w:color w:val="auto"/>
              </w:rPr>
              <w:t>SPNPM Holdings LLC (“SPNPM”)</w:t>
            </w:r>
          </w:p>
        </w:tc>
        <w:tc>
          <w:tcPr>
            <w:tcW w:w="1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1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July 12, 2013</w:t>
            </w:r>
          </w:p>
        </w:tc>
        <w:tc>
          <w:tcPr>
            <w:tcW w:w="92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GSVC SVDS Holdings, Inc. (“SVDS”)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August 13, 2013</w:t>
            </w:r>
          </w:p>
        </w:tc>
        <w:tc>
          <w:tcPr>
            <w:tcW w:w="92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0" w:right="519" w:firstLine="270"/>
        <w:spacing w:after="0" w:line="255" w:lineRule="auto"/>
        <w:rPr>
          <w:sz w:val="20"/>
          <w:szCs w:val="20"/>
          <w:color w:val="auto"/>
        </w:rPr>
      </w:pPr>
      <w:r>
        <w:rPr>
          <w:rFonts w:ascii="Arial" w:cs="Arial" w:eastAsia="Arial" w:hAnsi="Arial"/>
          <w:sz w:val="18"/>
          <w:szCs w:val="18"/>
          <w:color w:val="auto"/>
        </w:rPr>
        <w:t>The Company’s investment objective is to maximize its portfolio’s total return, principally by seeking capital gains on its equity and equity-related investments. The Company invests principally in the equity securities of what it believes to be rapidly growing venture-capital-backed emerging companies. The Company acquires its investments through direct investments in prospective portfolio companies, secondary marketplaces for private companies and negotiations with selling stockholders. The Company may also invest on an opportunistic basis in select publicly traded equity securities or certain non-U.S. companies that otherwise meet its investment criteria.</w:t>
      </w:r>
    </w:p>
    <w:p>
      <w:pPr>
        <w:spacing w:after="0" w:line="12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Summary of Significant Accounting Policies</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60" w:right="559" w:firstLine="270"/>
        <w:spacing w:after="0" w:line="257" w:lineRule="auto"/>
        <w:rPr>
          <w:sz w:val="20"/>
          <w:szCs w:val="20"/>
          <w:color w:val="auto"/>
        </w:rPr>
      </w:pPr>
      <w:r>
        <w:rPr>
          <w:rFonts w:ascii="Arial" w:cs="Arial" w:eastAsia="Arial" w:hAnsi="Arial"/>
          <w:sz w:val="18"/>
          <w:szCs w:val="18"/>
          <w:color w:val="auto"/>
        </w:rPr>
        <w:t>The interim unaudited condensed consolidated financial statements of the Company are prepared on the accrual basis of accounting in conformity with U.S. generally accepted accounting principles (“GAAP”) and pursuant to the requirements for reporting on Form 10-Q and Regulation S-X. The Company is an investment company following the specialized accounting and reporting guidance specified in the Financial Accounting Standards Board’s (“FASB”) Accounting Standards Codification (“ASC”) Topic 946, Financial Services —</w:t>
      </w:r>
    </w:p>
    <w:p>
      <w:pPr>
        <w:spacing w:after="0" w:line="200" w:lineRule="exact"/>
        <w:rPr>
          <w:sz w:val="20"/>
          <w:szCs w:val="20"/>
          <w:color w:val="auto"/>
        </w:rPr>
      </w:pPr>
    </w:p>
    <w:p>
      <w:pPr>
        <w:spacing w:after="0" w:line="33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March 31, 2016</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21" w:lineRule="exact"/>
        <w:rPr>
          <w:sz w:val="20"/>
          <w:szCs w:val="20"/>
          <w:color w:val="auto"/>
        </w:rPr>
      </w:pPr>
    </w:p>
    <w:p>
      <w:pPr>
        <w:ind w:left="40" w:right="539"/>
        <w:spacing w:after="0" w:line="255" w:lineRule="auto"/>
        <w:rPr>
          <w:sz w:val="20"/>
          <w:szCs w:val="20"/>
          <w:color w:val="auto"/>
        </w:rPr>
      </w:pPr>
      <w:r>
        <w:rPr>
          <w:rFonts w:ascii="Arial" w:cs="Arial" w:eastAsia="Arial" w:hAnsi="Arial"/>
          <w:sz w:val="18"/>
          <w:szCs w:val="18"/>
          <w:color w:val="auto"/>
        </w:rPr>
        <w:t>Investment Companies. In the opinion of management, all adjustments, all of which were of a normal recurring nature, considered necessary for the fair presentation of financial statements for the interim period have been included. The results of operations for the current period are not necessarily indicative of results that ultimately may be achieved for any other interim period or for the year ending December 31, 2016. The interim unaudited condensed consolidated financial statements and notes hereto should be read in conjunction with the audited financial statements and notes thereto contained in the Company’s annual report on Form 10-K for the year ended December 31, 2015.</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Basis of Consolidation</w:t>
      </w:r>
    </w:p>
    <w:p>
      <w:pPr>
        <w:spacing w:after="0" w:line="117" w:lineRule="exact"/>
        <w:rPr>
          <w:sz w:val="20"/>
          <w:szCs w:val="20"/>
          <w:color w:val="auto"/>
        </w:rPr>
      </w:pPr>
    </w:p>
    <w:p>
      <w:pPr>
        <w:ind w:left="40" w:right="579" w:firstLine="270"/>
        <w:spacing w:after="0" w:line="273" w:lineRule="auto"/>
        <w:rPr>
          <w:sz w:val="20"/>
          <w:szCs w:val="20"/>
          <w:color w:val="auto"/>
        </w:rPr>
      </w:pPr>
      <w:r>
        <w:rPr>
          <w:rFonts w:ascii="Arial" w:cs="Arial" w:eastAsia="Arial" w:hAnsi="Arial"/>
          <w:sz w:val="17"/>
          <w:szCs w:val="17"/>
          <w:color w:val="auto"/>
        </w:rPr>
        <w:t>Under Article 6 of Regulation S-X and the American Institute of Certified Public Accountants (“AICPA”) Audit and Accounting Guide for Investment Companies, the Company is precluded from consolidating any entity other than another investment company, a controlled operating company which provides substantially all of its services and benefits to the Company and certain entities established for tax purposes where the Company holds a 100% interest. Accordingly, the Company’s condensed consolidated financial statements include its accounts and the accounts of the GSVC Holdings and GCL, its wholly owned subsidiaries. All intercompany balances and transactions have been eliminated in consolidation.</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40" w:right="639" w:firstLine="270"/>
        <w:spacing w:after="0" w:line="297" w:lineRule="auto"/>
        <w:rPr>
          <w:sz w:val="20"/>
          <w:szCs w:val="20"/>
          <w:color w:val="auto"/>
        </w:rPr>
      </w:pPr>
      <w:r>
        <w:rPr>
          <w:rFonts w:ascii="Arial" w:cs="Arial" w:eastAsia="Arial" w:hAnsi="Arial"/>
          <w:sz w:val="16"/>
          <w:szCs w:val="16"/>
          <w:color w:val="auto"/>
        </w:rPr>
        <w:t>The preparation of condensed consolidated financial statements requires the Company to make a number of significant estimates. These include estimates of the fair value of certain assets and liabilities and other estimates that affect the reported amounts of certain assets and liabilities as of the date of the condensed consolidated financial statements and the reported amounts of certain revenues and expenses during the reported period. It is likely that changes in these estimates will occur in the near term. The Company’s estimates are inherently subjective in nature and actual results could differ materially from such estimates.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Investments at fair value</w:t>
      </w:r>
    </w:p>
    <w:p>
      <w:pPr>
        <w:spacing w:after="0" w:line="117" w:lineRule="exact"/>
        <w:rPr>
          <w:sz w:val="20"/>
          <w:szCs w:val="20"/>
          <w:color w:val="auto"/>
        </w:rPr>
      </w:pPr>
    </w:p>
    <w:p>
      <w:pPr>
        <w:ind w:left="40" w:right="919" w:firstLine="270"/>
        <w:spacing w:after="0" w:line="342" w:lineRule="auto"/>
        <w:rPr>
          <w:sz w:val="20"/>
          <w:szCs w:val="20"/>
          <w:color w:val="auto"/>
        </w:rPr>
      </w:pPr>
      <w:r>
        <w:rPr>
          <w:rFonts w:ascii="Arial" w:cs="Arial" w:eastAsia="Arial" w:hAnsi="Arial"/>
          <w:sz w:val="16"/>
          <w:szCs w:val="16"/>
          <w:color w:val="auto"/>
        </w:rPr>
        <w:t>The Company applies fair value accounting in accordance with GAAP and the AICPA’s Audit and Accounting Guide for Investment Companies. The Company values its assets on a quarterly basis, or more frequently if required under the 1940 Act.</w:t>
      </w:r>
    </w:p>
    <w:p>
      <w:pPr>
        <w:spacing w:after="0" w:line="16" w:lineRule="exact"/>
        <w:rPr>
          <w:sz w:val="20"/>
          <w:szCs w:val="20"/>
          <w:color w:val="auto"/>
        </w:rPr>
      </w:pPr>
    </w:p>
    <w:p>
      <w:pPr>
        <w:ind w:left="40" w:right="659" w:firstLine="270"/>
        <w:spacing w:after="0" w:line="255"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GAAP establishes a framework for measuring fair value that includes a hierarchy used to classify the inputs used in measuring fair value. The hierarchy prioritizes the inputs to valuation techniques used to measure fair value into three levels. The level in the fair value hierarchy within which the fair value measurement falls is determined based on the lowest level input that is significant to the fair value measurement. The levels of the fair value hierarchy are as follows:</w:t>
      </w:r>
    </w:p>
    <w:p>
      <w:pPr>
        <w:spacing w:after="0" w:line="81" w:lineRule="exact"/>
        <w:rPr>
          <w:sz w:val="20"/>
          <w:szCs w:val="20"/>
          <w:color w:val="auto"/>
        </w:rPr>
      </w:pPr>
    </w:p>
    <w:p>
      <w:pPr>
        <w:ind w:left="320" w:right="1099" w:firstLine="270"/>
        <w:spacing w:after="0" w:line="282" w:lineRule="auto"/>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Valuations based on unadjusted quoted prices for identical assets or liabilities in an active market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has the ability to access at the measurement date.</w:t>
      </w:r>
    </w:p>
    <w:p>
      <w:pPr>
        <w:spacing w:after="0" w:line="54" w:lineRule="exact"/>
        <w:rPr>
          <w:sz w:val="20"/>
          <w:szCs w:val="20"/>
          <w:color w:val="auto"/>
        </w:rPr>
      </w:pPr>
    </w:p>
    <w:p>
      <w:pPr>
        <w:ind w:left="320" w:right="639" w:firstLine="270"/>
        <w:spacing w:after="0" w:line="289" w:lineRule="auto"/>
        <w:rPr>
          <w:sz w:val="20"/>
          <w:szCs w:val="20"/>
          <w:color w:val="auto"/>
        </w:rPr>
      </w:pPr>
      <w:r>
        <w:rPr>
          <w:rFonts w:ascii="Arial" w:cs="Arial" w:eastAsia="Arial" w:hAnsi="Arial"/>
          <w:sz w:val="17"/>
          <w:szCs w:val="17"/>
          <w:b w:val="1"/>
          <w:bCs w:val="1"/>
          <w:color w:val="auto"/>
        </w:rPr>
        <w:t xml:space="preserve">Level 2 </w:t>
      </w:r>
      <w:r>
        <w:rPr>
          <w:rFonts w:ascii="Arial" w:cs="Arial" w:eastAsia="Arial" w:hAnsi="Arial"/>
          <w:sz w:val="17"/>
          <w:szCs w:val="17"/>
          <w:color w:val="auto"/>
        </w:rPr>
        <w:t>— Valuations based on observable inputs other than Level 1 prices, such as quoted prices for similar assets or</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liabilities; quoted prices in markets that are not active; or other inputs that are observable or can be corroborated by observable market data at the measurement date for substantially the full term of the assets or liabilities.</w:t>
      </w:r>
    </w:p>
    <w:p>
      <w:pPr>
        <w:spacing w:after="0" w:line="50" w:lineRule="exact"/>
        <w:rPr>
          <w:sz w:val="20"/>
          <w:szCs w:val="20"/>
          <w:color w:val="auto"/>
        </w:rPr>
      </w:pPr>
    </w:p>
    <w:p>
      <w:pPr>
        <w:jc w:val="both"/>
        <w:ind w:left="320" w:right="759" w:firstLine="270"/>
        <w:spacing w:after="0" w:line="266"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Valuations based on unobservable inputs that reflect management’s best estimate of what market participants</w:t>
      </w:r>
      <w:r>
        <w:rPr>
          <w:rFonts w:ascii="Arial" w:cs="Arial" w:eastAsia="Arial" w:hAnsi="Arial"/>
          <w:sz w:val="18"/>
          <w:szCs w:val="18"/>
          <w:b w:val="1"/>
          <w:bCs w:val="1"/>
          <w:color w:val="auto"/>
        </w:rPr>
        <w:t xml:space="preserve"> </w:t>
      </w:r>
      <w:r>
        <w:rPr>
          <w:rFonts w:ascii="Arial" w:cs="Arial" w:eastAsia="Arial" w:hAnsi="Arial"/>
          <w:sz w:val="18"/>
          <w:szCs w:val="18"/>
          <w:color w:val="auto"/>
        </w:rPr>
        <w:t>would use in pricing the asset or liability at the measurement date. Consideration is given to the risk inherent in the valuation technique and the risk inherent in the inputs to the model.</w:t>
      </w:r>
    </w:p>
    <w:p>
      <w:pPr>
        <w:spacing w:after="0" w:line="200" w:lineRule="exact"/>
        <w:rPr>
          <w:sz w:val="20"/>
          <w:szCs w:val="20"/>
          <w:color w:val="auto"/>
        </w:rPr>
      </w:pPr>
    </w:p>
    <w:p>
      <w:pPr>
        <w:spacing w:after="0" w:line="33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March 31, 2016</w:t>
      </w:r>
    </w:p>
    <w:p>
      <w:pPr>
        <w:spacing w:after="0" w:line="9"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21" w:lineRule="exact"/>
        <w:rPr>
          <w:sz w:val="20"/>
          <w:szCs w:val="20"/>
          <w:color w:val="auto"/>
        </w:rPr>
      </w:pPr>
    </w:p>
    <w:p>
      <w:pPr>
        <w:jc w:val="both"/>
        <w:ind w:left="40" w:right="799" w:firstLine="270"/>
        <w:spacing w:after="0" w:line="288" w:lineRule="auto"/>
        <w:rPr>
          <w:sz w:val="20"/>
          <w:szCs w:val="20"/>
          <w:color w:val="auto"/>
        </w:rPr>
      </w:pPr>
      <w:r>
        <w:rPr>
          <w:rFonts w:ascii="Arial" w:cs="Arial" w:eastAsia="Arial" w:hAnsi="Arial"/>
          <w:sz w:val="16"/>
          <w:szCs w:val="16"/>
          <w:color w:val="auto"/>
        </w:rPr>
        <w:t>When the inputs used to measure fair value fall within different levels of the hierarchy, the level within which the fair value measurement is categorized is based on the lowest level input that is significant to the fair value measurement in its entirety. For example, a Level 3 fair value measurement may include inputs that are observable (Levels 1 and 2) and unobservable (Level 3).</w:t>
      </w:r>
    </w:p>
    <w:p>
      <w:pPr>
        <w:ind w:left="40" w:right="579"/>
        <w:spacing w:after="0" w:line="255" w:lineRule="auto"/>
        <w:rPr>
          <w:sz w:val="20"/>
          <w:szCs w:val="20"/>
          <w:color w:val="auto"/>
        </w:rPr>
      </w:pPr>
      <w:r>
        <w:rPr>
          <w:rFonts w:ascii="Arial" w:cs="Arial" w:eastAsia="Arial" w:hAnsi="Arial"/>
          <w:sz w:val="18"/>
          <w:szCs w:val="18"/>
          <w:color w:val="auto"/>
        </w:rPr>
        <w:t>Therefore, gains and losses for such assets and liabilities categorized within the Level 3 table set forth in “Note 3 — Investments at Fair Value” may include changes in fair value that are attributable to both observable inputs (Levels 1 and 2) and unobservable inputs (Level 3).</w:t>
      </w:r>
    </w:p>
    <w:p>
      <w:pPr>
        <w:spacing w:after="0" w:line="82" w:lineRule="exact"/>
        <w:rPr>
          <w:sz w:val="20"/>
          <w:szCs w:val="20"/>
          <w:color w:val="auto"/>
        </w:rPr>
      </w:pPr>
    </w:p>
    <w:p>
      <w:pPr>
        <w:ind w:left="40" w:right="619" w:firstLine="270"/>
        <w:spacing w:after="0" w:line="257" w:lineRule="auto"/>
        <w:rPr>
          <w:sz w:val="20"/>
          <w:szCs w:val="20"/>
          <w:color w:val="auto"/>
        </w:rPr>
      </w:pPr>
      <w:r>
        <w:rPr>
          <w:rFonts w:ascii="Arial" w:cs="Arial" w:eastAsia="Arial" w:hAnsi="Arial"/>
          <w:sz w:val="18"/>
          <w:szCs w:val="18"/>
          <w:color w:val="auto"/>
        </w:rPr>
        <w:t>A review of fair value hierarchy classifications is conducted on a quarterly basis. Changes in the observability of valuation inputs may result in a reclassification for certain financial assets or liabilities. Reclassifications impacting Level 3 of the fair value hierarchy are reported as transfers in/out of the Level 3 category as of the end of the quarter in which the reclassifications occur. Refer to “Levelling Policy” for a detailed discussion of the levelling of the Company’s financial assets or liabilities and events that may cause a reclassification within the fair value hierarchy.</w:t>
      </w:r>
    </w:p>
    <w:p>
      <w:pPr>
        <w:spacing w:after="0" w:line="80" w:lineRule="exact"/>
        <w:rPr>
          <w:sz w:val="20"/>
          <w:szCs w:val="20"/>
          <w:color w:val="auto"/>
        </w:rPr>
      </w:pPr>
    </w:p>
    <w:p>
      <w:pPr>
        <w:ind w:left="40" w:right="699" w:firstLine="270"/>
        <w:spacing w:after="0" w:line="297" w:lineRule="auto"/>
        <w:rPr>
          <w:sz w:val="20"/>
          <w:szCs w:val="20"/>
          <w:color w:val="auto"/>
        </w:rPr>
      </w:pPr>
      <w:r>
        <w:rPr>
          <w:rFonts w:ascii="Arial" w:cs="Arial" w:eastAsia="Arial" w:hAnsi="Arial"/>
          <w:sz w:val="16"/>
          <w:szCs w:val="16"/>
          <w:color w:val="auto"/>
        </w:rPr>
        <w:t>Securities for which market quotations are readily available on an exchange are valued at the closing price of such security on the valuation date; however, if they are subject to restrictions upon sale (such as lock-up restrictions), they may be discounted accordingly. The Company may also obtain quotes with respect to certain of its investments from pricing services, brokers or dealers in order to value assets. When doing so, the Company determines whether the quote obtained is sufficient according to GAAP to determine the fair value of the security. If determined to be adequate, the Company uses the quote obtained.</w:t>
      </w:r>
    </w:p>
    <w:p>
      <w:pPr>
        <w:spacing w:after="0" w:line="50" w:lineRule="exact"/>
        <w:rPr>
          <w:sz w:val="20"/>
          <w:szCs w:val="20"/>
          <w:color w:val="auto"/>
        </w:rPr>
      </w:pPr>
    </w:p>
    <w:p>
      <w:pPr>
        <w:ind w:left="40" w:right="579" w:firstLine="270"/>
        <w:spacing w:after="0" w:line="259" w:lineRule="auto"/>
        <w:rPr>
          <w:sz w:val="20"/>
          <w:szCs w:val="20"/>
          <w:color w:val="auto"/>
        </w:rPr>
      </w:pPr>
      <w:r>
        <w:rPr>
          <w:rFonts w:ascii="Arial" w:cs="Arial" w:eastAsia="Arial" w:hAnsi="Arial"/>
          <w:sz w:val="18"/>
          <w:szCs w:val="18"/>
          <w:color w:val="auto"/>
        </w:rPr>
        <w:t>Securities for which reliable market quotations are not readily available or for which the pricing source does not provide a valuation or methodology or provides a valuation or methodology that, in the judgment of GSV Asset Management, the board of directors or the valuation committee of the board of directors (the “Valuation Committee”), does not represent fair value, shall each be valued as follows:</w:t>
      </w:r>
    </w:p>
    <w:p>
      <w:pPr>
        <w:spacing w:after="0" w:line="79" w:lineRule="exact"/>
        <w:rPr>
          <w:sz w:val="20"/>
          <w:szCs w:val="20"/>
          <w:color w:val="auto"/>
        </w:rPr>
      </w:pPr>
    </w:p>
    <w:p>
      <w:pPr>
        <w:ind w:left="540" w:right="699" w:hanging="262"/>
        <w:spacing w:after="0" w:line="277"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quarterly valuation process begins with each portfolio company or investment being initially valued by the investment professionals of GSV Asset Management responsible for the portfolio investment;</w:t>
      </w:r>
    </w:p>
    <w:p>
      <w:pPr>
        <w:spacing w:after="0" w:line="62" w:lineRule="exact"/>
        <w:rPr>
          <w:rFonts w:ascii="Arial" w:cs="Arial" w:eastAsia="Arial" w:hAnsi="Arial"/>
          <w:sz w:val="18"/>
          <w:szCs w:val="18"/>
          <w:color w:val="auto"/>
        </w:rPr>
      </w:pPr>
    </w:p>
    <w:p>
      <w:pPr>
        <w:ind w:left="540" w:hanging="262"/>
        <w:spacing w:after="0"/>
        <w:tabs>
          <w:tab w:leader="none" w:pos="5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Preliminary valuation conclusions are then documented and discussed with GSV Asset Management senior management;</w:t>
      </w:r>
    </w:p>
    <w:p>
      <w:pPr>
        <w:spacing w:after="0" w:line="140" w:lineRule="exact"/>
        <w:rPr>
          <w:rFonts w:ascii="Arial" w:cs="Arial" w:eastAsia="Arial" w:hAnsi="Arial"/>
          <w:sz w:val="16"/>
          <w:szCs w:val="16"/>
          <w:color w:val="auto"/>
        </w:rPr>
      </w:pPr>
    </w:p>
    <w:p>
      <w:pPr>
        <w:ind w:left="540" w:right="579" w:hanging="262"/>
        <w:spacing w:after="0" w:line="264"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independent third-party valuation firm is engaged by, or on behalf of, the Valuation Committee to conduct independent appraisals and review GSV Asset Management’s preliminary valuations and make their own independent assessment, for all investments for which there are no readily available market quotations;</w:t>
      </w:r>
    </w:p>
    <w:p>
      <w:pPr>
        <w:spacing w:after="0" w:line="73" w:lineRule="exact"/>
        <w:rPr>
          <w:rFonts w:ascii="Arial" w:cs="Arial" w:eastAsia="Arial" w:hAnsi="Arial"/>
          <w:sz w:val="18"/>
          <w:szCs w:val="18"/>
          <w:color w:val="auto"/>
        </w:rPr>
      </w:pPr>
    </w:p>
    <w:p>
      <w:pPr>
        <w:ind w:left="540" w:right="579" w:hanging="262"/>
        <w:spacing w:after="0" w:line="264"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Valuation Committee discusses the valuations and recommends to the Company’s board of directors a fair value for each investment in the portfolio in good faith based on the input of GSV Asset Management and the independent third-party valuation firm; and,</w:t>
      </w:r>
    </w:p>
    <w:p>
      <w:pPr>
        <w:spacing w:after="0" w:line="73" w:lineRule="exact"/>
        <w:rPr>
          <w:rFonts w:ascii="Arial" w:cs="Arial" w:eastAsia="Arial" w:hAnsi="Arial"/>
          <w:sz w:val="18"/>
          <w:szCs w:val="18"/>
          <w:color w:val="auto"/>
        </w:rPr>
      </w:pPr>
    </w:p>
    <w:p>
      <w:pPr>
        <w:ind w:left="540" w:right="659" w:hanging="262"/>
        <w:spacing w:after="0" w:line="277"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Company’s board of directors then discusses the valuations recommended by the Valuation Committee and determines in good faith the fair value of each investment in the portfolio.</w:t>
      </w:r>
    </w:p>
    <w:p>
      <w:pPr>
        <w:spacing w:after="0" w:line="62" w:lineRule="exact"/>
        <w:rPr>
          <w:sz w:val="20"/>
          <w:szCs w:val="20"/>
          <w:color w:val="auto"/>
        </w:rPr>
      </w:pPr>
    </w:p>
    <w:p>
      <w:pPr>
        <w:ind w:left="40" w:right="599" w:firstLine="270"/>
        <w:spacing w:after="0" w:line="255" w:lineRule="auto"/>
        <w:rPr>
          <w:sz w:val="20"/>
          <w:szCs w:val="20"/>
          <w:color w:val="auto"/>
        </w:rPr>
      </w:pPr>
      <w:r>
        <w:rPr>
          <w:rFonts w:ascii="Arial" w:cs="Arial" w:eastAsia="Arial" w:hAnsi="Arial"/>
          <w:sz w:val="18"/>
          <w:szCs w:val="18"/>
          <w:color w:val="auto"/>
        </w:rPr>
        <w:t>In making a good faith determination of the fair value of investments, the Company considers valuation methodologies consistent with industry practice. Valuation methods utilized include, but are not limited to the following: comparisons to prices from secondary market transactions; venture capital financings; public offerings; purchase or sales transactions; as well as analysis of financial ratios and valuation metrics of the portfolio companies that issued such private equity securities to peer companies that are public, analysis of the portfolio companies’ most recent financial statements and forecasts, and the markets in which the portfolio</w:t>
      </w:r>
    </w:p>
    <w:p>
      <w:pPr>
        <w:spacing w:after="0" w:line="200" w:lineRule="exact"/>
        <w:rPr>
          <w:sz w:val="20"/>
          <w:szCs w:val="20"/>
          <w:color w:val="auto"/>
        </w:rPr>
      </w:pPr>
    </w:p>
    <w:p>
      <w:pPr>
        <w:spacing w:after="0" w:line="34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3" w:name="page24"/>
    <w:bookmarkEnd w:id="23"/>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March 31, 2016</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21" w:lineRule="exact"/>
        <w:rPr>
          <w:sz w:val="20"/>
          <w:szCs w:val="20"/>
          <w:color w:val="auto"/>
        </w:rPr>
      </w:pPr>
    </w:p>
    <w:p>
      <w:pPr>
        <w:ind w:left="60" w:right="639"/>
        <w:spacing w:after="0" w:line="277" w:lineRule="auto"/>
        <w:rPr>
          <w:sz w:val="20"/>
          <w:szCs w:val="20"/>
          <w:color w:val="auto"/>
        </w:rPr>
      </w:pPr>
      <w:r>
        <w:rPr>
          <w:rFonts w:ascii="Arial" w:cs="Arial" w:eastAsia="Arial" w:hAnsi="Arial"/>
          <w:sz w:val="18"/>
          <w:szCs w:val="18"/>
          <w:color w:val="auto"/>
        </w:rPr>
        <w:t>company does business, and other relevant factors. The Company assigns a weighting based upon the relevance of each method to determine the fair value of each investment.</w:t>
      </w:r>
    </w:p>
    <w:p>
      <w:pPr>
        <w:spacing w:after="0" w:line="62" w:lineRule="exact"/>
        <w:rPr>
          <w:sz w:val="20"/>
          <w:szCs w:val="20"/>
          <w:color w:val="auto"/>
        </w:rPr>
      </w:pPr>
    </w:p>
    <w:p>
      <w:pPr>
        <w:ind w:left="60" w:right="559" w:firstLine="270"/>
        <w:spacing w:after="0" w:line="276" w:lineRule="auto"/>
        <w:rPr>
          <w:sz w:val="20"/>
          <w:szCs w:val="20"/>
          <w:color w:val="auto"/>
        </w:rPr>
      </w:pPr>
      <w:r>
        <w:rPr>
          <w:rFonts w:ascii="Arial" w:cs="Arial" w:eastAsia="Arial" w:hAnsi="Arial"/>
          <w:sz w:val="17"/>
          <w:szCs w:val="17"/>
          <w:color w:val="auto"/>
        </w:rPr>
        <w:t>The Company engages at least one independent valuation firm to perform valuations of its investments that are not publicly traded or for which there are no readily available market quotations. The Company considers the independent valuations provided by the valuation firm(s), among other factors, in making its fair value determinations. The table below shows the percentages of the Company’s investments for which there are no readily available market quotations, for which an independent valuation firm was engaged to perform valuations, during the current and prior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6985</wp:posOffset>
            </wp:positionV>
            <wp:extent cx="521398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For the quarter ended March 31, 2015</w:t>
            </w:r>
          </w:p>
        </w:tc>
        <w:tc>
          <w:tcPr>
            <w:tcW w:w="2860" w:type="dxa"/>
            <w:vAlign w:val="bottom"/>
          </w:tcPr>
          <w:p>
            <w:pPr>
              <w:jc w:val="right"/>
              <w:ind w:right="50"/>
              <w:spacing w:after="0"/>
              <w:rPr>
                <w:sz w:val="20"/>
                <w:szCs w:val="20"/>
                <w:color w:val="auto"/>
              </w:rPr>
            </w:pPr>
            <w:r>
              <w:rPr>
                <w:rFonts w:ascii="Arial" w:cs="Arial" w:eastAsia="Arial" w:hAnsi="Arial"/>
                <w:sz w:val="18"/>
                <w:szCs w:val="18"/>
                <w:color w:val="auto"/>
              </w:rPr>
              <w:t>100%</w:t>
            </w: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 the quarter ended June 30, 2015</w:t>
            </w:r>
          </w:p>
        </w:tc>
        <w:tc>
          <w:tcPr>
            <w:tcW w:w="2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100%</w:t>
            </w:r>
          </w:p>
        </w:tc>
      </w:tr>
      <w:tr>
        <w:trPr>
          <w:trHeight w:val="216"/>
        </w:trPr>
        <w:tc>
          <w:tcPr>
            <w:tcW w:w="5360" w:type="dxa"/>
            <w:vAlign w:val="bottom"/>
          </w:tcPr>
          <w:p>
            <w:pPr>
              <w:ind w:left="20"/>
              <w:spacing w:after="0"/>
              <w:rPr>
                <w:sz w:val="20"/>
                <w:szCs w:val="20"/>
                <w:color w:val="auto"/>
              </w:rPr>
            </w:pPr>
            <w:r>
              <w:rPr>
                <w:rFonts w:ascii="Arial" w:cs="Arial" w:eastAsia="Arial" w:hAnsi="Arial"/>
                <w:sz w:val="18"/>
                <w:szCs w:val="18"/>
                <w:color w:val="auto"/>
              </w:rPr>
              <w:t>For the quarter ended September 30, 2015</w:t>
            </w:r>
          </w:p>
        </w:tc>
        <w:tc>
          <w:tcPr>
            <w:tcW w:w="2860" w:type="dxa"/>
            <w:vAlign w:val="bottom"/>
          </w:tcPr>
          <w:p>
            <w:pPr>
              <w:jc w:val="right"/>
              <w:ind w:right="50"/>
              <w:spacing w:after="0"/>
              <w:rPr>
                <w:sz w:val="20"/>
                <w:szCs w:val="20"/>
                <w:color w:val="auto"/>
              </w:rPr>
            </w:pPr>
            <w:r>
              <w:rPr>
                <w:rFonts w:ascii="Arial" w:cs="Arial" w:eastAsia="Arial" w:hAnsi="Arial"/>
                <w:sz w:val="18"/>
                <w:szCs w:val="18"/>
                <w:color w:val="auto"/>
              </w:rPr>
              <w:t>100%</w:t>
            </w: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 the quarter ended December 31, 2015</w:t>
            </w:r>
          </w:p>
        </w:tc>
        <w:tc>
          <w:tcPr>
            <w:tcW w:w="2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100%</w:t>
            </w: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For the quarter ended March 31, 2016</w:t>
            </w:r>
          </w:p>
        </w:tc>
        <w:tc>
          <w:tcPr>
            <w:tcW w:w="2860" w:type="dxa"/>
            <w:vAlign w:val="bottom"/>
          </w:tcPr>
          <w:p>
            <w:pPr>
              <w:jc w:val="right"/>
              <w:ind w:right="50"/>
              <w:spacing w:after="0"/>
              <w:rPr>
                <w:sz w:val="20"/>
                <w:szCs w:val="20"/>
                <w:color w:val="auto"/>
              </w:rPr>
            </w:pPr>
            <w:r>
              <w:rPr>
                <w:rFonts w:ascii="Arial" w:cs="Arial" w:eastAsia="Arial" w:hAnsi="Arial"/>
                <w:sz w:val="18"/>
                <w:szCs w:val="18"/>
                <w:color w:val="auto"/>
              </w:rPr>
              <w:t>100%</w:t>
            </w:r>
          </w:p>
        </w:tc>
      </w:tr>
    </w:tbl>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 Investments</w:t>
      </w:r>
    </w:p>
    <w:p>
      <w:pPr>
        <w:spacing w:after="0" w:line="117" w:lineRule="exact"/>
        <w:rPr>
          <w:sz w:val="20"/>
          <w:szCs w:val="20"/>
          <w:color w:val="auto"/>
        </w:rPr>
      </w:pPr>
    </w:p>
    <w:p>
      <w:pPr>
        <w:ind w:left="60" w:right="519" w:firstLine="270"/>
        <w:spacing w:after="0" w:line="272" w:lineRule="auto"/>
        <w:rPr>
          <w:sz w:val="20"/>
          <w:szCs w:val="20"/>
          <w:color w:val="auto"/>
        </w:rPr>
      </w:pPr>
      <w:r>
        <w:rPr>
          <w:rFonts w:ascii="Arial" w:cs="Arial" w:eastAsia="Arial" w:hAnsi="Arial"/>
          <w:sz w:val="17"/>
          <w:szCs w:val="17"/>
          <w:color w:val="auto"/>
        </w:rPr>
        <w:t>Equity investments for which market quotations are readily available in an active market are generally valued at the most recently available closing market prices and are classified as Level 1 assets. Equity investments with readily available market quotations that are subject to sales restrictions due to an initial public offering (“IPO”) by the portfolio company will be classified as Level 1. Any other equity investments with readily available market quotations that are subject to sales restrictions may be valued at a discount for a lack of marketability, (“DLOM”), to the most recently available closing market prices depending upon the nature of the sales restriction. These investments are generally classified as Level 2 assets. The DLOM used is generally based upon the market value of publicly traded put options with similar terms.</w:t>
      </w:r>
    </w:p>
    <w:p>
      <w:pPr>
        <w:spacing w:after="0" w:line="70" w:lineRule="exact"/>
        <w:rPr>
          <w:sz w:val="20"/>
          <w:szCs w:val="20"/>
          <w:color w:val="auto"/>
        </w:rPr>
      </w:pPr>
    </w:p>
    <w:p>
      <w:pPr>
        <w:ind w:left="60" w:right="519" w:firstLine="270"/>
        <w:spacing w:after="0" w:line="253" w:lineRule="auto"/>
        <w:rPr>
          <w:sz w:val="20"/>
          <w:szCs w:val="20"/>
          <w:color w:val="auto"/>
        </w:rPr>
      </w:pPr>
      <w:r>
        <w:rPr>
          <w:rFonts w:ascii="Arial" w:cs="Arial" w:eastAsia="Arial" w:hAnsi="Arial"/>
          <w:sz w:val="18"/>
          <w:szCs w:val="18"/>
          <w:color w:val="auto"/>
        </w:rPr>
        <w:t>The fair values of the Company’s equity investments for which market quotations are not readily available are determined based on various factors and are classified as Level 3 assets. To determine the fair value of a portfolio company for which market quotations are not readily available, the Company may analyze the relevant portfolio company’s most recently available historical and projected financial results, public market comparables, and other factors. The Company may also consider other events, including the transaction in which the Company acquired its securities, subsequent equity sales by the portfolio company, mergers or acquisitions affecting the portfolio company. In addition, the Company may consider the trends of the portfolio company’s basic financial metrics from the time of its original investment until the measurement date, with material improvement of these metrics indicating a possible increase in fair value, while material deterioration of these metrics may indicate a possible reduction in fair value.</w:t>
      </w:r>
    </w:p>
    <w:p>
      <w:pPr>
        <w:spacing w:after="0" w:line="89" w:lineRule="exact"/>
        <w:rPr>
          <w:sz w:val="20"/>
          <w:szCs w:val="20"/>
          <w:color w:val="auto"/>
        </w:rPr>
      </w:pPr>
    </w:p>
    <w:p>
      <w:pPr>
        <w:ind w:left="60" w:right="559" w:firstLine="270"/>
        <w:spacing w:after="0" w:line="270" w:lineRule="auto"/>
        <w:rPr>
          <w:sz w:val="20"/>
          <w:szCs w:val="20"/>
          <w:color w:val="auto"/>
        </w:rPr>
      </w:pPr>
      <w:r>
        <w:rPr>
          <w:rFonts w:ascii="Arial" w:cs="Arial" w:eastAsia="Arial" w:hAnsi="Arial"/>
          <w:sz w:val="17"/>
          <w:szCs w:val="17"/>
          <w:color w:val="auto"/>
        </w:rPr>
        <w:t>In determining the value of equity or equity-linked securities (including warrants to purchase common or preferred stock) in a portfolio company, the Company considers the rights, preferences and limitations of such securities. In cases where a portfolio company’s capital structure includes multiple classes of preferred and common stock and equity-linked securities with different rights and preferences, the Company generally uses an option pricing model to allocate value to each equity-linked security, unless it believes a liquidity event such as an acquisition or a dissolution is imminent, or the portfolio company is unlikely to continue as a going concern. When equity-linked securities expire worthless, any cost associated with these positions is recognized as a realized loss on investments in the Condensed Consolidated Statements of Operations and Condensed Consolidated Statements of Cash Flows. In the event these securities are exercised into common or preferred stock, the cost associated with these securities is reassigned to the cost basis of the new common or preferred stock. These conversions are noted as non-cash operating items on the Condensed Consolidated Statements of Cash Flows.</w:t>
      </w:r>
    </w:p>
    <w:p>
      <w:pPr>
        <w:spacing w:after="0" w:line="200" w:lineRule="exact"/>
        <w:rPr>
          <w:sz w:val="20"/>
          <w:szCs w:val="20"/>
          <w:color w:val="auto"/>
        </w:rPr>
      </w:pPr>
    </w:p>
    <w:p>
      <w:pPr>
        <w:spacing w:after="0" w:line="31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March 31, 2016</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Debt Investments</w:t>
      </w:r>
    </w:p>
    <w:p>
      <w:pPr>
        <w:spacing w:after="0" w:line="117" w:lineRule="exact"/>
        <w:rPr>
          <w:sz w:val="20"/>
          <w:szCs w:val="20"/>
          <w:color w:val="auto"/>
        </w:rPr>
      </w:pPr>
    </w:p>
    <w:p>
      <w:pPr>
        <w:ind w:left="40" w:right="719" w:firstLine="270"/>
        <w:spacing w:after="0" w:line="279" w:lineRule="auto"/>
        <w:rPr>
          <w:sz w:val="20"/>
          <w:szCs w:val="20"/>
          <w:color w:val="auto"/>
        </w:rPr>
      </w:pPr>
      <w:r>
        <w:rPr>
          <w:rFonts w:ascii="Arial" w:cs="Arial" w:eastAsia="Arial" w:hAnsi="Arial"/>
          <w:sz w:val="17"/>
          <w:szCs w:val="17"/>
          <w:color w:val="auto"/>
        </w:rPr>
        <w:t>Given the nature of the Company’s current debt investments (excluding U.S. Treasuries), principally convertible and promissory notes issued by venture-capital-backed portfolio companies, these investments are Level 3 assets because there is no known or accessible market or market indexes for these investment securities to be traded or exchanged. The Company values its debt investments at estimated fair value as determined by the Company’s board of directors.</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Warrants</w:t>
      </w:r>
    </w:p>
    <w:p>
      <w:pPr>
        <w:spacing w:after="0" w:line="117" w:lineRule="exact"/>
        <w:rPr>
          <w:sz w:val="20"/>
          <w:szCs w:val="20"/>
          <w:color w:val="auto"/>
        </w:rPr>
      </w:pPr>
    </w:p>
    <w:p>
      <w:pPr>
        <w:ind w:left="40" w:right="1179" w:firstLine="270"/>
        <w:spacing w:after="0" w:line="308" w:lineRule="auto"/>
        <w:rPr>
          <w:sz w:val="20"/>
          <w:szCs w:val="20"/>
          <w:color w:val="auto"/>
        </w:rPr>
      </w:pPr>
      <w:r>
        <w:rPr>
          <w:rFonts w:ascii="Arial" w:cs="Arial" w:eastAsia="Arial" w:hAnsi="Arial"/>
          <w:sz w:val="17"/>
          <w:szCs w:val="17"/>
          <w:color w:val="auto"/>
        </w:rPr>
        <w:t>The board of directors will ascribe value to warrants based on fair value analyses that can include discounted cash flow analyses, option pricing models, comparable analyses and other techniques as deemed appropriate.</w:t>
      </w:r>
    </w:p>
    <w:p>
      <w:pPr>
        <w:spacing w:after="0" w:line="6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Levelling Policy</w:t>
      </w:r>
    </w:p>
    <w:p>
      <w:pPr>
        <w:spacing w:after="0" w:line="117" w:lineRule="exact"/>
        <w:rPr>
          <w:sz w:val="20"/>
          <w:szCs w:val="20"/>
          <w:color w:val="auto"/>
        </w:rPr>
      </w:pPr>
    </w:p>
    <w:p>
      <w:pPr>
        <w:ind w:left="40" w:right="519" w:firstLine="270"/>
        <w:spacing w:after="0" w:line="271" w:lineRule="auto"/>
        <w:rPr>
          <w:sz w:val="20"/>
          <w:szCs w:val="20"/>
          <w:color w:val="auto"/>
        </w:rPr>
      </w:pPr>
      <w:r>
        <w:rPr>
          <w:rFonts w:ascii="Arial" w:cs="Arial" w:eastAsia="Arial" w:hAnsi="Arial"/>
          <w:sz w:val="17"/>
          <w:szCs w:val="17"/>
          <w:color w:val="auto"/>
        </w:rPr>
        <w:t>The portfolio companies in which the Company invests periodically offer their shares in IPOs. The Company’s shares in such portfolio companies are typically subject to lock-up agreements for 180 days following the IPO. Upon the IPO date, the Company transfers its investment from Level 3 to Level 1 due to the presence of an active market, limited by the lock-up agreement. The Company prices the investment at the closing price on a public exchange as of the measurement date. In situations where the lock-up restrictions have expired, but other factors restrict the sale of the investment, the Company will consider the nature of any restrictions on the sale of the investment. The Company will classify the investment as either Level 2 subject to an appropriate DLOM to reflect the restrictions upon sale or as Level 1. The Company transfers investments between levels based on the fair value at the end of the measurement period in accordance with ASC 820.</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Valuation of Other Financial Instruments</w:t>
      </w:r>
    </w:p>
    <w:p>
      <w:pPr>
        <w:spacing w:after="0" w:line="117" w:lineRule="exact"/>
        <w:rPr>
          <w:sz w:val="20"/>
          <w:szCs w:val="20"/>
          <w:color w:val="auto"/>
        </w:rPr>
      </w:pPr>
    </w:p>
    <w:p>
      <w:pPr>
        <w:ind w:left="40" w:right="539" w:firstLine="270"/>
        <w:spacing w:after="0" w:line="264" w:lineRule="auto"/>
        <w:rPr>
          <w:sz w:val="20"/>
          <w:szCs w:val="20"/>
          <w:color w:val="auto"/>
        </w:rPr>
      </w:pPr>
      <w:r>
        <w:rPr>
          <w:rFonts w:ascii="Arial" w:cs="Arial" w:eastAsia="Arial" w:hAnsi="Arial"/>
          <w:sz w:val="18"/>
          <w:szCs w:val="18"/>
          <w:color w:val="auto"/>
        </w:rPr>
        <w:t>The carrying amounts of the Company’s other, non-investment, financial instruments, consisting of cash, receivables, accounts payable, and accrued expenses, approximate fair value due to their short-term nature. The embedded derivative liability is carried at fair value.</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Securities Transactions</w:t>
      </w:r>
    </w:p>
    <w:p>
      <w:pPr>
        <w:spacing w:after="0" w:line="117" w:lineRule="exact"/>
        <w:rPr>
          <w:sz w:val="20"/>
          <w:szCs w:val="20"/>
          <w:color w:val="auto"/>
        </w:rPr>
      </w:pPr>
    </w:p>
    <w:p>
      <w:pPr>
        <w:ind w:left="40" w:right="539" w:firstLine="270"/>
        <w:spacing w:after="0" w:line="279" w:lineRule="auto"/>
        <w:rPr>
          <w:sz w:val="20"/>
          <w:szCs w:val="20"/>
          <w:color w:val="auto"/>
        </w:rPr>
      </w:pPr>
      <w:r>
        <w:rPr>
          <w:rFonts w:ascii="Arial" w:cs="Arial" w:eastAsia="Arial" w:hAnsi="Arial"/>
          <w:sz w:val="17"/>
          <w:szCs w:val="17"/>
          <w:color w:val="auto"/>
        </w:rPr>
        <w:t>Securities transactions are accounted for on the date the transaction for the purchase or sale of the securities is entered into by the Company (</w:t>
      </w:r>
      <w:r>
        <w:rPr>
          <w:rFonts w:ascii="Arial" w:cs="Arial" w:eastAsia="Arial" w:hAnsi="Arial"/>
          <w:sz w:val="17"/>
          <w:szCs w:val="17"/>
          <w:i w:val="1"/>
          <w:iCs w:val="1"/>
          <w:color w:val="auto"/>
        </w:rPr>
        <w:t>i.e.</w:t>
      </w:r>
      <w:r>
        <w:rPr>
          <w:rFonts w:ascii="Arial" w:cs="Arial" w:eastAsia="Arial" w:hAnsi="Arial"/>
          <w:sz w:val="17"/>
          <w:szCs w:val="17"/>
          <w:color w:val="auto"/>
        </w:rPr>
        <w:t>, trade date). Securities transactions outside conventional channels, such as private transactions, are recorded as of the date the Company obtains the right to demand the securities purchased or to collect the proceeds from a sale, and incurs an obligation to pay for securities purchased or to deliver securities sold, respectively.</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Portfolio Company Investment Classification</w:t>
      </w:r>
    </w:p>
    <w:p>
      <w:pPr>
        <w:spacing w:after="0" w:line="117" w:lineRule="exact"/>
        <w:rPr>
          <w:sz w:val="20"/>
          <w:szCs w:val="20"/>
          <w:color w:val="auto"/>
        </w:rPr>
      </w:pPr>
    </w:p>
    <w:p>
      <w:pPr>
        <w:ind w:left="40" w:right="639" w:firstLine="270"/>
        <w:spacing w:after="0" w:line="271" w:lineRule="auto"/>
        <w:rPr>
          <w:sz w:val="20"/>
          <w:szCs w:val="20"/>
          <w:color w:val="auto"/>
        </w:rPr>
      </w:pPr>
      <w:r>
        <w:rPr>
          <w:rFonts w:ascii="Arial" w:cs="Arial" w:eastAsia="Arial" w:hAnsi="Arial"/>
          <w:sz w:val="17"/>
          <w:szCs w:val="17"/>
          <w:color w:val="auto"/>
        </w:rPr>
        <w:t>GSV Capital is a non-diversified company within the meaning of the 1940 Act. GSV Capital classifies its investments by level of control. As defined in the 1940 Act, control investments are those where there is the power to exercise a controlling influence over the management or policies of a company. Control is generally deemed to exist when a company or individual directly or indirectly owns beneficially more than 25% of the voting securities of an investee company. Affiliated investments and affiliated companies are defined by a lesser degree of influence and are deemed to exist when a company or individual directly or indirectly owns, controls or holds the power to vote 5% or more of the outstanding voting securities of another person. Refer to the Condensed Consolidated Schedules of Investments as of March 31, 2016 and December 31, 2015, respectively, for details regarding the nature and composition of the Company’s investment portfolio.</w:t>
      </w:r>
    </w:p>
    <w:p>
      <w:pPr>
        <w:spacing w:after="0" w:line="200" w:lineRule="exact"/>
        <w:rPr>
          <w:sz w:val="20"/>
          <w:szCs w:val="20"/>
          <w:color w:val="auto"/>
        </w:rPr>
      </w:pPr>
    </w:p>
    <w:p>
      <w:pPr>
        <w:spacing w:after="0" w:line="33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5" w:name="page26"/>
    <w:bookmarkEnd w:id="25"/>
    <w:p>
      <w:pPr>
        <w:ind w:left="14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March 31, 2016</w:t>
      </w:r>
    </w:p>
    <w:p>
      <w:pPr>
        <w:spacing w:after="0" w:line="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Cash</w:t>
      </w:r>
    </w:p>
    <w:p>
      <w:pPr>
        <w:spacing w:after="0" w:line="117" w:lineRule="exact"/>
        <w:rPr>
          <w:sz w:val="20"/>
          <w:szCs w:val="20"/>
          <w:color w:val="auto"/>
        </w:rPr>
      </w:pPr>
    </w:p>
    <w:p>
      <w:pPr>
        <w:jc w:val="both"/>
        <w:ind w:left="180" w:right="919" w:firstLine="270"/>
        <w:spacing w:after="0" w:line="312" w:lineRule="auto"/>
        <w:rPr>
          <w:sz w:val="20"/>
          <w:szCs w:val="20"/>
          <w:color w:val="auto"/>
        </w:rPr>
      </w:pPr>
      <w:r>
        <w:rPr>
          <w:rFonts w:ascii="Arial" w:cs="Arial" w:eastAsia="Arial" w:hAnsi="Arial"/>
          <w:sz w:val="16"/>
          <w:szCs w:val="16"/>
          <w:color w:val="auto"/>
        </w:rPr>
        <w:t>The Company places its cash with U.S. Bank, N.A. and Silicon Valley Bank, and at times, cash held in these accounts may exceed the Federal Deposit Insurance Corporation insured limit. The Company believes that both U.S. Bank, N.A. and Silicon Valley Bank are high-quality financial institutions and that the risk of loss associated with any uninsured balance is remote.</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Deferred Financing Costs</w:t>
      </w:r>
    </w:p>
    <w:p>
      <w:pPr>
        <w:spacing w:after="0" w:line="117" w:lineRule="exact"/>
        <w:rPr>
          <w:sz w:val="20"/>
          <w:szCs w:val="20"/>
          <w:color w:val="auto"/>
        </w:rPr>
      </w:pPr>
    </w:p>
    <w:p>
      <w:pPr>
        <w:ind w:left="180" w:right="559" w:firstLine="270"/>
        <w:spacing w:after="0" w:line="287" w:lineRule="auto"/>
        <w:rPr>
          <w:sz w:val="20"/>
          <w:szCs w:val="20"/>
          <w:color w:val="auto"/>
        </w:rPr>
      </w:pPr>
      <w:r>
        <w:rPr>
          <w:rFonts w:ascii="Arial" w:cs="Arial" w:eastAsia="Arial" w:hAnsi="Arial"/>
          <w:sz w:val="16"/>
          <w:szCs w:val="16"/>
          <w:color w:val="auto"/>
        </w:rPr>
        <w:t>On December 31, 2013, the Company entered into a Loan and Security Agreement (the “Loan Agreement”) with Silicon Valley Bank, pursuant to which Silicon Valley Bank agreed to provide the Company with an $18 million credit facility (the “Credit Facility”). The Company recorded origination expenses related to the Credit Facility as deferred financing costs. These expenses are deferred and amortized as part of interest expense using the effective interest method over the expected life of the Credit Facility. In the event that the Company modifies or extinguishes the Credit Facility, it follows the guidance in ASC 470-50, Modification and Extinguishments (“ASC 470-50”). For modifications to or exchanges of the Credit Facility, any unamortized deferred costs are expensed. Included within deferred financing costs are offering costs incurred relating to the Company’s shelf registration statement on Form N-2. The Company defers these offering costs until capital is raised against the shelf registration statement or the shelf registration statement has expired. For equity capital raised, the offering costs reduce paid-in capital resulting from the offering. For debt capital raised, the associated offering costs are amortized over the life of the debt instrument using the effective interest method. As of March 31, 2016 and December 31, 2015, the Company had deferred financing costs of $328,820, and $352,653, respectively, on the Condensed Consolidated Statements of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5080</wp:posOffset>
            </wp:positionV>
            <wp:extent cx="515429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54295" cy="8890"/>
                    </a:xfrm>
                    <a:prstGeom prst="rect">
                      <a:avLst/>
                    </a:prstGeom>
                    <a:noFill/>
                  </pic:spPr>
                </pic:pic>
              </a:graphicData>
            </a:graphic>
          </wp:anchor>
        </w:drawing>
      </w:r>
    </w:p>
    <w:p>
      <w:pPr>
        <w:spacing w:after="0" w:line="7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4"/>
                <w:szCs w:val="14"/>
                <w:color w:val="auto"/>
              </w:rPr>
            </w:pPr>
          </w:p>
        </w:tc>
      </w:tr>
      <w:tr>
        <w:trPr>
          <w:trHeight w:val="210"/>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origination costs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153,517</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210,998</w:t>
            </w:r>
          </w:p>
        </w:tc>
      </w:tr>
      <w:tr>
        <w:trPr>
          <w:trHeight w:val="216"/>
        </w:trPr>
        <w:tc>
          <w:tcPr>
            <w:tcW w:w="6120" w:type="dxa"/>
            <w:vAlign w:val="bottom"/>
          </w:tcPr>
          <w:p>
            <w:pPr>
              <w:ind w:left="20"/>
              <w:spacing w:after="0"/>
              <w:rPr>
                <w:sz w:val="20"/>
                <w:szCs w:val="20"/>
                <w:color w:val="auto"/>
              </w:rPr>
            </w:pPr>
            <w:r>
              <w:rPr>
                <w:rFonts w:ascii="Arial" w:cs="Arial" w:eastAsia="Arial" w:hAnsi="Arial"/>
                <w:sz w:val="18"/>
                <w:szCs w:val="18"/>
                <w:color w:val="auto"/>
              </w:rPr>
              <w:t>Deferred offering costs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175,303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280"/>
              <w:spacing w:after="0"/>
              <w:rPr>
                <w:sz w:val="20"/>
                <w:szCs w:val="20"/>
                <w:color w:val="auto"/>
              </w:rPr>
            </w:pPr>
            <w:r>
              <w:rPr>
                <w:rFonts w:ascii="Arial" w:cs="Arial" w:eastAsia="Arial" w:hAnsi="Arial"/>
                <w:sz w:val="18"/>
                <w:szCs w:val="18"/>
                <w:color w:val="auto"/>
              </w:rPr>
              <w:t>141,655</w:t>
            </w:r>
          </w:p>
        </w:tc>
      </w:tr>
      <w:tr>
        <w:trPr>
          <w:trHeight w:val="20"/>
        </w:trPr>
        <w:tc>
          <w:tcPr>
            <w:tcW w:w="6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Financing Costs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328,820</w:t>
            </w:r>
          </w:p>
        </w:tc>
        <w:tc>
          <w:tcPr>
            <w:tcW w:w="8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352,653</w:t>
            </w:r>
          </w:p>
        </w:tc>
      </w:tr>
      <w:tr>
        <w:trPr>
          <w:trHeight w:val="20"/>
        </w:trPr>
        <w:tc>
          <w:tcPr>
            <w:tcW w:w="6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-33655</wp:posOffset>
            </wp:positionV>
            <wp:extent cx="5213985" cy="342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left="180" w:right="559" w:firstLine="270"/>
        <w:spacing w:after="0" w:line="293" w:lineRule="auto"/>
        <w:rPr>
          <w:sz w:val="20"/>
          <w:szCs w:val="20"/>
          <w:color w:val="auto"/>
        </w:rPr>
      </w:pPr>
      <w:r>
        <w:rPr>
          <w:rFonts w:ascii="Arial" w:cs="Arial" w:eastAsia="Arial" w:hAnsi="Arial"/>
          <w:sz w:val="16"/>
          <w:szCs w:val="16"/>
          <w:color w:val="auto"/>
        </w:rPr>
        <w:t>As of March 31, 2016 and December 31, 2015, the Company had Restricted Cash of $75,681 and $52,931, respectively, which is included on the Condensed Consolidated Statements of Assets and Liabilities. As of March 31, 2016 and December 31, 2015, Restricted Cash consisted of a deposit for the Company’s fidelity bond as well as excess funds remaining in escrow after the purchase of the government securities that will be used to make the scheduled interest payments on the Company’s $69 million aggregate principal amount of the Convertible Senior Notes, which bear interest at a fixed rate of 5.25% per year and mature on September 15, 2018 (the “Convertible Senior Notes”). See the table below and “Note 9 — Long Term Liabilities” for further detail.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2540</wp:posOffset>
            </wp:positionV>
            <wp:extent cx="515429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54295" cy="88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2"/>
              </w:rPr>
              <w:t>December 31,</w:t>
            </w:r>
          </w:p>
        </w:tc>
        <w:tc>
          <w:tcPr>
            <w:tcW w:w="1260" w:type="dxa"/>
            <w:vAlign w:val="bottom"/>
          </w:tcPr>
          <w:p>
            <w:pPr>
              <w:spacing w:after="0"/>
              <w:rPr>
                <w:sz w:val="14"/>
                <w:szCs w:val="14"/>
                <w:color w:val="auto"/>
              </w:rPr>
            </w:pPr>
          </w:p>
        </w:tc>
      </w:tr>
      <w:tr>
        <w:trPr>
          <w:trHeight w:val="171"/>
        </w:trPr>
        <w:tc>
          <w:tcPr>
            <w:tcW w:w="1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4"/>
                <w:szCs w:val="14"/>
                <w:color w:val="auto"/>
              </w:rPr>
            </w:pPr>
          </w:p>
        </w:tc>
        <w:tc>
          <w:tcPr>
            <w:tcW w:w="1260" w:type="dxa"/>
            <w:vAlign w:val="bottom"/>
          </w:tcPr>
          <w:p>
            <w:pPr>
              <w:spacing w:after="0"/>
              <w:rPr>
                <w:sz w:val="14"/>
                <w:szCs w:val="14"/>
                <w:color w:val="auto"/>
              </w:rPr>
            </w:pPr>
          </w:p>
        </w:tc>
      </w:tr>
      <w:tr>
        <w:trPr>
          <w:trHeight w:val="210"/>
        </w:trPr>
        <w:tc>
          <w:tcPr>
            <w:tcW w:w="120" w:type="dxa"/>
            <w:vAlign w:val="bottom"/>
          </w:tcPr>
          <w:p>
            <w:pPr>
              <w:spacing w:after="0"/>
              <w:rPr>
                <w:sz w:val="18"/>
                <w:szCs w:val="18"/>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Deposit for the Company’s Fidelity Bond</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25,000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Excess funds</w:t>
            </w:r>
          </w:p>
        </w:tc>
        <w:tc>
          <w:tcPr>
            <w:tcW w:w="2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87"/>
              </w:rPr>
              <w:t>50,681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27,931</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0"/>
        </w:trPr>
        <w:tc>
          <w:tcPr>
            <w:tcW w:w="120" w:type="dxa"/>
            <w:vAlign w:val="bottom"/>
          </w:tcPr>
          <w:p>
            <w:pPr>
              <w:spacing w:after="0"/>
              <w:rPr>
                <w:sz w:val="21"/>
                <w:szCs w:val="21"/>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Restricted Cash</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75,681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52,931</w:t>
            </w:r>
          </w:p>
        </w:tc>
        <w:tc>
          <w:tcPr>
            <w:tcW w:w="1260" w:type="dxa"/>
            <w:vAlign w:val="bottom"/>
          </w:tcPr>
          <w:p>
            <w:pPr>
              <w:spacing w:after="0"/>
              <w:rPr>
                <w:sz w:val="21"/>
                <w:szCs w:val="21"/>
                <w:color w:val="auto"/>
              </w:rPr>
            </w:pPr>
          </w:p>
        </w:tc>
      </w:tr>
      <w:tr>
        <w:trPr>
          <w:trHeight w:val="777"/>
        </w:trPr>
        <w:tc>
          <w:tcPr>
            <w:tcW w:w="120" w:type="dxa"/>
            <w:vAlign w:val="bottom"/>
          </w:tcPr>
          <w:p>
            <w:pPr>
              <w:spacing w:after="0"/>
              <w:rPr>
                <w:sz w:val="24"/>
                <w:szCs w:val="24"/>
                <w:color w:val="auto"/>
              </w:rPr>
            </w:pPr>
          </w:p>
        </w:tc>
        <w:tc>
          <w:tcPr>
            <w:tcW w:w="3780" w:type="dxa"/>
            <w:vAlign w:val="bottom"/>
            <w:tcBorders>
              <w:top w:val="single" w:sz="8" w:color="CCEEFF"/>
            </w:tcBorders>
          </w:tcPr>
          <w:p>
            <w:pPr>
              <w:spacing w:after="0"/>
              <w:rPr>
                <w:sz w:val="24"/>
                <w:szCs w:val="24"/>
                <w:color w:val="auto"/>
              </w:rPr>
            </w:pPr>
          </w:p>
        </w:tc>
        <w:tc>
          <w:tcPr>
            <w:tcW w:w="2340" w:type="dxa"/>
            <w:vAlign w:val="bottom"/>
            <w:tcBorders>
              <w:top w:val="single" w:sz="8" w:color="CCEEFF"/>
            </w:tcBorders>
          </w:tcPr>
          <w:p>
            <w:pPr>
              <w:jc w:val="right"/>
              <w:ind w:right="1270"/>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60" w:type="dxa"/>
            <w:vAlign w:val="bottom"/>
          </w:tcPr>
          <w:p>
            <w:pPr>
              <w:spacing w:after="0"/>
              <w:rPr>
                <w:sz w:val="24"/>
                <w:szCs w:val="24"/>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780" w:type="dxa"/>
            <w:vAlign w:val="bottom"/>
            <w:tcBorders>
              <w:bottom w:val="single" w:sz="8" w:color="9A9A9A"/>
            </w:tcBorders>
          </w:tcPr>
          <w:p>
            <w:pPr>
              <w:spacing w:after="0"/>
              <w:rPr>
                <w:sz w:val="14"/>
                <w:szCs w:val="14"/>
                <w:color w:val="auto"/>
              </w:rPr>
            </w:pPr>
          </w:p>
        </w:tc>
        <w:tc>
          <w:tcPr>
            <w:tcW w:w="23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780" w:type="dxa"/>
            <w:vAlign w:val="bottom"/>
            <w:tcBorders>
              <w:bottom w:val="single" w:sz="8" w:color="EEEEEE"/>
            </w:tcBorders>
          </w:tcPr>
          <w:p>
            <w:pPr>
              <w:spacing w:after="0" w:line="20" w:lineRule="exact"/>
              <w:rPr>
                <w:sz w:val="1"/>
                <w:szCs w:val="1"/>
                <w:color w:val="auto"/>
              </w:rPr>
            </w:pPr>
          </w:p>
        </w:tc>
        <w:tc>
          <w:tcPr>
            <w:tcW w:w="23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-668020</wp:posOffset>
            </wp:positionV>
            <wp:extent cx="5213985" cy="342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213985" cy="3429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March 31, 2016</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Company’s revenue recognition policies are as follows: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Sales</w:t>
      </w:r>
      <w:r>
        <w:rPr>
          <w:rFonts w:ascii="Arial" w:cs="Arial" w:eastAsia="Arial" w:hAnsi="Arial"/>
          <w:sz w:val="18"/>
          <w:szCs w:val="18"/>
          <w:color w:val="auto"/>
        </w:rPr>
        <w:t>: Gains or losses on the sale of investments are determined using the specific identification method.</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 xml:space="preserve">Interest: </w:t>
      </w:r>
      <w:r>
        <w:rPr>
          <w:rFonts w:ascii="Arial" w:cs="Arial" w:eastAsia="Arial" w:hAnsi="Arial"/>
          <w:sz w:val="17"/>
          <w:szCs w:val="17"/>
          <w:color w:val="auto"/>
        </w:rPr>
        <w:t>Interest income, adjusted for amortization of premium and accretion of discount, is recorded on an accrual basis.</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Dividend income is recognized on the ex-dividend date.</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Investment Transaction Costs and Escrow Deposits</w:t>
      </w:r>
    </w:p>
    <w:p>
      <w:pPr>
        <w:spacing w:after="0" w:line="117" w:lineRule="exact"/>
        <w:rPr>
          <w:sz w:val="20"/>
          <w:szCs w:val="20"/>
          <w:color w:val="auto"/>
        </w:rPr>
      </w:pPr>
    </w:p>
    <w:p>
      <w:pPr>
        <w:ind w:left="40" w:right="519" w:firstLine="270"/>
        <w:spacing w:after="0" w:line="272" w:lineRule="auto"/>
        <w:rPr>
          <w:sz w:val="20"/>
          <w:szCs w:val="20"/>
          <w:color w:val="auto"/>
        </w:rPr>
      </w:pPr>
      <w:r>
        <w:rPr>
          <w:rFonts w:ascii="Arial" w:cs="Arial" w:eastAsia="Arial" w:hAnsi="Arial"/>
          <w:sz w:val="17"/>
          <w:szCs w:val="17"/>
          <w:color w:val="auto"/>
        </w:rPr>
        <w:t>Commissions and other costs associated with an investment transaction, including legal expenses not reimbursed by the issuer, are included in the cost basis of purchases and deducted from the proceeds of sales. The Company makes certain acquisitions on the secondary markets, which may involve making deposits to escrow accounts until certain conditions are met including the underlying private company’s right of first refusal. If the underlying private company does not exercise or assign its right of first refusal and all other conditions are met, then the funds in the escrow account are delivered to the seller and the account is closed. These transactions are reflected on the Condensed Consolidated Statement of Assets and Liabilities as Escrow deposits. At March 31, 2016 and December 31, 2015, the Company had no Escrow deposits.</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Unrealized Appreciation or Depreciation of Investments</w:t>
      </w:r>
    </w:p>
    <w:p>
      <w:pPr>
        <w:spacing w:after="0" w:line="117" w:lineRule="exact"/>
        <w:rPr>
          <w:sz w:val="20"/>
          <w:szCs w:val="20"/>
          <w:color w:val="auto"/>
        </w:rPr>
      </w:pPr>
    </w:p>
    <w:p>
      <w:pPr>
        <w:ind w:left="40" w:right="899" w:firstLine="270"/>
        <w:spacing w:after="0" w:line="277" w:lineRule="auto"/>
        <w:rPr>
          <w:sz w:val="20"/>
          <w:szCs w:val="20"/>
          <w:color w:val="auto"/>
        </w:rPr>
      </w:pPr>
      <w:r>
        <w:rPr>
          <w:rFonts w:ascii="Arial" w:cs="Arial" w:eastAsia="Arial" w:hAnsi="Arial"/>
          <w:sz w:val="18"/>
          <w:szCs w:val="18"/>
          <w:color w:val="auto"/>
        </w:rPr>
        <w:t>Unrealized appreciation or depreciation is calculated as the difference between the fair value of the investment and the cost basis of such investment.</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U.S. Federal and State Income Taxes</w:t>
      </w:r>
    </w:p>
    <w:p>
      <w:pPr>
        <w:spacing w:after="0" w:line="117" w:lineRule="exact"/>
        <w:rPr>
          <w:sz w:val="20"/>
          <w:szCs w:val="20"/>
          <w:color w:val="auto"/>
        </w:rPr>
      </w:pPr>
    </w:p>
    <w:p>
      <w:pPr>
        <w:ind w:left="40" w:right="659" w:firstLine="270"/>
        <w:spacing w:after="0" w:line="288" w:lineRule="auto"/>
        <w:rPr>
          <w:sz w:val="20"/>
          <w:szCs w:val="20"/>
          <w:color w:val="auto"/>
        </w:rPr>
      </w:pPr>
      <w:r>
        <w:rPr>
          <w:rFonts w:ascii="Arial" w:cs="Arial" w:eastAsia="Arial" w:hAnsi="Arial"/>
          <w:sz w:val="16"/>
          <w:szCs w:val="16"/>
          <w:color w:val="auto"/>
        </w:rPr>
        <w:t>The Company has elected to be treated as a regulated investment company (a “RIC”) under Subchapter M of the Internal Revenue Code of 1986, as amended (the “Code”), for the 2014 taxable year, qualified to elect to be treated as a RIC for the 2015 taxable year and expects to continue to operate in a manner so as to qualify for the tax treatment applicable to RICs. In order to qualify as a RIC, among other things, the Company is required to meet certain source of income and asset diversification requirements and timely distribute to its stockholders at least 90% of the sum of investment company taxable income (“ICTI”) including payment-in-kind interest income, as defined by the Code, and net tax-exempt interest income (which is the excess of its gross tax-exempt interest income over certain disallowed deductions) for each taxable year and meet certain source of income and asset diversification requirements on a quarterly basis. Depending on the level of ICTI earned in a tax year, the Company may choose to carry forward into the next tax year ICTI in excess of current year dividend distributions. Any such carryforward ICTI must be distributed on or before December 31 of the subsequent tax year to which they were carried forward.</w:t>
      </w:r>
    </w:p>
    <w:p>
      <w:pPr>
        <w:spacing w:after="0" w:line="61" w:lineRule="exact"/>
        <w:rPr>
          <w:sz w:val="20"/>
          <w:szCs w:val="20"/>
          <w:color w:val="auto"/>
        </w:rPr>
      </w:pPr>
    </w:p>
    <w:p>
      <w:pPr>
        <w:ind w:left="40" w:right="599" w:firstLine="270"/>
        <w:spacing w:after="0" w:line="290" w:lineRule="auto"/>
        <w:rPr>
          <w:sz w:val="20"/>
          <w:szCs w:val="20"/>
          <w:color w:val="auto"/>
        </w:rPr>
      </w:pPr>
      <w:r>
        <w:rPr>
          <w:rFonts w:ascii="Arial" w:cs="Arial" w:eastAsia="Arial" w:hAnsi="Arial"/>
          <w:sz w:val="16"/>
          <w:szCs w:val="16"/>
          <w:color w:val="auto"/>
        </w:rPr>
        <w:t>If the Company does not distribute (or is not deemed to have distributed) each calendar year a sum of (1) 98% of its net ordinary income for each calendar year, (2) 98.2% of its capital gain net income for the one-year period ending October 31 in that calendar year and (3) any income recognized, but not distributed, in preceding years (the “Minimum Distribution Amount”), it will generally be required to pay an excise tax equal to 4% of the amount by the which Minimum Distribution Amount exceeds the distributions for the year. To the extent that the Company determines that its estimated current year annual taxable income will be in excess of estimated current year dividend distributions from such taxable income, the Company will accrue excise taxes, if any, on estimated excess taxable income as taxable income is earned using an annual effective excise tax rate. The annual effective excise tax rate is determined by dividing the estimated annual excise tax by the estimated annual taxable income.</w:t>
      </w:r>
    </w:p>
    <w:p>
      <w:pPr>
        <w:spacing w:after="0" w:line="200" w:lineRule="exact"/>
        <w:rPr>
          <w:sz w:val="20"/>
          <w:szCs w:val="20"/>
          <w:color w:val="auto"/>
        </w:rPr>
      </w:pPr>
    </w:p>
    <w:p>
      <w:pPr>
        <w:spacing w:after="0" w:line="30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March 31, 2016</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21" w:lineRule="exact"/>
        <w:rPr>
          <w:sz w:val="20"/>
          <w:szCs w:val="20"/>
          <w:color w:val="auto"/>
        </w:rPr>
      </w:pPr>
    </w:p>
    <w:p>
      <w:pPr>
        <w:ind w:left="40" w:right="579" w:firstLine="270"/>
        <w:spacing w:after="0" w:line="271" w:lineRule="auto"/>
        <w:rPr>
          <w:sz w:val="20"/>
          <w:szCs w:val="20"/>
          <w:color w:val="auto"/>
        </w:rPr>
      </w:pPr>
      <w:r>
        <w:rPr>
          <w:rFonts w:ascii="Arial" w:cs="Arial" w:eastAsia="Arial" w:hAnsi="Arial"/>
          <w:sz w:val="17"/>
          <w:szCs w:val="17"/>
          <w:color w:val="auto"/>
        </w:rPr>
        <w:t>The Company was taxed as a regular corporation (a “C corporation”) under subchapter C of the Code, for its 2012 taxable year. In September 2014, the Company filed its 2013 tax return as a RIC and sought to be granted RIC status for its 2013 taxable year; however, the Company determined it would not be eligible to elect to be treated as a RIC for the 2013 taxable year unless it was certified by the Securities and Exchange Commission (the “SEC”) as “principally engaged in the furnishing of capital to other corporations which are principally engaged in the development or exploitation of inventions, technological improvements, new processes, or products not previously generally available” for the 2013 taxable year (such certification, an “SEC Certification”). The Company has not received such SEC Certification for its 2013 taxable year, and in September 2015, the Company determined it was in the best interests of its stockholders to file the 2013 tax return as a C corporation.</w:t>
      </w:r>
    </w:p>
    <w:p>
      <w:pPr>
        <w:spacing w:after="0" w:line="71" w:lineRule="exact"/>
        <w:rPr>
          <w:sz w:val="20"/>
          <w:szCs w:val="20"/>
          <w:color w:val="auto"/>
        </w:rPr>
      </w:pPr>
    </w:p>
    <w:p>
      <w:pPr>
        <w:ind w:left="40" w:right="559" w:firstLine="270"/>
        <w:spacing w:after="0" w:line="289" w:lineRule="auto"/>
        <w:rPr>
          <w:sz w:val="20"/>
          <w:szCs w:val="20"/>
          <w:color w:val="auto"/>
        </w:rPr>
      </w:pPr>
      <w:r>
        <w:rPr>
          <w:rFonts w:ascii="Arial" w:cs="Arial" w:eastAsia="Arial" w:hAnsi="Arial"/>
          <w:sz w:val="16"/>
          <w:szCs w:val="16"/>
          <w:color w:val="auto"/>
        </w:rPr>
        <w:t>The Company determined, however, that it satisfied the requirements to qualify as a RIC for the 2014 taxable year and elected to be treated as a RIC in its 2014 tax return filed in September 2015. So long as the Company qualifies and maintains its status as a RIC, it generally will not pay corporate-level U.S. federal and state income taxes on any ordinary income or capital gains that it distributes at least annually to its stockholders as dividends. Rather, any tax liability related to income earned by the RIC will represent obligations of the Company’s investors and will not be reflected in the condensed consolidated financial statements of the Company. Included in the Company’s consolidated financial statements, the GSVC Holdings are taxable subsidiaries, regardless of whether the Company is a RIC. These taxable subsidiaries are not consolidated for income tax purposes and may generate income tax expenses as a result of their ownership of the portfolio companies. Such income tax expenses and deferred taxes, if any, will be reflected in the Company’s consolidated financial statements.</w:t>
      </w:r>
    </w:p>
    <w:p>
      <w:pPr>
        <w:spacing w:after="0" w:line="59" w:lineRule="exact"/>
        <w:rPr>
          <w:sz w:val="20"/>
          <w:szCs w:val="20"/>
          <w:color w:val="auto"/>
        </w:rPr>
      </w:pPr>
    </w:p>
    <w:p>
      <w:pPr>
        <w:ind w:left="40" w:right="539" w:firstLine="270"/>
        <w:spacing w:after="0" w:line="285" w:lineRule="auto"/>
        <w:rPr>
          <w:sz w:val="20"/>
          <w:szCs w:val="20"/>
          <w:color w:val="auto"/>
        </w:rPr>
      </w:pPr>
      <w:r>
        <w:rPr>
          <w:rFonts w:ascii="Arial" w:cs="Arial" w:eastAsia="Arial" w:hAnsi="Arial"/>
          <w:sz w:val="16"/>
          <w:szCs w:val="16"/>
          <w:color w:val="auto"/>
        </w:rPr>
        <w:t>If the Company is not treated as a RIC, the Company will be taxed as a C corporation under the Code for such taxable year. If the Company has previously qualified as a RIC but is subsequently unable to qualify for treatment as a RIC, and certain amelioration provisions are not applicable, the Company would be subject to tax on all of its taxable income (including its net capital gains) at regular corporate rates. The Company would not be able to deduct distributions to stockholders, nor would it be required to make distributions. Distributions, including distributions of net long-term capital gain, would generally be taxable to its stockholders as ordinary dividend income to the extent of the Company’s current and accumulated earnings and profits. Subject to certain limitations under the Code, corporate stockholders would be eligible to claim a dividend received deduction with respect to such dividend; non-corporate stockholders would generally be able to treat such dividends as “qualified dividend income,” which is subject to reduced rates of U.S. federal income tax. Distributions in excess of the Company’s current and accumulated earnings and profits would be treated first as a return of capital to the extent of the stockholder’s tax basis, and any remaining distributions would be treated as a capital gain. In order to requalify as a RIC, in addition to the other requirements discussed above, the Company would be required to distribute all of its previously undistributed earnings attributable to the period it failed to qualify as a RIC by the end of the first year that it intends to requalify as a RIC. If the Company fails to requalify as a RIC for a period greater than two taxable years, it may be subject to regular corporate tax on any net built-in gains with respect to certain of its assets (</w:t>
      </w:r>
      <w:r>
        <w:rPr>
          <w:rFonts w:ascii="Arial" w:cs="Arial" w:eastAsia="Arial" w:hAnsi="Arial"/>
          <w:sz w:val="16"/>
          <w:szCs w:val="16"/>
          <w:i w:val="1"/>
          <w:iCs w:val="1"/>
          <w:color w:val="auto"/>
        </w:rPr>
        <w:t>i.e.</w:t>
      </w:r>
      <w:r>
        <w:rPr>
          <w:rFonts w:ascii="Arial" w:cs="Arial" w:eastAsia="Arial" w:hAnsi="Arial"/>
          <w:sz w:val="16"/>
          <w:szCs w:val="16"/>
          <w:color w:val="auto"/>
        </w:rPr>
        <w:t>, the excess of the aggregate gains, including items of income, over aggregate losses that would have been realized with respect to such assets if the Company had been liquidated) that it elects to recognize on requalification or when recognized over the next five years. Refer to “Note 8 — Income Taxes” for further details regarding the Company’s tax status.</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Per Share Information</w:t>
      </w:r>
    </w:p>
    <w:p>
      <w:pPr>
        <w:spacing w:after="0" w:line="117" w:lineRule="exact"/>
        <w:rPr>
          <w:sz w:val="20"/>
          <w:szCs w:val="20"/>
          <w:color w:val="auto"/>
        </w:rPr>
      </w:pPr>
    </w:p>
    <w:p>
      <w:pPr>
        <w:ind w:left="40" w:right="579" w:firstLine="270"/>
        <w:spacing w:after="0" w:line="264" w:lineRule="auto"/>
        <w:rPr>
          <w:sz w:val="20"/>
          <w:szCs w:val="20"/>
          <w:color w:val="auto"/>
        </w:rPr>
      </w:pPr>
      <w:r>
        <w:rPr>
          <w:rFonts w:ascii="Arial" w:cs="Arial" w:eastAsia="Arial" w:hAnsi="Arial"/>
          <w:sz w:val="18"/>
          <w:szCs w:val="18"/>
          <w:color w:val="auto"/>
        </w:rPr>
        <w:t>Basic net increase/(decrease) in net assets resulting from operations per common share is computed using the weighted-average number of shares outstanding for the period presented. Diluted net increase/(decrease) in net assets resulting from operations per common share is computed by dividing net increase/(decrease) in net</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March 31, 2016</w:t>
      </w:r>
    </w:p>
    <w:p>
      <w:pPr>
        <w:spacing w:after="0" w:line="9"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21" w:lineRule="exact"/>
        <w:rPr>
          <w:sz w:val="20"/>
          <w:szCs w:val="20"/>
          <w:color w:val="auto"/>
        </w:rPr>
      </w:pPr>
    </w:p>
    <w:p>
      <w:pPr>
        <w:ind w:left="40" w:right="699"/>
        <w:spacing w:after="0" w:line="257" w:lineRule="auto"/>
        <w:rPr>
          <w:sz w:val="20"/>
          <w:szCs w:val="20"/>
          <w:color w:val="auto"/>
        </w:rPr>
      </w:pPr>
      <w:r>
        <w:rPr>
          <w:rFonts w:ascii="Arial" w:cs="Arial" w:eastAsia="Arial" w:hAnsi="Arial"/>
          <w:sz w:val="18"/>
          <w:szCs w:val="18"/>
          <w:color w:val="auto"/>
        </w:rPr>
        <w:t>assets resulting from operations for the period adjusted to include the pre-tax effects of interest incurred on potentially dilutive securities, by the weighted-average number of common shares outstanding plus any potentially dilutive shares outstanding during the period. The Company used the if-converted method in accordance with ASC 260 to determine the number of potentially dilutive shares outstanding. Refer to “Note 5 — Net Increase/(Decrease) in Net Assets Resulting from Operations per Common Share — Basic and Diluted” for further detail.</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17" w:lineRule="exact"/>
        <w:rPr>
          <w:sz w:val="20"/>
          <w:szCs w:val="20"/>
          <w:color w:val="auto"/>
        </w:rPr>
      </w:pPr>
    </w:p>
    <w:p>
      <w:pPr>
        <w:ind w:left="40" w:right="559" w:firstLine="270"/>
        <w:spacing w:after="0" w:line="257" w:lineRule="auto"/>
        <w:rPr>
          <w:sz w:val="20"/>
          <w:szCs w:val="20"/>
          <w:color w:val="auto"/>
        </w:rPr>
      </w:pPr>
      <w:r>
        <w:rPr>
          <w:rFonts w:ascii="Arial" w:cs="Arial" w:eastAsia="Arial" w:hAnsi="Arial"/>
          <w:sz w:val="18"/>
          <w:szCs w:val="18"/>
          <w:color w:val="auto"/>
        </w:rPr>
        <w:t>In April 2015, the FASB issued Accounting Standards Update (“ASU”) 2015-03, Interest — Imputation of Interest (Topic 835): Simplifying the Presentation of Debt Issuance Costs (“ASU 2015-03”). ASU 2015-03 requires companies to present debt issuance costs related to a recognized debt liability in the balance sheet as a direct deduction from the carrying amount of that debt liability, consistent with debt discounts. Debt Issuance costs related to lines of credit are not required to be deducted from the carrying amount of that debt liability.</w:t>
      </w:r>
    </w:p>
    <w:p>
      <w:pPr>
        <w:spacing w:after="0" w:line="80" w:lineRule="exact"/>
        <w:rPr>
          <w:sz w:val="20"/>
          <w:szCs w:val="20"/>
          <w:color w:val="auto"/>
        </w:rPr>
      </w:pPr>
    </w:p>
    <w:p>
      <w:pPr>
        <w:ind w:left="40" w:right="719" w:firstLine="270"/>
        <w:spacing w:after="0" w:line="308" w:lineRule="auto"/>
        <w:rPr>
          <w:sz w:val="20"/>
          <w:szCs w:val="20"/>
          <w:color w:val="auto"/>
        </w:rPr>
      </w:pPr>
      <w:r>
        <w:rPr>
          <w:rFonts w:ascii="Arial" w:cs="Arial" w:eastAsia="Arial" w:hAnsi="Arial"/>
          <w:sz w:val="17"/>
          <w:szCs w:val="17"/>
          <w:color w:val="auto"/>
        </w:rPr>
        <w:t>Public companies are required to apply ASU 2015-03 retrospectively for interim and annual reporting periods beginning after December 15, 2015. The Company has adopted this standard for the interim period ended March 31, 2016.</w:t>
      </w:r>
    </w:p>
    <w:p>
      <w:pPr>
        <w:spacing w:after="0" w:line="38" w:lineRule="exact"/>
        <w:rPr>
          <w:sz w:val="20"/>
          <w:szCs w:val="20"/>
          <w:color w:val="auto"/>
        </w:rPr>
      </w:pPr>
    </w:p>
    <w:p>
      <w:pPr>
        <w:ind w:left="40" w:right="559" w:firstLine="270"/>
        <w:spacing w:after="0" w:line="272" w:lineRule="auto"/>
        <w:rPr>
          <w:sz w:val="20"/>
          <w:szCs w:val="20"/>
          <w:color w:val="auto"/>
        </w:rPr>
      </w:pPr>
      <w:r>
        <w:rPr>
          <w:rFonts w:ascii="Arial" w:cs="Arial" w:eastAsia="Arial" w:hAnsi="Arial"/>
          <w:sz w:val="17"/>
          <w:szCs w:val="17"/>
          <w:color w:val="auto"/>
        </w:rPr>
        <w:t>As a result, deferred financing costs of $1,947,572 as of December 31, 2015 related to the Convertible Senior Notes are now presented as a reduction to the Convertible Senior Notes in the Condensed Consolidated Statements of Assets and Liabilities. In prior periods, these deferred debt financing costs had been presented as assets on the Condensed Consolidated Statements of Assets and Liabilities. The unamortized balances of debt issuance costs related to the Credit Facility remain in Deferred financing costs on the Condensed Consolidated Statements of Assets and Liabilities. Refer to “Note 1 — Nature of Operations and Significant Accounting Policies — Deferred Financing Costs” and “Note 9 — Long Term Liabilities” to our condensed consolidated financial statements as of March 31, 2016 for further detail.</w:t>
      </w:r>
    </w:p>
    <w:p>
      <w:pPr>
        <w:spacing w:after="0" w:line="70" w:lineRule="exact"/>
        <w:rPr>
          <w:sz w:val="20"/>
          <w:szCs w:val="20"/>
          <w:color w:val="auto"/>
        </w:rPr>
      </w:pPr>
    </w:p>
    <w:p>
      <w:pPr>
        <w:ind w:left="40" w:right="719" w:firstLine="270"/>
        <w:spacing w:after="0" w:line="273" w:lineRule="auto"/>
        <w:rPr>
          <w:sz w:val="20"/>
          <w:szCs w:val="20"/>
          <w:color w:val="auto"/>
        </w:rPr>
      </w:pPr>
      <w:r>
        <w:rPr>
          <w:rFonts w:ascii="Arial" w:cs="Arial" w:eastAsia="Arial" w:hAnsi="Arial"/>
          <w:sz w:val="17"/>
          <w:szCs w:val="17"/>
          <w:color w:val="auto"/>
        </w:rPr>
        <w:t xml:space="preserve">On January 1, 2016, the Company adopted ASU 2015-02, </w:t>
      </w:r>
      <w:r>
        <w:rPr>
          <w:rFonts w:ascii="Arial" w:cs="Arial" w:eastAsia="Arial" w:hAnsi="Arial"/>
          <w:sz w:val="17"/>
          <w:szCs w:val="17"/>
          <w:i w:val="1"/>
          <w:iCs w:val="1"/>
          <w:color w:val="auto"/>
        </w:rPr>
        <w:t>Amendments to the Consolidation Analysis</w:t>
      </w:r>
      <w:r>
        <w:rPr>
          <w:rFonts w:ascii="Arial" w:cs="Arial" w:eastAsia="Arial" w:hAnsi="Arial"/>
          <w:sz w:val="17"/>
          <w:szCs w:val="17"/>
          <w:color w:val="auto"/>
        </w:rPr>
        <w:t xml:space="preserve"> (ASC 810), which amends the guidance for determining whether an entity is a variable interest entity (“VIE”). ASU 2015-02 eliminates the separate consolidation guidance for limited partnerships and, with it, the presumption that a general partner should consolidate a limited partnership. In addition, ASU 2015-02 changes the guidance for determining if fee arrangements qualify as variable interests and the effect fee arrangements have on the determination of the primary beneficiary. Adoption of ASU 2015-02 did not affect the consolidation analysis for any of the Company’s investments.</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 RELATED-PARTY ARRANGEMENTS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Investment Advisory Agreement</w:t>
      </w:r>
    </w:p>
    <w:p>
      <w:pPr>
        <w:spacing w:after="0" w:line="121" w:lineRule="exact"/>
        <w:rPr>
          <w:sz w:val="20"/>
          <w:szCs w:val="20"/>
          <w:color w:val="auto"/>
        </w:rPr>
      </w:pPr>
    </w:p>
    <w:p>
      <w:pPr>
        <w:ind w:left="40" w:right="719" w:firstLine="270"/>
        <w:spacing w:after="0" w:line="286" w:lineRule="auto"/>
        <w:rPr>
          <w:sz w:val="20"/>
          <w:szCs w:val="20"/>
          <w:color w:val="auto"/>
        </w:rPr>
      </w:pPr>
      <w:r>
        <w:rPr>
          <w:rFonts w:ascii="Arial" w:cs="Arial" w:eastAsia="Arial" w:hAnsi="Arial"/>
          <w:sz w:val="17"/>
          <w:szCs w:val="17"/>
          <w:color w:val="auto"/>
        </w:rPr>
        <w:t>“Pursuant to the Advisory Agreement, GSV Asset Management will be paid a base annual fee of 2% of gross assets, which is the Company’s total assets reflected on its Condensed Consolidated Statements of Assets and Liabilities (with no deduction for liabilities) reduced by any non-portfolio investments, and an annual incentive fee equal to the lesser of †o.”</w:t>
      </w:r>
    </w:p>
    <w:p>
      <w:pPr>
        <w:spacing w:after="0" w:line="57" w:lineRule="exact"/>
        <w:rPr>
          <w:sz w:val="20"/>
          <w:szCs w:val="20"/>
          <w:color w:val="auto"/>
        </w:rPr>
      </w:pPr>
    </w:p>
    <w:p>
      <w:pPr>
        <w:ind w:left="40" w:right="699" w:firstLine="270"/>
        <w:spacing w:after="0" w:line="297" w:lineRule="auto"/>
        <w:rPr>
          <w:sz w:val="20"/>
          <w:szCs w:val="20"/>
          <w:color w:val="auto"/>
        </w:rPr>
      </w:pPr>
      <w:r>
        <w:rPr>
          <w:rFonts w:ascii="Arial" w:cs="Arial" w:eastAsia="Arial" w:hAnsi="Arial"/>
          <w:sz w:val="16"/>
          <w:szCs w:val="16"/>
          <w:color w:val="auto"/>
        </w:rPr>
        <w:t>The Company has entered into an investment advisory agreement with GSV Asset Management (the “Advisory Agreement”). Pursuant to the Advisory Agreement, GSV Asset Management will be paid a base annual fee of 2% of gross assets, which is the Company’s total assets reflected on its Condensed Consolidated Statements of Assets and Liabilities (with no deduction for liabilities) reduced by any non-portfolio investments, and an annual incentive fee equal to the lesser of (i) 20% of the Company’s realized capital gains during each calendar year, if any, calculated on an investment-by-investment basis, subject to a</w:t>
      </w:r>
    </w:p>
    <w:p>
      <w:pPr>
        <w:spacing w:after="0" w:line="200" w:lineRule="exact"/>
        <w:rPr>
          <w:sz w:val="20"/>
          <w:szCs w:val="20"/>
          <w:color w:val="auto"/>
        </w:rPr>
      </w:pPr>
    </w:p>
    <w:p>
      <w:pPr>
        <w:spacing w:after="0" w:line="30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March 31, 2016</w:t>
      </w:r>
    </w:p>
    <w:p>
      <w:pPr>
        <w:spacing w:after="0" w:line="9"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 RELATED-PARTY ARRANGEMENTS – (continued)</w:t>
      </w:r>
    </w:p>
    <w:p>
      <w:pPr>
        <w:spacing w:after="0" w:line="121" w:lineRule="exact"/>
        <w:rPr>
          <w:sz w:val="20"/>
          <w:szCs w:val="20"/>
          <w:color w:val="auto"/>
        </w:rPr>
      </w:pPr>
    </w:p>
    <w:p>
      <w:pPr>
        <w:ind w:left="40" w:right="759"/>
        <w:spacing w:after="0" w:line="312" w:lineRule="auto"/>
        <w:rPr>
          <w:sz w:val="20"/>
          <w:szCs w:val="20"/>
          <w:color w:val="auto"/>
        </w:rPr>
      </w:pPr>
      <w:r>
        <w:rPr>
          <w:rFonts w:ascii="Arial" w:cs="Arial" w:eastAsia="Arial" w:hAnsi="Arial"/>
          <w:sz w:val="16"/>
          <w:szCs w:val="16"/>
          <w:color w:val="auto"/>
        </w:rPr>
        <w:t>non-compounded preferred return, or “hurdle,” and a “catch-up” feature, and (ii) 20% of the Company’s realized capital gains, if any, on a cumulative basis from inception through the end of each calendar year, computed net of all realized capital losses and unrealized capital depreciation on a cumulative basis, less the aggregate amount of any previously paid incentive fees.</w:t>
      </w:r>
    </w:p>
    <w:p>
      <w:pPr>
        <w:spacing w:after="0" w:line="39"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Incentive Fees</w:t>
      </w:r>
    </w:p>
    <w:p>
      <w:pPr>
        <w:spacing w:after="0" w:line="117" w:lineRule="exact"/>
        <w:rPr>
          <w:sz w:val="20"/>
          <w:szCs w:val="20"/>
          <w:color w:val="auto"/>
        </w:rPr>
      </w:pPr>
    </w:p>
    <w:p>
      <w:pPr>
        <w:ind w:left="40" w:right="779" w:firstLine="270"/>
        <w:spacing w:after="0" w:line="276" w:lineRule="auto"/>
        <w:rPr>
          <w:sz w:val="20"/>
          <w:szCs w:val="20"/>
          <w:color w:val="auto"/>
        </w:rPr>
      </w:pPr>
      <w:r>
        <w:rPr>
          <w:rFonts w:ascii="Arial" w:cs="Arial" w:eastAsia="Arial" w:hAnsi="Arial"/>
          <w:sz w:val="17"/>
          <w:szCs w:val="17"/>
          <w:color w:val="auto"/>
        </w:rPr>
        <w:t>For GAAP purposes, in accordance with the AICPA’s TPA (TIS 6910.2), for all periods the Company is required to accrue incentive fees as if the Company had fully liquidated the entire investment portfolio at the fair value stated on the Condensed Consolidated Statements of Assets and Liabilities as of March 31, 2016 and December 31, 2015. This accrual considers both the hypothetical liquidation of the Company’s portfolio described previously, as well as the Company’s actual cumulative realized gains and losses since inception, as well any previously paid incentive fees.</w:t>
      </w:r>
    </w:p>
    <w:p>
      <w:pPr>
        <w:spacing w:after="0" w:line="64" w:lineRule="exact"/>
        <w:rPr>
          <w:sz w:val="20"/>
          <w:szCs w:val="20"/>
          <w:color w:val="auto"/>
        </w:rPr>
      </w:pPr>
    </w:p>
    <w:p>
      <w:pPr>
        <w:ind w:left="40" w:right="539" w:firstLine="270"/>
        <w:spacing w:after="0" w:line="277" w:lineRule="auto"/>
        <w:rPr>
          <w:sz w:val="20"/>
          <w:szCs w:val="20"/>
          <w:color w:val="auto"/>
        </w:rPr>
      </w:pPr>
      <w:r>
        <w:rPr>
          <w:rFonts w:ascii="Arial" w:cs="Arial" w:eastAsia="Arial" w:hAnsi="Arial"/>
          <w:sz w:val="18"/>
          <w:szCs w:val="18"/>
          <w:color w:val="auto"/>
        </w:rPr>
        <w:t>For the three months ended March 31, 2016, the Company reversed previously accrued incentive fees of $5,118,584, and for the three months ended March 31, 2015, the Company accrued incentive fees of $8,211,728.</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Management Fees</w:t>
      </w:r>
    </w:p>
    <w:p>
      <w:pPr>
        <w:spacing w:after="0" w:line="117" w:lineRule="exact"/>
        <w:rPr>
          <w:sz w:val="20"/>
          <w:szCs w:val="20"/>
          <w:color w:val="auto"/>
        </w:rPr>
      </w:pPr>
    </w:p>
    <w:p>
      <w:pPr>
        <w:ind w:left="40" w:right="779" w:firstLine="270"/>
        <w:spacing w:after="0" w:line="277" w:lineRule="auto"/>
        <w:rPr>
          <w:sz w:val="20"/>
          <w:szCs w:val="20"/>
          <w:color w:val="auto"/>
        </w:rPr>
      </w:pPr>
      <w:r>
        <w:rPr>
          <w:rFonts w:ascii="Arial" w:cs="Arial" w:eastAsia="Arial" w:hAnsi="Arial"/>
          <w:sz w:val="18"/>
          <w:szCs w:val="18"/>
          <w:color w:val="auto"/>
        </w:rPr>
        <w:t>GSV Asset Management earned $1,958,000 and $1,921,128 in management fees for the three months ended March 31, 2016 and 2015, respectively.</w:t>
      </w:r>
    </w:p>
    <w:p>
      <w:pPr>
        <w:spacing w:after="0" w:line="62" w:lineRule="exact"/>
        <w:rPr>
          <w:sz w:val="20"/>
          <w:szCs w:val="20"/>
          <w:color w:val="auto"/>
        </w:rPr>
      </w:pPr>
    </w:p>
    <w:p>
      <w:pPr>
        <w:ind w:left="40" w:right="719" w:firstLine="270"/>
        <w:spacing w:after="0" w:line="264" w:lineRule="auto"/>
        <w:rPr>
          <w:sz w:val="20"/>
          <w:szCs w:val="20"/>
          <w:color w:val="auto"/>
        </w:rPr>
      </w:pPr>
      <w:r>
        <w:rPr>
          <w:rFonts w:ascii="Arial" w:cs="Arial" w:eastAsia="Arial" w:hAnsi="Arial"/>
          <w:sz w:val="18"/>
          <w:szCs w:val="18"/>
          <w:color w:val="auto"/>
        </w:rPr>
        <w:t>As of March 31, 2016, the Company was owed $1,623 from GSV Asset Management for reimbursement of expenses paid for by the Company that were the responsibility of GSV Asset Management. In addition, as of March 31, 2016, the Company owed GSV Asset Management $25,690 for the reimbursement of other expenses.</w:t>
      </w:r>
    </w:p>
    <w:p>
      <w:pPr>
        <w:spacing w:after="0" w:line="73" w:lineRule="exact"/>
        <w:rPr>
          <w:sz w:val="20"/>
          <w:szCs w:val="20"/>
          <w:color w:val="auto"/>
        </w:rPr>
      </w:pPr>
    </w:p>
    <w:p>
      <w:pPr>
        <w:ind w:left="40" w:right="879" w:firstLine="270"/>
        <w:spacing w:after="0" w:line="312" w:lineRule="auto"/>
        <w:rPr>
          <w:sz w:val="20"/>
          <w:szCs w:val="20"/>
          <w:color w:val="auto"/>
        </w:rPr>
      </w:pPr>
      <w:r>
        <w:rPr>
          <w:rFonts w:ascii="Arial" w:cs="Arial" w:eastAsia="Arial" w:hAnsi="Arial"/>
          <w:sz w:val="16"/>
          <w:szCs w:val="16"/>
          <w:color w:val="auto"/>
        </w:rPr>
        <w:t>As of December 31, 2015, the Company was owed $220,770 from GSV Asset Management for reimbursement of expenses paid for by the Company that were the responsibility of GSV Asset Management. In addition, as of December 31, 2015, the Company owed GSV Asset Management $5,047,429 for earned incentive fees and for the reimbursement of other expenses.</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Administration Agreement</w:t>
      </w:r>
    </w:p>
    <w:p>
      <w:pPr>
        <w:spacing w:after="0" w:line="121" w:lineRule="exact"/>
        <w:rPr>
          <w:sz w:val="20"/>
          <w:szCs w:val="20"/>
          <w:color w:val="auto"/>
        </w:rPr>
      </w:pPr>
    </w:p>
    <w:p>
      <w:pPr>
        <w:ind w:left="40" w:right="579" w:firstLine="270"/>
        <w:spacing w:after="0" w:line="255" w:lineRule="auto"/>
        <w:rPr>
          <w:sz w:val="20"/>
          <w:szCs w:val="20"/>
          <w:color w:val="auto"/>
        </w:rPr>
      </w:pPr>
      <w:r>
        <w:rPr>
          <w:rFonts w:ascii="Arial" w:cs="Arial" w:eastAsia="Arial" w:hAnsi="Arial"/>
          <w:sz w:val="18"/>
          <w:szCs w:val="18"/>
          <w:color w:val="auto"/>
        </w:rPr>
        <w:t>The Company has entered into an administration agreement with GSV Capital Service Company (the “Administration Agreement”) to provide administrative services, including furnishing the Company with office facilities, equipment, clerical, bookkeeping, record keeping services and other administrative services. The Company reimburses GSV Capital Service Company an allocable portion of overhead and other expenses in performing its obligations under the Administration Agreement. There were $599,950, and $802,396 in such costs incurred under the Administration Agreement for the three months ended March 31, 2016 and 2015, respectively.</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License Agreement</w:t>
      </w:r>
    </w:p>
    <w:p>
      <w:pPr>
        <w:spacing w:after="0" w:line="121" w:lineRule="exact"/>
        <w:rPr>
          <w:sz w:val="20"/>
          <w:szCs w:val="20"/>
          <w:color w:val="auto"/>
        </w:rPr>
      </w:pPr>
    </w:p>
    <w:p>
      <w:pPr>
        <w:ind w:left="40" w:right="579" w:firstLine="270"/>
        <w:spacing w:after="0" w:line="279" w:lineRule="auto"/>
        <w:rPr>
          <w:sz w:val="20"/>
          <w:szCs w:val="20"/>
          <w:color w:val="auto"/>
        </w:rPr>
      </w:pPr>
      <w:r>
        <w:rPr>
          <w:rFonts w:ascii="Arial" w:cs="Arial" w:eastAsia="Arial" w:hAnsi="Arial"/>
          <w:sz w:val="17"/>
          <w:szCs w:val="17"/>
          <w:color w:val="auto"/>
        </w:rPr>
        <w:t>The Company entered into a license agreement with GSV Asset Management pursuant to which GSV Asset Management has agreed to grant the Company a non-exclusive, royalty-free license to use the name “GSV.” Under this agreement, the Company has the right to use the GSV name for so long as the Advisory Agreement with GSV Asset Management is in effect. Other than with respect to this limited license, the Company has no legal right to the “GSV” name.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Investments in Controlled and Affiliated Portfolio Companies</w:t>
      </w:r>
    </w:p>
    <w:p>
      <w:pPr>
        <w:spacing w:after="0" w:line="121" w:lineRule="exact"/>
        <w:rPr>
          <w:sz w:val="20"/>
          <w:szCs w:val="20"/>
          <w:color w:val="auto"/>
        </w:rPr>
      </w:pPr>
    </w:p>
    <w:p>
      <w:pPr>
        <w:ind w:left="40" w:right="579" w:firstLine="270"/>
        <w:spacing w:after="0" w:line="277" w:lineRule="auto"/>
        <w:rPr>
          <w:sz w:val="20"/>
          <w:szCs w:val="20"/>
          <w:color w:val="auto"/>
        </w:rPr>
      </w:pPr>
      <w:r>
        <w:rPr>
          <w:rFonts w:ascii="Arial" w:cs="Arial" w:eastAsia="Arial" w:hAnsi="Arial"/>
          <w:sz w:val="18"/>
          <w:szCs w:val="18"/>
          <w:color w:val="auto"/>
        </w:rPr>
        <w:t>Under the 1940 Act, the Company’s investments in controlled and affiliated portfolio companies are deemed to be related-party transactions.</w:t>
      </w:r>
    </w:p>
    <w:p>
      <w:pPr>
        <w:spacing w:after="0" w:line="200" w:lineRule="exact"/>
        <w:rPr>
          <w:sz w:val="20"/>
          <w:szCs w:val="20"/>
          <w:color w:val="auto"/>
        </w:rPr>
      </w:pPr>
    </w:p>
    <w:p>
      <w:pPr>
        <w:spacing w:after="0" w:line="32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0" w:name="page31"/>
    <w:bookmarkEnd w:id="30"/>
    <w:p>
      <w:pPr>
        <w:ind w:left="14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March 31, 2016</w:t>
      </w:r>
    </w:p>
    <w:p>
      <w:pPr>
        <w:spacing w:after="0" w:line="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3 — INVESTMENTS AT FAIR VALUE</w:t>
      </w:r>
    </w:p>
    <w:p>
      <w:pPr>
        <w:spacing w:after="0" w:line="121" w:lineRule="exact"/>
        <w:rPr>
          <w:sz w:val="20"/>
          <w:szCs w:val="20"/>
          <w:color w:val="auto"/>
        </w:rPr>
      </w:pPr>
    </w:p>
    <w:p>
      <w:pPr>
        <w:ind w:left="180" w:right="579" w:firstLine="270"/>
        <w:spacing w:after="0" w:line="293" w:lineRule="auto"/>
        <w:rPr>
          <w:sz w:val="20"/>
          <w:szCs w:val="20"/>
          <w:color w:val="auto"/>
        </w:rPr>
      </w:pPr>
      <w:r>
        <w:rPr>
          <w:rFonts w:ascii="Arial" w:cs="Arial" w:eastAsia="Arial" w:hAnsi="Arial"/>
          <w:sz w:val="16"/>
          <w:szCs w:val="16"/>
          <w:color w:val="auto"/>
        </w:rPr>
        <w:t>The Company’s investments in portfolio companies consist primarily of equity securities (such as common stock, preferred stock and warrants to purchase common and preferred stock) and to a lesser extent, debt securities, issued by private and publicly traded companies. The Company may also from time to time, invest in U.S. Treasury Securities. Non-portfolio investments represent investments in U.S. Treasury Securities. At March 31, 2016, the Company had 94 positions in 46 portfolio companies. At December 31, 2015, the Company had 96 positions in 48 portfolio companies. The following table summarizes the composition of the Company’s investment portfolio by security type at cost and fair value as of March 31, 2016 and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2540</wp:posOffset>
            </wp:positionV>
            <wp:extent cx="521398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right"/>
              <w:ind w:right="131"/>
              <w:spacing w:after="0"/>
              <w:rPr>
                <w:sz w:val="20"/>
                <w:szCs w:val="20"/>
                <w:color w:val="auto"/>
              </w:rPr>
            </w:pPr>
            <w:r>
              <w:rPr>
                <w:rFonts w:ascii="Arial" w:cs="Arial" w:eastAsia="Arial" w:hAnsi="Arial"/>
                <w:sz w:val="14"/>
                <w:szCs w:val="14"/>
                <w:b w:val="1"/>
                <w:bCs w:val="1"/>
                <w:color w:val="auto"/>
              </w:rPr>
              <w:t>March 31, 2016 (Unaudited)</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5"/>
          </w:tcPr>
          <w:p>
            <w:pPr>
              <w:jc w:val="right"/>
              <w:ind w:right="471"/>
              <w:spacing w:after="0"/>
              <w:rPr>
                <w:sz w:val="20"/>
                <w:szCs w:val="20"/>
                <w:color w:val="auto"/>
              </w:rPr>
            </w:pPr>
            <w:r>
              <w:rPr>
                <w:rFonts w:ascii="Arial" w:cs="Arial" w:eastAsia="Arial" w:hAnsi="Arial"/>
                <w:sz w:val="14"/>
                <w:szCs w:val="14"/>
                <w:b w:val="1"/>
                <w:bCs w:val="1"/>
                <w:color w:val="auto"/>
              </w:rPr>
              <w:t>December 31, 2015</w:t>
            </w: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3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Private Portfolio Companies</w:t>
            </w: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Fair Value</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3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55,420,554</w:t>
            </w:r>
          </w:p>
        </w:tc>
        <w:tc>
          <w:tcPr>
            <w:tcW w:w="3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86,298,618</w:t>
            </w:r>
          </w:p>
        </w:tc>
        <w:tc>
          <w:tcPr>
            <w:tcW w:w="34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60,910,974</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102,319,140</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00" w:type="dxa"/>
            <w:vAlign w:val="bottom"/>
          </w:tcPr>
          <w:p>
            <w:pPr>
              <w:ind w:left="200"/>
              <w:spacing w:after="0"/>
              <w:rPr>
                <w:sz w:val="20"/>
                <w:szCs w:val="20"/>
                <w:color w:val="auto"/>
              </w:rPr>
            </w:pPr>
            <w:r>
              <w:rPr>
                <w:rFonts w:ascii="Arial" w:cs="Arial" w:eastAsia="Arial" w:hAnsi="Arial"/>
                <w:sz w:val="18"/>
                <w:szCs w:val="18"/>
                <w:color w:val="auto"/>
              </w:rPr>
              <w:t>Preferred Stock</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196,096,398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214,250,621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197,215,605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216,291,092</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 Investments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5,688,296</w:t>
            </w: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5,685,506</w:t>
            </w: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4,177,804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4,175,859</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00" w:type="dxa"/>
            <w:vAlign w:val="bottom"/>
          </w:tcPr>
          <w:p>
            <w:pPr>
              <w:ind w:left="200"/>
              <w:spacing w:after="0"/>
              <w:rPr>
                <w:sz w:val="20"/>
                <w:szCs w:val="20"/>
                <w:color w:val="auto"/>
              </w:rPr>
            </w:pPr>
            <w:r>
              <w:rPr>
                <w:rFonts w:ascii="Arial" w:cs="Arial" w:eastAsia="Arial" w:hAnsi="Arial"/>
                <w:sz w:val="18"/>
                <w:szCs w:val="18"/>
                <w:color w:val="auto"/>
              </w:rPr>
              <w:t>Warrants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301,772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394,791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301,772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469,306</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7"/>
              </w:rPr>
              <w:t>Subtotal – Private Portfolio Companies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257,507,020</w:t>
            </w: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306,629,536</w:t>
            </w: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262,606,155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323,255,397</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30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Publicly Traded Portfolio Companies</w:t>
            </w: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30,743,688</w:t>
            </w: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18,658,860</w:t>
            </w: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30,743,688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26,553,370</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3300" w:type="dxa"/>
            <w:vAlign w:val="bottom"/>
            <w:tcBorders>
              <w:top w:val="single" w:sz="8" w:color="CCEEFF"/>
            </w:tcBorders>
          </w:tcPr>
          <w:p>
            <w:pPr>
              <w:ind w:left="20"/>
              <w:spacing w:after="0" w:line="191" w:lineRule="exact"/>
              <w:rPr>
                <w:sz w:val="20"/>
                <w:szCs w:val="20"/>
                <w:color w:val="auto"/>
              </w:rPr>
            </w:pPr>
            <w:r>
              <w:rPr>
                <w:rFonts w:ascii="Arial" w:cs="Arial" w:eastAsia="Arial" w:hAnsi="Arial"/>
                <w:sz w:val="18"/>
                <w:szCs w:val="18"/>
                <w:b w:val="1"/>
                <w:bCs w:val="1"/>
                <w:color w:val="auto"/>
              </w:rPr>
              <w:t>Total Private and Publicly Traded</w:t>
            </w: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3300" w:type="dxa"/>
            <w:vAlign w:val="bottom"/>
          </w:tcPr>
          <w:p>
            <w:pPr>
              <w:ind w:left="200"/>
              <w:spacing w:after="0"/>
              <w:rPr>
                <w:sz w:val="20"/>
                <w:szCs w:val="20"/>
                <w:color w:val="auto"/>
              </w:rPr>
            </w:pPr>
            <w:r>
              <w:rPr>
                <w:rFonts w:ascii="Arial" w:cs="Arial" w:eastAsia="Arial" w:hAnsi="Arial"/>
                <w:sz w:val="18"/>
                <w:szCs w:val="18"/>
                <w:b w:val="1"/>
                <w:bCs w:val="1"/>
                <w:color w:val="auto"/>
              </w:rPr>
              <w:t>Portfolio Companies</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288,250,708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325,288,396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293,349,843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349,808,767</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Non-Portfolio Investments</w:t>
            </w: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00" w:type="dxa"/>
            <w:vAlign w:val="bottom"/>
          </w:tcPr>
          <w:p>
            <w:pPr>
              <w:ind w:left="200"/>
              <w:spacing w:after="0"/>
              <w:rPr>
                <w:sz w:val="20"/>
                <w:szCs w:val="20"/>
                <w:color w:val="auto"/>
              </w:rPr>
            </w:pPr>
            <w:r>
              <w:rPr>
                <w:rFonts w:ascii="Arial" w:cs="Arial" w:eastAsia="Arial" w:hAnsi="Arial"/>
                <w:sz w:val="18"/>
                <w:szCs w:val="18"/>
                <w:color w:val="auto"/>
              </w:rPr>
              <w:t>U.S. Treasury Bill</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29,999,883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29,999,883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29,999,968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30,000,000</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Treasury Strips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1,845,845</w:t>
            </w: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1,847,613</w:t>
            </w: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3,675,192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3,676,693</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3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32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Total Non-Portfolio Investments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31,845,728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31,847,496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33,675,160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33,676,693</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320,096,436</w:t>
            </w:r>
          </w:p>
        </w:tc>
        <w:tc>
          <w:tcPr>
            <w:tcW w:w="3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357,135,892</w:t>
            </w:r>
          </w:p>
        </w:tc>
        <w:tc>
          <w:tcPr>
            <w:tcW w:w="34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327,025,003</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383,485,460</w:t>
            </w:r>
          </w:p>
        </w:tc>
        <w:tc>
          <w:tcPr>
            <w:tcW w:w="132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777"/>
        </w:trPr>
        <w:tc>
          <w:tcPr>
            <w:tcW w:w="120" w:type="dxa"/>
            <w:vAlign w:val="bottom"/>
          </w:tcPr>
          <w:p>
            <w:pPr>
              <w:spacing w:after="0"/>
              <w:rPr>
                <w:sz w:val="24"/>
                <w:szCs w:val="24"/>
                <w:color w:val="auto"/>
              </w:rPr>
            </w:pPr>
          </w:p>
        </w:tc>
        <w:tc>
          <w:tcPr>
            <w:tcW w:w="33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20" w:type="dxa"/>
            <w:vAlign w:val="bottom"/>
            <w:tcBorders>
              <w:top w:val="single" w:sz="8" w:color="auto"/>
            </w:tcBorders>
            <w:gridSpan w:val="2"/>
          </w:tcPr>
          <w:p>
            <w:pPr>
              <w:jc w:val="right"/>
              <w:ind w:right="711"/>
              <w:spacing w:after="0"/>
              <w:rPr>
                <w:sz w:val="20"/>
                <w:szCs w:val="20"/>
                <w:color w:val="auto"/>
              </w:rPr>
            </w:pPr>
            <w:r>
              <w:rPr>
                <w:rFonts w:ascii="Arial" w:cs="Arial" w:eastAsia="Arial" w:hAnsi="Arial"/>
                <w:sz w:val="18"/>
                <w:szCs w:val="18"/>
                <w:color w:val="auto"/>
                <w:w w:val="99"/>
              </w:rPr>
              <w:t>28</w:t>
            </w: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30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3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13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-1946275</wp:posOffset>
            </wp:positionV>
            <wp:extent cx="5213985" cy="146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-1663065</wp:posOffset>
            </wp:positionV>
            <wp:extent cx="5213985" cy="2914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213985" cy="29146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-960120</wp:posOffset>
            </wp:positionV>
            <wp:extent cx="5213985" cy="1543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-668020</wp:posOffset>
            </wp:positionV>
            <wp:extent cx="5213985" cy="342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213985" cy="3429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31" w:name="page32"/>
    <w:bookmarkEnd w:id="31"/>
    <w:p>
      <w:pPr>
        <w:ind w:left="14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March 31, 2016</w:t>
      </w:r>
    </w:p>
    <w:p>
      <w:pPr>
        <w:spacing w:after="0" w:line="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3 — INVESTMENTS AT FAIR VALUE – (continued)</w:t>
      </w:r>
    </w:p>
    <w:p>
      <w:pPr>
        <w:spacing w:after="0" w:line="121" w:lineRule="exact"/>
        <w:rPr>
          <w:sz w:val="20"/>
          <w:szCs w:val="20"/>
          <w:color w:val="auto"/>
        </w:rPr>
      </w:pPr>
    </w:p>
    <w:p>
      <w:pPr>
        <w:ind w:left="180" w:right="899" w:firstLine="270"/>
        <w:spacing w:after="0" w:line="342" w:lineRule="auto"/>
        <w:rPr>
          <w:sz w:val="20"/>
          <w:szCs w:val="20"/>
          <w:color w:val="auto"/>
        </w:rPr>
      </w:pPr>
      <w:r>
        <w:rPr>
          <w:rFonts w:ascii="Arial" w:cs="Arial" w:eastAsia="Arial" w:hAnsi="Arial"/>
          <w:sz w:val="16"/>
          <w:szCs w:val="16"/>
          <w:color w:val="auto"/>
        </w:rPr>
        <w:t>The fair values of the Company’s investments disaggregated into the three levels of the fair value hierarchy based upon the lowest level of significant input used in the valuation as of March 31, 2016 and December 31, 2015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-22860</wp:posOffset>
            </wp:positionV>
            <wp:extent cx="521398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gridSpan w:val="10"/>
          </w:tcPr>
          <w:p>
            <w:pPr>
              <w:jc w:val="center"/>
              <w:ind w:right="140"/>
              <w:spacing w:after="0"/>
              <w:rPr>
                <w:sz w:val="20"/>
                <w:szCs w:val="20"/>
                <w:color w:val="auto"/>
              </w:rPr>
            </w:pPr>
            <w:r>
              <w:rPr>
                <w:rFonts w:ascii="Arial" w:cs="Arial" w:eastAsia="Arial" w:hAnsi="Arial"/>
                <w:sz w:val="14"/>
                <w:szCs w:val="14"/>
                <w:b w:val="1"/>
                <w:bCs w:val="1"/>
                <w:color w:val="auto"/>
                <w:w w:val="94"/>
              </w:rPr>
              <w:t>March 31, 2016 (unaudited)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08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160" w:type="dxa"/>
            <w:vAlign w:val="bottom"/>
          </w:tcPr>
          <w:p>
            <w:pPr>
              <w:spacing w:after="0"/>
              <w:rPr>
                <w:sz w:val="10"/>
                <w:szCs w:val="10"/>
                <w:color w:val="auto"/>
              </w:rPr>
            </w:pPr>
          </w:p>
        </w:tc>
        <w:tc>
          <w:tcPr>
            <w:tcW w:w="10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3"/>
              </w:rPr>
              <w:t>Significant Other</w:t>
            </w:r>
          </w:p>
        </w:tc>
        <w:tc>
          <w:tcPr>
            <w:tcW w:w="160" w:type="dxa"/>
            <w:vAlign w:val="bottom"/>
          </w:tcPr>
          <w:p>
            <w:pPr>
              <w:spacing w:after="0"/>
              <w:rPr>
                <w:sz w:val="10"/>
                <w:szCs w:val="10"/>
                <w:color w:val="auto"/>
              </w:rPr>
            </w:pPr>
          </w:p>
        </w:tc>
        <w:tc>
          <w:tcPr>
            <w:tcW w:w="11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3"/>
              </w:rPr>
              <w:t>Significant Other</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0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6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for Identical</w:t>
            </w:r>
          </w:p>
        </w:tc>
        <w:tc>
          <w:tcPr>
            <w:tcW w:w="160" w:type="dxa"/>
            <w:vAlign w:val="bottom"/>
          </w:tcPr>
          <w:p>
            <w:pPr>
              <w:spacing w:after="0"/>
              <w:rPr>
                <w:sz w:val="12"/>
                <w:szCs w:val="12"/>
                <w:color w:val="auto"/>
              </w:rPr>
            </w:pPr>
          </w:p>
        </w:tc>
        <w:tc>
          <w:tcPr>
            <w:tcW w:w="10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Total</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 at fair value</w:t>
            </w: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4"/>
              </w:rPr>
              <w:t>(Level 3)</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3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Private Portfolio Companies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0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86,298,618</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86,298,618</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214,250,621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214,250,621</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00" w:type="dxa"/>
            <w:vAlign w:val="bottom"/>
          </w:tcPr>
          <w:p>
            <w:pPr>
              <w:ind w:left="200"/>
              <w:spacing w:after="0"/>
              <w:rPr>
                <w:sz w:val="20"/>
                <w:szCs w:val="20"/>
                <w:color w:val="auto"/>
              </w:rPr>
            </w:pPr>
            <w:r>
              <w:rPr>
                <w:rFonts w:ascii="Arial" w:cs="Arial" w:eastAsia="Arial" w:hAnsi="Arial"/>
                <w:sz w:val="18"/>
                <w:szCs w:val="18"/>
                <w:color w:val="auto"/>
              </w:rPr>
              <w:t>Debt Investments</w:t>
            </w:r>
          </w:p>
        </w:tc>
        <w:tc>
          <w:tcPr>
            <w:tcW w:w="1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5,685,506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5,685,506</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Warrants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394,791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394,791</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3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32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color w:val="auto"/>
                <w:w w:val="97"/>
              </w:rPr>
              <w:t>Subtotal – Private Portfolio Companies</w:t>
            </w:r>
          </w:p>
        </w:tc>
        <w:tc>
          <w:tcPr>
            <w:tcW w:w="1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306,629,536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306,629,536</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Publicly Traded Portfolio Companies</w:t>
            </w: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0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1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18,658,860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18,658,860</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3300" w:type="dxa"/>
            <w:vAlign w:val="bottom"/>
            <w:shd w:val="clear" w:color="auto" w:fill="CCEEFF"/>
          </w:tcPr>
          <w:p>
            <w:pPr>
              <w:ind w:left="20"/>
              <w:spacing w:after="0" w:line="191" w:lineRule="exact"/>
              <w:rPr>
                <w:sz w:val="20"/>
                <w:szCs w:val="20"/>
                <w:color w:val="auto"/>
              </w:rPr>
            </w:pPr>
            <w:r>
              <w:rPr>
                <w:rFonts w:ascii="Arial" w:cs="Arial" w:eastAsia="Arial" w:hAnsi="Arial"/>
                <w:sz w:val="18"/>
                <w:szCs w:val="18"/>
                <w:b w:val="1"/>
                <w:bCs w:val="1"/>
                <w:color w:val="auto"/>
              </w:rPr>
              <w:t>Total Private and Publicly Traded</w:t>
            </w:r>
          </w:p>
        </w:tc>
        <w:tc>
          <w:tcPr>
            <w:tcW w:w="1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32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3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Portfolio Companies</w:t>
            </w: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18,658,860</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306,629,536</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325,288,396</w:t>
            </w:r>
          </w:p>
        </w:tc>
        <w:tc>
          <w:tcPr>
            <w:tcW w:w="132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30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Non-Portfolio Investments</w:t>
            </w: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Bill</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29,999,883</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29,999,883</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U.S. Treasury Strips</w:t>
            </w:r>
          </w:p>
        </w:tc>
        <w:tc>
          <w:tcPr>
            <w:tcW w:w="1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1,847,613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1,847,613</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Non-Portfolio Investments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31,847,496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31,847,496</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3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32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Total Assets at Fair Value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50,506,356</w:t>
            </w:r>
          </w:p>
        </w:tc>
        <w:tc>
          <w:tcPr>
            <w:tcW w:w="42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306,629,536</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357,135,892</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7"/>
        </w:trPr>
        <w:tc>
          <w:tcPr>
            <w:tcW w:w="1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3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3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13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-2091690</wp:posOffset>
            </wp:positionV>
            <wp:extent cx="5213985" cy="1543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-1379855</wp:posOffset>
            </wp:positionV>
            <wp:extent cx="5213985" cy="146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-814070</wp:posOffset>
            </wp:positionV>
            <wp:extent cx="5213985" cy="1803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32" w:name="page33"/>
    <w:bookmarkEnd w:id="32"/>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March 31, 2016</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INVESTMENTS AT FAIR VALUE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8"/>
          </w:tcPr>
          <w:p>
            <w:pPr>
              <w:jc w:val="center"/>
              <w:ind w:right="1000"/>
              <w:spacing w:after="0"/>
              <w:rPr>
                <w:sz w:val="20"/>
                <w:szCs w:val="20"/>
                <w:color w:val="auto"/>
              </w:rPr>
            </w:pPr>
            <w:r>
              <w:rPr>
                <w:rFonts w:ascii="Arial" w:cs="Arial" w:eastAsia="Arial" w:hAnsi="Arial"/>
                <w:sz w:val="14"/>
                <w:szCs w:val="14"/>
                <w:b w:val="1"/>
                <w:bCs w:val="1"/>
                <w:color w:val="auto"/>
                <w:w w:val="90"/>
              </w:rPr>
              <w:t>As of December 31, 2015</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00" w:type="dxa"/>
            <w:vAlign w:val="bottom"/>
          </w:tcPr>
          <w:p>
            <w:pPr>
              <w:spacing w:after="0"/>
              <w:rPr>
                <w:sz w:val="10"/>
                <w:szCs w:val="10"/>
                <w:color w:val="auto"/>
              </w:rPr>
            </w:pPr>
          </w:p>
        </w:tc>
        <w:tc>
          <w:tcPr>
            <w:tcW w:w="1400" w:type="dxa"/>
            <w:vAlign w:val="bottom"/>
            <w:gridSpan w:val="5"/>
          </w:tcPr>
          <w:p>
            <w:pPr>
              <w:jc w:val="center"/>
              <w:ind w:right="219"/>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Significant Other</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Significant Other</w:t>
            </w: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for Identical</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 at fair value</w:t>
            </w: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4"/>
                <w:szCs w:val="14"/>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(Level 3)</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Private Portfolio Companies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80"/>
              <w:spacing w:after="0"/>
              <w:rPr>
                <w:sz w:val="20"/>
                <w:szCs w:val="20"/>
                <w:color w:val="auto"/>
              </w:rPr>
            </w:pPr>
            <w:r>
              <w:rPr>
                <w:rFonts w:ascii="Arial" w:cs="Arial" w:eastAsia="Arial" w:hAnsi="Arial"/>
                <w:sz w:val="18"/>
                <w:szCs w:val="18"/>
                <w:color w:val="auto"/>
              </w:rPr>
              <w:t>$ 102,319,140</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102,319,140</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216,291,092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216,291,092</w:t>
            </w:r>
          </w:p>
        </w:tc>
        <w:tc>
          <w:tcPr>
            <w:tcW w:w="0" w:type="dxa"/>
            <w:vAlign w:val="bottom"/>
          </w:tcPr>
          <w:p>
            <w:pPr>
              <w:spacing w:after="0"/>
              <w:rPr>
                <w:sz w:val="1"/>
                <w:szCs w:val="1"/>
                <w:color w:val="auto"/>
              </w:rPr>
            </w:pPr>
          </w:p>
        </w:tc>
      </w:tr>
      <w:tr>
        <w:trPr>
          <w:trHeight w:val="216"/>
        </w:trPr>
        <w:tc>
          <w:tcPr>
            <w:tcW w:w="3300" w:type="dxa"/>
            <w:vAlign w:val="bottom"/>
          </w:tcPr>
          <w:p>
            <w:pPr>
              <w:ind w:left="200"/>
              <w:spacing w:after="0"/>
              <w:rPr>
                <w:sz w:val="20"/>
                <w:szCs w:val="20"/>
                <w:color w:val="auto"/>
              </w:rPr>
            </w:pPr>
            <w:r>
              <w:rPr>
                <w:rFonts w:ascii="Arial" w:cs="Arial" w:eastAsia="Arial" w:hAnsi="Arial"/>
                <w:sz w:val="18"/>
                <w:szCs w:val="18"/>
                <w:color w:val="auto"/>
              </w:rPr>
              <w:t>Debt Investments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80"/>
              <w:spacing w:after="0"/>
              <w:rPr>
                <w:sz w:val="20"/>
                <w:szCs w:val="20"/>
                <w:color w:val="auto"/>
              </w:rPr>
            </w:pPr>
            <w:r>
              <w:rPr>
                <w:rFonts w:ascii="Arial" w:cs="Arial" w:eastAsia="Arial" w:hAnsi="Arial"/>
                <w:sz w:val="18"/>
                <w:szCs w:val="18"/>
                <w:color w:val="auto"/>
              </w:rPr>
              <w:t>4,175,859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4,175,859</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Warrants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469,306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469,306</w:t>
            </w:r>
          </w:p>
        </w:tc>
        <w:tc>
          <w:tcPr>
            <w:tcW w:w="0" w:type="dxa"/>
            <w:vAlign w:val="bottom"/>
          </w:tcPr>
          <w:p>
            <w:pPr>
              <w:spacing w:after="0"/>
              <w:rPr>
                <w:sz w:val="1"/>
                <w:szCs w:val="1"/>
                <w:color w:val="auto"/>
              </w:rPr>
            </w:pPr>
          </w:p>
        </w:tc>
      </w:tr>
      <w:tr>
        <w:trPr>
          <w:trHeight w:val="20"/>
        </w:trPr>
        <w:tc>
          <w:tcPr>
            <w:tcW w:w="33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tcPr>
          <w:p>
            <w:pPr>
              <w:ind w:left="20"/>
              <w:spacing w:after="0"/>
              <w:rPr>
                <w:sz w:val="20"/>
                <w:szCs w:val="20"/>
                <w:color w:val="auto"/>
              </w:rPr>
            </w:pPr>
            <w:r>
              <w:rPr>
                <w:rFonts w:ascii="Arial" w:cs="Arial" w:eastAsia="Arial" w:hAnsi="Arial"/>
                <w:sz w:val="18"/>
                <w:szCs w:val="18"/>
                <w:b w:val="1"/>
                <w:bCs w:val="1"/>
                <w:color w:val="auto"/>
                <w:w w:val="97"/>
              </w:rPr>
              <w:t>Subtotal – Private Portfolio Companies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80"/>
              <w:spacing w:after="0"/>
              <w:rPr>
                <w:sz w:val="20"/>
                <w:szCs w:val="20"/>
                <w:color w:val="auto"/>
              </w:rPr>
            </w:pPr>
            <w:r>
              <w:rPr>
                <w:rFonts w:ascii="Arial" w:cs="Arial" w:eastAsia="Arial" w:hAnsi="Arial"/>
                <w:sz w:val="18"/>
                <w:szCs w:val="18"/>
                <w:color w:val="auto"/>
              </w:rPr>
              <w:t>323,255,397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323,255,397</w:t>
            </w:r>
          </w:p>
        </w:tc>
        <w:tc>
          <w:tcPr>
            <w:tcW w:w="0" w:type="dxa"/>
            <w:vAlign w:val="bottom"/>
          </w:tcPr>
          <w:p>
            <w:pPr>
              <w:spacing w:after="0"/>
              <w:rPr>
                <w:sz w:val="1"/>
                <w:szCs w:val="1"/>
                <w:color w:val="auto"/>
              </w:rPr>
            </w:pPr>
          </w:p>
        </w:tc>
      </w:tr>
      <w:tr>
        <w:trPr>
          <w:trHeight w:val="210"/>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Publicly Traded Portfolio Companies</w:t>
            </w: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26,486,074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67,296</w:t>
            </w:r>
          </w:p>
        </w:tc>
        <w:tc>
          <w:tcPr>
            <w:tcW w:w="1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26,553,370</w:t>
            </w:r>
          </w:p>
        </w:tc>
        <w:tc>
          <w:tcPr>
            <w:tcW w:w="0" w:type="dxa"/>
            <w:vAlign w:val="bottom"/>
          </w:tcPr>
          <w:p>
            <w:pPr>
              <w:spacing w:after="0"/>
              <w:rPr>
                <w:sz w:val="1"/>
                <w:szCs w:val="1"/>
                <w:color w:val="auto"/>
              </w:rPr>
            </w:pPr>
          </w:p>
        </w:tc>
      </w:tr>
      <w:tr>
        <w:trPr>
          <w:trHeight w:val="191"/>
        </w:trPr>
        <w:tc>
          <w:tcPr>
            <w:tcW w:w="3300" w:type="dxa"/>
            <w:vAlign w:val="bottom"/>
            <w:shd w:val="clear" w:color="auto" w:fill="CCEEFF"/>
          </w:tcPr>
          <w:p>
            <w:pPr>
              <w:ind w:left="20"/>
              <w:spacing w:after="0" w:line="191" w:lineRule="exact"/>
              <w:rPr>
                <w:sz w:val="20"/>
                <w:szCs w:val="20"/>
                <w:color w:val="auto"/>
              </w:rPr>
            </w:pPr>
            <w:r>
              <w:rPr>
                <w:rFonts w:ascii="Arial" w:cs="Arial" w:eastAsia="Arial" w:hAnsi="Arial"/>
                <w:sz w:val="18"/>
                <w:szCs w:val="18"/>
                <w:b w:val="1"/>
                <w:bCs w:val="1"/>
                <w:color w:val="auto"/>
              </w:rPr>
              <w:t>Total Private and Publicly Traded</w:t>
            </w:r>
          </w:p>
        </w:tc>
        <w:tc>
          <w:tcPr>
            <w:tcW w:w="1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Portfolio Companies</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26,486,074</w:t>
            </w:r>
          </w:p>
        </w:tc>
        <w:tc>
          <w:tcPr>
            <w:tcW w:w="80" w:type="dxa"/>
            <w:vAlign w:val="bottom"/>
            <w:tcBorders>
              <w:lef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67,296</w:t>
            </w:r>
          </w:p>
        </w:tc>
        <w:tc>
          <w:tcPr>
            <w:tcW w:w="12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323,255,397</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349,808,767</w:t>
            </w:r>
          </w:p>
        </w:tc>
        <w:tc>
          <w:tcPr>
            <w:tcW w:w="0" w:type="dxa"/>
            <w:vAlign w:val="bottom"/>
          </w:tcPr>
          <w:p>
            <w:pPr>
              <w:spacing w:after="0"/>
              <w:rPr>
                <w:sz w:val="1"/>
                <w:szCs w:val="1"/>
                <w:color w:val="auto"/>
              </w:rPr>
            </w:pPr>
          </w:p>
        </w:tc>
      </w:tr>
      <w:tr>
        <w:trPr>
          <w:trHeight w:val="210"/>
        </w:trPr>
        <w:tc>
          <w:tcPr>
            <w:tcW w:w="330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Non-Portfolio Investments</w:t>
            </w: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Bill</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30,000,000</w:t>
            </w:r>
          </w:p>
        </w:tc>
        <w:tc>
          <w:tcPr>
            <w:tcW w:w="8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30,000,000</w:t>
            </w:r>
          </w:p>
        </w:tc>
        <w:tc>
          <w:tcPr>
            <w:tcW w:w="0" w:type="dxa"/>
            <w:vAlign w:val="bottom"/>
          </w:tcPr>
          <w:p>
            <w:pPr>
              <w:spacing w:after="0"/>
              <w:rPr>
                <w:sz w:val="1"/>
                <w:szCs w:val="1"/>
                <w:color w:val="auto"/>
              </w:rPr>
            </w:pPr>
          </w:p>
        </w:tc>
      </w:tr>
      <w:tr>
        <w:trPr>
          <w:trHeight w:val="216"/>
        </w:trPr>
        <w:tc>
          <w:tcPr>
            <w:tcW w:w="3300" w:type="dxa"/>
            <w:vAlign w:val="bottom"/>
          </w:tcPr>
          <w:p>
            <w:pPr>
              <w:ind w:left="20"/>
              <w:spacing w:after="0"/>
              <w:rPr>
                <w:sz w:val="20"/>
                <w:szCs w:val="20"/>
                <w:color w:val="auto"/>
              </w:rPr>
            </w:pPr>
            <w:r>
              <w:rPr>
                <w:rFonts w:ascii="Arial" w:cs="Arial" w:eastAsia="Arial" w:hAnsi="Arial"/>
                <w:sz w:val="18"/>
                <w:szCs w:val="18"/>
                <w:color w:val="auto"/>
              </w:rPr>
              <w:t>U.S. Treasury Strips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3,676,693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3,676,693</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Non-Portfolio Investments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33,676,693</w:t>
            </w:r>
          </w:p>
        </w:tc>
        <w:tc>
          <w:tcPr>
            <w:tcW w:w="8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33,676,693</w:t>
            </w:r>
          </w:p>
        </w:tc>
        <w:tc>
          <w:tcPr>
            <w:tcW w:w="0" w:type="dxa"/>
            <w:vAlign w:val="bottom"/>
          </w:tcPr>
          <w:p>
            <w:pPr>
              <w:spacing w:after="0"/>
              <w:rPr>
                <w:sz w:val="1"/>
                <w:szCs w:val="1"/>
                <w:color w:val="auto"/>
              </w:rPr>
            </w:pPr>
          </w:p>
        </w:tc>
      </w:tr>
      <w:tr>
        <w:trPr>
          <w:trHeight w:val="20"/>
        </w:trPr>
        <w:tc>
          <w:tcPr>
            <w:tcW w:w="33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Total Assets at Fair Value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60,162,767</w:t>
            </w:r>
          </w:p>
        </w:tc>
        <w:tc>
          <w:tcPr>
            <w:tcW w:w="240" w:type="dxa"/>
            <w:vAlign w:val="bottom"/>
            <w:gridSpan w:val="2"/>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67,296</w:t>
            </w:r>
          </w:p>
        </w:tc>
        <w:tc>
          <w:tcPr>
            <w:tcW w:w="1260" w:type="dxa"/>
            <w:vAlign w:val="bottom"/>
            <w:gridSpan w:val="3"/>
          </w:tcPr>
          <w:p>
            <w:pPr>
              <w:jc w:val="right"/>
              <w:ind w:right="80"/>
              <w:spacing w:after="0"/>
              <w:rPr>
                <w:sz w:val="20"/>
                <w:szCs w:val="20"/>
                <w:color w:val="auto"/>
              </w:rPr>
            </w:pPr>
            <w:r>
              <w:rPr>
                <w:rFonts w:ascii="Arial" w:cs="Arial" w:eastAsia="Arial" w:hAnsi="Arial"/>
                <w:sz w:val="18"/>
                <w:szCs w:val="18"/>
                <w:color w:val="auto"/>
              </w:rPr>
              <w:t>$ 323,255,397</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383,485,460</w:t>
            </w:r>
          </w:p>
        </w:tc>
        <w:tc>
          <w:tcPr>
            <w:tcW w:w="0" w:type="dxa"/>
            <w:vAlign w:val="bottom"/>
          </w:tcPr>
          <w:p>
            <w:pPr>
              <w:spacing w:after="0"/>
              <w:rPr>
                <w:sz w:val="1"/>
                <w:szCs w:val="1"/>
                <w:color w:val="auto"/>
              </w:rPr>
            </w:pPr>
          </w:p>
        </w:tc>
      </w:tr>
      <w:tr>
        <w:trPr>
          <w:trHeight w:val="21"/>
        </w:trPr>
        <w:tc>
          <w:tcPr>
            <w:tcW w:w="3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-1457325</wp:posOffset>
            </wp:positionV>
            <wp:extent cx="5213985" cy="1543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-745490</wp:posOffset>
            </wp:positionV>
            <wp:extent cx="5213985" cy="1460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803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Significant Unobservable Inputs for Level 3 Assets and Liabilities</w:t>
      </w:r>
    </w:p>
    <w:p>
      <w:pPr>
        <w:spacing w:after="0" w:line="121" w:lineRule="exact"/>
        <w:rPr>
          <w:sz w:val="20"/>
          <w:szCs w:val="20"/>
          <w:color w:val="auto"/>
        </w:rPr>
      </w:pPr>
    </w:p>
    <w:p>
      <w:pPr>
        <w:ind w:left="60" w:right="539" w:firstLine="270"/>
        <w:spacing w:after="0" w:line="290" w:lineRule="auto"/>
        <w:rPr>
          <w:sz w:val="20"/>
          <w:szCs w:val="20"/>
          <w:color w:val="auto"/>
        </w:rPr>
      </w:pPr>
      <w:r>
        <w:rPr>
          <w:rFonts w:ascii="Arial" w:cs="Arial" w:eastAsia="Arial" w:hAnsi="Arial"/>
          <w:sz w:val="16"/>
          <w:szCs w:val="16"/>
          <w:color w:val="auto"/>
        </w:rPr>
        <w:t>In accordance with ASC 820, the tables below provide quantitative information about the Company’s fair value measurements of its Level 3 assets and liabilities as of March 31, 2016 and December 31, 2015. In addition to the techniques and inputs noted in the table below, according to the Company’s valuation policy, the Company may also use other valuation techniques and methodologies when determining the Company’s fair value measurements. The below table is not intended to be all-inclusive, but rather provides information on the significant Level 3 inputs as they relate to the Company’s fair value measurements. To the extent an unobservable input is not reflected in the table below, such input is deemed insignificant with respect to the Company’s Level 3 fair value measurements as of March 31, 2016 and December 31, 2015. Significant changes in the inputs in isolation would result in a significant change in the fair value measurement, depending on the input and the materiality of the investment.</w:t>
      </w:r>
    </w:p>
    <w:p>
      <w:pPr>
        <w:spacing w:after="0" w:line="200" w:lineRule="exact"/>
        <w:rPr>
          <w:sz w:val="20"/>
          <w:szCs w:val="20"/>
          <w:color w:val="auto"/>
        </w:rPr>
      </w:pPr>
    </w:p>
    <w:p>
      <w:pPr>
        <w:spacing w:after="0" w:line="30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33" w:name="page34"/>
    <w:bookmarkEnd w:id="33"/>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March 31, 2016</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INVESTMENTS AT FAIR VALUE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118110</wp:posOffset>
            </wp:positionV>
            <wp:extent cx="5218430" cy="30054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218430" cy="3005455"/>
                    </a:xfrm>
                    <a:prstGeom prst="rect">
                      <a:avLst/>
                    </a:prstGeom>
                    <a:noFill/>
                  </pic:spPr>
                </pic:pic>
              </a:graphicData>
            </a:graphic>
          </wp:anchor>
        </w:drawing>
      </w:r>
    </w:p>
    <w:p>
      <w:pPr>
        <w:spacing w:after="0" w:line="255" w:lineRule="exact"/>
        <w:rPr>
          <w:sz w:val="20"/>
          <w:szCs w:val="20"/>
          <w:color w:val="auto"/>
        </w:rPr>
      </w:pPr>
    </w:p>
    <w:p>
      <w:pPr>
        <w:ind w:left="3080"/>
        <w:spacing w:after="0"/>
        <w:rPr>
          <w:sz w:val="20"/>
          <w:szCs w:val="20"/>
          <w:color w:val="auto"/>
        </w:rPr>
      </w:pPr>
      <w:r>
        <w:rPr>
          <w:rFonts w:ascii="Arial" w:cs="Arial" w:eastAsia="Arial" w:hAnsi="Arial"/>
          <w:sz w:val="14"/>
          <w:szCs w:val="14"/>
          <w:b w:val="1"/>
          <w:bCs w:val="1"/>
          <w:color w:val="auto"/>
        </w:rPr>
        <w:t>As of March 31, 2016 (Unaudited)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4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Asset</w:t>
            </w:r>
          </w:p>
        </w:tc>
        <w:tc>
          <w:tcPr>
            <w:tcW w:w="1100" w:type="dxa"/>
            <w:vAlign w:val="bottom"/>
            <w:tcBorders>
              <w:top w:val="single" w:sz="8" w:color="auto"/>
              <w:right w:val="single" w:sz="8" w:color="auto"/>
            </w:tcBorders>
            <w:vMerge w:val="restart"/>
          </w:tcPr>
          <w:p>
            <w:pPr>
              <w:jc w:val="right"/>
              <w:ind w:right="168"/>
              <w:spacing w:after="0"/>
              <w:rPr>
                <w:sz w:val="20"/>
                <w:szCs w:val="20"/>
                <w:color w:val="auto"/>
              </w:rPr>
            </w:pPr>
            <w:r>
              <w:rPr>
                <w:rFonts w:ascii="Arial" w:cs="Arial" w:eastAsia="Arial" w:hAnsi="Arial"/>
                <w:sz w:val="14"/>
                <w:szCs w:val="14"/>
                <w:b w:val="1"/>
                <w:bCs w:val="1"/>
                <w:color w:val="auto"/>
              </w:rPr>
              <w:t>Fair Value</w:t>
            </w:r>
          </w:p>
        </w:tc>
        <w:tc>
          <w:tcPr>
            <w:tcW w:w="17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Valuation Techniques</w:t>
            </w:r>
          </w:p>
        </w:tc>
        <w:tc>
          <w:tcPr>
            <w:tcW w:w="20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Unobservable inputs</w:t>
            </w:r>
          </w:p>
        </w:tc>
        <w:tc>
          <w:tcPr>
            <w:tcW w:w="186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Range</w:t>
            </w:r>
          </w:p>
        </w:tc>
        <w:tc>
          <w:tcPr>
            <w:tcW w:w="0" w:type="dxa"/>
            <w:vAlign w:val="bottom"/>
          </w:tcPr>
          <w:p>
            <w:pPr>
              <w:spacing w:after="0"/>
              <w:rPr>
                <w:sz w:val="1"/>
                <w:szCs w:val="1"/>
                <w:color w:val="auto"/>
              </w:rPr>
            </w:pPr>
          </w:p>
        </w:tc>
      </w:tr>
      <w:tr>
        <w:trPr>
          <w:trHeight w:val="209"/>
        </w:trPr>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(Liability)</w:t>
            </w:r>
          </w:p>
        </w:tc>
        <w:tc>
          <w:tcPr>
            <w:tcW w:w="1100" w:type="dxa"/>
            <w:vAlign w:val="bottom"/>
            <w:tcBorders>
              <w:bottom w:val="single" w:sz="8" w:color="auto"/>
              <w:right w:val="single" w:sz="8" w:color="auto"/>
            </w:tcBorders>
            <w:vMerge w:val="continue"/>
          </w:tcPr>
          <w:p>
            <w:pPr>
              <w:spacing w:after="0"/>
              <w:rPr>
                <w:sz w:val="18"/>
                <w:szCs w:val="18"/>
                <w:color w:val="auto"/>
              </w:rPr>
            </w:pPr>
          </w:p>
        </w:tc>
        <w:tc>
          <w:tcPr>
            <w:tcW w:w="1780" w:type="dxa"/>
            <w:vAlign w:val="bottom"/>
            <w:tcBorders>
              <w:bottom w:val="single" w:sz="8" w:color="auto"/>
              <w:right w:val="single" w:sz="8" w:color="auto"/>
            </w:tcBorders>
            <w:vMerge w:val="continue"/>
          </w:tcPr>
          <w:p>
            <w:pPr>
              <w:spacing w:after="0"/>
              <w:rPr>
                <w:sz w:val="18"/>
                <w:szCs w:val="18"/>
                <w:color w:val="auto"/>
              </w:rPr>
            </w:pPr>
          </w:p>
        </w:tc>
        <w:tc>
          <w:tcPr>
            <w:tcW w:w="2020" w:type="dxa"/>
            <w:vAlign w:val="bottom"/>
            <w:tcBorders>
              <w:bottom w:val="single" w:sz="8" w:color="auto"/>
              <w:right w:val="single" w:sz="8" w:color="auto"/>
            </w:tcBorders>
            <w:vMerge w:val="continue"/>
          </w:tcPr>
          <w:p>
            <w:pPr>
              <w:spacing w:after="0"/>
              <w:rPr>
                <w:sz w:val="18"/>
                <w:szCs w:val="18"/>
                <w:color w:val="auto"/>
              </w:rPr>
            </w:pPr>
          </w:p>
        </w:tc>
        <w:tc>
          <w:tcPr>
            <w:tcW w:w="1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250"/>
        </w:trPr>
        <w:tc>
          <w:tcPr>
            <w:tcW w:w="1460" w:type="dxa"/>
            <w:vAlign w:val="bottom"/>
            <w:tcBorders>
              <w:right w:val="single" w:sz="8" w:color="auto"/>
            </w:tcBorders>
          </w:tcPr>
          <w:p>
            <w:pPr>
              <w:spacing w:after="0"/>
              <w:rPr>
                <w:sz w:val="21"/>
                <w:szCs w:val="21"/>
                <w:color w:val="auto"/>
              </w:rPr>
            </w:pPr>
          </w:p>
        </w:tc>
        <w:tc>
          <w:tcPr>
            <w:tcW w:w="1100" w:type="dxa"/>
            <w:vAlign w:val="bottom"/>
            <w:tcBorders>
              <w:right w:val="single" w:sz="8" w:color="auto"/>
            </w:tcBorders>
          </w:tcPr>
          <w:p>
            <w:pPr>
              <w:spacing w:after="0"/>
              <w:rPr>
                <w:sz w:val="21"/>
                <w:szCs w:val="21"/>
                <w:color w:val="auto"/>
              </w:rPr>
            </w:pPr>
          </w:p>
        </w:tc>
        <w:tc>
          <w:tcPr>
            <w:tcW w:w="1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Market approach</w:t>
            </w:r>
          </w:p>
        </w:tc>
        <w:tc>
          <w:tcPr>
            <w:tcW w:w="2020" w:type="dxa"/>
            <w:vAlign w:val="bottom"/>
            <w:tcBorders>
              <w:bottom w:val="single" w:sz="8" w:color="auto"/>
              <w:right w:val="single" w:sz="8" w:color="auto"/>
            </w:tcBorders>
          </w:tcPr>
          <w:p>
            <w:pPr>
              <w:jc w:val="center"/>
              <w:spacing w:after="0" w:line="236" w:lineRule="exact"/>
              <w:rPr>
                <w:sz w:val="20"/>
                <w:szCs w:val="20"/>
                <w:color w:val="auto"/>
              </w:rPr>
            </w:pPr>
            <w:r>
              <w:rPr>
                <w:rFonts w:ascii="Arial" w:cs="Arial" w:eastAsia="Arial" w:hAnsi="Arial"/>
                <w:sz w:val="14"/>
                <w:szCs w:val="14"/>
                <w:color w:val="auto"/>
                <w:w w:val="88"/>
              </w:rPr>
              <w:t>Precedent transactions</w:t>
            </w:r>
            <w:r>
              <w:rPr>
                <w:rFonts w:ascii="Arial" w:cs="Arial" w:eastAsia="Arial" w:hAnsi="Arial"/>
                <w:sz w:val="23"/>
                <w:szCs w:val="23"/>
                <w:color w:val="auto"/>
                <w:w w:val="88"/>
                <w:vertAlign w:val="superscript"/>
              </w:rPr>
              <w:t>(1)</w:t>
            </w:r>
          </w:p>
        </w:tc>
        <w:tc>
          <w:tcPr>
            <w:tcW w:w="1060" w:type="dxa"/>
            <w:vAlign w:val="bottom"/>
            <w:tcBorders>
              <w:bottom w:val="single" w:sz="8" w:color="auto"/>
            </w:tcBorders>
          </w:tcPr>
          <w:p>
            <w:pPr>
              <w:jc w:val="center"/>
              <w:ind w:left="708"/>
              <w:spacing w:after="0"/>
              <w:rPr>
                <w:sz w:val="20"/>
                <w:szCs w:val="20"/>
                <w:color w:val="auto"/>
              </w:rPr>
            </w:pPr>
            <w:r>
              <w:rPr>
                <w:rFonts w:ascii="Arial" w:cs="Arial" w:eastAsia="Arial" w:hAnsi="Arial"/>
                <w:sz w:val="14"/>
                <w:szCs w:val="14"/>
                <w:color w:val="auto"/>
              </w:rPr>
              <w:t>N/A</w:t>
            </w:r>
          </w:p>
        </w:tc>
        <w:tc>
          <w:tcPr>
            <w:tcW w:w="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66"/>
        </w:trPr>
        <w:tc>
          <w:tcPr>
            <w:tcW w:w="1460" w:type="dxa"/>
            <w:vAlign w:val="bottom"/>
            <w:tcBorders>
              <w:right w:val="single" w:sz="8" w:color="auto"/>
            </w:tcBorders>
          </w:tcPr>
          <w:p>
            <w:pPr>
              <w:spacing w:after="0"/>
              <w:rPr>
                <w:sz w:val="5"/>
                <w:szCs w:val="5"/>
                <w:color w:val="auto"/>
              </w:rPr>
            </w:pPr>
          </w:p>
        </w:tc>
        <w:tc>
          <w:tcPr>
            <w:tcW w:w="1100" w:type="dxa"/>
            <w:vAlign w:val="bottom"/>
            <w:tcBorders>
              <w:right w:val="single" w:sz="8" w:color="auto"/>
            </w:tcBorders>
          </w:tcPr>
          <w:p>
            <w:pPr>
              <w:spacing w:after="0"/>
              <w:rPr>
                <w:sz w:val="5"/>
                <w:szCs w:val="5"/>
                <w:color w:val="auto"/>
              </w:rPr>
            </w:pPr>
          </w:p>
        </w:tc>
        <w:tc>
          <w:tcPr>
            <w:tcW w:w="1780" w:type="dxa"/>
            <w:vAlign w:val="bottom"/>
            <w:tcBorders>
              <w:right w:val="single" w:sz="8" w:color="auto"/>
            </w:tcBorders>
            <w:vMerge w:val="continue"/>
          </w:tcPr>
          <w:p>
            <w:pPr>
              <w:spacing w:after="0"/>
              <w:rPr>
                <w:sz w:val="5"/>
                <w:szCs w:val="5"/>
                <w:color w:val="auto"/>
              </w:rPr>
            </w:pPr>
          </w:p>
        </w:tc>
        <w:tc>
          <w:tcPr>
            <w:tcW w:w="2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Revenue multiples</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2.3x – 3.0x</w:t>
            </w:r>
          </w:p>
        </w:tc>
        <w:tc>
          <w:tcPr>
            <w:tcW w:w="800" w:type="dxa"/>
            <w:vAlign w:val="bottom"/>
            <w:vMerge w:val="restart"/>
          </w:tcPr>
          <w:p>
            <w:pPr>
              <w:ind w:left="20"/>
              <w:spacing w:after="0"/>
              <w:rPr>
                <w:sz w:val="20"/>
                <w:szCs w:val="20"/>
                <w:color w:val="auto"/>
              </w:rPr>
            </w:pPr>
            <w:r>
              <w:rPr>
                <w:rFonts w:ascii="Arial" w:cs="Arial" w:eastAsia="Arial" w:hAnsi="Arial"/>
                <w:sz w:val="14"/>
                <w:szCs w:val="14"/>
                <w:color w:val="auto"/>
              </w:rPr>
              <w:t>(2.7x)</w:t>
            </w:r>
          </w:p>
        </w:tc>
        <w:tc>
          <w:tcPr>
            <w:tcW w:w="0" w:type="dxa"/>
            <w:vAlign w:val="bottom"/>
          </w:tcPr>
          <w:p>
            <w:pPr>
              <w:spacing w:after="0"/>
              <w:rPr>
                <w:sz w:val="1"/>
                <w:szCs w:val="1"/>
                <w:color w:val="auto"/>
              </w:rPr>
            </w:pPr>
          </w:p>
        </w:tc>
      </w:tr>
      <w:tr>
        <w:trPr>
          <w:trHeight w:val="149"/>
        </w:trPr>
        <w:tc>
          <w:tcPr>
            <w:tcW w:w="146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780" w:type="dxa"/>
            <w:vAlign w:val="bottom"/>
            <w:tcBorders>
              <w:right w:val="single" w:sz="8" w:color="auto"/>
            </w:tcBorders>
          </w:tcPr>
          <w:p>
            <w:pPr>
              <w:spacing w:after="0"/>
              <w:rPr>
                <w:sz w:val="12"/>
                <w:szCs w:val="12"/>
                <w:color w:val="auto"/>
              </w:rPr>
            </w:pPr>
          </w:p>
        </w:tc>
        <w:tc>
          <w:tcPr>
            <w:tcW w:w="2020" w:type="dxa"/>
            <w:vAlign w:val="bottom"/>
            <w:tcBorders>
              <w:bottom w:val="single" w:sz="8" w:color="auto"/>
              <w:right w:val="single" w:sz="8" w:color="auto"/>
            </w:tcBorders>
            <w:vMerge w:val="continue"/>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Common stock in</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$86,298,618</w:t>
            </w:r>
          </w:p>
        </w:tc>
        <w:tc>
          <w:tcPr>
            <w:tcW w:w="17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EBIT multiples</w:t>
            </w:r>
          </w:p>
        </w:tc>
        <w:tc>
          <w:tcPr>
            <w:tcW w:w="1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4"/>
              </w:rPr>
              <w:t>21.2x – 28.2x (24.7x)</w:t>
            </w:r>
          </w:p>
        </w:tc>
        <w:tc>
          <w:tcPr>
            <w:tcW w:w="0" w:type="dxa"/>
            <w:vAlign w:val="bottom"/>
          </w:tcPr>
          <w:p>
            <w:pPr>
              <w:spacing w:after="0"/>
              <w:rPr>
                <w:sz w:val="1"/>
                <w:szCs w:val="1"/>
                <w:color w:val="auto"/>
              </w:rPr>
            </w:pPr>
          </w:p>
        </w:tc>
      </w:tr>
      <w:tr>
        <w:trPr>
          <w:trHeight w:val="210"/>
        </w:trPr>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private companies</w:t>
            </w:r>
          </w:p>
        </w:tc>
        <w:tc>
          <w:tcPr>
            <w:tcW w:w="110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Income approach</w:t>
            </w: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Revenue multiples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4.5x – 5.0x</w:t>
            </w: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(4.8x)</w:t>
            </w:r>
          </w:p>
        </w:tc>
        <w:tc>
          <w:tcPr>
            <w:tcW w:w="0" w:type="dxa"/>
            <w:vAlign w:val="bottom"/>
          </w:tcPr>
          <w:p>
            <w:pPr>
              <w:spacing w:after="0"/>
              <w:rPr>
                <w:sz w:val="1"/>
                <w:szCs w:val="1"/>
                <w:color w:val="auto"/>
              </w:rPr>
            </w:pPr>
          </w:p>
        </w:tc>
      </w:tr>
      <w:tr>
        <w:trPr>
          <w:trHeight w:val="106"/>
        </w:trPr>
        <w:tc>
          <w:tcPr>
            <w:tcW w:w="146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780" w:type="dxa"/>
            <w:vAlign w:val="bottom"/>
            <w:tcBorders>
              <w:right w:val="single" w:sz="8" w:color="auto"/>
            </w:tcBorders>
            <w:vMerge w:val="continue"/>
          </w:tcPr>
          <w:p>
            <w:pPr>
              <w:spacing w:after="0"/>
              <w:rPr>
                <w:sz w:val="9"/>
                <w:szCs w:val="9"/>
                <w:color w:val="auto"/>
              </w:rPr>
            </w:pPr>
          </w:p>
        </w:tc>
        <w:tc>
          <w:tcPr>
            <w:tcW w:w="2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EBIT multiples</w:t>
            </w:r>
          </w:p>
        </w:tc>
        <w:tc>
          <w:tcPr>
            <w:tcW w:w="1860" w:type="dxa"/>
            <w:vAlign w:val="bottom"/>
            <w:gridSpan w:val="2"/>
            <w:vMerge w:val="restart"/>
          </w:tcPr>
          <w:p>
            <w:pPr>
              <w:jc w:val="center"/>
              <w:spacing w:after="0"/>
              <w:rPr>
                <w:sz w:val="20"/>
                <w:szCs w:val="20"/>
                <w:color w:val="auto"/>
              </w:rPr>
            </w:pPr>
            <w:r>
              <w:rPr>
                <w:rFonts w:ascii="Arial" w:cs="Arial" w:eastAsia="Arial" w:hAnsi="Arial"/>
                <w:sz w:val="14"/>
                <w:szCs w:val="14"/>
                <w:color w:val="auto"/>
                <w:w w:val="94"/>
              </w:rPr>
              <w:t>18.0x – 21.0x (19.5x)</w:t>
            </w:r>
          </w:p>
        </w:tc>
        <w:tc>
          <w:tcPr>
            <w:tcW w:w="0" w:type="dxa"/>
            <w:vAlign w:val="bottom"/>
          </w:tcPr>
          <w:p>
            <w:pPr>
              <w:spacing w:after="0"/>
              <w:rPr>
                <w:sz w:val="1"/>
                <w:szCs w:val="1"/>
                <w:color w:val="auto"/>
              </w:rPr>
            </w:pPr>
          </w:p>
        </w:tc>
      </w:tr>
      <w:tr>
        <w:trPr>
          <w:trHeight w:val="108"/>
        </w:trPr>
        <w:tc>
          <w:tcPr>
            <w:tcW w:w="1460" w:type="dxa"/>
            <w:vAlign w:val="bottom"/>
            <w:tcBorders>
              <w:right w:val="single" w:sz="8" w:color="auto"/>
            </w:tcBorders>
          </w:tcPr>
          <w:p>
            <w:pPr>
              <w:spacing w:after="0"/>
              <w:rPr>
                <w:sz w:val="8"/>
                <w:szCs w:val="8"/>
                <w:color w:val="auto"/>
              </w:rPr>
            </w:pPr>
          </w:p>
        </w:tc>
        <w:tc>
          <w:tcPr>
            <w:tcW w:w="1100" w:type="dxa"/>
            <w:vAlign w:val="bottom"/>
            <w:tcBorders>
              <w:right w:val="single" w:sz="8" w:color="auto"/>
            </w:tcBorders>
          </w:tcPr>
          <w:p>
            <w:pPr>
              <w:spacing w:after="0"/>
              <w:rPr>
                <w:sz w:val="8"/>
                <w:szCs w:val="8"/>
                <w:color w:val="auto"/>
              </w:rPr>
            </w:pPr>
          </w:p>
        </w:tc>
        <w:tc>
          <w:tcPr>
            <w:tcW w:w="1780" w:type="dxa"/>
            <w:vAlign w:val="bottom"/>
            <w:tcBorders>
              <w:right w:val="single" w:sz="8" w:color="auto"/>
            </w:tcBorders>
          </w:tcPr>
          <w:p>
            <w:pPr>
              <w:spacing w:after="0"/>
              <w:rPr>
                <w:sz w:val="8"/>
                <w:szCs w:val="8"/>
                <w:color w:val="auto"/>
              </w:rPr>
            </w:pPr>
          </w:p>
        </w:tc>
        <w:tc>
          <w:tcPr>
            <w:tcW w:w="2020" w:type="dxa"/>
            <w:vAlign w:val="bottom"/>
            <w:tcBorders>
              <w:bottom w:val="single" w:sz="8" w:color="auto"/>
              <w:right w:val="single" w:sz="8" w:color="auto"/>
            </w:tcBorders>
            <w:vMerge w:val="continue"/>
          </w:tcPr>
          <w:p>
            <w:pPr>
              <w:spacing w:after="0"/>
              <w:rPr>
                <w:sz w:val="8"/>
                <w:szCs w:val="8"/>
                <w:color w:val="auto"/>
              </w:rPr>
            </w:pPr>
          </w:p>
        </w:tc>
        <w:tc>
          <w:tcPr>
            <w:tcW w:w="1860" w:type="dxa"/>
            <w:vAlign w:val="bottom"/>
            <w:tcBorders>
              <w:bottom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46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Discount rate</w:t>
            </w:r>
          </w:p>
        </w:tc>
        <w:tc>
          <w:tcPr>
            <w:tcW w:w="1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2"/>
              </w:rPr>
              <w:t>35% (35%)</w:t>
            </w:r>
          </w:p>
        </w:tc>
        <w:tc>
          <w:tcPr>
            <w:tcW w:w="0" w:type="dxa"/>
            <w:vAlign w:val="bottom"/>
          </w:tcPr>
          <w:p>
            <w:pPr>
              <w:spacing w:after="0"/>
              <w:rPr>
                <w:sz w:val="1"/>
                <w:szCs w:val="1"/>
                <w:color w:val="auto"/>
              </w:rPr>
            </w:pPr>
          </w:p>
        </w:tc>
      </w:tr>
      <w:tr>
        <w:trPr>
          <w:trHeight w:val="210"/>
        </w:trPr>
        <w:tc>
          <w:tcPr>
            <w:tcW w:w="146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Liquidation Value</w:t>
            </w: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Liquidation Value</w:t>
            </w:r>
          </w:p>
        </w:tc>
        <w:tc>
          <w:tcPr>
            <w:tcW w:w="1060" w:type="dxa"/>
            <w:vAlign w:val="bottom"/>
            <w:tcBorders>
              <w:bottom w:val="single" w:sz="8" w:color="auto"/>
            </w:tcBorders>
          </w:tcPr>
          <w:p>
            <w:pPr>
              <w:jc w:val="center"/>
              <w:ind w:left="708"/>
              <w:spacing w:after="0"/>
              <w:rPr>
                <w:sz w:val="20"/>
                <w:szCs w:val="20"/>
                <w:color w:val="auto"/>
              </w:rPr>
            </w:pPr>
            <w:r>
              <w:rPr>
                <w:rFonts w:ascii="Arial" w:cs="Arial" w:eastAsia="Arial" w:hAnsi="Arial"/>
                <w:sz w:val="14"/>
                <w:szCs w:val="14"/>
                <w:color w:val="auto"/>
              </w:rPr>
              <w:t>N/A</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460" w:type="dxa"/>
            <w:vAlign w:val="bottom"/>
            <w:tcBorders>
              <w:right w:val="single" w:sz="8" w:color="auto"/>
            </w:tcBorders>
          </w:tcPr>
          <w:p>
            <w:pPr>
              <w:spacing w:after="0"/>
              <w:rPr>
                <w:sz w:val="21"/>
                <w:szCs w:val="21"/>
                <w:color w:val="auto"/>
              </w:rPr>
            </w:pPr>
          </w:p>
        </w:tc>
        <w:tc>
          <w:tcPr>
            <w:tcW w:w="1100" w:type="dxa"/>
            <w:vAlign w:val="bottom"/>
            <w:tcBorders>
              <w:right w:val="single" w:sz="8" w:color="auto"/>
            </w:tcBorders>
          </w:tcPr>
          <w:p>
            <w:pPr>
              <w:spacing w:after="0"/>
              <w:rPr>
                <w:sz w:val="21"/>
                <w:szCs w:val="21"/>
                <w:color w:val="auto"/>
              </w:rPr>
            </w:pPr>
          </w:p>
        </w:tc>
        <w:tc>
          <w:tcPr>
            <w:tcW w:w="1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Market approach</w:t>
            </w:r>
          </w:p>
        </w:tc>
        <w:tc>
          <w:tcPr>
            <w:tcW w:w="2020" w:type="dxa"/>
            <w:vAlign w:val="bottom"/>
            <w:tcBorders>
              <w:bottom w:val="single" w:sz="8" w:color="auto"/>
              <w:right w:val="single" w:sz="8" w:color="auto"/>
            </w:tcBorders>
          </w:tcPr>
          <w:p>
            <w:pPr>
              <w:jc w:val="center"/>
              <w:spacing w:after="0" w:line="236" w:lineRule="exact"/>
              <w:rPr>
                <w:sz w:val="20"/>
                <w:szCs w:val="20"/>
                <w:color w:val="auto"/>
              </w:rPr>
            </w:pPr>
            <w:r>
              <w:rPr>
                <w:rFonts w:ascii="Arial" w:cs="Arial" w:eastAsia="Arial" w:hAnsi="Arial"/>
                <w:sz w:val="14"/>
                <w:szCs w:val="14"/>
                <w:color w:val="auto"/>
                <w:w w:val="88"/>
              </w:rPr>
              <w:t>Precedent transactions</w:t>
            </w:r>
            <w:r>
              <w:rPr>
                <w:rFonts w:ascii="Arial" w:cs="Arial" w:eastAsia="Arial" w:hAnsi="Arial"/>
                <w:sz w:val="23"/>
                <w:szCs w:val="23"/>
                <w:color w:val="auto"/>
                <w:w w:val="88"/>
                <w:vertAlign w:val="superscript"/>
              </w:rPr>
              <w:t>(1)</w:t>
            </w:r>
          </w:p>
        </w:tc>
        <w:tc>
          <w:tcPr>
            <w:tcW w:w="1060" w:type="dxa"/>
            <w:vAlign w:val="bottom"/>
            <w:tcBorders>
              <w:bottom w:val="single" w:sz="8" w:color="auto"/>
            </w:tcBorders>
          </w:tcPr>
          <w:p>
            <w:pPr>
              <w:jc w:val="center"/>
              <w:ind w:left="708"/>
              <w:spacing w:after="0"/>
              <w:rPr>
                <w:sz w:val="20"/>
                <w:szCs w:val="20"/>
                <w:color w:val="auto"/>
              </w:rPr>
            </w:pPr>
            <w:r>
              <w:rPr>
                <w:rFonts w:ascii="Arial" w:cs="Arial" w:eastAsia="Arial" w:hAnsi="Arial"/>
                <w:sz w:val="14"/>
                <w:szCs w:val="14"/>
                <w:color w:val="auto"/>
              </w:rPr>
              <w:t>N/A</w:t>
            </w:r>
          </w:p>
        </w:tc>
        <w:tc>
          <w:tcPr>
            <w:tcW w:w="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66"/>
        </w:trPr>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Preferred stock in</w:t>
            </w:r>
          </w:p>
        </w:tc>
        <w:tc>
          <w:tcPr>
            <w:tcW w:w="1100" w:type="dxa"/>
            <w:vAlign w:val="bottom"/>
            <w:tcBorders>
              <w:right w:val="single" w:sz="8" w:color="auto"/>
            </w:tcBorders>
            <w:vMerge w:val="restart"/>
          </w:tcPr>
          <w:p>
            <w:pPr>
              <w:jc w:val="right"/>
              <w:ind w:right="88"/>
              <w:spacing w:after="0"/>
              <w:rPr>
                <w:sz w:val="20"/>
                <w:szCs w:val="20"/>
                <w:color w:val="auto"/>
              </w:rPr>
            </w:pPr>
            <w:r>
              <w:rPr>
                <w:rFonts w:ascii="Arial" w:cs="Arial" w:eastAsia="Arial" w:hAnsi="Arial"/>
                <w:sz w:val="14"/>
                <w:szCs w:val="14"/>
                <w:color w:val="auto"/>
              </w:rPr>
              <w:t>$214,250,621</w:t>
            </w:r>
          </w:p>
        </w:tc>
        <w:tc>
          <w:tcPr>
            <w:tcW w:w="1780" w:type="dxa"/>
            <w:vAlign w:val="bottom"/>
            <w:tcBorders>
              <w:right w:val="single" w:sz="8" w:color="auto"/>
            </w:tcBorders>
            <w:vMerge w:val="continue"/>
          </w:tcPr>
          <w:p>
            <w:pPr>
              <w:spacing w:after="0"/>
              <w:rPr>
                <w:sz w:val="5"/>
                <w:szCs w:val="5"/>
                <w:color w:val="auto"/>
              </w:rPr>
            </w:pPr>
          </w:p>
        </w:tc>
        <w:tc>
          <w:tcPr>
            <w:tcW w:w="2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Revenue multiples</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1.3x – 3.0x</w:t>
            </w:r>
          </w:p>
        </w:tc>
        <w:tc>
          <w:tcPr>
            <w:tcW w:w="800" w:type="dxa"/>
            <w:vAlign w:val="bottom"/>
            <w:vMerge w:val="restart"/>
          </w:tcPr>
          <w:p>
            <w:pPr>
              <w:ind w:left="20"/>
              <w:spacing w:after="0"/>
              <w:rPr>
                <w:sz w:val="20"/>
                <w:szCs w:val="20"/>
                <w:color w:val="auto"/>
              </w:rPr>
            </w:pPr>
            <w:r>
              <w:rPr>
                <w:rFonts w:ascii="Arial" w:cs="Arial" w:eastAsia="Arial" w:hAnsi="Arial"/>
                <w:sz w:val="14"/>
                <w:szCs w:val="14"/>
                <w:color w:val="auto"/>
              </w:rPr>
              <w:t>(2.1x)</w:t>
            </w:r>
          </w:p>
        </w:tc>
        <w:tc>
          <w:tcPr>
            <w:tcW w:w="0" w:type="dxa"/>
            <w:vAlign w:val="bottom"/>
          </w:tcPr>
          <w:p>
            <w:pPr>
              <w:spacing w:after="0"/>
              <w:rPr>
                <w:sz w:val="1"/>
                <w:szCs w:val="1"/>
                <w:color w:val="auto"/>
              </w:rPr>
            </w:pPr>
          </w:p>
        </w:tc>
      </w:tr>
      <w:tr>
        <w:trPr>
          <w:trHeight w:val="149"/>
        </w:trPr>
        <w:tc>
          <w:tcPr>
            <w:tcW w:w="1460" w:type="dxa"/>
            <w:vAlign w:val="bottom"/>
            <w:tcBorders>
              <w:right w:val="single" w:sz="8" w:color="auto"/>
            </w:tcBorders>
            <w:vMerge w:val="continue"/>
          </w:tcPr>
          <w:p>
            <w:pPr>
              <w:spacing w:after="0"/>
              <w:rPr>
                <w:sz w:val="12"/>
                <w:szCs w:val="12"/>
                <w:color w:val="auto"/>
              </w:rPr>
            </w:pPr>
          </w:p>
        </w:tc>
        <w:tc>
          <w:tcPr>
            <w:tcW w:w="1100" w:type="dxa"/>
            <w:vAlign w:val="bottom"/>
            <w:tcBorders>
              <w:right w:val="single" w:sz="8" w:color="auto"/>
            </w:tcBorders>
            <w:vMerge w:val="continue"/>
          </w:tcPr>
          <w:p>
            <w:pPr>
              <w:spacing w:after="0"/>
              <w:rPr>
                <w:sz w:val="12"/>
                <w:szCs w:val="12"/>
                <w:color w:val="auto"/>
              </w:rPr>
            </w:pPr>
          </w:p>
        </w:tc>
        <w:tc>
          <w:tcPr>
            <w:tcW w:w="1780" w:type="dxa"/>
            <w:vAlign w:val="bottom"/>
            <w:tcBorders>
              <w:right w:val="single" w:sz="8" w:color="auto"/>
            </w:tcBorders>
          </w:tcPr>
          <w:p>
            <w:pPr>
              <w:spacing w:after="0"/>
              <w:rPr>
                <w:sz w:val="12"/>
                <w:szCs w:val="12"/>
                <w:color w:val="auto"/>
              </w:rPr>
            </w:pPr>
          </w:p>
        </w:tc>
        <w:tc>
          <w:tcPr>
            <w:tcW w:w="2020" w:type="dxa"/>
            <w:vAlign w:val="bottom"/>
            <w:tcBorders>
              <w:bottom w:val="single" w:sz="8" w:color="auto"/>
              <w:right w:val="single" w:sz="8" w:color="auto"/>
            </w:tcBorders>
            <w:vMerge w:val="continue"/>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146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1780" w:type="dxa"/>
            <w:vAlign w:val="bottom"/>
            <w:tcBorders>
              <w:right w:val="single" w:sz="8" w:color="auto"/>
            </w:tcBorders>
          </w:tcPr>
          <w:p>
            <w:pPr>
              <w:spacing w:after="0"/>
              <w:rPr>
                <w:sz w:val="8"/>
                <w:szCs w:val="8"/>
                <w:color w:val="auto"/>
              </w:rPr>
            </w:pPr>
          </w:p>
        </w:tc>
        <w:tc>
          <w:tcPr>
            <w:tcW w:w="2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EBIT multiples</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4.0x – 25.0x</w:t>
            </w:r>
          </w:p>
        </w:tc>
        <w:tc>
          <w:tcPr>
            <w:tcW w:w="800" w:type="dxa"/>
            <w:vAlign w:val="bottom"/>
            <w:vMerge w:val="restart"/>
          </w:tcPr>
          <w:p>
            <w:pPr>
              <w:ind w:left="20"/>
              <w:spacing w:after="0"/>
              <w:rPr>
                <w:sz w:val="20"/>
                <w:szCs w:val="20"/>
                <w:color w:val="auto"/>
              </w:rPr>
            </w:pPr>
            <w:r>
              <w:rPr>
                <w:rFonts w:ascii="Arial" w:cs="Arial" w:eastAsia="Arial" w:hAnsi="Arial"/>
                <w:sz w:val="14"/>
                <w:szCs w:val="14"/>
                <w:color w:val="auto"/>
              </w:rPr>
              <w:t>(14.5x)</w:t>
            </w:r>
          </w:p>
        </w:tc>
        <w:tc>
          <w:tcPr>
            <w:tcW w:w="0" w:type="dxa"/>
            <w:vAlign w:val="bottom"/>
          </w:tcPr>
          <w:p>
            <w:pPr>
              <w:spacing w:after="0"/>
              <w:rPr>
                <w:sz w:val="1"/>
                <w:szCs w:val="1"/>
                <w:color w:val="auto"/>
              </w:rPr>
            </w:pPr>
          </w:p>
        </w:tc>
      </w:tr>
      <w:tr>
        <w:trPr>
          <w:trHeight w:val="110"/>
        </w:trPr>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private companies</w:t>
            </w:r>
          </w:p>
        </w:tc>
        <w:tc>
          <w:tcPr>
            <w:tcW w:w="1100" w:type="dxa"/>
            <w:vAlign w:val="bottom"/>
            <w:tcBorders>
              <w:right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2020" w:type="dxa"/>
            <w:vAlign w:val="bottom"/>
            <w:tcBorders>
              <w:bottom w:val="single" w:sz="8" w:color="auto"/>
              <w:right w:val="single" w:sz="8" w:color="auto"/>
            </w:tcBorders>
            <w:vMerge w:val="continue"/>
          </w:tcPr>
          <w:p>
            <w:pPr>
              <w:spacing w:after="0"/>
              <w:rPr>
                <w:sz w:val="9"/>
                <w:szCs w:val="9"/>
                <w:color w:val="auto"/>
              </w:rPr>
            </w:pPr>
          </w:p>
        </w:tc>
        <w:tc>
          <w:tcPr>
            <w:tcW w:w="1060" w:type="dxa"/>
            <w:vAlign w:val="bottom"/>
            <w:tcBorders>
              <w:bottom w:val="single" w:sz="8" w:color="auto"/>
            </w:tcBorders>
            <w:vMerge w:val="continue"/>
          </w:tcPr>
          <w:p>
            <w:pPr>
              <w:spacing w:after="0"/>
              <w:rPr>
                <w:sz w:val="9"/>
                <w:szCs w:val="9"/>
                <w:color w:val="auto"/>
              </w:rPr>
            </w:pPr>
          </w:p>
        </w:tc>
        <w:tc>
          <w:tcPr>
            <w:tcW w:w="80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1460" w:type="dxa"/>
            <w:vAlign w:val="bottom"/>
            <w:tcBorders>
              <w:right w:val="single" w:sz="8" w:color="auto"/>
            </w:tcBorders>
            <w:vMerge w:val="continue"/>
          </w:tcPr>
          <w:p>
            <w:pPr>
              <w:spacing w:after="0"/>
              <w:rPr>
                <w:sz w:val="4"/>
                <w:szCs w:val="4"/>
                <w:color w:val="auto"/>
              </w:rPr>
            </w:pPr>
          </w:p>
        </w:tc>
        <w:tc>
          <w:tcPr>
            <w:tcW w:w="1100" w:type="dxa"/>
            <w:vAlign w:val="bottom"/>
            <w:tcBorders>
              <w:right w:val="single" w:sz="8" w:color="auto"/>
            </w:tcBorders>
          </w:tcPr>
          <w:p>
            <w:pPr>
              <w:spacing w:after="0"/>
              <w:rPr>
                <w:sz w:val="4"/>
                <w:szCs w:val="4"/>
                <w:color w:val="auto"/>
              </w:rPr>
            </w:pPr>
          </w:p>
        </w:tc>
        <w:tc>
          <w:tcPr>
            <w:tcW w:w="1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Income approach</w:t>
            </w:r>
          </w:p>
        </w:tc>
        <w:tc>
          <w:tcPr>
            <w:tcW w:w="2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Revenue multiples</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2.0x – 5.0x</w:t>
            </w:r>
          </w:p>
        </w:tc>
        <w:tc>
          <w:tcPr>
            <w:tcW w:w="800" w:type="dxa"/>
            <w:vAlign w:val="bottom"/>
            <w:vMerge w:val="restart"/>
          </w:tcPr>
          <w:p>
            <w:pPr>
              <w:ind w:left="20"/>
              <w:spacing w:after="0"/>
              <w:rPr>
                <w:sz w:val="20"/>
                <w:szCs w:val="20"/>
                <w:color w:val="auto"/>
              </w:rPr>
            </w:pPr>
            <w:r>
              <w:rPr>
                <w:rFonts w:ascii="Arial" w:cs="Arial" w:eastAsia="Arial" w:hAnsi="Arial"/>
                <w:sz w:val="14"/>
                <w:szCs w:val="14"/>
                <w:color w:val="auto"/>
              </w:rPr>
              <w:t>(3.7x)</w:t>
            </w:r>
          </w:p>
        </w:tc>
        <w:tc>
          <w:tcPr>
            <w:tcW w:w="0" w:type="dxa"/>
            <w:vAlign w:val="bottom"/>
          </w:tcPr>
          <w:p>
            <w:pPr>
              <w:spacing w:after="0"/>
              <w:rPr>
                <w:sz w:val="1"/>
                <w:szCs w:val="1"/>
                <w:color w:val="auto"/>
              </w:rPr>
            </w:pPr>
          </w:p>
        </w:tc>
      </w:tr>
      <w:tr>
        <w:trPr>
          <w:trHeight w:val="162"/>
        </w:trPr>
        <w:tc>
          <w:tcPr>
            <w:tcW w:w="1460" w:type="dxa"/>
            <w:vAlign w:val="bottom"/>
            <w:tcBorders>
              <w:right w:val="single" w:sz="8" w:color="auto"/>
            </w:tcBorders>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1780" w:type="dxa"/>
            <w:vAlign w:val="bottom"/>
            <w:tcBorders>
              <w:right w:val="single" w:sz="8" w:color="auto"/>
            </w:tcBorders>
            <w:vMerge w:val="continue"/>
          </w:tcPr>
          <w:p>
            <w:pPr>
              <w:spacing w:after="0"/>
              <w:rPr>
                <w:sz w:val="13"/>
                <w:szCs w:val="13"/>
                <w:color w:val="auto"/>
              </w:rPr>
            </w:pPr>
          </w:p>
        </w:tc>
        <w:tc>
          <w:tcPr>
            <w:tcW w:w="2020" w:type="dxa"/>
            <w:vAlign w:val="bottom"/>
            <w:tcBorders>
              <w:bottom w:val="single" w:sz="8" w:color="auto"/>
              <w:right w:val="single" w:sz="8" w:color="auto"/>
            </w:tcBorders>
            <w:vMerge w:val="continue"/>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146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780" w:type="dxa"/>
            <w:vAlign w:val="bottom"/>
            <w:tcBorders>
              <w:right w:val="single" w:sz="8" w:color="auto"/>
            </w:tcBorders>
            <w:vMerge w:val="continue"/>
          </w:tcPr>
          <w:p>
            <w:pPr>
              <w:spacing w:after="0"/>
              <w:rPr>
                <w:sz w:val="9"/>
                <w:szCs w:val="9"/>
                <w:color w:val="auto"/>
              </w:rPr>
            </w:pPr>
          </w:p>
        </w:tc>
        <w:tc>
          <w:tcPr>
            <w:tcW w:w="2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EBIT multiples</w:t>
            </w:r>
          </w:p>
        </w:tc>
        <w:tc>
          <w:tcPr>
            <w:tcW w:w="1860" w:type="dxa"/>
            <w:vAlign w:val="bottom"/>
            <w:gridSpan w:val="2"/>
            <w:vMerge w:val="restart"/>
          </w:tcPr>
          <w:p>
            <w:pPr>
              <w:jc w:val="center"/>
              <w:spacing w:after="0"/>
              <w:rPr>
                <w:sz w:val="20"/>
                <w:szCs w:val="20"/>
                <w:color w:val="auto"/>
              </w:rPr>
            </w:pPr>
            <w:r>
              <w:rPr>
                <w:rFonts w:ascii="Arial" w:cs="Arial" w:eastAsia="Arial" w:hAnsi="Arial"/>
                <w:sz w:val="14"/>
                <w:szCs w:val="14"/>
                <w:color w:val="auto"/>
                <w:w w:val="94"/>
              </w:rPr>
              <w:t>10.0x – 35.0x (18.0x)</w:t>
            </w:r>
          </w:p>
        </w:tc>
        <w:tc>
          <w:tcPr>
            <w:tcW w:w="0" w:type="dxa"/>
            <w:vAlign w:val="bottom"/>
          </w:tcPr>
          <w:p>
            <w:pPr>
              <w:spacing w:after="0"/>
              <w:rPr>
                <w:sz w:val="1"/>
                <w:szCs w:val="1"/>
                <w:color w:val="auto"/>
              </w:rPr>
            </w:pPr>
          </w:p>
        </w:tc>
      </w:tr>
      <w:tr>
        <w:trPr>
          <w:trHeight w:val="108"/>
        </w:trPr>
        <w:tc>
          <w:tcPr>
            <w:tcW w:w="1460" w:type="dxa"/>
            <w:vAlign w:val="bottom"/>
            <w:tcBorders>
              <w:right w:val="single" w:sz="8" w:color="auto"/>
            </w:tcBorders>
          </w:tcPr>
          <w:p>
            <w:pPr>
              <w:spacing w:after="0"/>
              <w:rPr>
                <w:sz w:val="8"/>
                <w:szCs w:val="8"/>
                <w:color w:val="auto"/>
              </w:rPr>
            </w:pPr>
          </w:p>
        </w:tc>
        <w:tc>
          <w:tcPr>
            <w:tcW w:w="1100" w:type="dxa"/>
            <w:vAlign w:val="bottom"/>
            <w:tcBorders>
              <w:right w:val="single" w:sz="8" w:color="auto"/>
            </w:tcBorders>
          </w:tcPr>
          <w:p>
            <w:pPr>
              <w:spacing w:after="0"/>
              <w:rPr>
                <w:sz w:val="8"/>
                <w:szCs w:val="8"/>
                <w:color w:val="auto"/>
              </w:rPr>
            </w:pPr>
          </w:p>
        </w:tc>
        <w:tc>
          <w:tcPr>
            <w:tcW w:w="1780" w:type="dxa"/>
            <w:vAlign w:val="bottom"/>
            <w:tcBorders>
              <w:right w:val="single" w:sz="8" w:color="auto"/>
            </w:tcBorders>
          </w:tcPr>
          <w:p>
            <w:pPr>
              <w:spacing w:after="0"/>
              <w:rPr>
                <w:sz w:val="8"/>
                <w:szCs w:val="8"/>
                <w:color w:val="auto"/>
              </w:rPr>
            </w:pPr>
          </w:p>
        </w:tc>
        <w:tc>
          <w:tcPr>
            <w:tcW w:w="2020" w:type="dxa"/>
            <w:vAlign w:val="bottom"/>
            <w:tcBorders>
              <w:bottom w:val="single" w:sz="8" w:color="auto"/>
              <w:right w:val="single" w:sz="8" w:color="auto"/>
            </w:tcBorders>
            <w:vMerge w:val="continue"/>
          </w:tcPr>
          <w:p>
            <w:pPr>
              <w:spacing w:after="0"/>
              <w:rPr>
                <w:sz w:val="8"/>
                <w:szCs w:val="8"/>
                <w:color w:val="auto"/>
              </w:rPr>
            </w:pPr>
          </w:p>
        </w:tc>
        <w:tc>
          <w:tcPr>
            <w:tcW w:w="1860" w:type="dxa"/>
            <w:vAlign w:val="bottom"/>
            <w:tcBorders>
              <w:bottom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46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Discount rate</w:t>
            </w:r>
          </w:p>
        </w:tc>
        <w:tc>
          <w:tcPr>
            <w:tcW w:w="1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5"/>
              </w:rPr>
              <w:t>30% – 50% (40%)</w:t>
            </w:r>
          </w:p>
        </w:tc>
        <w:tc>
          <w:tcPr>
            <w:tcW w:w="0" w:type="dxa"/>
            <w:vAlign w:val="bottom"/>
          </w:tcPr>
          <w:p>
            <w:pPr>
              <w:spacing w:after="0"/>
              <w:rPr>
                <w:sz w:val="1"/>
                <w:szCs w:val="1"/>
                <w:color w:val="auto"/>
              </w:rPr>
            </w:pPr>
          </w:p>
        </w:tc>
      </w:tr>
      <w:tr>
        <w:trPr>
          <w:trHeight w:val="210"/>
        </w:trPr>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Debt Investments</w:t>
            </w:r>
          </w:p>
        </w:tc>
        <w:tc>
          <w:tcPr>
            <w:tcW w:w="1100" w:type="dxa"/>
            <w:vAlign w:val="bottom"/>
            <w:tcBorders>
              <w:bottom w:val="single" w:sz="8" w:color="auto"/>
              <w:right w:val="single" w:sz="8" w:color="auto"/>
            </w:tcBorders>
          </w:tcPr>
          <w:p>
            <w:pPr>
              <w:jc w:val="right"/>
              <w:ind w:right="128"/>
              <w:spacing w:after="0"/>
              <w:rPr>
                <w:sz w:val="20"/>
                <w:szCs w:val="20"/>
                <w:color w:val="auto"/>
              </w:rPr>
            </w:pPr>
            <w:r>
              <w:rPr>
                <w:rFonts w:ascii="Arial" w:cs="Arial" w:eastAsia="Arial" w:hAnsi="Arial"/>
                <w:sz w:val="14"/>
                <w:szCs w:val="14"/>
                <w:color w:val="auto"/>
              </w:rPr>
              <w:t>$5,685,506</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Market approach</w:t>
            </w: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Amortized Cost</w:t>
            </w:r>
          </w:p>
        </w:tc>
        <w:tc>
          <w:tcPr>
            <w:tcW w:w="1060" w:type="dxa"/>
            <w:vAlign w:val="bottom"/>
            <w:tcBorders>
              <w:bottom w:val="single" w:sz="8" w:color="auto"/>
            </w:tcBorders>
          </w:tcPr>
          <w:p>
            <w:pPr>
              <w:jc w:val="center"/>
              <w:ind w:left="708"/>
              <w:spacing w:after="0"/>
              <w:rPr>
                <w:sz w:val="20"/>
                <w:szCs w:val="20"/>
                <w:color w:val="auto"/>
              </w:rPr>
            </w:pPr>
            <w:r>
              <w:rPr>
                <w:rFonts w:ascii="Arial" w:cs="Arial" w:eastAsia="Arial" w:hAnsi="Arial"/>
                <w:sz w:val="14"/>
                <w:szCs w:val="14"/>
                <w:color w:val="auto"/>
              </w:rPr>
              <w:t>N/A</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Warrants</w:t>
            </w:r>
          </w:p>
        </w:tc>
        <w:tc>
          <w:tcPr>
            <w:tcW w:w="1100" w:type="dxa"/>
            <w:vAlign w:val="bottom"/>
            <w:tcBorders>
              <w:right w:val="single" w:sz="8" w:color="auto"/>
            </w:tcBorders>
            <w:vMerge w:val="restart"/>
          </w:tcPr>
          <w:p>
            <w:pPr>
              <w:jc w:val="right"/>
              <w:ind w:right="148"/>
              <w:spacing w:after="0"/>
              <w:rPr>
                <w:sz w:val="20"/>
                <w:szCs w:val="20"/>
                <w:color w:val="auto"/>
              </w:rPr>
            </w:pPr>
            <w:r>
              <w:rPr>
                <w:rFonts w:ascii="Arial" w:cs="Arial" w:eastAsia="Arial" w:hAnsi="Arial"/>
                <w:sz w:val="14"/>
                <w:szCs w:val="14"/>
                <w:color w:val="auto"/>
              </w:rPr>
              <w:t>$394,791</w:t>
            </w:r>
          </w:p>
        </w:tc>
        <w:tc>
          <w:tcPr>
            <w:tcW w:w="1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6"/>
              </w:rPr>
              <w:t>Option pricing model</w:t>
            </w: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Term to expiration (Years)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0.78 – 3.00</w:t>
            </w: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(2.33)</w:t>
            </w:r>
          </w:p>
        </w:tc>
        <w:tc>
          <w:tcPr>
            <w:tcW w:w="0" w:type="dxa"/>
            <w:vAlign w:val="bottom"/>
          </w:tcPr>
          <w:p>
            <w:pPr>
              <w:spacing w:after="0"/>
              <w:rPr>
                <w:sz w:val="1"/>
                <w:szCs w:val="1"/>
                <w:color w:val="auto"/>
              </w:rPr>
            </w:pPr>
          </w:p>
        </w:tc>
      </w:tr>
      <w:tr>
        <w:trPr>
          <w:trHeight w:val="106"/>
        </w:trPr>
        <w:tc>
          <w:tcPr>
            <w:tcW w:w="146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vMerge w:val="continue"/>
          </w:tcPr>
          <w:p>
            <w:pPr>
              <w:spacing w:after="0"/>
              <w:rPr>
                <w:sz w:val="9"/>
                <w:szCs w:val="9"/>
                <w:color w:val="auto"/>
              </w:rPr>
            </w:pPr>
          </w:p>
        </w:tc>
        <w:tc>
          <w:tcPr>
            <w:tcW w:w="1780" w:type="dxa"/>
            <w:vAlign w:val="bottom"/>
            <w:tcBorders>
              <w:right w:val="single" w:sz="8" w:color="auto"/>
            </w:tcBorders>
            <w:vMerge w:val="continue"/>
          </w:tcPr>
          <w:p>
            <w:pPr>
              <w:spacing w:after="0"/>
              <w:rPr>
                <w:sz w:val="9"/>
                <w:szCs w:val="9"/>
                <w:color w:val="auto"/>
              </w:rPr>
            </w:pPr>
          </w:p>
        </w:tc>
        <w:tc>
          <w:tcPr>
            <w:tcW w:w="2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Strike price</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0.13 – 4.59</w:t>
            </w:r>
          </w:p>
        </w:tc>
        <w:tc>
          <w:tcPr>
            <w:tcW w:w="800" w:type="dxa"/>
            <w:vAlign w:val="bottom"/>
            <w:vMerge w:val="restart"/>
          </w:tcPr>
          <w:p>
            <w:pPr>
              <w:ind w:left="20"/>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08"/>
        </w:trPr>
        <w:tc>
          <w:tcPr>
            <w:tcW w:w="1460" w:type="dxa"/>
            <w:vAlign w:val="bottom"/>
            <w:tcBorders>
              <w:right w:val="single" w:sz="8" w:color="auto"/>
            </w:tcBorders>
          </w:tcPr>
          <w:p>
            <w:pPr>
              <w:spacing w:after="0"/>
              <w:rPr>
                <w:sz w:val="8"/>
                <w:szCs w:val="8"/>
                <w:color w:val="auto"/>
              </w:rPr>
            </w:pPr>
          </w:p>
        </w:tc>
        <w:tc>
          <w:tcPr>
            <w:tcW w:w="1100" w:type="dxa"/>
            <w:vAlign w:val="bottom"/>
            <w:tcBorders>
              <w:right w:val="single" w:sz="8" w:color="auto"/>
            </w:tcBorders>
          </w:tcPr>
          <w:p>
            <w:pPr>
              <w:spacing w:after="0"/>
              <w:rPr>
                <w:sz w:val="8"/>
                <w:szCs w:val="8"/>
                <w:color w:val="auto"/>
              </w:rPr>
            </w:pPr>
          </w:p>
        </w:tc>
        <w:tc>
          <w:tcPr>
            <w:tcW w:w="1780" w:type="dxa"/>
            <w:vAlign w:val="bottom"/>
            <w:tcBorders>
              <w:right w:val="single" w:sz="8" w:color="auto"/>
            </w:tcBorders>
          </w:tcPr>
          <w:p>
            <w:pPr>
              <w:spacing w:after="0"/>
              <w:rPr>
                <w:sz w:val="8"/>
                <w:szCs w:val="8"/>
                <w:color w:val="auto"/>
              </w:rPr>
            </w:pPr>
          </w:p>
        </w:tc>
        <w:tc>
          <w:tcPr>
            <w:tcW w:w="2020" w:type="dxa"/>
            <w:vAlign w:val="bottom"/>
            <w:tcBorders>
              <w:bottom w:val="single" w:sz="8" w:color="auto"/>
              <w:right w:val="single" w:sz="8" w:color="auto"/>
            </w:tcBorders>
            <w:vMerge w:val="continue"/>
          </w:tcPr>
          <w:p>
            <w:pPr>
              <w:spacing w:after="0"/>
              <w:rPr>
                <w:sz w:val="8"/>
                <w:szCs w:val="8"/>
                <w:color w:val="auto"/>
              </w:rPr>
            </w:pPr>
          </w:p>
        </w:tc>
        <w:tc>
          <w:tcPr>
            <w:tcW w:w="1060" w:type="dxa"/>
            <w:vAlign w:val="bottom"/>
            <w:tcBorders>
              <w:bottom w:val="single" w:sz="8" w:color="auto"/>
            </w:tcBorders>
            <w:vMerge w:val="continue"/>
          </w:tcPr>
          <w:p>
            <w:pPr>
              <w:spacing w:after="0"/>
              <w:rPr>
                <w:sz w:val="8"/>
                <w:szCs w:val="8"/>
                <w:color w:val="auto"/>
              </w:rPr>
            </w:pPr>
          </w:p>
        </w:tc>
        <w:tc>
          <w:tcPr>
            <w:tcW w:w="8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46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1780" w:type="dxa"/>
            <w:vAlign w:val="bottom"/>
            <w:tcBorders>
              <w:bottom w:val="single" w:sz="8" w:color="auto"/>
              <w:right w:val="single" w:sz="8" w:color="auto"/>
            </w:tcBorders>
          </w:tcPr>
          <w:p>
            <w:pPr>
              <w:spacing w:after="0"/>
              <w:rPr>
                <w:sz w:val="17"/>
                <w:szCs w:val="17"/>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Volatility</w:t>
            </w:r>
          </w:p>
        </w:tc>
        <w:tc>
          <w:tcPr>
            <w:tcW w:w="1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4"/>
              </w:rPr>
              <w:t>8.5% – 177.9% (89.9%)</w:t>
            </w: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20"/>
        <w:spacing w:after="0"/>
        <w:rPr>
          <w:sz w:val="20"/>
          <w:szCs w:val="20"/>
          <w:color w:val="auto"/>
        </w:rPr>
      </w:pPr>
      <w:r>
        <w:rPr>
          <w:rFonts w:ascii="Arial" w:cs="Arial" w:eastAsia="Arial" w:hAnsi="Arial"/>
          <w:sz w:val="17"/>
          <w:szCs w:val="17"/>
          <w:color w:val="auto"/>
        </w:rPr>
        <w:t>(1) Precedent transactions include recent rounds of financing, recent purchases made by the Company, and tender offers.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123190</wp:posOffset>
            </wp:positionV>
            <wp:extent cx="5218430" cy="242252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218430" cy="2422525"/>
                    </a:xfrm>
                    <a:prstGeom prst="rect">
                      <a:avLst/>
                    </a:prstGeom>
                    <a:noFill/>
                  </pic:spPr>
                </pic:pic>
              </a:graphicData>
            </a:graphic>
          </wp:anchor>
        </w:drawing>
      </w:r>
    </w:p>
    <w:p>
      <w:pPr>
        <w:spacing w:after="0" w:line="262" w:lineRule="exact"/>
        <w:rPr>
          <w:sz w:val="20"/>
          <w:szCs w:val="20"/>
          <w:color w:val="auto"/>
        </w:rPr>
      </w:pPr>
    </w:p>
    <w:p>
      <w:pPr>
        <w:ind w:left="3360"/>
        <w:spacing w:after="0"/>
        <w:rPr>
          <w:sz w:val="20"/>
          <w:szCs w:val="20"/>
          <w:color w:val="auto"/>
        </w:rPr>
      </w:pPr>
      <w:r>
        <w:rPr>
          <w:rFonts w:ascii="Arial" w:cs="Arial" w:eastAsia="Arial" w:hAnsi="Arial"/>
          <w:sz w:val="14"/>
          <w:szCs w:val="14"/>
          <w:b w:val="1"/>
          <w:bCs w:val="1"/>
          <w:color w:val="auto"/>
        </w:rPr>
        <w:t>As of December 31, 2015</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Asset</w:t>
            </w:r>
          </w:p>
        </w:tc>
        <w:tc>
          <w:tcPr>
            <w:tcW w:w="11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18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Valuation Techniques</w:t>
            </w:r>
          </w:p>
        </w:tc>
        <w:tc>
          <w:tcPr>
            <w:tcW w:w="20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Unobservable inputs</w:t>
            </w:r>
          </w:p>
        </w:tc>
        <w:tc>
          <w:tcPr>
            <w:tcW w:w="17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Range</w:t>
            </w:r>
          </w:p>
        </w:tc>
        <w:tc>
          <w:tcPr>
            <w:tcW w:w="0" w:type="dxa"/>
            <w:vAlign w:val="bottom"/>
          </w:tcPr>
          <w:p>
            <w:pPr>
              <w:spacing w:after="0"/>
              <w:rPr>
                <w:sz w:val="1"/>
                <w:szCs w:val="1"/>
                <w:color w:val="auto"/>
              </w:rPr>
            </w:pPr>
          </w:p>
        </w:tc>
      </w:tr>
      <w:tr>
        <w:trPr>
          <w:trHeight w:val="209"/>
        </w:trPr>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(Liability)</w:t>
            </w:r>
          </w:p>
        </w:tc>
        <w:tc>
          <w:tcPr>
            <w:tcW w:w="1120" w:type="dxa"/>
            <w:vAlign w:val="bottom"/>
            <w:tcBorders>
              <w:bottom w:val="single" w:sz="8" w:color="auto"/>
              <w:right w:val="single" w:sz="8" w:color="auto"/>
            </w:tcBorders>
            <w:vMerge w:val="continue"/>
          </w:tcPr>
          <w:p>
            <w:pPr>
              <w:spacing w:after="0"/>
              <w:rPr>
                <w:sz w:val="18"/>
                <w:szCs w:val="18"/>
                <w:color w:val="auto"/>
              </w:rPr>
            </w:pPr>
          </w:p>
        </w:tc>
        <w:tc>
          <w:tcPr>
            <w:tcW w:w="1800" w:type="dxa"/>
            <w:vAlign w:val="bottom"/>
            <w:tcBorders>
              <w:bottom w:val="single" w:sz="8" w:color="auto"/>
              <w:right w:val="single" w:sz="8" w:color="auto"/>
            </w:tcBorders>
            <w:vMerge w:val="continue"/>
          </w:tcPr>
          <w:p>
            <w:pPr>
              <w:spacing w:after="0"/>
              <w:rPr>
                <w:sz w:val="18"/>
                <w:szCs w:val="18"/>
                <w:color w:val="auto"/>
              </w:rPr>
            </w:pPr>
          </w:p>
        </w:tc>
        <w:tc>
          <w:tcPr>
            <w:tcW w:w="2080" w:type="dxa"/>
            <w:vAlign w:val="bottom"/>
            <w:tcBorders>
              <w:bottom w:val="single" w:sz="8" w:color="auto"/>
              <w:right w:val="single" w:sz="8" w:color="auto"/>
            </w:tcBorders>
            <w:vMerge w:val="continue"/>
          </w:tcPr>
          <w:p>
            <w:pPr>
              <w:spacing w:after="0"/>
              <w:rPr>
                <w:sz w:val="18"/>
                <w:szCs w:val="18"/>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250"/>
        </w:trPr>
        <w:tc>
          <w:tcPr>
            <w:tcW w:w="150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tcPr>
          <w:p>
            <w:pPr>
              <w:spacing w:after="0"/>
              <w:rPr>
                <w:sz w:val="21"/>
                <w:szCs w:val="21"/>
                <w:color w:val="auto"/>
              </w:rPr>
            </w:pP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Market approach</w:t>
            </w:r>
          </w:p>
        </w:tc>
        <w:tc>
          <w:tcPr>
            <w:tcW w:w="2080" w:type="dxa"/>
            <w:vAlign w:val="bottom"/>
            <w:tcBorders>
              <w:bottom w:val="single" w:sz="8" w:color="auto"/>
              <w:right w:val="single" w:sz="8" w:color="auto"/>
            </w:tcBorders>
          </w:tcPr>
          <w:p>
            <w:pPr>
              <w:jc w:val="center"/>
              <w:spacing w:after="0" w:line="236" w:lineRule="exact"/>
              <w:rPr>
                <w:sz w:val="20"/>
                <w:szCs w:val="20"/>
                <w:color w:val="auto"/>
              </w:rPr>
            </w:pPr>
            <w:r>
              <w:rPr>
                <w:rFonts w:ascii="Arial" w:cs="Arial" w:eastAsia="Arial" w:hAnsi="Arial"/>
                <w:sz w:val="14"/>
                <w:szCs w:val="14"/>
                <w:color w:val="auto"/>
                <w:w w:val="87"/>
              </w:rPr>
              <w:t>Precedent transactions</w:t>
            </w:r>
            <w:r>
              <w:rPr>
                <w:rFonts w:ascii="Arial" w:cs="Arial" w:eastAsia="Arial" w:hAnsi="Arial"/>
                <w:sz w:val="23"/>
                <w:szCs w:val="23"/>
                <w:color w:val="auto"/>
                <w:w w:val="87"/>
                <w:vertAlign w:val="superscript"/>
              </w:rPr>
              <w:t>(1)</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10"/>
        </w:trPr>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Common stock in</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$102,319,140</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0"/>
              </w:rPr>
              <w:t>Income approach</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Revenue multiples</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4.5x – 5.4x (5.0x)</w:t>
            </w:r>
          </w:p>
        </w:tc>
        <w:tc>
          <w:tcPr>
            <w:tcW w:w="0" w:type="dxa"/>
            <w:vAlign w:val="bottom"/>
          </w:tcPr>
          <w:p>
            <w:pPr>
              <w:spacing w:after="0"/>
              <w:rPr>
                <w:sz w:val="1"/>
                <w:szCs w:val="1"/>
                <w:color w:val="auto"/>
              </w:rPr>
            </w:pPr>
          </w:p>
        </w:tc>
      </w:tr>
      <w:tr>
        <w:trPr>
          <w:trHeight w:val="100"/>
        </w:trPr>
        <w:tc>
          <w:tcPr>
            <w:tcW w:w="1500" w:type="dxa"/>
            <w:vAlign w:val="bottom"/>
            <w:tcBorders>
              <w:right w:val="single" w:sz="8" w:color="auto"/>
            </w:tcBorders>
            <w:vMerge w:val="continue"/>
          </w:tcPr>
          <w:p>
            <w:pPr>
              <w:spacing w:after="0"/>
              <w:rPr>
                <w:sz w:val="8"/>
                <w:szCs w:val="8"/>
                <w:color w:val="auto"/>
              </w:rPr>
            </w:pPr>
          </w:p>
        </w:tc>
        <w:tc>
          <w:tcPr>
            <w:tcW w:w="1120" w:type="dxa"/>
            <w:vAlign w:val="bottom"/>
            <w:tcBorders>
              <w:right w:val="single" w:sz="8" w:color="auto"/>
            </w:tcBorders>
            <w:vMerge w:val="continue"/>
          </w:tcPr>
          <w:p>
            <w:pPr>
              <w:spacing w:after="0"/>
              <w:rPr>
                <w:sz w:val="8"/>
                <w:szCs w:val="8"/>
                <w:color w:val="auto"/>
              </w:rPr>
            </w:pPr>
          </w:p>
        </w:tc>
        <w:tc>
          <w:tcPr>
            <w:tcW w:w="1800" w:type="dxa"/>
            <w:vAlign w:val="bottom"/>
            <w:tcBorders>
              <w:right w:val="single" w:sz="8" w:color="auto"/>
            </w:tcBorders>
            <w:vMerge w:val="continue"/>
          </w:tcPr>
          <w:p>
            <w:pPr>
              <w:spacing w:after="0"/>
              <w:rPr>
                <w:sz w:val="8"/>
                <w:szCs w:val="8"/>
                <w:color w:val="auto"/>
              </w:rPr>
            </w:pPr>
          </w:p>
        </w:tc>
        <w:tc>
          <w:tcPr>
            <w:tcW w:w="2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EBIT multiples</w:t>
            </w:r>
          </w:p>
        </w:tc>
        <w:tc>
          <w:tcPr>
            <w:tcW w:w="1720" w:type="dxa"/>
            <w:vAlign w:val="bottom"/>
            <w:vMerge w:val="restart"/>
          </w:tcPr>
          <w:p>
            <w:pPr>
              <w:jc w:val="center"/>
              <w:spacing w:after="0"/>
              <w:rPr>
                <w:sz w:val="20"/>
                <w:szCs w:val="20"/>
                <w:color w:val="auto"/>
              </w:rPr>
            </w:pPr>
            <w:r>
              <w:rPr>
                <w:rFonts w:ascii="Arial" w:cs="Arial" w:eastAsia="Arial" w:hAnsi="Arial"/>
                <w:sz w:val="14"/>
                <w:szCs w:val="14"/>
                <w:color w:val="auto"/>
                <w:w w:val="95"/>
              </w:rPr>
              <w:t>34.2x (34.2x)</w:t>
            </w:r>
          </w:p>
        </w:tc>
        <w:tc>
          <w:tcPr>
            <w:tcW w:w="0" w:type="dxa"/>
            <w:vAlign w:val="bottom"/>
          </w:tcPr>
          <w:p>
            <w:pPr>
              <w:spacing w:after="0"/>
              <w:rPr>
                <w:sz w:val="1"/>
                <w:szCs w:val="1"/>
                <w:color w:val="auto"/>
              </w:rPr>
            </w:pPr>
          </w:p>
        </w:tc>
      </w:tr>
      <w:tr>
        <w:trPr>
          <w:trHeight w:val="115"/>
        </w:trPr>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private companies</w:t>
            </w:r>
          </w:p>
        </w:tc>
        <w:tc>
          <w:tcPr>
            <w:tcW w:w="112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2080" w:type="dxa"/>
            <w:vAlign w:val="bottom"/>
            <w:tcBorders>
              <w:bottom w:val="single" w:sz="8" w:color="auto"/>
              <w:right w:val="single" w:sz="8" w:color="auto"/>
            </w:tcBorders>
            <w:vMerge w:val="continue"/>
          </w:tcPr>
          <w:p>
            <w:pPr>
              <w:spacing w:after="0"/>
              <w:rPr>
                <w:sz w:val="9"/>
                <w:szCs w:val="9"/>
                <w:color w:val="auto"/>
              </w:rPr>
            </w:pPr>
          </w:p>
        </w:tc>
        <w:tc>
          <w:tcPr>
            <w:tcW w:w="17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1500" w:type="dxa"/>
            <w:vAlign w:val="bottom"/>
            <w:tcBorders>
              <w:right w:val="single" w:sz="8" w:color="auto"/>
            </w:tcBorders>
            <w:vMerge w:val="continue"/>
          </w:tcPr>
          <w:p>
            <w:pPr>
              <w:spacing w:after="0"/>
              <w:rPr>
                <w:sz w:val="4"/>
                <w:szCs w:val="4"/>
                <w:color w:val="auto"/>
              </w:rPr>
            </w:pPr>
          </w:p>
        </w:tc>
        <w:tc>
          <w:tcPr>
            <w:tcW w:w="1120" w:type="dxa"/>
            <w:vAlign w:val="bottom"/>
            <w:tcBorders>
              <w:right w:val="single" w:sz="8" w:color="auto"/>
            </w:tcBorders>
          </w:tcPr>
          <w:p>
            <w:pPr>
              <w:spacing w:after="0"/>
              <w:rPr>
                <w:sz w:val="4"/>
                <w:szCs w:val="4"/>
                <w:color w:val="auto"/>
              </w:rPr>
            </w:pPr>
          </w:p>
        </w:tc>
        <w:tc>
          <w:tcPr>
            <w:tcW w:w="1800" w:type="dxa"/>
            <w:vAlign w:val="bottom"/>
            <w:tcBorders>
              <w:right w:val="single" w:sz="8" w:color="auto"/>
            </w:tcBorders>
          </w:tcPr>
          <w:p>
            <w:pPr>
              <w:spacing w:after="0"/>
              <w:rPr>
                <w:sz w:val="4"/>
                <w:szCs w:val="4"/>
                <w:color w:val="auto"/>
              </w:rPr>
            </w:pPr>
          </w:p>
        </w:tc>
        <w:tc>
          <w:tcPr>
            <w:tcW w:w="2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Discount rate</w:t>
            </w:r>
          </w:p>
        </w:tc>
        <w:tc>
          <w:tcPr>
            <w:tcW w:w="1720" w:type="dxa"/>
            <w:vAlign w:val="bottom"/>
            <w:vMerge w:val="restart"/>
          </w:tcPr>
          <w:p>
            <w:pPr>
              <w:jc w:val="center"/>
              <w:spacing w:after="0"/>
              <w:rPr>
                <w:sz w:val="20"/>
                <w:szCs w:val="20"/>
                <w:color w:val="auto"/>
              </w:rPr>
            </w:pPr>
            <w:r>
              <w:rPr>
                <w:rFonts w:ascii="Arial" w:cs="Arial" w:eastAsia="Arial" w:hAnsi="Arial"/>
                <w:sz w:val="14"/>
                <w:szCs w:val="14"/>
                <w:color w:val="auto"/>
                <w:w w:val="95"/>
              </w:rPr>
              <w:t>35% (35%)</w:t>
            </w:r>
          </w:p>
        </w:tc>
        <w:tc>
          <w:tcPr>
            <w:tcW w:w="0" w:type="dxa"/>
            <w:vAlign w:val="bottom"/>
          </w:tcPr>
          <w:p>
            <w:pPr>
              <w:spacing w:after="0"/>
              <w:rPr>
                <w:sz w:val="1"/>
                <w:szCs w:val="1"/>
                <w:color w:val="auto"/>
              </w:rPr>
            </w:pPr>
          </w:p>
        </w:tc>
      </w:tr>
      <w:tr>
        <w:trPr>
          <w:trHeight w:val="157"/>
        </w:trPr>
        <w:tc>
          <w:tcPr>
            <w:tcW w:w="150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1800" w:type="dxa"/>
            <w:vAlign w:val="bottom"/>
            <w:tcBorders>
              <w:bottom w:val="single" w:sz="8" w:color="auto"/>
              <w:right w:val="single" w:sz="8" w:color="auto"/>
            </w:tcBorders>
          </w:tcPr>
          <w:p>
            <w:pPr>
              <w:spacing w:after="0"/>
              <w:rPr>
                <w:sz w:val="13"/>
                <w:szCs w:val="13"/>
                <w:color w:val="auto"/>
              </w:rPr>
            </w:pPr>
          </w:p>
        </w:tc>
        <w:tc>
          <w:tcPr>
            <w:tcW w:w="2080" w:type="dxa"/>
            <w:vAlign w:val="bottom"/>
            <w:tcBorders>
              <w:bottom w:val="single" w:sz="8" w:color="auto"/>
              <w:right w:val="single" w:sz="8" w:color="auto"/>
            </w:tcBorders>
            <w:vMerge w:val="continue"/>
          </w:tcPr>
          <w:p>
            <w:pPr>
              <w:spacing w:after="0"/>
              <w:rPr>
                <w:sz w:val="13"/>
                <w:szCs w:val="13"/>
                <w:color w:val="auto"/>
              </w:rPr>
            </w:pPr>
          </w:p>
        </w:tc>
        <w:tc>
          <w:tcPr>
            <w:tcW w:w="17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50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Liquidation Value</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Liquidation Value</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50"/>
        </w:trPr>
        <w:tc>
          <w:tcPr>
            <w:tcW w:w="150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tcPr>
          <w:p>
            <w:pPr>
              <w:spacing w:after="0"/>
              <w:rPr>
                <w:sz w:val="21"/>
                <w:szCs w:val="21"/>
                <w:color w:val="auto"/>
              </w:rPr>
            </w:pP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Market approach</w:t>
            </w:r>
          </w:p>
        </w:tc>
        <w:tc>
          <w:tcPr>
            <w:tcW w:w="2080" w:type="dxa"/>
            <w:vAlign w:val="bottom"/>
            <w:tcBorders>
              <w:bottom w:val="single" w:sz="8" w:color="auto"/>
              <w:right w:val="single" w:sz="8" w:color="auto"/>
            </w:tcBorders>
          </w:tcPr>
          <w:p>
            <w:pPr>
              <w:jc w:val="center"/>
              <w:spacing w:after="0" w:line="236" w:lineRule="exact"/>
              <w:rPr>
                <w:sz w:val="20"/>
                <w:szCs w:val="20"/>
                <w:color w:val="auto"/>
              </w:rPr>
            </w:pPr>
            <w:r>
              <w:rPr>
                <w:rFonts w:ascii="Arial" w:cs="Arial" w:eastAsia="Arial" w:hAnsi="Arial"/>
                <w:sz w:val="14"/>
                <w:szCs w:val="14"/>
                <w:color w:val="auto"/>
                <w:w w:val="87"/>
              </w:rPr>
              <w:t>Precedent transactions</w:t>
            </w:r>
            <w:r>
              <w:rPr>
                <w:rFonts w:ascii="Arial" w:cs="Arial" w:eastAsia="Arial" w:hAnsi="Arial"/>
                <w:sz w:val="23"/>
                <w:szCs w:val="23"/>
                <w:color w:val="auto"/>
                <w:w w:val="87"/>
                <w:vertAlign w:val="superscript"/>
              </w:rPr>
              <w:t>(1)</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10"/>
        </w:trPr>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Preferred stock in</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$216,291,092</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0"/>
              </w:rPr>
              <w:t>Income approach</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Revenue multiples</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1.3x – 6.0x (3.4x)</w:t>
            </w:r>
          </w:p>
        </w:tc>
        <w:tc>
          <w:tcPr>
            <w:tcW w:w="0" w:type="dxa"/>
            <w:vAlign w:val="bottom"/>
          </w:tcPr>
          <w:p>
            <w:pPr>
              <w:spacing w:after="0"/>
              <w:rPr>
                <w:sz w:val="1"/>
                <w:szCs w:val="1"/>
                <w:color w:val="auto"/>
              </w:rPr>
            </w:pPr>
          </w:p>
        </w:tc>
      </w:tr>
      <w:tr>
        <w:trPr>
          <w:trHeight w:val="133"/>
        </w:trPr>
        <w:tc>
          <w:tcPr>
            <w:tcW w:w="150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4"/>
                <w:szCs w:val="14"/>
                <w:color w:val="auto"/>
                <w:w w:val="91"/>
              </w:rPr>
              <w:t>private companies</w:t>
            </w:r>
          </w:p>
        </w:tc>
        <w:tc>
          <w:tcPr>
            <w:tcW w:w="112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vMerge w:val="continue"/>
          </w:tcPr>
          <w:p>
            <w:pPr>
              <w:spacing w:after="0"/>
              <w:rPr>
                <w:sz w:val="11"/>
                <w:szCs w:val="11"/>
                <w:color w:val="auto"/>
              </w:rPr>
            </w:pPr>
          </w:p>
        </w:tc>
        <w:tc>
          <w:tcPr>
            <w:tcW w:w="2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EBIT multiples</w:t>
            </w:r>
          </w:p>
        </w:tc>
        <w:tc>
          <w:tcPr>
            <w:tcW w:w="1720" w:type="dxa"/>
            <w:vAlign w:val="bottom"/>
            <w:vMerge w:val="restart"/>
          </w:tcPr>
          <w:p>
            <w:pPr>
              <w:jc w:val="center"/>
              <w:spacing w:after="0"/>
              <w:rPr>
                <w:sz w:val="20"/>
                <w:szCs w:val="20"/>
                <w:color w:val="auto"/>
              </w:rPr>
            </w:pPr>
            <w:r>
              <w:rPr>
                <w:rFonts w:ascii="Arial" w:cs="Arial" w:eastAsia="Arial" w:hAnsi="Arial"/>
                <w:sz w:val="14"/>
                <w:szCs w:val="14"/>
                <w:color w:val="auto"/>
                <w:w w:val="95"/>
              </w:rPr>
              <w:t>12.0x – 32.0x (19.5x)</w:t>
            </w:r>
          </w:p>
        </w:tc>
        <w:tc>
          <w:tcPr>
            <w:tcW w:w="0" w:type="dxa"/>
            <w:vAlign w:val="bottom"/>
          </w:tcPr>
          <w:p>
            <w:pPr>
              <w:spacing w:after="0"/>
              <w:rPr>
                <w:sz w:val="1"/>
                <w:szCs w:val="1"/>
                <w:color w:val="auto"/>
              </w:rPr>
            </w:pPr>
          </w:p>
        </w:tc>
      </w:tr>
      <w:tr>
        <w:trPr>
          <w:trHeight w:val="81"/>
        </w:trPr>
        <w:tc>
          <w:tcPr>
            <w:tcW w:w="1500" w:type="dxa"/>
            <w:vAlign w:val="bottom"/>
            <w:tcBorders>
              <w:right w:val="single" w:sz="8" w:color="auto"/>
            </w:tcBorders>
          </w:tcPr>
          <w:p>
            <w:pPr>
              <w:spacing w:after="0"/>
              <w:rPr>
                <w:sz w:val="6"/>
                <w:szCs w:val="6"/>
                <w:color w:val="auto"/>
              </w:rPr>
            </w:pPr>
          </w:p>
        </w:tc>
        <w:tc>
          <w:tcPr>
            <w:tcW w:w="1120" w:type="dxa"/>
            <w:vAlign w:val="bottom"/>
            <w:tcBorders>
              <w:right w:val="single" w:sz="8" w:color="auto"/>
            </w:tcBorders>
          </w:tcPr>
          <w:p>
            <w:pPr>
              <w:spacing w:after="0"/>
              <w:rPr>
                <w:sz w:val="6"/>
                <w:szCs w:val="6"/>
                <w:color w:val="auto"/>
              </w:rPr>
            </w:pPr>
          </w:p>
        </w:tc>
        <w:tc>
          <w:tcPr>
            <w:tcW w:w="1800" w:type="dxa"/>
            <w:vAlign w:val="bottom"/>
            <w:tcBorders>
              <w:right w:val="single" w:sz="8" w:color="auto"/>
            </w:tcBorders>
          </w:tcPr>
          <w:p>
            <w:pPr>
              <w:spacing w:after="0"/>
              <w:rPr>
                <w:sz w:val="6"/>
                <w:szCs w:val="6"/>
                <w:color w:val="auto"/>
              </w:rPr>
            </w:pPr>
          </w:p>
        </w:tc>
        <w:tc>
          <w:tcPr>
            <w:tcW w:w="2080" w:type="dxa"/>
            <w:vAlign w:val="bottom"/>
            <w:tcBorders>
              <w:bottom w:val="single" w:sz="8" w:color="auto"/>
              <w:right w:val="single" w:sz="8" w:color="auto"/>
            </w:tcBorders>
            <w:vMerge w:val="continue"/>
          </w:tcPr>
          <w:p>
            <w:pPr>
              <w:spacing w:after="0"/>
              <w:rPr>
                <w:sz w:val="6"/>
                <w:szCs w:val="6"/>
                <w:color w:val="auto"/>
              </w:rPr>
            </w:pPr>
          </w:p>
        </w:tc>
        <w:tc>
          <w:tcPr>
            <w:tcW w:w="17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150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Discount rate</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30% – 50% (40%)</w:t>
            </w:r>
          </w:p>
        </w:tc>
        <w:tc>
          <w:tcPr>
            <w:tcW w:w="0" w:type="dxa"/>
            <w:vAlign w:val="bottom"/>
          </w:tcPr>
          <w:p>
            <w:pPr>
              <w:spacing w:after="0"/>
              <w:rPr>
                <w:sz w:val="1"/>
                <w:szCs w:val="1"/>
                <w:color w:val="auto"/>
              </w:rPr>
            </w:pPr>
          </w:p>
        </w:tc>
      </w:tr>
      <w:tr>
        <w:trPr>
          <w:trHeight w:val="210"/>
        </w:trPr>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Debt Investments</w:t>
            </w:r>
          </w:p>
        </w:tc>
        <w:tc>
          <w:tcPr>
            <w:tcW w:w="11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$4,175,859</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Market approach</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Amortized Cost</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10"/>
        </w:trPr>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Warrants</w:t>
            </w:r>
          </w:p>
        </w:tc>
        <w:tc>
          <w:tcPr>
            <w:tcW w:w="1120" w:type="dxa"/>
            <w:vAlign w:val="bottom"/>
            <w:tcBorders>
              <w:right w:val="single" w:sz="8" w:color="auto"/>
            </w:tcBorders>
            <w:vMerge w:val="restart"/>
          </w:tcPr>
          <w:p>
            <w:pPr>
              <w:jc w:val="right"/>
              <w:ind w:right="168"/>
              <w:spacing w:after="0"/>
              <w:rPr>
                <w:sz w:val="20"/>
                <w:szCs w:val="20"/>
                <w:color w:val="auto"/>
              </w:rPr>
            </w:pPr>
            <w:r>
              <w:rPr>
                <w:rFonts w:ascii="Arial" w:cs="Arial" w:eastAsia="Arial" w:hAnsi="Arial"/>
                <w:sz w:val="14"/>
                <w:szCs w:val="14"/>
                <w:color w:val="auto"/>
              </w:rPr>
              <w:t>$469,306</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6"/>
              </w:rPr>
              <w:t>Option pricing model</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Term to expiration (Years)</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1.03 – 3.00 (2.46)</w:t>
            </w:r>
          </w:p>
        </w:tc>
        <w:tc>
          <w:tcPr>
            <w:tcW w:w="0" w:type="dxa"/>
            <w:vAlign w:val="bottom"/>
          </w:tcPr>
          <w:p>
            <w:pPr>
              <w:spacing w:after="0"/>
              <w:rPr>
                <w:sz w:val="1"/>
                <w:szCs w:val="1"/>
                <w:color w:val="auto"/>
              </w:rPr>
            </w:pPr>
          </w:p>
        </w:tc>
      </w:tr>
      <w:tr>
        <w:trPr>
          <w:trHeight w:val="106"/>
        </w:trPr>
        <w:tc>
          <w:tcPr>
            <w:tcW w:w="15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1800" w:type="dxa"/>
            <w:vAlign w:val="bottom"/>
            <w:tcBorders>
              <w:right w:val="single" w:sz="8" w:color="auto"/>
            </w:tcBorders>
            <w:vMerge w:val="continue"/>
          </w:tcPr>
          <w:p>
            <w:pPr>
              <w:spacing w:after="0"/>
              <w:rPr>
                <w:sz w:val="9"/>
                <w:szCs w:val="9"/>
                <w:color w:val="auto"/>
              </w:rPr>
            </w:pPr>
          </w:p>
        </w:tc>
        <w:tc>
          <w:tcPr>
            <w:tcW w:w="2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Strike price</w:t>
            </w:r>
          </w:p>
        </w:tc>
        <w:tc>
          <w:tcPr>
            <w:tcW w:w="1720" w:type="dxa"/>
            <w:vAlign w:val="bottom"/>
            <w:vMerge w:val="restart"/>
          </w:tcPr>
          <w:p>
            <w:pPr>
              <w:jc w:val="center"/>
              <w:spacing w:after="0"/>
              <w:rPr>
                <w:sz w:val="20"/>
                <w:szCs w:val="20"/>
                <w:color w:val="auto"/>
              </w:rPr>
            </w:pPr>
            <w:r>
              <w:rPr>
                <w:rFonts w:ascii="Arial" w:cs="Arial" w:eastAsia="Arial" w:hAnsi="Arial"/>
                <w:sz w:val="14"/>
                <w:szCs w:val="14"/>
                <w:color w:val="auto"/>
                <w:w w:val="92"/>
              </w:rPr>
              <w:t>0.13 – 4.59 (1.20)</w:t>
            </w:r>
          </w:p>
        </w:tc>
        <w:tc>
          <w:tcPr>
            <w:tcW w:w="0" w:type="dxa"/>
            <w:vAlign w:val="bottom"/>
          </w:tcPr>
          <w:p>
            <w:pPr>
              <w:spacing w:after="0"/>
              <w:rPr>
                <w:sz w:val="1"/>
                <w:szCs w:val="1"/>
                <w:color w:val="auto"/>
              </w:rPr>
            </w:pPr>
          </w:p>
        </w:tc>
      </w:tr>
      <w:tr>
        <w:trPr>
          <w:trHeight w:val="108"/>
        </w:trPr>
        <w:tc>
          <w:tcPr>
            <w:tcW w:w="150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tcPr>
          <w:p>
            <w:pPr>
              <w:spacing w:after="0"/>
              <w:rPr>
                <w:sz w:val="8"/>
                <w:szCs w:val="8"/>
                <w:color w:val="auto"/>
              </w:rPr>
            </w:pPr>
          </w:p>
        </w:tc>
        <w:tc>
          <w:tcPr>
            <w:tcW w:w="1800" w:type="dxa"/>
            <w:vAlign w:val="bottom"/>
            <w:tcBorders>
              <w:right w:val="single" w:sz="8" w:color="auto"/>
            </w:tcBorders>
          </w:tcPr>
          <w:p>
            <w:pPr>
              <w:spacing w:after="0"/>
              <w:rPr>
                <w:sz w:val="8"/>
                <w:szCs w:val="8"/>
                <w:color w:val="auto"/>
              </w:rPr>
            </w:pPr>
          </w:p>
        </w:tc>
        <w:tc>
          <w:tcPr>
            <w:tcW w:w="2080" w:type="dxa"/>
            <w:vAlign w:val="bottom"/>
            <w:tcBorders>
              <w:bottom w:val="single" w:sz="8" w:color="auto"/>
              <w:right w:val="single" w:sz="8" w:color="auto"/>
            </w:tcBorders>
            <w:vMerge w:val="continue"/>
          </w:tcPr>
          <w:p>
            <w:pPr>
              <w:spacing w:after="0"/>
              <w:rPr>
                <w:sz w:val="8"/>
                <w:szCs w:val="8"/>
                <w:color w:val="auto"/>
              </w:rPr>
            </w:pPr>
          </w:p>
        </w:tc>
        <w:tc>
          <w:tcPr>
            <w:tcW w:w="172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50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c>
          <w:tcPr>
            <w:tcW w:w="1800" w:type="dxa"/>
            <w:vAlign w:val="bottom"/>
            <w:tcBorders>
              <w:bottom w:val="single" w:sz="8" w:color="auto"/>
              <w:right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Volatility</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30% – 50% (40.9%)</w:t>
            </w: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20"/>
        <w:spacing w:after="0"/>
        <w:rPr>
          <w:sz w:val="20"/>
          <w:szCs w:val="20"/>
          <w:color w:val="auto"/>
        </w:rPr>
      </w:pPr>
      <w:r>
        <w:rPr>
          <w:rFonts w:ascii="Arial" w:cs="Arial" w:eastAsia="Arial" w:hAnsi="Arial"/>
          <w:sz w:val="17"/>
          <w:szCs w:val="17"/>
          <w:color w:val="auto"/>
        </w:rPr>
        <w:t>(1) Precedent transactions include recent rounds of financing, recent purchases made by the Company, and tender offers.</w:t>
      </w:r>
    </w:p>
    <w:p>
      <w:pPr>
        <w:spacing w:after="0" w:line="129" w:lineRule="exact"/>
        <w:rPr>
          <w:sz w:val="20"/>
          <w:szCs w:val="20"/>
          <w:color w:val="auto"/>
        </w:rPr>
      </w:pPr>
    </w:p>
    <w:p>
      <w:pPr>
        <w:ind w:left="60" w:right="879" w:firstLine="270"/>
        <w:spacing w:after="0" w:line="279" w:lineRule="auto"/>
        <w:rPr>
          <w:sz w:val="20"/>
          <w:szCs w:val="20"/>
          <w:color w:val="auto"/>
        </w:rPr>
      </w:pPr>
      <w:r>
        <w:rPr>
          <w:rFonts w:ascii="Arial" w:cs="Arial" w:eastAsia="Arial" w:hAnsi="Arial"/>
          <w:sz w:val="17"/>
          <w:szCs w:val="17"/>
          <w:color w:val="auto"/>
        </w:rPr>
        <w:t>The significant unobservable inputs used in determining the fair value of the assets and liabilities are shown above. Increases/(decreases) in revenue multiples, earnings before interest and taxes (“EBIT”) multiples, time to expiration, and stock price/strike price would result in higher/(lower) fair values all else equal. Decreases/(increases) in discount rates, volatility, and annual risk rates, would result in higher/(lower) fair values all else equal.</w:t>
      </w:r>
    </w:p>
    <w:p>
      <w:pPr>
        <w:spacing w:after="0" w:line="200" w:lineRule="exact"/>
        <w:rPr>
          <w:sz w:val="20"/>
          <w:szCs w:val="20"/>
          <w:color w:val="auto"/>
        </w:rPr>
      </w:pPr>
    </w:p>
    <w:p>
      <w:pPr>
        <w:spacing w:after="0" w:line="3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34" w:name="page35"/>
    <w:bookmarkEnd w:id="34"/>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March 31, 2016</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INVESTMENTS AT FAIR VALUE – (continued)</w:t>
      </w:r>
    </w:p>
    <w:p>
      <w:pPr>
        <w:spacing w:after="0" w:line="121" w:lineRule="exact"/>
        <w:rPr>
          <w:sz w:val="20"/>
          <w:szCs w:val="20"/>
          <w:color w:val="auto"/>
        </w:rPr>
      </w:pPr>
    </w:p>
    <w:p>
      <w:pPr>
        <w:ind w:left="60" w:right="979" w:firstLine="270"/>
        <w:spacing w:after="0" w:line="277" w:lineRule="auto"/>
        <w:rPr>
          <w:sz w:val="20"/>
          <w:szCs w:val="20"/>
          <w:color w:val="auto"/>
        </w:rPr>
      </w:pPr>
      <w:r>
        <w:rPr>
          <w:rFonts w:ascii="Arial" w:cs="Arial" w:eastAsia="Arial" w:hAnsi="Arial"/>
          <w:sz w:val="18"/>
          <w:szCs w:val="18"/>
          <w:color w:val="auto"/>
        </w:rPr>
        <w:t>The aggregate values of Level 3 assets and liabilities changed during the three months ended March 31, 2016 and 2015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20573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21"/>
          </w:tcPr>
          <w:p>
            <w:pPr>
              <w:ind w:left="120"/>
              <w:spacing w:after="0"/>
              <w:rPr>
                <w:sz w:val="20"/>
                <w:szCs w:val="20"/>
                <w:color w:val="auto"/>
              </w:rPr>
            </w:pPr>
            <w:r>
              <w:rPr>
                <w:rFonts w:ascii="Arial" w:cs="Arial" w:eastAsia="Arial" w:hAnsi="Arial"/>
                <w:sz w:val="14"/>
                <w:szCs w:val="14"/>
                <w:b w:val="1"/>
                <w:bCs w:val="1"/>
                <w:color w:val="auto"/>
                <w:w w:val="96"/>
              </w:rPr>
              <w:t>Three months ended March 31, 2016 (Unaudited)</w:t>
            </w: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4"/>
          </w:tcPr>
          <w:p>
            <w:pPr>
              <w:jc w:val="right"/>
              <w:ind w:right="200"/>
              <w:spacing w:after="0" w:line="119" w:lineRule="exact"/>
              <w:rPr>
                <w:sz w:val="20"/>
                <w:szCs w:val="20"/>
                <w:color w:val="auto"/>
              </w:rPr>
            </w:pPr>
            <w:r>
              <w:rPr>
                <w:rFonts w:ascii="Arial" w:cs="Arial" w:eastAsia="Arial" w:hAnsi="Arial"/>
                <w:sz w:val="13"/>
                <w:szCs w:val="13"/>
                <w:b w:val="1"/>
                <w:bCs w:val="1"/>
                <w:color w:val="auto"/>
              </w:rPr>
              <w:t>Common</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gridSpan w:val="6"/>
          </w:tcPr>
          <w:p>
            <w:pPr>
              <w:jc w:val="right"/>
              <w:ind w:right="360"/>
              <w:spacing w:after="0" w:line="119" w:lineRule="exact"/>
              <w:rPr>
                <w:sz w:val="20"/>
                <w:szCs w:val="20"/>
                <w:color w:val="auto"/>
              </w:rPr>
            </w:pPr>
            <w:r>
              <w:rPr>
                <w:rFonts w:ascii="Arial" w:cs="Arial" w:eastAsia="Arial" w:hAnsi="Arial"/>
                <w:sz w:val="13"/>
                <w:szCs w:val="13"/>
                <w:b w:val="1"/>
                <w:bCs w:val="1"/>
                <w:color w:val="auto"/>
              </w:rPr>
              <w:t>Preferred</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5"/>
          </w:tcPr>
          <w:p>
            <w:pPr>
              <w:jc w:val="center"/>
              <w:ind w:right="460"/>
              <w:spacing w:after="0" w:line="119" w:lineRule="exact"/>
              <w:rPr>
                <w:sz w:val="20"/>
                <w:szCs w:val="20"/>
                <w:color w:val="auto"/>
              </w:rPr>
            </w:pPr>
            <w:r>
              <w:rPr>
                <w:rFonts w:ascii="Arial" w:cs="Arial" w:eastAsia="Arial" w:hAnsi="Arial"/>
                <w:sz w:val="13"/>
                <w:szCs w:val="13"/>
                <w:b w:val="1"/>
                <w:bCs w:val="1"/>
                <w:color w:val="auto"/>
              </w:rPr>
              <w:t>Debt</w:t>
            </w:r>
          </w:p>
        </w:tc>
        <w:tc>
          <w:tcPr>
            <w:tcW w:w="86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Warrants</w:t>
            </w:r>
          </w:p>
        </w:tc>
        <w:tc>
          <w:tcPr>
            <w:tcW w:w="100" w:type="dxa"/>
            <w:vAlign w:val="bottom"/>
          </w:tcPr>
          <w:p>
            <w:pPr>
              <w:spacing w:after="0"/>
              <w:rPr>
                <w:sz w:val="10"/>
                <w:szCs w:val="10"/>
                <w:color w:val="auto"/>
              </w:rPr>
            </w:pPr>
          </w:p>
        </w:tc>
        <w:tc>
          <w:tcPr>
            <w:tcW w:w="88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2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Assets:</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4"/>
          </w:tcPr>
          <w:p>
            <w:pPr>
              <w:ind w:left="160"/>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9"/>
              </w:rPr>
              <w:t>Stock</w:t>
            </w:r>
          </w:p>
        </w:tc>
        <w:tc>
          <w:tcPr>
            <w:tcW w:w="108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auto"/>
                <w:w w:val="90"/>
              </w:rPr>
              <w:t>Investments</w:t>
            </w:r>
          </w:p>
        </w:tc>
        <w:tc>
          <w:tcPr>
            <w:tcW w:w="86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24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Fair value as of December 31, 2015</w:t>
            </w:r>
          </w:p>
        </w:tc>
        <w:tc>
          <w:tcPr>
            <w:tcW w:w="1080" w:type="dxa"/>
            <w:vAlign w:val="bottom"/>
            <w:gridSpan w:val="6"/>
            <w:shd w:val="clear" w:color="auto" w:fill="CCEEFF"/>
          </w:tcPr>
          <w:p>
            <w:pPr>
              <w:jc w:val="right"/>
              <w:ind w:right="80"/>
              <w:spacing w:after="0"/>
              <w:rPr>
                <w:sz w:val="20"/>
                <w:szCs w:val="20"/>
                <w:color w:val="auto"/>
              </w:rPr>
            </w:pPr>
            <w:r>
              <w:rPr>
                <w:rFonts w:ascii="Arial" w:cs="Arial" w:eastAsia="Arial" w:hAnsi="Arial"/>
                <w:sz w:val="16"/>
                <w:szCs w:val="16"/>
                <w:color w:val="auto"/>
              </w:rPr>
              <w:t>$102,319,140</w:t>
            </w:r>
          </w:p>
        </w:tc>
        <w:tc>
          <w:tcPr>
            <w:tcW w:w="1140" w:type="dxa"/>
            <w:vAlign w:val="bottom"/>
            <w:gridSpan w:val="7"/>
            <w:shd w:val="clear" w:color="auto" w:fill="CCEEFF"/>
          </w:tcPr>
          <w:p>
            <w:pPr>
              <w:jc w:val="right"/>
              <w:spacing w:after="0"/>
              <w:rPr>
                <w:sz w:val="20"/>
                <w:szCs w:val="20"/>
                <w:color w:val="auto"/>
              </w:rPr>
            </w:pPr>
            <w:r>
              <w:rPr>
                <w:rFonts w:ascii="Arial" w:cs="Arial" w:eastAsia="Arial" w:hAnsi="Arial"/>
                <w:sz w:val="16"/>
                <w:szCs w:val="16"/>
                <w:color w:val="auto"/>
              </w:rPr>
              <w:t>$216,291,092</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w w:val="87"/>
              </w:rPr>
              <w:t>$ 4,175,859</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w w:val="78"/>
              </w:rPr>
              <w:t>$ 469,306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w w:val="89"/>
              </w:rPr>
              <w:t>$323,255,397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tcPr>
          <w:p>
            <w:pPr>
              <w:ind w:left="20"/>
              <w:spacing w:after="0"/>
              <w:rPr>
                <w:sz w:val="20"/>
                <w:szCs w:val="20"/>
                <w:color w:val="auto"/>
              </w:rPr>
            </w:pPr>
            <w:r>
              <w:rPr>
                <w:rFonts w:ascii="Arial" w:cs="Arial" w:eastAsia="Arial" w:hAnsi="Arial"/>
                <w:sz w:val="16"/>
                <w:szCs w:val="16"/>
                <w:color w:val="auto"/>
              </w:rPr>
              <w:t>Purchases of investments</w:t>
            </w: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gridSpan w:val="4"/>
          </w:tcPr>
          <w:p>
            <w:pPr>
              <w:jc w:val="right"/>
              <w:spacing w:after="0"/>
              <w:rPr>
                <w:sz w:val="20"/>
                <w:szCs w:val="20"/>
                <w:color w:val="auto"/>
              </w:rPr>
            </w:pPr>
            <w:r>
              <w:rPr>
                <w:rFonts w:ascii="Arial" w:cs="Arial" w:eastAsia="Arial" w:hAnsi="Arial"/>
                <w:sz w:val="16"/>
                <w:szCs w:val="16"/>
                <w:color w:val="auto"/>
              </w:rPr>
              <w:t>4,505,111</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gridSpan w:val="4"/>
          </w:tcPr>
          <w:p>
            <w:pPr>
              <w:jc w:val="right"/>
              <w:ind w:right="60"/>
              <w:spacing w:after="0"/>
              <w:rPr>
                <w:sz w:val="20"/>
                <w:szCs w:val="20"/>
                <w:color w:val="auto"/>
              </w:rPr>
            </w:pPr>
            <w:r>
              <w:rPr>
                <w:rFonts w:ascii="Arial" w:cs="Arial" w:eastAsia="Arial" w:hAnsi="Arial"/>
                <w:sz w:val="16"/>
                <w:szCs w:val="16"/>
                <w:color w:val="auto"/>
              </w:rPr>
              <w:t>1,500,840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4"/>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6,005,951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of investments</w:t>
            </w:r>
          </w:p>
        </w:tc>
        <w:tc>
          <w:tcPr>
            <w:tcW w:w="6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w w:val="92"/>
              </w:rPr>
              <w:t>(3,400,708)</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(1,638,924)</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5"/>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80" w:type="dxa"/>
            <w:vAlign w:val="bottom"/>
            <w:gridSpan w:val="4"/>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(5,039,632)</w:t>
            </w:r>
          </w:p>
        </w:tc>
        <w:tc>
          <w:tcPr>
            <w:tcW w:w="0" w:type="dxa"/>
            <w:vAlign w:val="bottom"/>
          </w:tcPr>
          <w:p>
            <w:pPr>
              <w:spacing w:after="0"/>
              <w:rPr>
                <w:sz w:val="1"/>
                <w:szCs w:val="1"/>
                <w:color w:val="auto"/>
              </w:rPr>
            </w:pPr>
          </w:p>
        </w:tc>
      </w:tr>
      <w:tr>
        <w:trPr>
          <w:trHeight w:val="203"/>
        </w:trPr>
        <w:tc>
          <w:tcPr>
            <w:tcW w:w="2240" w:type="dxa"/>
            <w:vAlign w:val="bottom"/>
          </w:tcPr>
          <w:p>
            <w:pPr>
              <w:ind w:left="20"/>
              <w:spacing w:after="0"/>
              <w:rPr>
                <w:sz w:val="20"/>
                <w:szCs w:val="20"/>
                <w:color w:val="auto"/>
              </w:rPr>
            </w:pPr>
            <w:r>
              <w:rPr>
                <w:rFonts w:ascii="Arial" w:cs="Arial" w:eastAsia="Arial" w:hAnsi="Arial"/>
                <w:sz w:val="16"/>
                <w:szCs w:val="16"/>
                <w:color w:val="auto"/>
              </w:rPr>
              <w:t>Realized gains/(losses)</w:t>
            </w: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4"/>
          </w:tcPr>
          <w:p>
            <w:pPr>
              <w:jc w:val="right"/>
              <w:ind w:right="40"/>
              <w:spacing w:after="0"/>
              <w:rPr>
                <w:sz w:val="20"/>
                <w:szCs w:val="20"/>
                <w:color w:val="auto"/>
              </w:rPr>
            </w:pPr>
            <w:r>
              <w:rPr>
                <w:rFonts w:ascii="Arial" w:cs="Arial" w:eastAsia="Arial" w:hAnsi="Arial"/>
                <w:sz w:val="16"/>
                <w:szCs w:val="16"/>
                <w:color w:val="auto"/>
                <w:w w:val="92"/>
              </w:rPr>
              <w:t>(7,049,327)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w w:val="86"/>
              </w:rPr>
              <w:t>974,224</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5"/>
          </w:tcPr>
          <w:p>
            <w:pPr>
              <w:jc w:val="right"/>
              <w:ind w:right="3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80" w:type="dxa"/>
            <w:vAlign w:val="bottom"/>
            <w:gridSpan w:val="4"/>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6"/>
                <w:szCs w:val="16"/>
                <w:color w:val="auto"/>
              </w:rPr>
              <w:t>(6,075,103)</w:t>
            </w:r>
          </w:p>
        </w:tc>
        <w:tc>
          <w:tcPr>
            <w:tcW w:w="0" w:type="dxa"/>
            <w:vAlign w:val="bottom"/>
          </w:tcPr>
          <w:p>
            <w:pPr>
              <w:spacing w:after="0"/>
              <w:rPr>
                <w:sz w:val="1"/>
                <w:szCs w:val="1"/>
                <w:color w:val="auto"/>
              </w:rPr>
            </w:pPr>
          </w:p>
        </w:tc>
      </w:tr>
      <w:tr>
        <w:trPr>
          <w:trHeight w:val="193"/>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Amortization of fixed income security</w:t>
            </w:r>
          </w:p>
        </w:tc>
        <w:tc>
          <w:tcPr>
            <w:tcW w:w="1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premiums and discounts</w:t>
            </w:r>
          </w:p>
        </w:tc>
        <w:tc>
          <w:tcPr>
            <w:tcW w:w="6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9,648</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9,648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240" w:type="dxa"/>
            <w:vAlign w:val="bottom"/>
          </w:tcPr>
          <w:p>
            <w:pPr>
              <w:ind w:left="20"/>
              <w:spacing w:after="0"/>
              <w:rPr>
                <w:sz w:val="20"/>
                <w:szCs w:val="20"/>
                <w:color w:val="auto"/>
              </w:rPr>
            </w:pPr>
            <w:r>
              <w:rPr>
                <w:rFonts w:ascii="Arial" w:cs="Arial" w:eastAsia="Arial" w:hAnsi="Arial"/>
                <w:sz w:val="16"/>
                <w:szCs w:val="16"/>
                <w:color w:val="auto"/>
              </w:rPr>
              <w:t>Net change in unrealized</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900" w:type="dxa"/>
            <w:vAlign w:val="bottom"/>
            <w:gridSpan w:val="2"/>
          </w:tcPr>
          <w:p>
            <w:pPr>
              <w:ind w:left="200"/>
              <w:spacing w:after="0"/>
              <w:rPr>
                <w:sz w:val="20"/>
                <w:szCs w:val="20"/>
                <w:color w:val="auto"/>
              </w:rPr>
            </w:pPr>
            <w:r>
              <w:rPr>
                <w:rFonts w:ascii="Arial" w:cs="Arial" w:eastAsia="Arial" w:hAnsi="Arial"/>
                <w:sz w:val="16"/>
                <w:szCs w:val="16"/>
                <w:color w:val="auto"/>
                <w:w w:val="99"/>
              </w:rPr>
              <w:t>appreciation/(depreciation) included in</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240" w:type="dxa"/>
            <w:vAlign w:val="bottom"/>
          </w:tcPr>
          <w:p>
            <w:pPr>
              <w:ind w:left="200"/>
              <w:spacing w:after="0"/>
              <w:rPr>
                <w:sz w:val="20"/>
                <w:szCs w:val="20"/>
                <w:color w:val="auto"/>
              </w:rPr>
            </w:pPr>
            <w:r>
              <w:rPr>
                <w:rFonts w:ascii="Arial" w:cs="Arial" w:eastAsia="Arial" w:hAnsi="Arial"/>
                <w:sz w:val="16"/>
                <w:szCs w:val="16"/>
                <w:color w:val="auto"/>
              </w:rPr>
              <w:t>earnings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4"/>
          </w:tcPr>
          <w:p>
            <w:pPr>
              <w:jc w:val="right"/>
              <w:ind w:right="40"/>
              <w:spacing w:after="0"/>
              <w:rPr>
                <w:sz w:val="20"/>
                <w:szCs w:val="20"/>
                <w:color w:val="auto"/>
              </w:rPr>
            </w:pPr>
            <w:r>
              <w:rPr>
                <w:rFonts w:ascii="Arial" w:cs="Arial" w:eastAsia="Arial" w:hAnsi="Arial"/>
                <w:sz w:val="16"/>
                <w:szCs w:val="16"/>
                <w:color w:val="auto"/>
                <w:w w:val="92"/>
              </w:rPr>
              <w:t>(5,570,487)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Arial" w:cs="Arial" w:eastAsia="Arial" w:hAnsi="Arial"/>
                <w:sz w:val="16"/>
                <w:szCs w:val="16"/>
                <w:color w:val="auto"/>
              </w:rPr>
              <w:t>(5,880,882)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6"/>
                <w:szCs w:val="16"/>
                <w:color w:val="auto"/>
              </w:rPr>
              <w:t>(841)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6"/>
                <w:szCs w:val="16"/>
                <w:color w:val="auto"/>
                <w:w w:val="90"/>
              </w:rPr>
              <w:t>(74,515)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6"/>
                <w:szCs w:val="16"/>
                <w:color w:val="auto"/>
                <w:w w:val="90"/>
              </w:rPr>
              <w:t>(11,526,725)</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Fair Value as of March 31, 2016</w:t>
            </w:r>
          </w:p>
        </w:tc>
        <w:tc>
          <w:tcPr>
            <w:tcW w:w="660" w:type="dxa"/>
            <w:vAlign w:val="bottom"/>
            <w:shd w:val="clear" w:color="auto" w:fill="CCEEFF"/>
          </w:tcPr>
          <w:p>
            <w:pPr>
              <w:spacing w:after="0"/>
              <w:rPr>
                <w:sz w:val="20"/>
                <w:szCs w:val="20"/>
                <w:color w:val="auto"/>
              </w:rPr>
            </w:pPr>
          </w:p>
        </w:tc>
        <w:tc>
          <w:tcPr>
            <w:tcW w:w="1080" w:type="dxa"/>
            <w:vAlign w:val="bottom"/>
            <w:gridSpan w:val="6"/>
            <w:shd w:val="clear" w:color="auto" w:fill="CCEEFF"/>
          </w:tcPr>
          <w:p>
            <w:pPr>
              <w:jc w:val="right"/>
              <w:ind w:right="80"/>
              <w:spacing w:after="0"/>
              <w:rPr>
                <w:sz w:val="20"/>
                <w:szCs w:val="20"/>
                <w:color w:val="auto"/>
              </w:rPr>
            </w:pPr>
            <w:r>
              <w:rPr>
                <w:rFonts w:ascii="Arial" w:cs="Arial" w:eastAsia="Arial" w:hAnsi="Arial"/>
                <w:sz w:val="16"/>
                <w:szCs w:val="16"/>
                <w:color w:val="auto"/>
              </w:rPr>
              <w:t>$ 86,298,618</w:t>
            </w:r>
          </w:p>
        </w:tc>
        <w:tc>
          <w:tcPr>
            <w:tcW w:w="1140" w:type="dxa"/>
            <w:vAlign w:val="bottom"/>
            <w:gridSpan w:val="7"/>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214,250,621</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2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w w:val="87"/>
              </w:rPr>
              <w:t>$ 5,685,506</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w w:val="78"/>
              </w:rPr>
              <w:t>$ 394,791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306,629,536</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224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Net change in unrealized</w:t>
            </w:r>
          </w:p>
        </w:tc>
        <w:tc>
          <w:tcPr>
            <w:tcW w:w="6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900" w:type="dxa"/>
            <w:vAlign w:val="bottom"/>
            <w:gridSpan w:val="2"/>
          </w:tcPr>
          <w:p>
            <w:pPr>
              <w:ind w:left="200"/>
              <w:spacing w:after="0"/>
              <w:rPr>
                <w:sz w:val="20"/>
                <w:szCs w:val="20"/>
                <w:color w:val="auto"/>
              </w:rPr>
            </w:pPr>
            <w:r>
              <w:rPr>
                <w:rFonts w:ascii="Arial" w:cs="Arial" w:eastAsia="Arial" w:hAnsi="Arial"/>
                <w:sz w:val="16"/>
                <w:szCs w:val="16"/>
                <w:color w:val="auto"/>
              </w:rPr>
              <w:t>appreciation/(depreciation) of Level 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00" w:type="dxa"/>
            <w:vAlign w:val="bottom"/>
            <w:gridSpan w:val="2"/>
          </w:tcPr>
          <w:p>
            <w:pPr>
              <w:ind w:left="200"/>
              <w:spacing w:after="0"/>
              <w:rPr>
                <w:sz w:val="20"/>
                <w:szCs w:val="20"/>
                <w:color w:val="auto"/>
              </w:rPr>
            </w:pPr>
            <w:r>
              <w:rPr>
                <w:rFonts w:ascii="Arial" w:cs="Arial" w:eastAsia="Arial" w:hAnsi="Arial"/>
                <w:sz w:val="16"/>
                <w:szCs w:val="16"/>
                <w:color w:val="auto"/>
              </w:rPr>
              <w:t>investments still held as of March 31,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240" w:type="dxa"/>
            <w:vAlign w:val="bottom"/>
          </w:tcPr>
          <w:p>
            <w:pPr>
              <w:ind w:left="200"/>
              <w:spacing w:after="0"/>
              <w:rPr>
                <w:sz w:val="20"/>
                <w:szCs w:val="20"/>
                <w:color w:val="auto"/>
              </w:rPr>
            </w:pPr>
            <w:r>
              <w:rPr>
                <w:rFonts w:ascii="Arial" w:cs="Arial" w:eastAsia="Arial" w:hAnsi="Arial"/>
                <w:sz w:val="16"/>
                <w:szCs w:val="16"/>
                <w:color w:val="auto"/>
              </w:rPr>
              <w:t>2016</w:t>
            </w:r>
          </w:p>
        </w:tc>
        <w:tc>
          <w:tcPr>
            <w:tcW w:w="660" w:type="dxa"/>
            <w:vAlign w:val="bottom"/>
          </w:tcPr>
          <w:p>
            <w:pPr>
              <w:spacing w:after="0"/>
              <w:rPr>
                <w:sz w:val="17"/>
                <w:szCs w:val="17"/>
                <w:color w:val="auto"/>
              </w:rPr>
            </w:pPr>
          </w:p>
        </w:tc>
        <w:tc>
          <w:tcPr>
            <w:tcW w:w="1080" w:type="dxa"/>
            <w:vAlign w:val="bottom"/>
            <w:gridSpan w:val="6"/>
          </w:tcPr>
          <w:p>
            <w:pPr>
              <w:jc w:val="right"/>
              <w:ind w:right="40"/>
              <w:spacing w:after="0"/>
              <w:rPr>
                <w:sz w:val="20"/>
                <w:szCs w:val="20"/>
                <w:color w:val="auto"/>
              </w:rPr>
            </w:pPr>
            <w:r>
              <w:rPr>
                <w:rFonts w:ascii="Arial" w:cs="Arial" w:eastAsia="Arial" w:hAnsi="Arial"/>
                <w:sz w:val="16"/>
                <w:szCs w:val="16"/>
                <w:color w:val="auto"/>
                <w:w w:val="97"/>
              </w:rPr>
              <w:t>$ (12,466,272)</w:t>
            </w:r>
          </w:p>
        </w:tc>
        <w:tc>
          <w:tcPr>
            <w:tcW w:w="28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gridSpan w:val="4"/>
          </w:tcPr>
          <w:p>
            <w:pPr>
              <w:jc w:val="right"/>
              <w:spacing w:after="0"/>
              <w:rPr>
                <w:sz w:val="20"/>
                <w:szCs w:val="20"/>
                <w:color w:val="auto"/>
              </w:rPr>
            </w:pPr>
            <w:r>
              <w:rPr>
                <w:rFonts w:ascii="Arial" w:cs="Arial" w:eastAsia="Arial" w:hAnsi="Arial"/>
                <w:sz w:val="16"/>
                <w:szCs w:val="16"/>
                <w:color w:val="auto"/>
              </w:rPr>
              <w:t>(5,880,882)</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6"/>
                <w:szCs w:val="16"/>
                <w:color w:val="auto"/>
              </w:rPr>
              <w:t>(841)</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4"/>
          </w:tcPr>
          <w:p>
            <w:pPr>
              <w:jc w:val="right"/>
              <w:ind w:right="60"/>
              <w:spacing w:after="0"/>
              <w:rPr>
                <w:sz w:val="20"/>
                <w:szCs w:val="20"/>
                <w:color w:val="auto"/>
              </w:rPr>
            </w:pPr>
            <w:r>
              <w:rPr>
                <w:rFonts w:ascii="Arial" w:cs="Arial" w:eastAsia="Arial" w:hAnsi="Arial"/>
                <w:sz w:val="16"/>
                <w:szCs w:val="16"/>
                <w:color w:val="auto"/>
                <w:w w:val="84"/>
              </w:rPr>
              <w:t>$ (74,515)</w:t>
            </w: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3"/>
          </w:tcPr>
          <w:p>
            <w:pPr>
              <w:jc w:val="right"/>
              <w:ind w:right="40"/>
              <w:spacing w:after="0"/>
              <w:rPr>
                <w:sz w:val="20"/>
                <w:szCs w:val="20"/>
                <w:color w:val="auto"/>
              </w:rPr>
            </w:pPr>
            <w:r>
              <w:rPr>
                <w:rFonts w:ascii="Arial" w:cs="Arial" w:eastAsia="Arial" w:hAnsi="Arial"/>
                <w:sz w:val="16"/>
                <w:szCs w:val="16"/>
                <w:color w:val="auto"/>
                <w:w w:val="90"/>
              </w:rPr>
              <w:t>(18,422,510)</w:t>
            </w:r>
          </w:p>
        </w:tc>
        <w:tc>
          <w:tcPr>
            <w:tcW w:w="0" w:type="dxa"/>
            <w:vAlign w:val="bottom"/>
          </w:tcPr>
          <w:p>
            <w:pPr>
              <w:spacing w:after="0"/>
              <w:rPr>
                <w:sz w:val="1"/>
                <w:szCs w:val="1"/>
                <w:color w:val="auto"/>
              </w:rPr>
            </w:pPr>
          </w:p>
        </w:tc>
      </w:tr>
      <w:tr>
        <w:trPr>
          <w:trHeight w:val="344"/>
        </w:trPr>
        <w:tc>
          <w:tcPr>
            <w:tcW w:w="224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23"/>
          </w:tcPr>
          <w:p>
            <w:pPr>
              <w:ind w:left="300"/>
              <w:spacing w:after="0"/>
              <w:rPr>
                <w:sz w:val="20"/>
                <w:szCs w:val="20"/>
                <w:color w:val="auto"/>
              </w:rPr>
            </w:pPr>
            <w:r>
              <w:rPr>
                <w:rFonts w:ascii="Arial" w:cs="Arial" w:eastAsia="Arial" w:hAnsi="Arial"/>
                <w:sz w:val="14"/>
                <w:szCs w:val="14"/>
                <w:b w:val="1"/>
                <w:bCs w:val="1"/>
                <w:color w:val="auto"/>
              </w:rPr>
              <w:t>Three months ended March 31, 2015 (Unaudited)</w:t>
            </w: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240" w:type="dxa"/>
            <w:vAlign w:val="bottom"/>
          </w:tcPr>
          <w:p>
            <w:pPr>
              <w:spacing w:after="0"/>
              <w:rPr>
                <w:sz w:val="10"/>
                <w:szCs w:val="10"/>
                <w:color w:val="auto"/>
              </w:rPr>
            </w:pPr>
          </w:p>
        </w:tc>
        <w:tc>
          <w:tcPr>
            <w:tcW w:w="920" w:type="dxa"/>
            <w:vAlign w:val="bottom"/>
            <w:gridSpan w:val="3"/>
          </w:tcPr>
          <w:p>
            <w:pPr>
              <w:jc w:val="right"/>
              <w:ind w:right="160"/>
              <w:spacing w:after="0" w:line="119" w:lineRule="exact"/>
              <w:rPr>
                <w:sz w:val="20"/>
                <w:szCs w:val="20"/>
                <w:color w:val="auto"/>
              </w:rPr>
            </w:pPr>
            <w:r>
              <w:rPr>
                <w:rFonts w:ascii="Arial" w:cs="Arial" w:eastAsia="Arial" w:hAnsi="Arial"/>
                <w:sz w:val="13"/>
                <w:szCs w:val="13"/>
                <w:b w:val="1"/>
                <w:bCs w:val="1"/>
                <w:color w:val="auto"/>
              </w:rPr>
              <w:t>Common</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5"/>
          </w:tcPr>
          <w:p>
            <w:pPr>
              <w:jc w:val="right"/>
              <w:ind w:right="160"/>
              <w:spacing w:after="0" w:line="119" w:lineRule="exact"/>
              <w:rPr>
                <w:sz w:val="20"/>
                <w:szCs w:val="20"/>
                <w:color w:val="auto"/>
              </w:rPr>
            </w:pPr>
            <w:r>
              <w:rPr>
                <w:rFonts w:ascii="Arial" w:cs="Arial" w:eastAsia="Arial" w:hAnsi="Arial"/>
                <w:sz w:val="13"/>
                <w:szCs w:val="13"/>
                <w:b w:val="1"/>
                <w:bCs w:val="1"/>
                <w:color w:val="auto"/>
              </w:rPr>
              <w:t>Preferred</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4"/>
          </w:tcPr>
          <w:p>
            <w:pPr>
              <w:jc w:val="right"/>
              <w:ind w:right="280"/>
              <w:spacing w:after="0" w:line="119" w:lineRule="exact"/>
              <w:rPr>
                <w:sz w:val="20"/>
                <w:szCs w:val="20"/>
                <w:color w:val="auto"/>
              </w:rPr>
            </w:pPr>
            <w:r>
              <w:rPr>
                <w:rFonts w:ascii="Arial" w:cs="Arial" w:eastAsia="Arial" w:hAnsi="Arial"/>
                <w:sz w:val="13"/>
                <w:szCs w:val="13"/>
                <w:b w:val="1"/>
                <w:bCs w:val="1"/>
                <w:color w:val="auto"/>
              </w:rPr>
              <w:t>Debt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Warrants</w:t>
            </w:r>
          </w:p>
        </w:tc>
        <w:tc>
          <w:tcPr>
            <w:tcW w:w="860" w:type="dxa"/>
            <w:vAlign w:val="bottom"/>
            <w:gridSpan w:val="5"/>
          </w:tcPr>
          <w:p>
            <w:pPr>
              <w:ind w:left="20"/>
              <w:spacing w:after="0" w:line="119" w:lineRule="exact"/>
              <w:rPr>
                <w:sz w:val="20"/>
                <w:szCs w:val="20"/>
                <w:color w:val="auto"/>
              </w:rPr>
            </w:pPr>
            <w:r>
              <w:rPr>
                <w:rFonts w:ascii="Arial" w:cs="Arial" w:eastAsia="Arial" w:hAnsi="Arial"/>
                <w:sz w:val="13"/>
                <w:szCs w:val="13"/>
                <w:b w:val="1"/>
                <w:bCs w:val="1"/>
                <w:color w:val="auto"/>
              </w:rPr>
              <w:t>Embedded</w:t>
            </w:r>
          </w:p>
        </w:tc>
        <w:tc>
          <w:tcPr>
            <w:tcW w:w="100" w:type="dxa"/>
            <w:vAlign w:val="bottom"/>
          </w:tcPr>
          <w:p>
            <w:pPr>
              <w:spacing w:after="0"/>
              <w:rPr>
                <w:sz w:val="10"/>
                <w:szCs w:val="10"/>
                <w:color w:val="auto"/>
              </w:rPr>
            </w:pPr>
          </w:p>
        </w:tc>
        <w:tc>
          <w:tcPr>
            <w:tcW w:w="88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2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Assets:</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w w:val="97"/>
              </w:rPr>
              <w:t>Investments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5"/>
            <w:vMerge w:val="continue"/>
          </w:tcPr>
          <w:p>
            <w:pPr>
              <w:spacing w:after="0"/>
              <w:rPr>
                <w:sz w:val="14"/>
                <w:szCs w:val="14"/>
                <w:color w:val="auto"/>
              </w:rPr>
            </w:pPr>
          </w:p>
        </w:tc>
        <w:tc>
          <w:tcPr>
            <w:tcW w:w="860" w:type="dxa"/>
            <w:vAlign w:val="bottom"/>
            <w:gridSpan w:val="5"/>
          </w:tcPr>
          <w:p>
            <w:pPr>
              <w:ind w:left="40"/>
              <w:spacing w:after="0"/>
              <w:rPr>
                <w:sz w:val="20"/>
                <w:szCs w:val="20"/>
                <w:color w:val="auto"/>
              </w:rPr>
            </w:pPr>
            <w:r>
              <w:rPr>
                <w:rFonts w:ascii="Arial" w:cs="Arial" w:eastAsia="Arial" w:hAnsi="Arial"/>
                <w:sz w:val="14"/>
                <w:szCs w:val="14"/>
                <w:b w:val="1"/>
                <w:bCs w:val="1"/>
                <w:color w:val="auto"/>
              </w:rPr>
              <w:t>Derivative</w:t>
            </w:r>
          </w:p>
        </w:tc>
        <w:tc>
          <w:tcPr>
            <w:tcW w:w="10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240" w:type="dxa"/>
            <w:vAlign w:val="bottom"/>
            <w:vMerge w:val="continue"/>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as of December 31,</w:t>
            </w:r>
          </w:p>
        </w:tc>
        <w:tc>
          <w:tcPr>
            <w:tcW w:w="6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2014</w:t>
            </w:r>
          </w:p>
        </w:tc>
        <w:tc>
          <w:tcPr>
            <w:tcW w:w="8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$85,598,467</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840" w:type="dxa"/>
            <w:vAlign w:val="bottom"/>
            <w:gridSpan w:val="5"/>
            <w:shd w:val="clear" w:color="auto" w:fill="CCEEFF"/>
          </w:tcPr>
          <w:p>
            <w:pPr>
              <w:jc w:val="right"/>
              <w:ind w:right="40"/>
              <w:spacing w:after="0"/>
              <w:rPr>
                <w:sz w:val="20"/>
                <w:szCs w:val="20"/>
                <w:color w:val="auto"/>
              </w:rPr>
            </w:pPr>
            <w:r>
              <w:rPr>
                <w:rFonts w:ascii="Arial" w:cs="Arial" w:eastAsia="Arial" w:hAnsi="Arial"/>
                <w:sz w:val="16"/>
                <w:szCs w:val="16"/>
                <w:color w:val="auto"/>
                <w:w w:val="87"/>
              </w:rPr>
              <w:t>193,847,045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w w:val="98"/>
              </w:rPr>
              <w:t>1,374,210</w:t>
            </w:r>
          </w:p>
        </w:tc>
        <w:tc>
          <w:tcPr>
            <w:tcW w:w="860" w:type="dxa"/>
            <w:vAlign w:val="bottom"/>
            <w:gridSpan w:val="5"/>
            <w:shd w:val="clear" w:color="auto" w:fill="CCEEFF"/>
          </w:tcPr>
          <w:p>
            <w:pPr>
              <w:jc w:val="right"/>
              <w:ind w:right="40"/>
              <w:spacing w:after="0"/>
              <w:rPr>
                <w:sz w:val="20"/>
                <w:szCs w:val="20"/>
                <w:color w:val="auto"/>
              </w:rPr>
            </w:pPr>
            <w:r>
              <w:rPr>
                <w:rFonts w:ascii="Arial" w:cs="Arial" w:eastAsia="Arial" w:hAnsi="Arial"/>
                <w:sz w:val="16"/>
                <w:szCs w:val="16"/>
                <w:color w:val="auto"/>
              </w:rPr>
              <w:t>$ 904,345</w:t>
            </w:r>
          </w:p>
        </w:tc>
        <w:tc>
          <w:tcPr>
            <w:tcW w:w="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4"/>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w w:val="92"/>
              </w:rPr>
              <w:t>281,724,067</w:t>
            </w:r>
          </w:p>
        </w:tc>
        <w:tc>
          <w:tcPr>
            <w:tcW w:w="0" w:type="dxa"/>
            <w:vAlign w:val="bottom"/>
          </w:tcPr>
          <w:p>
            <w:pPr>
              <w:spacing w:after="0"/>
              <w:rPr>
                <w:sz w:val="1"/>
                <w:szCs w:val="1"/>
                <w:color w:val="auto"/>
              </w:rPr>
            </w:pPr>
          </w:p>
        </w:tc>
      </w:tr>
      <w:tr>
        <w:trPr>
          <w:trHeight w:val="193"/>
        </w:trPr>
        <w:tc>
          <w:tcPr>
            <w:tcW w:w="2240" w:type="dxa"/>
            <w:vAlign w:val="bottom"/>
          </w:tcPr>
          <w:p>
            <w:pPr>
              <w:ind w:left="20"/>
              <w:spacing w:after="0"/>
              <w:rPr>
                <w:sz w:val="20"/>
                <w:szCs w:val="20"/>
                <w:color w:val="auto"/>
              </w:rPr>
            </w:pPr>
            <w:r>
              <w:rPr>
                <w:rFonts w:ascii="Arial" w:cs="Arial" w:eastAsia="Arial" w:hAnsi="Arial"/>
                <w:sz w:val="16"/>
                <w:szCs w:val="16"/>
                <w:color w:val="auto"/>
              </w:rPr>
              <w:t>Purchases of</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240" w:type="dxa"/>
            <w:vAlign w:val="bottom"/>
          </w:tcPr>
          <w:p>
            <w:pPr>
              <w:ind w:left="200"/>
              <w:spacing w:after="0"/>
              <w:rPr>
                <w:sz w:val="20"/>
                <w:szCs w:val="20"/>
                <w:color w:val="auto"/>
              </w:rPr>
            </w:pPr>
            <w:r>
              <w:rPr>
                <w:rFonts w:ascii="Arial" w:cs="Arial" w:eastAsia="Arial" w:hAnsi="Arial"/>
                <w:sz w:val="16"/>
                <w:szCs w:val="16"/>
                <w:color w:val="auto"/>
              </w:rPr>
              <w:t>investments</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1,280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5"/>
          </w:tcPr>
          <w:p>
            <w:pPr>
              <w:jc w:val="right"/>
              <w:ind w:right="40"/>
              <w:spacing w:after="0"/>
              <w:rPr>
                <w:sz w:val="20"/>
                <w:szCs w:val="20"/>
                <w:color w:val="auto"/>
              </w:rPr>
            </w:pPr>
            <w:r>
              <w:rPr>
                <w:rFonts w:ascii="Arial" w:cs="Arial" w:eastAsia="Arial" w:hAnsi="Arial"/>
                <w:sz w:val="16"/>
                <w:szCs w:val="16"/>
                <w:color w:val="auto"/>
              </w:rPr>
              <w:t>8,016,099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4"/>
          </w:tcPr>
          <w:p>
            <w:pPr>
              <w:jc w:val="right"/>
              <w:ind w:right="60"/>
              <w:spacing w:after="0"/>
              <w:rPr>
                <w:sz w:val="20"/>
                <w:szCs w:val="20"/>
                <w:color w:val="auto"/>
              </w:rPr>
            </w:pPr>
            <w:r>
              <w:rPr>
                <w:rFonts w:ascii="Arial" w:cs="Arial" w:eastAsia="Arial" w:hAnsi="Arial"/>
                <w:sz w:val="16"/>
                <w:szCs w:val="16"/>
                <w:color w:val="auto"/>
              </w:rPr>
              <w:t>972,746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5"/>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80" w:type="dxa"/>
            <w:vAlign w:val="bottom"/>
            <w:gridSpan w:val="4"/>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6"/>
                <w:szCs w:val="16"/>
                <w:color w:val="auto"/>
              </w:rPr>
              <w:t>8,990,125</w:t>
            </w:r>
          </w:p>
        </w:tc>
        <w:tc>
          <w:tcPr>
            <w:tcW w:w="0" w:type="dxa"/>
            <w:vAlign w:val="bottom"/>
          </w:tcPr>
          <w:p>
            <w:pPr>
              <w:spacing w:after="0"/>
              <w:rPr>
                <w:sz w:val="1"/>
                <w:szCs w:val="1"/>
                <w:color w:val="auto"/>
              </w:rPr>
            </w:pPr>
          </w:p>
        </w:tc>
      </w:tr>
      <w:tr>
        <w:trPr>
          <w:trHeight w:val="196"/>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unrealized</w:t>
            </w:r>
          </w:p>
        </w:tc>
        <w:tc>
          <w:tcPr>
            <w:tcW w:w="6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appreciation/(depreciation)</w:t>
            </w:r>
          </w:p>
        </w:tc>
        <w:tc>
          <w:tcPr>
            <w:tcW w:w="6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included in earnings</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(1,163,706)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40"/>
              <w:spacing w:after="0"/>
              <w:rPr>
                <w:sz w:val="20"/>
                <w:szCs w:val="20"/>
                <w:color w:val="auto"/>
              </w:rPr>
            </w:pPr>
            <w:r>
              <w:rPr>
                <w:rFonts w:ascii="Arial" w:cs="Arial" w:eastAsia="Arial" w:hAnsi="Arial"/>
                <w:sz w:val="16"/>
                <w:szCs w:val="16"/>
                <w:color w:val="auto"/>
                <w:w w:val="97"/>
              </w:rPr>
              <w:t>11,780,841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35,974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w w:val="90"/>
              </w:rPr>
              <w:t>(160,570)</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10,492,539</w:t>
            </w:r>
          </w:p>
        </w:tc>
        <w:tc>
          <w:tcPr>
            <w:tcW w:w="0" w:type="dxa"/>
            <w:vAlign w:val="bottom"/>
          </w:tcPr>
          <w:p>
            <w:pPr>
              <w:spacing w:after="0"/>
              <w:rPr>
                <w:sz w:val="1"/>
                <w:szCs w:val="1"/>
                <w:color w:val="auto"/>
              </w:rPr>
            </w:pPr>
          </w:p>
        </w:tc>
      </w:tr>
      <w:tr>
        <w:trPr>
          <w:trHeight w:val="189"/>
        </w:trPr>
        <w:tc>
          <w:tcPr>
            <w:tcW w:w="224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Fair Value as of March 31,</w:t>
            </w:r>
          </w:p>
        </w:tc>
        <w:tc>
          <w:tcPr>
            <w:tcW w:w="6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240" w:type="dxa"/>
            <w:vAlign w:val="bottom"/>
          </w:tcPr>
          <w:p>
            <w:pPr>
              <w:ind w:left="200"/>
              <w:spacing w:after="0"/>
              <w:rPr>
                <w:sz w:val="20"/>
                <w:szCs w:val="20"/>
                <w:color w:val="auto"/>
              </w:rPr>
            </w:pPr>
            <w:r>
              <w:rPr>
                <w:rFonts w:ascii="Arial" w:cs="Arial" w:eastAsia="Arial" w:hAnsi="Arial"/>
                <w:sz w:val="16"/>
                <w:szCs w:val="16"/>
                <w:color w:val="auto"/>
              </w:rPr>
              <w:t>2015</w:t>
            </w:r>
          </w:p>
        </w:tc>
        <w:tc>
          <w:tcPr>
            <w:tcW w:w="820" w:type="dxa"/>
            <w:vAlign w:val="bottom"/>
            <w:gridSpan w:val="2"/>
          </w:tcPr>
          <w:p>
            <w:pPr>
              <w:jc w:val="right"/>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84,436,041</w:t>
            </w:r>
          </w:p>
        </w:tc>
        <w:tc>
          <w:tcPr>
            <w:tcW w:w="100" w:type="dxa"/>
            <w:vAlign w:val="bottom"/>
          </w:tcPr>
          <w:p>
            <w:pPr>
              <w:spacing w:after="0"/>
              <w:rPr>
                <w:sz w:val="18"/>
                <w:szCs w:val="18"/>
                <w:color w:val="auto"/>
              </w:rPr>
            </w:pPr>
          </w:p>
        </w:tc>
        <w:tc>
          <w:tcPr>
            <w:tcW w:w="260" w:type="dxa"/>
            <w:vAlign w:val="bottom"/>
            <w:gridSpan w:val="2"/>
          </w:tcPr>
          <w:p>
            <w:pPr>
              <w:ind w:left="180"/>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gridSpan w:val="5"/>
          </w:tcPr>
          <w:p>
            <w:pPr>
              <w:jc w:val="right"/>
              <w:ind w:right="40"/>
              <w:spacing w:after="0"/>
              <w:rPr>
                <w:sz w:val="20"/>
                <w:szCs w:val="20"/>
                <w:color w:val="auto"/>
              </w:rPr>
            </w:pPr>
            <w:r>
              <w:rPr>
                <w:rFonts w:ascii="Arial" w:cs="Arial" w:eastAsia="Arial" w:hAnsi="Arial"/>
                <w:sz w:val="16"/>
                <w:szCs w:val="16"/>
                <w:color w:val="auto"/>
                <w:w w:val="87"/>
              </w:rPr>
              <w:t>213,643,985</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4"/>
          </w:tcPr>
          <w:p>
            <w:pPr>
              <w:jc w:val="right"/>
              <w:ind w:right="60"/>
              <w:spacing w:after="0"/>
              <w:rPr>
                <w:sz w:val="20"/>
                <w:szCs w:val="20"/>
                <w:color w:val="auto"/>
              </w:rPr>
            </w:pPr>
            <w:r>
              <w:rPr>
                <w:rFonts w:ascii="Arial" w:cs="Arial" w:eastAsia="Arial" w:hAnsi="Arial"/>
                <w:sz w:val="16"/>
                <w:szCs w:val="16"/>
                <w:color w:val="auto"/>
                <w:w w:val="98"/>
              </w:rPr>
              <w:t>2,382,930</w:t>
            </w:r>
          </w:p>
        </w:tc>
        <w:tc>
          <w:tcPr>
            <w:tcW w:w="860" w:type="dxa"/>
            <w:vAlign w:val="bottom"/>
            <w:gridSpan w:val="5"/>
          </w:tcPr>
          <w:p>
            <w:pPr>
              <w:jc w:val="right"/>
              <w:ind w:right="40"/>
              <w:spacing w:after="0"/>
              <w:rPr>
                <w:sz w:val="20"/>
                <w:szCs w:val="20"/>
                <w:color w:val="auto"/>
              </w:rPr>
            </w:pPr>
            <w:r>
              <w:rPr>
                <w:rFonts w:ascii="Arial" w:cs="Arial" w:eastAsia="Arial" w:hAnsi="Arial"/>
                <w:sz w:val="16"/>
                <w:szCs w:val="16"/>
                <w:color w:val="auto"/>
              </w:rPr>
              <w:t>$ 743,775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4"/>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3"/>
          </w:tcPr>
          <w:p>
            <w:pPr>
              <w:jc w:val="right"/>
              <w:ind w:right="40"/>
              <w:spacing w:after="0"/>
              <w:rPr>
                <w:sz w:val="20"/>
                <w:szCs w:val="20"/>
                <w:color w:val="auto"/>
              </w:rPr>
            </w:pPr>
            <w:r>
              <w:rPr>
                <w:rFonts w:ascii="Arial" w:cs="Arial" w:eastAsia="Arial" w:hAnsi="Arial"/>
                <w:sz w:val="16"/>
                <w:szCs w:val="16"/>
                <w:color w:val="auto"/>
                <w:w w:val="92"/>
              </w:rPr>
              <w:t>301,206,731</w:t>
            </w:r>
          </w:p>
        </w:tc>
        <w:tc>
          <w:tcPr>
            <w:tcW w:w="0" w:type="dxa"/>
            <w:vAlign w:val="bottom"/>
          </w:tcPr>
          <w:p>
            <w:pPr>
              <w:spacing w:after="0"/>
              <w:rPr>
                <w:sz w:val="1"/>
                <w:szCs w:val="1"/>
                <w:color w:val="auto"/>
              </w:rPr>
            </w:pPr>
          </w:p>
        </w:tc>
      </w:tr>
      <w:tr>
        <w:trPr>
          <w:trHeight w:val="24"/>
        </w:trPr>
        <w:tc>
          <w:tcPr>
            <w:tcW w:w="2240" w:type="dxa"/>
            <w:vAlign w:val="bottom"/>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unrealized</w:t>
            </w:r>
          </w:p>
        </w:tc>
        <w:tc>
          <w:tcPr>
            <w:tcW w:w="66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appreciation/(depreciation)</w:t>
            </w:r>
          </w:p>
        </w:tc>
        <w:tc>
          <w:tcPr>
            <w:tcW w:w="6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on Level 3 investments still</w:t>
            </w:r>
          </w:p>
        </w:tc>
        <w:tc>
          <w:tcPr>
            <w:tcW w:w="6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held as of March 31, 2015</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w w:val="90"/>
              </w:rPr>
              <w:t>$ (1,163,706)</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840" w:type="dxa"/>
            <w:vAlign w:val="bottom"/>
            <w:gridSpan w:val="5"/>
            <w:shd w:val="clear" w:color="auto" w:fill="CCEEFF"/>
          </w:tcPr>
          <w:p>
            <w:pPr>
              <w:jc w:val="right"/>
              <w:ind w:right="40"/>
              <w:spacing w:after="0"/>
              <w:rPr>
                <w:sz w:val="20"/>
                <w:szCs w:val="20"/>
                <w:color w:val="auto"/>
              </w:rPr>
            </w:pPr>
            <w:r>
              <w:rPr>
                <w:rFonts w:ascii="Arial" w:cs="Arial" w:eastAsia="Arial" w:hAnsi="Arial"/>
                <w:sz w:val="16"/>
                <w:szCs w:val="16"/>
                <w:color w:val="auto"/>
                <w:w w:val="97"/>
              </w:rPr>
              <w:t>11,780,841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35,974</w:t>
            </w:r>
          </w:p>
        </w:tc>
        <w:tc>
          <w:tcPr>
            <w:tcW w:w="900" w:type="dxa"/>
            <w:vAlign w:val="bottom"/>
            <w:gridSpan w:val="6"/>
            <w:shd w:val="clear" w:color="auto" w:fill="CCEEFF"/>
          </w:tcPr>
          <w:p>
            <w:pPr>
              <w:jc w:val="right"/>
              <w:ind w:right="20"/>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(160,570)</w:t>
            </w:r>
          </w:p>
        </w:tc>
        <w:tc>
          <w:tcPr>
            <w:tcW w:w="1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4"/>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10,492,539</w:t>
            </w:r>
          </w:p>
        </w:tc>
        <w:tc>
          <w:tcPr>
            <w:tcW w:w="0" w:type="dxa"/>
            <w:vAlign w:val="bottom"/>
          </w:tcPr>
          <w:p>
            <w:pPr>
              <w:spacing w:after="0"/>
              <w:rPr>
                <w:sz w:val="1"/>
                <w:szCs w:val="1"/>
                <w:color w:val="auto"/>
              </w:rPr>
            </w:pPr>
          </w:p>
        </w:tc>
      </w:tr>
      <w:tr>
        <w:trPr>
          <w:trHeight w:val="196"/>
        </w:trPr>
        <w:tc>
          <w:tcPr>
            <w:tcW w:w="2240" w:type="dxa"/>
            <w:vAlign w:val="bottom"/>
            <w:tcBorders>
              <w:top w:val="single" w:sz="8" w:color="CCEEFF"/>
            </w:tcBorders>
          </w:tcPr>
          <w:p>
            <w:pPr>
              <w:ind w:left="20"/>
              <w:spacing w:after="0"/>
              <w:rPr>
                <w:sz w:val="20"/>
                <w:szCs w:val="20"/>
                <w:color w:val="auto"/>
              </w:rPr>
            </w:pPr>
            <w:r>
              <w:rPr>
                <w:rFonts w:ascii="Arial" w:cs="Arial" w:eastAsia="Arial" w:hAnsi="Arial"/>
                <w:sz w:val="16"/>
                <w:szCs w:val="16"/>
                <w:b w:val="1"/>
                <w:bCs w:val="1"/>
                <w:color w:val="auto"/>
              </w:rPr>
              <w:t>Liabilities:</w:t>
            </w:r>
          </w:p>
        </w:tc>
        <w:tc>
          <w:tcPr>
            <w:tcW w:w="6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December 31,</w:t>
            </w:r>
          </w:p>
        </w:tc>
        <w:tc>
          <w:tcPr>
            <w:tcW w:w="66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2014</w:t>
            </w:r>
          </w:p>
        </w:tc>
        <w:tc>
          <w:tcPr>
            <w:tcW w:w="660" w:type="dxa"/>
            <w:vAlign w:val="bottom"/>
            <w:shd w:val="clear" w:color="auto" w:fill="CCEEFF"/>
          </w:tcPr>
          <w:p>
            <w:pPr>
              <w:jc w:val="right"/>
              <w:ind w:right="503"/>
              <w:spacing w:after="0"/>
              <w:rPr>
                <w:sz w:val="20"/>
                <w:szCs w:val="20"/>
                <w:color w:val="auto"/>
              </w:rPr>
            </w:pPr>
            <w:r>
              <w:rPr>
                <w:rFonts w:ascii="Arial" w:cs="Arial" w:eastAsia="Arial" w:hAnsi="Arial"/>
                <w:sz w:val="15"/>
                <w:szCs w:val="15"/>
                <w:color w:val="auto"/>
                <w:w w:val="71"/>
              </w:rPr>
              <w:t>$</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7"/>
              </w:rPr>
              <w:t>—</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right w:val="single" w:sz="8" w:color="CCEEFF"/>
            </w:tcBorders>
            <w:gridSpan w:val="5"/>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189"/>
        </w:trPr>
        <w:tc>
          <w:tcPr>
            <w:tcW w:w="224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Fair Value as of March 31,</w:t>
            </w:r>
          </w:p>
        </w:tc>
        <w:tc>
          <w:tcPr>
            <w:tcW w:w="6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240" w:type="dxa"/>
            <w:vAlign w:val="bottom"/>
          </w:tcPr>
          <w:p>
            <w:pPr>
              <w:ind w:left="200"/>
              <w:spacing w:after="0"/>
              <w:rPr>
                <w:sz w:val="20"/>
                <w:szCs w:val="20"/>
                <w:color w:val="auto"/>
              </w:rPr>
            </w:pPr>
            <w:r>
              <w:rPr>
                <w:rFonts w:ascii="Arial" w:cs="Arial" w:eastAsia="Arial" w:hAnsi="Arial"/>
                <w:sz w:val="16"/>
                <w:szCs w:val="16"/>
                <w:color w:val="auto"/>
              </w:rPr>
              <w:t>2015</w:t>
            </w:r>
          </w:p>
        </w:tc>
        <w:tc>
          <w:tcPr>
            <w:tcW w:w="660" w:type="dxa"/>
            <w:vAlign w:val="bottom"/>
          </w:tcPr>
          <w:p>
            <w:pPr>
              <w:jc w:val="right"/>
              <w:ind w:right="503"/>
              <w:spacing w:after="0"/>
              <w:rPr>
                <w:sz w:val="20"/>
                <w:szCs w:val="20"/>
                <w:color w:val="auto"/>
              </w:rPr>
            </w:pPr>
            <w:r>
              <w:rPr>
                <w:rFonts w:ascii="Arial" w:cs="Arial" w:eastAsia="Arial" w:hAnsi="Arial"/>
                <w:sz w:val="15"/>
                <w:szCs w:val="15"/>
                <w:color w:val="auto"/>
                <w:w w:val="71"/>
              </w:rPr>
              <w:t>$</w:t>
            </w:r>
          </w:p>
        </w:tc>
        <w:tc>
          <w:tcPr>
            <w:tcW w:w="260" w:type="dxa"/>
            <w:vAlign w:val="bottom"/>
            <w:gridSpan w:val="2"/>
          </w:tcPr>
          <w:p>
            <w:pPr>
              <w:jc w:val="right"/>
              <w:ind w:right="100"/>
              <w:spacing w:after="0"/>
              <w:rPr>
                <w:sz w:val="20"/>
                <w:szCs w:val="20"/>
                <w:color w:val="auto"/>
              </w:rPr>
            </w:pPr>
            <w:r>
              <w:rPr>
                <w:rFonts w:ascii="Arial" w:cs="Arial" w:eastAsia="Arial" w:hAnsi="Arial"/>
                <w:sz w:val="16"/>
                <w:szCs w:val="16"/>
                <w:color w:val="auto"/>
                <w:w w:val="87"/>
              </w:rPr>
              <w:t>—</w:t>
            </w: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5"/>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3"/>
          </w:tcPr>
          <w:p>
            <w:pPr>
              <w:jc w:val="right"/>
              <w:ind w:right="80"/>
              <w:spacing w:after="0"/>
              <w:rPr>
                <w:sz w:val="20"/>
                <w:szCs w:val="20"/>
                <w:color w:val="auto"/>
              </w:rPr>
            </w:pPr>
            <w:r>
              <w:rPr>
                <w:rFonts w:ascii="Arial" w:cs="Arial" w:eastAsia="Arial" w:hAnsi="Arial"/>
                <w:sz w:val="16"/>
                <w:szCs w:val="16"/>
                <w:color w:val="auto"/>
              </w:rPr>
              <w:t>1,000</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3"/>
          </w:tcPr>
          <w:p>
            <w:pPr>
              <w:jc w:val="right"/>
              <w:ind w:right="4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4"/>
        </w:trPr>
        <w:tc>
          <w:tcPr>
            <w:tcW w:w="2240" w:type="dxa"/>
            <w:vAlign w:val="bottom"/>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-3532505</wp:posOffset>
            </wp:positionV>
            <wp:extent cx="5213985" cy="35331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213985" cy="3533140"/>
                    </a:xfrm>
                    <a:prstGeom prst="rect">
                      <a:avLst/>
                    </a:prstGeom>
                    <a:noFill/>
                  </pic:spPr>
                </pic:pic>
              </a:graphicData>
            </a:graphic>
          </wp:anchor>
        </w:drawing>
      </w:r>
    </w:p>
    <w:p>
      <w:pPr>
        <w:spacing w:after="0" w:line="74" w:lineRule="exact"/>
        <w:rPr>
          <w:sz w:val="20"/>
          <w:szCs w:val="20"/>
          <w:color w:val="auto"/>
        </w:rPr>
      </w:pPr>
    </w:p>
    <w:p>
      <w:pPr>
        <w:ind w:left="60" w:right="799" w:firstLine="270"/>
        <w:spacing w:after="0" w:line="264" w:lineRule="auto"/>
        <w:rPr>
          <w:sz w:val="20"/>
          <w:szCs w:val="20"/>
          <w:color w:val="auto"/>
        </w:rPr>
      </w:pPr>
      <w:r>
        <w:rPr>
          <w:rFonts w:ascii="Arial" w:cs="Arial" w:eastAsia="Arial" w:hAnsi="Arial"/>
          <w:sz w:val="18"/>
          <w:szCs w:val="18"/>
          <w:color w:val="auto"/>
        </w:rPr>
        <w:t>The portfolio companies in which the Company invests periodically offer their shares in IPOs, which are typically subject to lock-up agreements for 180 days following the IPO. Refer to “Note 1 — Nature of Operations and Significant Accounting Policies — Summary of Significant Accounting Policies — Levelling Policy” for further detail.</w:t>
      </w:r>
    </w:p>
    <w:p>
      <w:pPr>
        <w:spacing w:after="0" w:line="200" w:lineRule="exact"/>
        <w:rPr>
          <w:sz w:val="20"/>
          <w:szCs w:val="20"/>
          <w:color w:val="auto"/>
        </w:rPr>
      </w:pPr>
    </w:p>
    <w:p>
      <w:pPr>
        <w:spacing w:after="0" w:line="33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35" w:name="page36"/>
    <w:bookmarkEnd w:id="35"/>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March 31, 2016</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 EQUITY OFFERINGS AND RELATED EXPENSES</w:t>
      </w:r>
    </w:p>
    <w:p>
      <w:pPr>
        <w:spacing w:after="0" w:line="121" w:lineRule="exact"/>
        <w:rPr>
          <w:sz w:val="20"/>
          <w:szCs w:val="20"/>
          <w:color w:val="auto"/>
        </w:rPr>
      </w:pPr>
    </w:p>
    <w:p>
      <w:pPr>
        <w:ind w:left="60" w:right="1199" w:firstLine="270"/>
        <w:spacing w:after="0" w:line="277" w:lineRule="auto"/>
        <w:rPr>
          <w:sz w:val="20"/>
          <w:szCs w:val="20"/>
          <w:color w:val="auto"/>
        </w:rPr>
      </w:pPr>
      <w:r>
        <w:rPr>
          <w:rFonts w:ascii="Arial" w:cs="Arial" w:eastAsia="Arial" w:hAnsi="Arial"/>
          <w:sz w:val="18"/>
          <w:szCs w:val="18"/>
          <w:color w:val="auto"/>
        </w:rPr>
        <w:t>No new shares of the Company’s common stock were issued during the three months ended March 31, 2016 and 2015, respectively.</w:t>
      </w:r>
    </w:p>
    <w:p>
      <w:pPr>
        <w:spacing w:after="0" w:line="99" w:lineRule="exact"/>
        <w:rPr>
          <w:sz w:val="20"/>
          <w:szCs w:val="20"/>
          <w:color w:val="auto"/>
        </w:rPr>
      </w:pPr>
    </w:p>
    <w:p>
      <w:pPr>
        <w:ind w:left="60" w:right="1019"/>
        <w:spacing w:after="0" w:line="282" w:lineRule="auto"/>
        <w:rPr>
          <w:sz w:val="20"/>
          <w:szCs w:val="20"/>
          <w:color w:val="auto"/>
        </w:rPr>
      </w:pPr>
      <w:r>
        <w:rPr>
          <w:rFonts w:ascii="Arial" w:cs="Arial" w:eastAsia="Arial" w:hAnsi="Arial"/>
          <w:sz w:val="18"/>
          <w:szCs w:val="18"/>
          <w:b w:val="1"/>
          <w:bCs w:val="1"/>
          <w:color w:val="auto"/>
        </w:rPr>
        <w:t>NOTE 5 — NET INCREASE/(DECREASE) IN NET ASSETS RESULTING FROM OPERATIONS PER COMMON SHARE — BASIC AND DILUTED</w:t>
      </w:r>
    </w:p>
    <w:p>
      <w:pPr>
        <w:spacing w:after="0" w:line="58" w:lineRule="exact"/>
        <w:rPr>
          <w:sz w:val="20"/>
          <w:szCs w:val="20"/>
          <w:color w:val="auto"/>
        </w:rPr>
      </w:pPr>
    </w:p>
    <w:p>
      <w:pPr>
        <w:ind w:left="60" w:right="579" w:firstLine="270"/>
        <w:spacing w:after="0" w:line="310" w:lineRule="auto"/>
        <w:rPr>
          <w:sz w:val="20"/>
          <w:szCs w:val="20"/>
          <w:color w:val="auto"/>
        </w:rPr>
      </w:pPr>
      <w:r>
        <w:rPr>
          <w:rFonts w:ascii="Arial" w:cs="Arial" w:eastAsia="Arial" w:hAnsi="Arial"/>
          <w:sz w:val="15"/>
          <w:szCs w:val="15"/>
          <w:color w:val="auto"/>
        </w:rPr>
        <w:t>The following information sets forth the computation of basic and diluted net increase/(decrease) in net assets resulting from operations per common share for the three months ended March 31, 2016 and 2015. The use of the if-converted method as promulgated under ASC 260 considers all potentially dilutive securities in a company’s capital structure when calculating diluted earnings per share, regardless of whether it would be economically beneficial for a holder of such potentially dilutive security to exercise their conversion option (such as out of the money warrants.) In scenarios where diluted net increase in net assets resulting from operations per share is higher than basic net increase in net assets resulting from operations per share, ASC 260 prohibits the separate presentation of the diluted net increase in net assets resulting from operations per share figure. In scenarios where diluted net decrease in net assets resulting from operations per share is lower than basic net decrease in net assets resulting from operations per share, ASC 260 prohibits the separate presentation of the net decrease in net assets resulting from operations per share figure.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wp:posOffset>
            </wp:positionV>
            <wp:extent cx="521398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right"/>
              <w:ind w:right="215"/>
              <w:spacing w:after="0" w:line="119" w:lineRule="exact"/>
              <w:rPr>
                <w:sz w:val="20"/>
                <w:szCs w:val="20"/>
                <w:color w:val="auto"/>
              </w:rPr>
            </w:pPr>
            <w:r>
              <w:rPr>
                <w:rFonts w:ascii="Arial" w:cs="Arial" w:eastAsia="Arial" w:hAnsi="Arial"/>
                <w:sz w:val="13"/>
                <w:szCs w:val="13"/>
                <w:b w:val="1"/>
                <w:bCs w:val="1"/>
                <w:color w:val="auto"/>
              </w:rPr>
              <w:t>2016</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right"/>
              <w:ind w:right="233"/>
              <w:spacing w:after="0" w:line="119" w:lineRule="exact"/>
              <w:rPr>
                <w:sz w:val="20"/>
                <w:szCs w:val="20"/>
                <w:color w:val="auto"/>
              </w:rPr>
            </w:pPr>
            <w:r>
              <w:rPr>
                <w:rFonts w:ascii="Arial" w:cs="Arial" w:eastAsia="Arial" w:hAnsi="Arial"/>
                <w:sz w:val="13"/>
                <w:szCs w:val="13"/>
                <w:b w:val="1"/>
                <w:bCs w:val="1"/>
                <w:color w:val="auto"/>
              </w:rPr>
              <w:t>2015</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94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Earnings/(loss) per common share – basic:</w:t>
            </w: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10"/>
        </w:trPr>
        <w:tc>
          <w:tcPr>
            <w:tcW w:w="59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increase/(decrease) in net assets resulting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(24,949,064)</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16,664,622</w:t>
            </w:r>
          </w:p>
        </w:tc>
        <w:tc>
          <w:tcPr>
            <w:tcW w:w="0" w:type="dxa"/>
            <w:vAlign w:val="bottom"/>
          </w:tcPr>
          <w:p>
            <w:pPr>
              <w:spacing w:after="0"/>
              <w:rPr>
                <w:sz w:val="1"/>
                <w:szCs w:val="1"/>
                <w:color w:val="auto"/>
              </w:rPr>
            </w:pPr>
          </w:p>
        </w:tc>
      </w:tr>
      <w:tr>
        <w:trPr>
          <w:trHeight w:val="216"/>
        </w:trPr>
        <w:tc>
          <w:tcPr>
            <w:tcW w:w="5940" w:type="dxa"/>
            <w:vAlign w:val="bottom"/>
            <w:gridSpan w:val="3"/>
          </w:tcPr>
          <w:p>
            <w:pPr>
              <w:ind w:left="20"/>
              <w:spacing w:after="0"/>
              <w:rPr>
                <w:sz w:val="20"/>
                <w:szCs w:val="20"/>
                <w:color w:val="auto"/>
              </w:rPr>
            </w:pPr>
            <w:r>
              <w:rPr>
                <w:rFonts w:ascii="Arial" w:cs="Arial" w:eastAsia="Arial" w:hAnsi="Arial"/>
                <w:sz w:val="18"/>
                <w:szCs w:val="18"/>
                <w:color w:val="auto"/>
              </w:rPr>
              <w:t>Weighted average common shares outstanding – basic</w:t>
            </w: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22,181,003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19,320,100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Earnings/(loss) per common share – 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16"/>
        </w:trPr>
        <w:tc>
          <w:tcPr>
            <w:tcW w:w="5940" w:type="dxa"/>
            <w:vAlign w:val="bottom"/>
            <w:gridSpan w:val="3"/>
          </w:tcPr>
          <w:p>
            <w:pPr>
              <w:ind w:left="20"/>
              <w:spacing w:after="0"/>
              <w:rPr>
                <w:sz w:val="20"/>
                <w:szCs w:val="20"/>
                <w:color w:val="auto"/>
              </w:rPr>
            </w:pPr>
            <w:r>
              <w:rPr>
                <w:rFonts w:ascii="Arial" w:cs="Arial" w:eastAsia="Arial" w:hAnsi="Arial"/>
                <w:sz w:val="18"/>
                <w:szCs w:val="18"/>
                <w:b w:val="1"/>
                <w:bCs w:val="1"/>
                <w:color w:val="auto"/>
              </w:rPr>
              <w:t>Earnings/(loss) per common share – diluted:</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940" w:type="dxa"/>
            <w:vAlign w:val="bottom"/>
            <w:gridSpan w:val="3"/>
            <w:shd w:val="clear" w:color="auto" w:fill="CCEEFF"/>
          </w:tcPr>
          <w:p>
            <w:pPr>
              <w:ind w:left="20"/>
              <w:spacing w:after="0" w:line="201" w:lineRule="exact"/>
              <w:rPr>
                <w:sz w:val="20"/>
                <w:szCs w:val="20"/>
                <w:color w:val="auto"/>
              </w:rPr>
            </w:pPr>
            <w:r>
              <w:rPr>
                <w:rFonts w:ascii="Arial" w:cs="Arial" w:eastAsia="Arial" w:hAnsi="Arial"/>
                <w:sz w:val="18"/>
                <w:szCs w:val="18"/>
                <w:color w:val="auto"/>
              </w:rPr>
              <w:t>Net increase/(decrease) in net assets resulting from operations, before</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5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adjustments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(24,949,064)</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16,664,622</w:t>
            </w:r>
          </w:p>
        </w:tc>
        <w:tc>
          <w:tcPr>
            <w:tcW w:w="0" w:type="dxa"/>
            <w:vAlign w:val="bottom"/>
          </w:tcPr>
          <w:p>
            <w:pPr>
              <w:spacing w:after="0"/>
              <w:rPr>
                <w:sz w:val="1"/>
                <w:szCs w:val="1"/>
                <w:color w:val="auto"/>
              </w:rPr>
            </w:pPr>
          </w:p>
        </w:tc>
      </w:tr>
      <w:tr>
        <w:trPr>
          <w:trHeight w:val="202"/>
        </w:trPr>
        <w:tc>
          <w:tcPr>
            <w:tcW w:w="594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Adjustments for interest on Convertible Senior Notes and deferred debt</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20" w:type="dxa"/>
            <w:vAlign w:val="bottom"/>
            <w:gridSpan w:val="2"/>
          </w:tcPr>
          <w:p>
            <w:pPr>
              <w:ind w:left="180"/>
              <w:spacing w:after="0"/>
              <w:rPr>
                <w:sz w:val="20"/>
                <w:szCs w:val="20"/>
                <w:color w:val="auto"/>
              </w:rPr>
            </w:pPr>
            <w:r>
              <w:rPr>
                <w:rFonts w:ascii="Arial" w:cs="Arial" w:eastAsia="Arial" w:hAnsi="Arial"/>
                <w:sz w:val="18"/>
                <w:szCs w:val="18"/>
                <w:color w:val="auto"/>
              </w:rPr>
              <w:t>issuance costs</w:t>
            </w: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627,014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9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7"/>
              </w:rPr>
              <w:t>Net increase/(decrease) in net assets resulting from operations, as adjusted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(24,949,064)</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17,291,636</w:t>
            </w:r>
          </w:p>
        </w:tc>
        <w:tc>
          <w:tcPr>
            <w:tcW w:w="0" w:type="dxa"/>
            <w:vAlign w:val="bottom"/>
          </w:tcPr>
          <w:p>
            <w:pPr>
              <w:spacing w:after="0"/>
              <w:rPr>
                <w:sz w:val="1"/>
                <w:szCs w:val="1"/>
                <w:color w:val="auto"/>
              </w:rPr>
            </w:pPr>
          </w:p>
        </w:tc>
      </w:tr>
      <w:tr>
        <w:trPr>
          <w:trHeight w:val="210"/>
        </w:trPr>
        <w:tc>
          <w:tcPr>
            <w:tcW w:w="5940" w:type="dxa"/>
            <w:vAlign w:val="bottom"/>
            <w:tcBorders>
              <w:top w:val="single" w:sz="8" w:color="CCEEFF"/>
            </w:tcBorders>
            <w:gridSpan w:val="3"/>
          </w:tcPr>
          <w:p>
            <w:pPr>
              <w:ind w:left="20"/>
              <w:spacing w:after="0"/>
              <w:rPr>
                <w:sz w:val="20"/>
                <w:szCs w:val="20"/>
                <w:color w:val="auto"/>
              </w:rPr>
            </w:pPr>
            <w:r>
              <w:rPr>
                <w:rFonts w:ascii="Arial" w:cs="Arial" w:eastAsia="Arial" w:hAnsi="Arial"/>
                <w:sz w:val="18"/>
                <w:szCs w:val="18"/>
                <w:color w:val="auto"/>
              </w:rPr>
              <w:t>Weighted average common shares outstanding – basic</w:t>
            </w: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22,181,003</w:t>
            </w: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19,320,100</w:t>
            </w: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94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Adjustments for dilutive effect of Convertible Senior Notes</w:t>
            </w:r>
            <w:r>
              <w:rPr>
                <w:rFonts w:ascii="Arial" w:cs="Arial" w:eastAsia="Arial" w:hAnsi="Arial"/>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4,244,128</w:t>
            </w:r>
          </w:p>
        </w:tc>
        <w:tc>
          <w:tcPr>
            <w:tcW w:w="0" w:type="dxa"/>
            <w:vAlign w:val="bottom"/>
          </w:tcPr>
          <w:p>
            <w:pPr>
              <w:spacing w:after="0"/>
              <w:rPr>
                <w:sz w:val="1"/>
                <w:szCs w:val="1"/>
                <w:color w:val="auto"/>
              </w:rPr>
            </w:pPr>
          </w:p>
        </w:tc>
      </w:tr>
      <w:tr>
        <w:trPr>
          <w:trHeight w:val="216"/>
        </w:trPr>
        <w:tc>
          <w:tcPr>
            <w:tcW w:w="5940" w:type="dxa"/>
            <w:vAlign w:val="bottom"/>
            <w:gridSpan w:val="3"/>
          </w:tcPr>
          <w:p>
            <w:pPr>
              <w:ind w:left="20"/>
              <w:spacing w:after="0"/>
              <w:rPr>
                <w:sz w:val="20"/>
                <w:szCs w:val="20"/>
                <w:color w:val="auto"/>
              </w:rPr>
            </w:pPr>
            <w:r>
              <w:rPr>
                <w:rFonts w:ascii="Arial" w:cs="Arial" w:eastAsia="Arial" w:hAnsi="Arial"/>
                <w:sz w:val="18"/>
                <w:szCs w:val="18"/>
                <w:color w:val="auto"/>
              </w:rPr>
              <w:t>Weighted average common shares outstanding – diluted</w:t>
            </w: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22,181,003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23,564,228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9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Earnings/(loss) per common share –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264"/>
        </w:trPr>
        <w:tc>
          <w:tcPr>
            <w:tcW w:w="20" w:type="dxa"/>
            <w:vAlign w:val="bottom"/>
            <w:tcBorders>
              <w:top w:val="single" w:sz="8" w:color="CCEEFF"/>
            </w:tcBorders>
          </w:tcPr>
          <w:p>
            <w:pPr>
              <w:spacing w:after="0"/>
              <w:rPr>
                <w:sz w:val="22"/>
                <w:szCs w:val="22"/>
                <w:color w:val="auto"/>
              </w:rPr>
            </w:pPr>
          </w:p>
        </w:tc>
        <w:tc>
          <w:tcPr>
            <w:tcW w:w="980" w:type="dxa"/>
            <w:vAlign w:val="bottom"/>
            <w:tcBorders>
              <w:top w:val="single" w:sz="8" w:color="CCEEFF"/>
              <w:bottom w:val="single" w:sz="8" w:color="auto"/>
            </w:tcBorders>
          </w:tcPr>
          <w:p>
            <w:pPr>
              <w:spacing w:after="0"/>
              <w:rPr>
                <w:sz w:val="22"/>
                <w:szCs w:val="22"/>
                <w:color w:val="auto"/>
              </w:rPr>
            </w:pPr>
          </w:p>
        </w:tc>
        <w:tc>
          <w:tcPr>
            <w:tcW w:w="494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-831215</wp:posOffset>
            </wp:positionV>
            <wp:extent cx="5213985" cy="1714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213985" cy="1714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-213995</wp:posOffset>
            </wp:positionV>
            <wp:extent cx="5213985" cy="342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36" w:lineRule="exact"/>
        <w:rPr>
          <w:sz w:val="20"/>
          <w:szCs w:val="20"/>
          <w:color w:val="auto"/>
        </w:rPr>
      </w:pPr>
    </w:p>
    <w:p>
      <w:pPr>
        <w:ind w:left="300" w:right="539" w:hanging="272"/>
        <w:spacing w:after="0" w:line="264" w:lineRule="auto"/>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 the three months ended March 31, 2016, 5,710,212 potentially dilutive common shares were excluded from the weighted-average common shares outstanding for diluted net increase/(decrease) in net assets resulting from operations per common share because the effect of these shares would have been anti-dilutive.</w:t>
      </w:r>
    </w:p>
    <w:p>
      <w:pPr>
        <w:spacing w:after="0" w:line="200" w:lineRule="exact"/>
        <w:rPr>
          <w:sz w:val="20"/>
          <w:szCs w:val="20"/>
          <w:color w:val="auto"/>
        </w:rPr>
      </w:pPr>
    </w:p>
    <w:p>
      <w:pPr>
        <w:spacing w:after="0" w:line="33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36" w:name="page37"/>
    <w:bookmarkEnd w:id="36"/>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March 31, 2016</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 COMMITMENTS AND CONTINGENCIES</w:t>
      </w:r>
    </w:p>
    <w:p>
      <w:pPr>
        <w:spacing w:after="0" w:line="121" w:lineRule="exact"/>
        <w:rPr>
          <w:sz w:val="20"/>
          <w:szCs w:val="20"/>
          <w:color w:val="auto"/>
        </w:rPr>
      </w:pPr>
    </w:p>
    <w:p>
      <w:pPr>
        <w:ind w:left="60" w:right="859" w:firstLine="270"/>
        <w:spacing w:after="0" w:line="259" w:lineRule="auto"/>
        <w:rPr>
          <w:sz w:val="20"/>
          <w:szCs w:val="20"/>
          <w:color w:val="auto"/>
        </w:rPr>
      </w:pPr>
      <w:r>
        <w:rPr>
          <w:rFonts w:ascii="Arial" w:cs="Arial" w:eastAsia="Arial" w:hAnsi="Arial"/>
          <w:sz w:val="18"/>
          <w:szCs w:val="18"/>
          <w:color w:val="auto"/>
        </w:rPr>
        <w:t>In the normal course of business, the Company may enter into investment agreements under which it commits to make an investment in a portfolio company at some future date or over a specified period of time. At March 31, 2016 and December 31, 2015, the Company had not entered into any investment agreements that required it to make a future investment in a portfolio company.</w:t>
      </w:r>
    </w:p>
    <w:p>
      <w:pPr>
        <w:spacing w:after="0" w:line="79" w:lineRule="exact"/>
        <w:rPr>
          <w:sz w:val="20"/>
          <w:szCs w:val="20"/>
          <w:color w:val="auto"/>
        </w:rPr>
      </w:pPr>
    </w:p>
    <w:p>
      <w:pPr>
        <w:ind w:left="60" w:right="619" w:firstLine="270"/>
        <w:spacing w:after="0" w:line="276" w:lineRule="auto"/>
        <w:rPr>
          <w:sz w:val="20"/>
          <w:szCs w:val="20"/>
          <w:color w:val="auto"/>
        </w:rPr>
      </w:pPr>
      <w:r>
        <w:rPr>
          <w:rFonts w:ascii="Arial" w:cs="Arial" w:eastAsia="Arial" w:hAnsi="Arial"/>
          <w:sz w:val="17"/>
          <w:szCs w:val="17"/>
          <w:color w:val="auto"/>
        </w:rPr>
        <w:t>The Company is currently not subject to any material legal proceedings, nor, to its knowledge, is any material legal proceeding threatened against it. From time to time, the Company may be a party to certain legal proceedings in the ordinary course of business, including proceedings relating to the enforcement of its rights under contracts with its portfolio companies. While the outcome of these legal proceedings cannot be predicted with certainty, the Company does not expect that these proceedings will have a material effect upon its business, financial condition or results of operations.</w:t>
      </w:r>
    </w:p>
    <w:p>
      <w:pPr>
        <w:spacing w:after="0" w:line="10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 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Three months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Three months</w:t>
            </w: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ended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ended</w:t>
            </w: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March 31, 2016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March 31, 2015</w:t>
            </w: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5"/>
              </w:rPr>
              <w:t>(Unaudited)</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5"/>
              </w:rPr>
              <w:t>(Unaudited)</w:t>
            </w:r>
          </w:p>
        </w:tc>
      </w:tr>
      <w:tr>
        <w:trPr>
          <w:trHeight w:val="210"/>
        </w:trPr>
        <w:tc>
          <w:tcPr>
            <w:tcW w:w="5240" w:type="dxa"/>
            <w:vAlign w:val="bottom"/>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Per Share Data</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5240" w:type="dxa"/>
            <w:vAlign w:val="bottom"/>
            <w:gridSpan w:val="4"/>
          </w:tcPr>
          <w:p>
            <w:pPr>
              <w:ind w:left="20"/>
              <w:spacing w:after="0"/>
              <w:rPr>
                <w:sz w:val="20"/>
                <w:szCs w:val="20"/>
                <w:color w:val="auto"/>
              </w:rPr>
            </w:pPr>
            <w:r>
              <w:rPr>
                <w:rFonts w:ascii="Arial" w:cs="Arial" w:eastAsia="Arial" w:hAnsi="Arial"/>
                <w:sz w:val="18"/>
                <w:szCs w:val="18"/>
                <w:color w:val="auto"/>
              </w:rPr>
              <w:t>Net asset value at beginning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12.08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14.80</w:t>
            </w:r>
          </w:p>
        </w:tc>
      </w:tr>
      <w:tr>
        <w:trPr>
          <w:trHeight w:val="257"/>
        </w:trPr>
        <w:tc>
          <w:tcPr>
            <w:tcW w:w="52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Net investment income/(loss)</w:t>
            </w:r>
          </w:p>
        </w:tc>
        <w:tc>
          <w:tcPr>
            <w:tcW w:w="1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40"/>
              <w:spacing w:after="0" w:line="256" w:lineRule="exact"/>
              <w:rPr>
                <w:sz w:val="20"/>
                <w:szCs w:val="20"/>
                <w:color w:val="auto"/>
              </w:rPr>
            </w:pPr>
            <w:r>
              <w:rPr>
                <w:rFonts w:ascii="Arial" w:cs="Arial" w:eastAsia="Arial" w:hAnsi="Arial"/>
                <w:sz w:val="18"/>
                <w:szCs w:val="18"/>
                <w:color w:val="auto"/>
              </w:rPr>
              <w:t xml:space="preserve">0.02 </w:t>
            </w:r>
            <w:r>
              <w:rPr>
                <w:rFonts w:ascii="Arial" w:cs="Arial" w:eastAsia="Arial" w:hAnsi="Arial"/>
                <w:sz w:val="29"/>
                <w:szCs w:val="29"/>
                <w:color w:val="auto"/>
                <w:vertAlign w:val="superscript"/>
              </w:rPr>
              <w:t>(1)</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60"/>
              <w:spacing w:after="0" w:line="256" w:lineRule="exact"/>
              <w:rPr>
                <w:sz w:val="20"/>
                <w:szCs w:val="20"/>
                <w:color w:val="auto"/>
              </w:rPr>
            </w:pPr>
            <w:r>
              <w:rPr>
                <w:rFonts w:ascii="Arial" w:cs="Arial" w:eastAsia="Arial" w:hAnsi="Arial"/>
                <w:sz w:val="18"/>
                <w:szCs w:val="18"/>
                <w:color w:val="auto"/>
              </w:rPr>
              <w:t>(0.39)</w:t>
            </w:r>
            <w:r>
              <w:rPr>
                <w:rFonts w:ascii="Arial" w:cs="Arial" w:eastAsia="Arial" w:hAnsi="Arial"/>
                <w:sz w:val="29"/>
                <w:szCs w:val="29"/>
                <w:color w:val="auto"/>
                <w:vertAlign w:val="superscript"/>
              </w:rPr>
              <w:t>(1)</w:t>
            </w:r>
          </w:p>
        </w:tc>
      </w:tr>
      <w:tr>
        <w:trPr>
          <w:trHeight w:val="257"/>
        </w:trPr>
        <w:tc>
          <w:tcPr>
            <w:tcW w:w="5240" w:type="dxa"/>
            <w:vAlign w:val="bottom"/>
            <w:gridSpan w:val="4"/>
          </w:tcPr>
          <w:p>
            <w:pPr>
              <w:ind w:left="20"/>
              <w:spacing w:after="0"/>
              <w:rPr>
                <w:sz w:val="20"/>
                <w:szCs w:val="20"/>
                <w:color w:val="auto"/>
              </w:rPr>
            </w:pPr>
            <w:r>
              <w:rPr>
                <w:rFonts w:ascii="Arial" w:cs="Arial" w:eastAsia="Arial" w:hAnsi="Arial"/>
                <w:sz w:val="18"/>
                <w:szCs w:val="18"/>
                <w:color w:val="auto"/>
              </w:rPr>
              <w:t>Realized gain/(loss)</w:t>
            </w:r>
          </w:p>
        </w:tc>
        <w:tc>
          <w:tcPr>
            <w:tcW w:w="100" w:type="dxa"/>
            <w:vAlign w:val="bottom"/>
          </w:tcPr>
          <w:p>
            <w:pPr>
              <w:spacing w:after="0"/>
              <w:rPr>
                <w:sz w:val="22"/>
                <w:szCs w:val="22"/>
                <w:color w:val="auto"/>
              </w:rPr>
            </w:pPr>
          </w:p>
        </w:tc>
        <w:tc>
          <w:tcPr>
            <w:tcW w:w="1320" w:type="dxa"/>
            <w:vAlign w:val="bottom"/>
            <w:gridSpan w:val="2"/>
          </w:tcPr>
          <w:p>
            <w:pPr>
              <w:jc w:val="right"/>
              <w:ind w:right="180"/>
              <w:spacing w:after="0" w:line="256" w:lineRule="exact"/>
              <w:rPr>
                <w:sz w:val="20"/>
                <w:szCs w:val="20"/>
                <w:color w:val="auto"/>
              </w:rPr>
            </w:pPr>
            <w:r>
              <w:rPr>
                <w:rFonts w:ascii="Arial" w:cs="Arial" w:eastAsia="Arial" w:hAnsi="Arial"/>
                <w:sz w:val="18"/>
                <w:szCs w:val="18"/>
                <w:color w:val="auto"/>
              </w:rPr>
              <w:t>(0.27)</w:t>
            </w:r>
            <w:r>
              <w:rPr>
                <w:rFonts w:ascii="Arial" w:cs="Arial" w:eastAsia="Arial" w:hAnsi="Arial"/>
                <w:sz w:val="29"/>
                <w:szCs w:val="29"/>
                <w:color w:val="auto"/>
                <w:vertAlign w:val="superscript"/>
              </w:rPr>
              <w:t>(1)</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gridSpan w:val="2"/>
          </w:tcPr>
          <w:p>
            <w:pPr>
              <w:jc w:val="right"/>
              <w:ind w:right="220"/>
              <w:spacing w:after="0" w:line="256" w:lineRule="exact"/>
              <w:rPr>
                <w:sz w:val="20"/>
                <w:szCs w:val="20"/>
                <w:color w:val="auto"/>
              </w:rPr>
            </w:pPr>
            <w:r>
              <w:rPr>
                <w:rFonts w:ascii="Arial" w:cs="Arial" w:eastAsia="Arial" w:hAnsi="Arial"/>
                <w:sz w:val="18"/>
                <w:szCs w:val="18"/>
                <w:color w:val="auto"/>
              </w:rPr>
              <w:t xml:space="preserve">0.68 </w:t>
            </w:r>
            <w:r>
              <w:rPr>
                <w:rFonts w:ascii="Arial" w:cs="Arial" w:eastAsia="Arial" w:hAnsi="Arial"/>
                <w:sz w:val="29"/>
                <w:szCs w:val="29"/>
                <w:color w:val="auto"/>
                <w:vertAlign w:val="superscript"/>
              </w:rPr>
              <w:t>(1)</w:t>
            </w:r>
          </w:p>
        </w:tc>
      </w:tr>
      <w:tr>
        <w:trPr>
          <w:trHeight w:val="257"/>
        </w:trPr>
        <w:tc>
          <w:tcPr>
            <w:tcW w:w="52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Provision for taxes on net realized capital gains</w:t>
            </w:r>
          </w:p>
        </w:tc>
        <w:tc>
          <w:tcPr>
            <w:tcW w:w="1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4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3"/>
                <w:szCs w:val="13"/>
                <w:color w:val="auto"/>
              </w:rPr>
              <w:t xml:space="preserve"> (1)</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60"/>
              <w:spacing w:after="0" w:line="256" w:lineRule="exact"/>
              <w:rPr>
                <w:sz w:val="20"/>
                <w:szCs w:val="20"/>
                <w:color w:val="auto"/>
              </w:rPr>
            </w:pPr>
            <w:r>
              <w:rPr>
                <w:rFonts w:ascii="Arial" w:cs="Arial" w:eastAsia="Arial" w:hAnsi="Arial"/>
                <w:sz w:val="18"/>
                <w:szCs w:val="18"/>
                <w:color w:val="auto"/>
              </w:rPr>
              <w:t>(0.28)</w:t>
            </w:r>
            <w:r>
              <w:rPr>
                <w:rFonts w:ascii="Arial" w:cs="Arial" w:eastAsia="Arial" w:hAnsi="Arial"/>
                <w:sz w:val="29"/>
                <w:szCs w:val="29"/>
                <w:color w:val="auto"/>
                <w:vertAlign w:val="superscript"/>
              </w:rPr>
              <w:t>(1)</w:t>
            </w:r>
          </w:p>
        </w:tc>
      </w:tr>
      <w:tr>
        <w:trPr>
          <w:trHeight w:val="257"/>
        </w:trPr>
        <w:tc>
          <w:tcPr>
            <w:tcW w:w="5240" w:type="dxa"/>
            <w:vAlign w:val="bottom"/>
            <w:gridSpan w:val="4"/>
          </w:tcPr>
          <w:p>
            <w:pPr>
              <w:ind w:left="20"/>
              <w:spacing w:after="0"/>
              <w:rPr>
                <w:sz w:val="20"/>
                <w:szCs w:val="20"/>
                <w:color w:val="auto"/>
              </w:rPr>
            </w:pPr>
            <w:r>
              <w:rPr>
                <w:rFonts w:ascii="Arial" w:cs="Arial" w:eastAsia="Arial" w:hAnsi="Arial"/>
                <w:sz w:val="18"/>
                <w:szCs w:val="18"/>
                <w:color w:val="auto"/>
              </w:rPr>
              <w:t>Net change in unrealized appreciation/(depreciation)</w:t>
            </w:r>
          </w:p>
        </w:tc>
        <w:tc>
          <w:tcPr>
            <w:tcW w:w="100" w:type="dxa"/>
            <w:vAlign w:val="bottom"/>
          </w:tcPr>
          <w:p>
            <w:pPr>
              <w:spacing w:after="0"/>
              <w:rPr>
                <w:sz w:val="22"/>
                <w:szCs w:val="22"/>
                <w:color w:val="auto"/>
              </w:rPr>
            </w:pPr>
          </w:p>
        </w:tc>
        <w:tc>
          <w:tcPr>
            <w:tcW w:w="1320" w:type="dxa"/>
            <w:vAlign w:val="bottom"/>
            <w:gridSpan w:val="2"/>
          </w:tcPr>
          <w:p>
            <w:pPr>
              <w:jc w:val="right"/>
              <w:ind w:right="180"/>
              <w:spacing w:after="0" w:line="256" w:lineRule="exact"/>
              <w:rPr>
                <w:sz w:val="20"/>
                <w:szCs w:val="20"/>
                <w:color w:val="auto"/>
              </w:rPr>
            </w:pPr>
            <w:r>
              <w:rPr>
                <w:rFonts w:ascii="Arial" w:cs="Arial" w:eastAsia="Arial" w:hAnsi="Arial"/>
                <w:sz w:val="18"/>
                <w:szCs w:val="18"/>
                <w:color w:val="auto"/>
              </w:rPr>
              <w:t>(0.87)</w:t>
            </w:r>
            <w:r>
              <w:rPr>
                <w:rFonts w:ascii="Arial" w:cs="Arial" w:eastAsia="Arial" w:hAnsi="Arial"/>
                <w:sz w:val="29"/>
                <w:szCs w:val="29"/>
                <w:color w:val="auto"/>
                <w:vertAlign w:val="superscript"/>
              </w:rPr>
              <w:t>(1)</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gridSpan w:val="2"/>
          </w:tcPr>
          <w:p>
            <w:pPr>
              <w:jc w:val="right"/>
              <w:ind w:right="220"/>
              <w:spacing w:after="0" w:line="256" w:lineRule="exact"/>
              <w:rPr>
                <w:sz w:val="20"/>
                <w:szCs w:val="20"/>
                <w:color w:val="auto"/>
              </w:rPr>
            </w:pPr>
            <w:r>
              <w:rPr>
                <w:rFonts w:ascii="Arial" w:cs="Arial" w:eastAsia="Arial" w:hAnsi="Arial"/>
                <w:sz w:val="18"/>
                <w:szCs w:val="18"/>
                <w:color w:val="auto"/>
              </w:rPr>
              <w:t xml:space="preserve">1.44 </w:t>
            </w:r>
            <w:r>
              <w:rPr>
                <w:rFonts w:ascii="Arial" w:cs="Arial" w:eastAsia="Arial" w:hAnsi="Arial"/>
                <w:sz w:val="29"/>
                <w:szCs w:val="29"/>
                <w:color w:val="auto"/>
                <w:vertAlign w:val="superscript"/>
              </w:rPr>
              <w:t>(1)</w:t>
            </w:r>
          </w:p>
        </w:tc>
      </w:tr>
      <w:tr>
        <w:trPr>
          <w:trHeight w:val="277"/>
        </w:trPr>
        <w:tc>
          <w:tcPr>
            <w:tcW w:w="52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Provision for taxes on unrealized appreciation of investments</w:t>
            </w:r>
          </w:p>
        </w:tc>
        <w:tc>
          <w:tcPr>
            <w:tcW w:w="1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4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3"/>
                <w:szCs w:val="13"/>
                <w:color w:val="auto"/>
              </w:rPr>
              <w:t xml:space="preserve"> (1)</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160"/>
              <w:spacing w:after="0" w:line="256" w:lineRule="exact"/>
              <w:rPr>
                <w:sz w:val="20"/>
                <w:szCs w:val="20"/>
                <w:color w:val="auto"/>
              </w:rPr>
            </w:pPr>
            <w:r>
              <w:rPr>
                <w:rFonts w:ascii="Arial" w:cs="Arial" w:eastAsia="Arial" w:hAnsi="Arial"/>
                <w:sz w:val="18"/>
                <w:szCs w:val="18"/>
                <w:color w:val="auto"/>
              </w:rPr>
              <w:t>(0.59)</w:t>
            </w:r>
            <w:r>
              <w:rPr>
                <w:rFonts w:ascii="Arial" w:cs="Arial" w:eastAsia="Arial" w:hAnsi="Arial"/>
                <w:sz w:val="29"/>
                <w:szCs w:val="29"/>
                <w:color w:val="auto"/>
                <w:vertAlign w:val="superscript"/>
              </w:rPr>
              <w:t>(1)</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5240" w:type="dxa"/>
            <w:vAlign w:val="bottom"/>
            <w:gridSpan w:val="4"/>
          </w:tcPr>
          <w:p>
            <w:pPr>
              <w:ind w:left="20"/>
              <w:spacing w:after="0"/>
              <w:rPr>
                <w:sz w:val="20"/>
                <w:szCs w:val="20"/>
                <w:color w:val="auto"/>
              </w:rPr>
            </w:pPr>
            <w:r>
              <w:rPr>
                <w:rFonts w:ascii="Arial" w:cs="Arial" w:eastAsia="Arial" w:hAnsi="Arial"/>
                <w:sz w:val="18"/>
                <w:szCs w:val="18"/>
                <w:color w:val="auto"/>
              </w:rPr>
              <w:t>Net asset value at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10.96</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15.66</w:t>
            </w: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0"/>
        </w:trPr>
        <w:tc>
          <w:tcPr>
            <w:tcW w:w="52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Per share market value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5.60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9.80</w:t>
            </w:r>
          </w:p>
        </w:tc>
      </w:tr>
      <w:tr>
        <w:trPr>
          <w:trHeight w:val="257"/>
        </w:trPr>
        <w:tc>
          <w:tcPr>
            <w:tcW w:w="5240" w:type="dxa"/>
            <w:vAlign w:val="bottom"/>
            <w:gridSpan w:val="4"/>
          </w:tcPr>
          <w:p>
            <w:pPr>
              <w:ind w:left="20"/>
              <w:spacing w:after="0"/>
              <w:rPr>
                <w:sz w:val="20"/>
                <w:szCs w:val="20"/>
                <w:color w:val="auto"/>
              </w:rPr>
            </w:pPr>
            <w:r>
              <w:rPr>
                <w:rFonts w:ascii="Arial" w:cs="Arial" w:eastAsia="Arial" w:hAnsi="Arial"/>
                <w:sz w:val="18"/>
                <w:szCs w:val="18"/>
                <w:color w:val="auto"/>
              </w:rPr>
              <w:t>Total return based on market value</w:t>
            </w:r>
          </w:p>
        </w:tc>
        <w:tc>
          <w:tcPr>
            <w:tcW w:w="100" w:type="dxa"/>
            <w:vAlign w:val="bottom"/>
          </w:tcPr>
          <w:p>
            <w:pPr>
              <w:spacing w:after="0"/>
              <w:rPr>
                <w:sz w:val="22"/>
                <w:szCs w:val="22"/>
                <w:color w:val="auto"/>
              </w:rPr>
            </w:pPr>
          </w:p>
        </w:tc>
        <w:tc>
          <w:tcPr>
            <w:tcW w:w="1320" w:type="dxa"/>
            <w:vAlign w:val="bottom"/>
            <w:gridSpan w:val="2"/>
          </w:tcPr>
          <w:p>
            <w:pPr>
              <w:jc w:val="right"/>
              <w:ind w:right="40"/>
              <w:spacing w:after="0" w:line="256" w:lineRule="exact"/>
              <w:rPr>
                <w:sz w:val="20"/>
                <w:szCs w:val="20"/>
                <w:color w:val="auto"/>
              </w:rPr>
            </w:pPr>
            <w:r>
              <w:rPr>
                <w:rFonts w:ascii="Arial" w:cs="Arial" w:eastAsia="Arial" w:hAnsi="Arial"/>
                <w:sz w:val="18"/>
                <w:szCs w:val="18"/>
                <w:color w:val="auto"/>
              </w:rPr>
              <w:t>(15.28)%</w:t>
            </w:r>
            <w:r>
              <w:rPr>
                <w:rFonts w:ascii="Arial" w:cs="Arial" w:eastAsia="Arial" w:hAnsi="Arial"/>
                <w:sz w:val="29"/>
                <w:szCs w:val="29"/>
                <w:color w:val="auto"/>
                <w:vertAlign w:val="superscript"/>
              </w:rPr>
              <w:t>(2)</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gridSpan w:val="2"/>
          </w:tcPr>
          <w:p>
            <w:pPr>
              <w:jc w:val="right"/>
              <w:ind w:right="60"/>
              <w:spacing w:after="0" w:line="256" w:lineRule="exact"/>
              <w:rPr>
                <w:sz w:val="20"/>
                <w:szCs w:val="20"/>
                <w:color w:val="auto"/>
              </w:rPr>
            </w:pPr>
            <w:r>
              <w:rPr>
                <w:rFonts w:ascii="Arial" w:cs="Arial" w:eastAsia="Arial" w:hAnsi="Arial"/>
                <w:sz w:val="18"/>
                <w:szCs w:val="18"/>
                <w:color w:val="auto"/>
              </w:rPr>
              <w:t>13.56%</w:t>
            </w:r>
            <w:r>
              <w:rPr>
                <w:rFonts w:ascii="Arial" w:cs="Arial" w:eastAsia="Arial" w:hAnsi="Arial"/>
                <w:sz w:val="29"/>
                <w:szCs w:val="29"/>
                <w:color w:val="auto"/>
                <w:vertAlign w:val="superscript"/>
              </w:rPr>
              <w:t>(2)</w:t>
            </w:r>
          </w:p>
        </w:tc>
      </w:tr>
      <w:tr>
        <w:trPr>
          <w:trHeight w:val="257"/>
        </w:trPr>
        <w:tc>
          <w:tcPr>
            <w:tcW w:w="52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Total return based on net asset value</w:t>
            </w:r>
          </w:p>
        </w:tc>
        <w:tc>
          <w:tcPr>
            <w:tcW w:w="1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8"/>
                <w:szCs w:val="18"/>
                <w:color w:val="auto"/>
              </w:rPr>
              <w:t>(9.27)%</w:t>
            </w:r>
            <w:r>
              <w:rPr>
                <w:rFonts w:ascii="Arial" w:cs="Arial" w:eastAsia="Arial" w:hAnsi="Arial"/>
                <w:sz w:val="29"/>
                <w:szCs w:val="29"/>
                <w:color w:val="auto"/>
                <w:vertAlign w:val="superscript"/>
              </w:rPr>
              <w:t>(2)</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60"/>
              <w:spacing w:after="0" w:line="256" w:lineRule="exact"/>
              <w:rPr>
                <w:sz w:val="20"/>
                <w:szCs w:val="20"/>
                <w:color w:val="auto"/>
              </w:rPr>
            </w:pPr>
            <w:r>
              <w:rPr>
                <w:rFonts w:ascii="Arial" w:cs="Arial" w:eastAsia="Arial" w:hAnsi="Arial"/>
                <w:sz w:val="18"/>
                <w:szCs w:val="18"/>
                <w:color w:val="auto"/>
              </w:rPr>
              <w:t>5.81%</w:t>
            </w:r>
            <w:r>
              <w:rPr>
                <w:rFonts w:ascii="Arial" w:cs="Arial" w:eastAsia="Arial" w:hAnsi="Arial"/>
                <w:sz w:val="29"/>
                <w:szCs w:val="29"/>
                <w:color w:val="auto"/>
                <w:vertAlign w:val="superscript"/>
              </w:rPr>
              <w:t>(2)</w:t>
            </w:r>
          </w:p>
        </w:tc>
      </w:tr>
      <w:tr>
        <w:trPr>
          <w:trHeight w:val="216"/>
        </w:trPr>
        <w:tc>
          <w:tcPr>
            <w:tcW w:w="5240" w:type="dxa"/>
            <w:vAlign w:val="bottom"/>
            <w:gridSpan w:val="4"/>
          </w:tcPr>
          <w:p>
            <w:pPr>
              <w:ind w:left="20"/>
              <w:spacing w:after="0"/>
              <w:rPr>
                <w:sz w:val="20"/>
                <w:szCs w:val="20"/>
                <w:color w:val="auto"/>
              </w:rPr>
            </w:pPr>
            <w:r>
              <w:rPr>
                <w:rFonts w:ascii="Arial" w:cs="Arial" w:eastAsia="Arial" w:hAnsi="Arial"/>
                <w:sz w:val="18"/>
                <w:szCs w:val="18"/>
                <w:color w:val="auto"/>
              </w:rPr>
              <w:t>Shares outstanding at end of period</w:t>
            </w:r>
          </w:p>
        </w:tc>
        <w:tc>
          <w:tcPr>
            <w:tcW w:w="10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22,181,003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19,320,100</w:t>
            </w:r>
          </w:p>
        </w:tc>
      </w:tr>
      <w:tr>
        <w:trPr>
          <w:trHeight w:val="216"/>
        </w:trPr>
        <w:tc>
          <w:tcPr>
            <w:tcW w:w="5240" w:type="dxa"/>
            <w:vAlign w:val="bottom"/>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Ratio/Supplemental Data:</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5240" w:type="dxa"/>
            <w:vAlign w:val="bottom"/>
            <w:gridSpan w:val="4"/>
          </w:tcPr>
          <w:p>
            <w:pPr>
              <w:ind w:left="20"/>
              <w:spacing w:after="0"/>
              <w:rPr>
                <w:sz w:val="20"/>
                <w:szCs w:val="20"/>
                <w:color w:val="auto"/>
              </w:rPr>
            </w:pPr>
            <w:r>
              <w:rPr>
                <w:rFonts w:ascii="Arial" w:cs="Arial" w:eastAsia="Arial" w:hAnsi="Arial"/>
                <w:sz w:val="18"/>
                <w:szCs w:val="18"/>
                <w:color w:val="auto"/>
              </w:rPr>
              <w:t>Net assets at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243,061,881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302,568,295</w:t>
            </w:r>
          </w:p>
        </w:tc>
      </w:tr>
      <w:tr>
        <w:trPr>
          <w:trHeight w:val="216"/>
        </w:trPr>
        <w:tc>
          <w:tcPr>
            <w:tcW w:w="52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Average net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275,907,870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296,308,650</w:t>
            </w:r>
          </w:p>
        </w:tc>
      </w:tr>
      <w:tr>
        <w:trPr>
          <w:trHeight w:val="176"/>
        </w:trPr>
        <w:tc>
          <w:tcPr>
            <w:tcW w:w="5240" w:type="dxa"/>
            <w:vAlign w:val="bottom"/>
            <w:gridSpan w:val="4"/>
          </w:tcPr>
          <w:p>
            <w:pPr>
              <w:ind w:left="20"/>
              <w:spacing w:after="0" w:line="176" w:lineRule="exact"/>
              <w:rPr>
                <w:sz w:val="20"/>
                <w:szCs w:val="20"/>
                <w:color w:val="auto"/>
              </w:rPr>
            </w:pPr>
            <w:r>
              <w:rPr>
                <w:rFonts w:ascii="Arial" w:cs="Arial" w:eastAsia="Arial" w:hAnsi="Arial"/>
                <w:sz w:val="18"/>
                <w:szCs w:val="18"/>
                <w:b w:val="1"/>
                <w:bCs w:val="1"/>
                <w:color w:val="auto"/>
              </w:rPr>
              <w:t>Annualized ratios</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57"/>
        </w:trPr>
        <w:tc>
          <w:tcPr>
            <w:tcW w:w="5240" w:type="dxa"/>
            <w:vAlign w:val="bottom"/>
            <w:gridSpan w:val="4"/>
            <w:shd w:val="clear" w:color="auto" w:fill="CCEEFF"/>
          </w:tcPr>
          <w:p>
            <w:pPr>
              <w:ind w:left="20"/>
              <w:spacing w:after="0" w:line="256" w:lineRule="exact"/>
              <w:rPr>
                <w:sz w:val="20"/>
                <w:szCs w:val="20"/>
                <w:color w:val="auto"/>
              </w:rPr>
            </w:pPr>
            <w:r>
              <w:rPr>
                <w:rFonts w:ascii="Arial" w:cs="Arial" w:eastAsia="Arial" w:hAnsi="Arial"/>
                <w:sz w:val="18"/>
                <w:szCs w:val="18"/>
                <w:color w:val="auto"/>
              </w:rPr>
              <w:t>Ratio of gross operating expenses to average net assets</w:t>
            </w:r>
            <w:r>
              <w:rPr>
                <w:rFonts w:ascii="Arial" w:cs="Arial" w:eastAsia="Arial" w:hAnsi="Arial"/>
                <w:sz w:val="29"/>
                <w:szCs w:val="29"/>
                <w:color w:val="auto"/>
                <w:vertAlign w:val="superscript"/>
              </w:rPr>
              <w:t>(3)</w:t>
            </w:r>
          </w:p>
        </w:tc>
        <w:tc>
          <w:tcPr>
            <w:tcW w:w="1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(0.65)%</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17.59 %</w:t>
            </w:r>
          </w:p>
        </w:tc>
      </w:tr>
      <w:tr>
        <w:trPr>
          <w:trHeight w:val="257"/>
        </w:trPr>
        <w:tc>
          <w:tcPr>
            <w:tcW w:w="5240" w:type="dxa"/>
            <w:vAlign w:val="bottom"/>
            <w:gridSpan w:val="4"/>
          </w:tcPr>
          <w:p>
            <w:pPr>
              <w:ind w:left="20"/>
              <w:spacing w:after="0" w:line="256" w:lineRule="exact"/>
              <w:rPr>
                <w:sz w:val="20"/>
                <w:szCs w:val="20"/>
                <w:color w:val="auto"/>
              </w:rPr>
            </w:pPr>
            <w:r>
              <w:rPr>
                <w:rFonts w:ascii="Arial" w:cs="Arial" w:eastAsia="Arial" w:hAnsi="Arial"/>
                <w:sz w:val="18"/>
                <w:szCs w:val="18"/>
                <w:color w:val="auto"/>
              </w:rPr>
              <w:t>Ratio of net income tax provisions to average net assets</w:t>
            </w:r>
            <w:r>
              <w:rPr>
                <w:rFonts w:ascii="Arial" w:cs="Arial" w:eastAsia="Arial" w:hAnsi="Arial"/>
                <w:sz w:val="29"/>
                <w:szCs w:val="29"/>
                <w:color w:val="auto"/>
                <w:vertAlign w:val="superscript"/>
              </w:rPr>
              <w:t>(3)</w:t>
            </w:r>
          </w:p>
        </w:tc>
        <w:tc>
          <w:tcPr>
            <w:tcW w:w="100" w:type="dxa"/>
            <w:vAlign w:val="bottom"/>
          </w:tcPr>
          <w:p>
            <w:pPr>
              <w:spacing w:after="0"/>
              <w:rPr>
                <w:sz w:val="22"/>
                <w:szCs w:val="22"/>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(15.80)%</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50"/>
        </w:trPr>
        <w:tc>
          <w:tcPr>
            <w:tcW w:w="5240" w:type="dxa"/>
            <w:vAlign w:val="bottom"/>
            <w:gridSpan w:val="4"/>
            <w:shd w:val="clear" w:color="auto" w:fill="CCEEFF"/>
          </w:tcPr>
          <w:p>
            <w:pPr>
              <w:ind w:left="20"/>
              <w:spacing w:after="0" w:line="250" w:lineRule="exact"/>
              <w:rPr>
                <w:sz w:val="20"/>
                <w:szCs w:val="20"/>
                <w:color w:val="auto"/>
              </w:rPr>
            </w:pPr>
            <w:r>
              <w:rPr>
                <w:rFonts w:ascii="Arial" w:cs="Arial" w:eastAsia="Arial" w:hAnsi="Arial"/>
                <w:sz w:val="17"/>
                <w:szCs w:val="17"/>
                <w:color w:val="auto"/>
              </w:rPr>
              <w:t>Ratio of net operating expenses to average net assets</w:t>
            </w:r>
            <w:r>
              <w:rPr>
                <w:rFonts w:ascii="Arial" w:cs="Arial" w:eastAsia="Arial" w:hAnsi="Arial"/>
                <w:sz w:val="28"/>
                <w:szCs w:val="28"/>
                <w:color w:val="auto"/>
                <w:vertAlign w:val="superscript"/>
              </w:rPr>
              <w:t>(3)</w:t>
            </w: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(0.65)%</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1.79 %</w:t>
            </w:r>
          </w:p>
        </w:tc>
      </w:tr>
      <w:tr>
        <w:trPr>
          <w:trHeight w:val="257"/>
        </w:trPr>
        <w:tc>
          <w:tcPr>
            <w:tcW w:w="5240" w:type="dxa"/>
            <w:vAlign w:val="bottom"/>
            <w:gridSpan w:val="4"/>
          </w:tcPr>
          <w:p>
            <w:pPr>
              <w:ind w:left="20"/>
              <w:spacing w:after="0" w:line="256" w:lineRule="exact"/>
              <w:rPr>
                <w:sz w:val="20"/>
                <w:szCs w:val="20"/>
                <w:color w:val="auto"/>
              </w:rPr>
            </w:pPr>
            <w:r>
              <w:rPr>
                <w:rFonts w:ascii="Arial" w:cs="Arial" w:eastAsia="Arial" w:hAnsi="Arial"/>
                <w:sz w:val="18"/>
                <w:szCs w:val="18"/>
                <w:color w:val="auto"/>
              </w:rPr>
              <w:t>Ratio of net investment income/(loss) to average net assets</w:t>
            </w:r>
            <w:r>
              <w:rPr>
                <w:rFonts w:ascii="Arial" w:cs="Arial" w:eastAsia="Arial" w:hAnsi="Arial"/>
                <w:sz w:val="29"/>
                <w:szCs w:val="29"/>
                <w:color w:val="auto"/>
                <w:vertAlign w:val="superscript"/>
              </w:rPr>
              <w:t>(3)</w:t>
            </w:r>
          </w:p>
        </w:tc>
        <w:tc>
          <w:tcPr>
            <w:tcW w:w="100" w:type="dxa"/>
            <w:vAlign w:val="bottom"/>
          </w:tcPr>
          <w:p>
            <w:pPr>
              <w:spacing w:after="0"/>
              <w:rPr>
                <w:sz w:val="22"/>
                <w:szCs w:val="22"/>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0.80 %</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(10.36)%</w:t>
            </w:r>
          </w:p>
        </w:tc>
      </w:tr>
      <w:tr>
        <w:trPr>
          <w:trHeight w:val="216"/>
        </w:trPr>
        <w:tc>
          <w:tcPr>
            <w:tcW w:w="52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Portfolio Turnover Ratio</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1.49 %</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2.33 %</w:t>
            </w:r>
          </w:p>
        </w:tc>
      </w:tr>
      <w:tr>
        <w:trPr>
          <w:trHeight w:val="270"/>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38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-2331720</wp:posOffset>
            </wp:positionV>
            <wp:extent cx="5213985" cy="2057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213985" cy="205740"/>
                    </a:xfrm>
                    <a:prstGeom prst="rect">
                      <a:avLst/>
                    </a:prstGeom>
                    <a:noFill/>
                  </pic:spPr>
                </pic:pic>
              </a:graphicData>
            </a:graphic>
          </wp:anchor>
        </w:drawing>
      </w:r>
    </w:p>
    <w:p>
      <w:pPr>
        <w:spacing w:after="0" w:line="236" w:lineRule="exact"/>
        <w:rPr>
          <w:sz w:val="20"/>
          <w:szCs w:val="20"/>
          <w:color w:val="auto"/>
        </w:rPr>
      </w:pPr>
    </w:p>
    <w:p>
      <w:pPr>
        <w:ind w:left="300" w:hanging="272"/>
        <w:spacing w:after="0"/>
        <w:tabs>
          <w:tab w:leader="none" w:pos="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weighted-average number of shares outstanding for the period.</w:t>
      </w:r>
    </w:p>
    <w:p>
      <w:pPr>
        <w:spacing w:after="0" w:line="117" w:lineRule="exact"/>
        <w:rPr>
          <w:rFonts w:ascii="Arial" w:cs="Arial" w:eastAsia="Arial" w:hAnsi="Arial"/>
          <w:sz w:val="18"/>
          <w:szCs w:val="18"/>
          <w:color w:val="auto"/>
        </w:rPr>
      </w:pPr>
    </w:p>
    <w:p>
      <w:pPr>
        <w:ind w:left="300" w:right="879" w:hanging="272"/>
        <w:spacing w:after="0" w:line="264" w:lineRule="auto"/>
        <w:tabs>
          <w:tab w:leader="none" w:pos="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Total return based on market value is based on the change in market price per share between the opening and ending market values per share in the period. Total return based on net asset value is based upon the change in net asset value per share between the opening and ending net asset values per share.</w:t>
      </w:r>
    </w:p>
    <w:p>
      <w:pPr>
        <w:spacing w:after="0" w:line="73" w:lineRule="exact"/>
        <w:rPr>
          <w:rFonts w:ascii="Arial" w:cs="Arial" w:eastAsia="Arial" w:hAnsi="Arial"/>
          <w:sz w:val="18"/>
          <w:szCs w:val="18"/>
          <w:color w:val="auto"/>
        </w:rPr>
      </w:pPr>
    </w:p>
    <w:p>
      <w:pPr>
        <w:jc w:val="both"/>
        <w:ind w:left="300" w:right="719" w:hanging="272"/>
        <w:spacing w:after="0" w:line="327" w:lineRule="auto"/>
        <w:tabs>
          <w:tab w:leader="none" w:pos="3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Financial Highlights for periods of less than one year are annualized and the ratios of operating expenses to average net assets and net investment loss to average net assets are adjusted accordingly. Non-recurring expenses are not annualized. For each of the three months ended March 31, 2016 and 2015, the Company did not incur any non-recurring expenses. Because the ratios are calculated for the Company’s common stock taken as a whole, an individual investor’s ratios may vary from these ratios.</w:t>
      </w:r>
    </w:p>
    <w:p>
      <w:pPr>
        <w:spacing w:after="0" w:line="200" w:lineRule="exact"/>
        <w:rPr>
          <w:sz w:val="20"/>
          <w:szCs w:val="20"/>
          <w:color w:val="auto"/>
        </w:rPr>
      </w:pPr>
    </w:p>
    <w:p>
      <w:pPr>
        <w:spacing w:after="0" w:line="29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March 31, 2016</w:t>
      </w:r>
    </w:p>
    <w:p>
      <w:pPr>
        <w:spacing w:after="0" w:line="9"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8 — INCOME TAXES</w:t>
      </w:r>
    </w:p>
    <w:p>
      <w:pPr>
        <w:spacing w:after="0" w:line="121" w:lineRule="exact"/>
        <w:rPr>
          <w:sz w:val="20"/>
          <w:szCs w:val="20"/>
          <w:color w:val="auto"/>
        </w:rPr>
      </w:pPr>
    </w:p>
    <w:p>
      <w:pPr>
        <w:ind w:left="40" w:right="579" w:firstLine="270"/>
        <w:spacing w:after="0" w:line="273" w:lineRule="auto"/>
        <w:rPr>
          <w:sz w:val="20"/>
          <w:szCs w:val="20"/>
          <w:color w:val="auto"/>
        </w:rPr>
      </w:pPr>
      <w:r>
        <w:rPr>
          <w:rFonts w:ascii="Arial" w:cs="Arial" w:eastAsia="Arial" w:hAnsi="Arial"/>
          <w:sz w:val="17"/>
          <w:szCs w:val="17"/>
          <w:color w:val="auto"/>
        </w:rPr>
        <w:t>The Company has elected to be treated as a RIC under Subchapter M of the Code and operates in a manner so as to qualify for the tax treatment applicable to RICs. Accordingly, the Company must generally distribute at least 90% of its ICTI to qualify for the treatment accorded to a RIC and to maintain its RIC status. As part of maintaining RIC status, undistributed taxable income (subject to a 4% excise tax) pertaining to a given fiscal year may be distributed up to 12 months subsequent to the end of that fiscal year, provided such dividends are declared prior to the later of (1) the fifteenth day of the ninth month following the close of that fiscal year or (2) the extended due date for filing the federal income tax return for that fiscal year.</w:t>
      </w:r>
    </w:p>
    <w:p>
      <w:pPr>
        <w:spacing w:after="0" w:line="70" w:lineRule="exact"/>
        <w:rPr>
          <w:sz w:val="20"/>
          <w:szCs w:val="20"/>
          <w:color w:val="auto"/>
        </w:rPr>
      </w:pPr>
    </w:p>
    <w:p>
      <w:pPr>
        <w:ind w:left="40" w:right="619" w:firstLine="270"/>
        <w:spacing w:after="0" w:line="255" w:lineRule="auto"/>
        <w:rPr>
          <w:sz w:val="20"/>
          <w:szCs w:val="20"/>
          <w:color w:val="auto"/>
        </w:rPr>
      </w:pPr>
      <w:r>
        <w:rPr>
          <w:rFonts w:ascii="Arial" w:cs="Arial" w:eastAsia="Arial" w:hAnsi="Arial"/>
          <w:sz w:val="18"/>
          <w:szCs w:val="18"/>
          <w:color w:val="auto"/>
        </w:rPr>
        <w:t>As a result of the Company electing to be treated as a RIC in September 2015 in connection with the filing of its 2014 tax return, it may be required to pay a corporate-level U.S. federal income tax on the amount of the net built-in gains, if any, in its assets (the amount by which the net fair market value of the Company’s assets exceeds the net adjusted basis in its assets) as of the date of conversion (</w:t>
      </w:r>
      <w:r>
        <w:rPr>
          <w:rFonts w:ascii="Arial" w:cs="Arial" w:eastAsia="Arial" w:hAnsi="Arial"/>
          <w:sz w:val="18"/>
          <w:szCs w:val="18"/>
          <w:i w:val="1"/>
          <w:iCs w:val="1"/>
          <w:color w:val="auto"/>
        </w:rPr>
        <w:t>i.e.</w:t>
      </w:r>
      <w:r>
        <w:rPr>
          <w:rFonts w:ascii="Arial" w:cs="Arial" w:eastAsia="Arial" w:hAnsi="Arial"/>
          <w:sz w:val="18"/>
          <w:szCs w:val="18"/>
          <w:color w:val="auto"/>
        </w:rPr>
        <w:t>, the beginning of the first taxable year that the Company qualifies as a RIC, which would be January 1, 2014) to the extent that such gains are recognized by the Company during the applicable recognition period, which is the five-year period beginning on the date of conversion.</w:t>
      </w:r>
    </w:p>
    <w:p>
      <w:pPr>
        <w:spacing w:after="0" w:line="85" w:lineRule="exact"/>
        <w:rPr>
          <w:sz w:val="20"/>
          <w:szCs w:val="20"/>
          <w:color w:val="auto"/>
        </w:rPr>
      </w:pPr>
    </w:p>
    <w:p>
      <w:pPr>
        <w:ind w:left="40" w:right="619" w:firstLine="270"/>
        <w:spacing w:after="0" w:line="291" w:lineRule="auto"/>
        <w:rPr>
          <w:sz w:val="20"/>
          <w:szCs w:val="20"/>
          <w:color w:val="auto"/>
        </w:rPr>
      </w:pPr>
      <w:r>
        <w:rPr>
          <w:rFonts w:ascii="Arial" w:cs="Arial" w:eastAsia="Arial" w:hAnsi="Arial"/>
          <w:sz w:val="16"/>
          <w:szCs w:val="16"/>
          <w:color w:val="auto"/>
        </w:rPr>
        <w:t>Any corporate-level built-in-gains tax is payable at the time the built-in gains are recognized (which generally will be the years in which the assets with the built-in-gains are sold in a taxable transaction). The amount of this tax will vary depending on the assets that are actually sold by the Company in this 5-year period, the actual amount of net built-in gain or loss present in those assets as of the date of conversion, and the effective tax rates at such times. The payment of any such corporate-level U.S. federal income tax on built-in gains will be a Company expense that will reduce the amount available for distribution to stockholders. The built-in-gains tax is calculated by determining the RIC’s net unrealized built-in gains, if any, by which the fair market value of the assets of the RIC at the beginning of its first RIC year exceeds the aggregate adjusted basis of such assets at that time.</w:t>
      </w:r>
    </w:p>
    <w:p>
      <w:pPr>
        <w:spacing w:after="0" w:line="59" w:lineRule="exact"/>
        <w:rPr>
          <w:sz w:val="20"/>
          <w:szCs w:val="20"/>
          <w:color w:val="auto"/>
        </w:rPr>
      </w:pPr>
    </w:p>
    <w:p>
      <w:pPr>
        <w:ind w:left="40" w:right="639" w:firstLine="270"/>
        <w:spacing w:after="0" w:line="279" w:lineRule="auto"/>
        <w:rPr>
          <w:sz w:val="20"/>
          <w:szCs w:val="20"/>
          <w:color w:val="auto"/>
        </w:rPr>
      </w:pPr>
      <w:r>
        <w:rPr>
          <w:rFonts w:ascii="Arial" w:cs="Arial" w:eastAsia="Arial" w:hAnsi="Arial"/>
          <w:sz w:val="17"/>
          <w:szCs w:val="17"/>
          <w:color w:val="auto"/>
        </w:rPr>
        <w:t>As of January 1, 2014, the Company had net unrealized built-in gains. It did not incur a built-in-gains tax for the 2014 tax year due to the fact that there are sufficient net capital loss carryforwards to completely offset recognized built-in gains as well as available net operating losses. The Company has recorded a $12.5 million deferred tax liability as of March 31, 2016, of which approximately $10.2 million has been recorded in the event such gains are recognized by December 31, 2019.</w:t>
      </w:r>
    </w:p>
    <w:p>
      <w:pPr>
        <w:spacing w:after="0" w:line="63" w:lineRule="exact"/>
        <w:rPr>
          <w:sz w:val="20"/>
          <w:szCs w:val="20"/>
          <w:color w:val="auto"/>
        </w:rPr>
      </w:pPr>
    </w:p>
    <w:p>
      <w:pPr>
        <w:ind w:left="40" w:right="579" w:firstLine="270"/>
        <w:spacing w:after="0" w:line="290" w:lineRule="auto"/>
        <w:rPr>
          <w:sz w:val="20"/>
          <w:szCs w:val="20"/>
          <w:color w:val="auto"/>
        </w:rPr>
      </w:pPr>
      <w:r>
        <w:rPr>
          <w:rFonts w:ascii="Arial" w:cs="Arial" w:eastAsia="Arial" w:hAnsi="Arial"/>
          <w:sz w:val="16"/>
          <w:szCs w:val="16"/>
          <w:color w:val="auto"/>
        </w:rPr>
        <w:t>The GSVC Holdings are C corporations for U.S. federal and state income tax purposes. The Company uses the asset and liability method to account for the GSVC Holdings’ income taxes. Using this method, the Company recognizes deferred tax assets and liabilities for the estimated future tax effects attributable to temporary differences between the financial reporting and tax bases of assets and liabilities. In addition, the Company recognizes deferred tax benefits associated with net operating loss carryforwards that it may use to offset future tax obligations. The Company measures deferred tax assets and liabilities using the enacted tax rates expected to apply to taxable income in the years in which it expects to recover or settle those temporary differences. The Company has recorded a $12.5 million deferred tax liability as of March 31, 2016, of which approximately $2.3 million relates to the difference in the book and tax basis of certain equity investments and tax net operating losses held by the GSVC Holdings.</w:t>
      </w:r>
    </w:p>
    <w:p>
      <w:pPr>
        <w:spacing w:after="0" w:line="58" w:lineRule="exact"/>
        <w:rPr>
          <w:sz w:val="20"/>
          <w:szCs w:val="20"/>
          <w:color w:val="auto"/>
        </w:rPr>
      </w:pPr>
    </w:p>
    <w:p>
      <w:pPr>
        <w:ind w:left="40" w:right="579" w:firstLine="270"/>
        <w:spacing w:after="0" w:line="279" w:lineRule="auto"/>
        <w:rPr>
          <w:sz w:val="20"/>
          <w:szCs w:val="20"/>
          <w:color w:val="auto"/>
        </w:rPr>
      </w:pPr>
      <w:r>
        <w:rPr>
          <w:rFonts w:ascii="Arial" w:cs="Arial" w:eastAsia="Arial" w:hAnsi="Arial"/>
          <w:sz w:val="17"/>
          <w:szCs w:val="17"/>
          <w:color w:val="auto"/>
        </w:rPr>
        <w:t>For U.S. federal and state income tax purposes, a portion of the GSVC Holdings’ net operating loss carryforwards and basis differences may be subject to limitations on annual utilization in case of a change in ownership, as defined by federal and state law. The amount of such limitations, if any, has not been determined. Accordingly, the amount of such tax attributes available to offset future profits may be significantly less than the actual amounts of the tax attributes.</w:t>
      </w:r>
    </w:p>
    <w:p>
      <w:pPr>
        <w:spacing w:after="0" w:line="200" w:lineRule="exact"/>
        <w:rPr>
          <w:sz w:val="20"/>
          <w:szCs w:val="20"/>
          <w:color w:val="auto"/>
        </w:rPr>
      </w:pPr>
    </w:p>
    <w:p>
      <w:pPr>
        <w:spacing w:after="0" w:line="32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8" w:name="page39"/>
    <w:bookmarkEnd w:id="38"/>
    <w:p>
      <w:pPr>
        <w:ind w:left="14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March 31, 2016</w:t>
      </w:r>
    </w:p>
    <w:p>
      <w:pPr>
        <w:spacing w:after="0" w:line="9"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8 — INCOME TAXES – (continued)</w:t>
      </w:r>
    </w:p>
    <w:p>
      <w:pPr>
        <w:spacing w:after="0" w:line="121" w:lineRule="exact"/>
        <w:rPr>
          <w:sz w:val="20"/>
          <w:szCs w:val="20"/>
          <w:color w:val="auto"/>
        </w:rPr>
      </w:pPr>
    </w:p>
    <w:p>
      <w:pPr>
        <w:ind w:left="180" w:right="539" w:firstLine="270"/>
        <w:spacing w:after="0" w:line="277" w:lineRule="auto"/>
        <w:rPr>
          <w:sz w:val="20"/>
          <w:szCs w:val="20"/>
          <w:color w:val="auto"/>
        </w:rPr>
      </w:pPr>
      <w:r>
        <w:rPr>
          <w:rFonts w:ascii="Arial" w:cs="Arial" w:eastAsia="Arial" w:hAnsi="Arial"/>
          <w:sz w:val="18"/>
          <w:szCs w:val="18"/>
          <w:color w:val="auto"/>
        </w:rPr>
        <w:t>The Company and the GSVC Holdings identified their major tax jurisdictions as U.S. federal and California and may be subject to the taxing authorities’ examination for the tax years 2012 – 2015 and 2011 – 2015, respectively.</w:t>
      </w:r>
    </w:p>
    <w:p>
      <w:pPr>
        <w:spacing w:after="0" w:line="62" w:lineRule="exact"/>
        <w:rPr>
          <w:sz w:val="20"/>
          <w:szCs w:val="20"/>
          <w:color w:val="auto"/>
        </w:rPr>
      </w:pPr>
    </w:p>
    <w:p>
      <w:pPr>
        <w:ind w:left="180" w:right="919" w:firstLine="270"/>
        <w:spacing w:after="0" w:line="277" w:lineRule="auto"/>
        <w:rPr>
          <w:sz w:val="20"/>
          <w:szCs w:val="20"/>
          <w:color w:val="auto"/>
        </w:rPr>
      </w:pPr>
      <w:r>
        <w:rPr>
          <w:rFonts w:ascii="Arial" w:cs="Arial" w:eastAsia="Arial" w:hAnsi="Arial"/>
          <w:sz w:val="18"/>
          <w:szCs w:val="18"/>
          <w:color w:val="auto"/>
        </w:rPr>
        <w:t>The Company and the GSVC Holdings accrue all interest and penalties related to uncertain tax positions as incurred. As of March 31, 2016, there were no interest or penalties incurred related to uncertain tax positions.</w:t>
      </w:r>
    </w:p>
    <w:p>
      <w:pPr>
        <w:spacing w:after="0" w:line="9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9 — LONG TERM LIABILITIES</w:t>
      </w:r>
    </w:p>
    <w:p>
      <w:pPr>
        <w:spacing w:after="0" w:line="1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Convertible Senior Notes payable</w:t>
      </w:r>
    </w:p>
    <w:p>
      <w:pPr>
        <w:spacing w:after="0" w:line="117" w:lineRule="exact"/>
        <w:rPr>
          <w:sz w:val="20"/>
          <w:szCs w:val="20"/>
          <w:color w:val="auto"/>
        </w:rPr>
      </w:pPr>
    </w:p>
    <w:p>
      <w:pPr>
        <w:ind w:left="180" w:right="579" w:firstLine="270"/>
        <w:spacing w:after="0" w:line="287" w:lineRule="auto"/>
        <w:rPr>
          <w:sz w:val="20"/>
          <w:szCs w:val="20"/>
          <w:color w:val="auto"/>
        </w:rPr>
      </w:pPr>
      <w:r>
        <w:rPr>
          <w:rFonts w:ascii="Arial" w:cs="Arial" w:eastAsia="Arial" w:hAnsi="Arial"/>
          <w:sz w:val="16"/>
          <w:szCs w:val="16"/>
          <w:color w:val="auto"/>
        </w:rPr>
        <w:t>On September 17, 2013, the Company issued $69 million aggregate principal amount of the Convertible Senior Notes (including $9 million aggregate principal amount issued pursuant to the exercise of the initial purchasers’ option to purchase additional Convertible Senior Notes). The Convertible Senior Notes bear interest at a fixed rate of 5.25% per year, payable semi-annually in arrears on March 15 and September 15 of each year, commencing on March 15, 2014. The Convertible Senior Notes mature on September 15, 2018, unless previously repurchased or converted in accordance with their terms. The Company does not have the right to redeem the Convertible Senior Notes prior to maturity. The Convertible Senior Notes were convertible into shares of the Company’s common stock based on an initial conversion rate of 61.5091 shares of the Company’s common stock per $1,000 of principal amount of the Convertible Senior Notes, which was equivalent to an initial conversion price of approximately $16.26 per share of common stock. As a result of the Company’s dividend paid on December 31, 2015 to stockholders of record on November 16, 2015, the conversion rate was increased to 82.7567 shares of common stock per $1,000 principal amount of the Convertible Senior Notes, which is equivalent to a conversion price of approximately $12.08 per share of common stock.</w:t>
      </w:r>
    </w:p>
    <w:p>
      <w:pPr>
        <w:spacing w:after="0" w:line="65" w:lineRule="exact"/>
        <w:rPr>
          <w:sz w:val="20"/>
          <w:szCs w:val="20"/>
          <w:color w:val="auto"/>
        </w:rPr>
      </w:pPr>
    </w:p>
    <w:p>
      <w:pPr>
        <w:ind w:left="180" w:right="619" w:firstLine="270"/>
        <w:spacing w:after="0" w:line="270" w:lineRule="auto"/>
        <w:rPr>
          <w:sz w:val="20"/>
          <w:szCs w:val="20"/>
          <w:color w:val="auto"/>
        </w:rPr>
      </w:pPr>
      <w:r>
        <w:rPr>
          <w:rFonts w:ascii="Arial" w:cs="Arial" w:eastAsia="Arial" w:hAnsi="Arial"/>
          <w:sz w:val="17"/>
          <w:szCs w:val="17"/>
          <w:color w:val="auto"/>
        </w:rPr>
        <w:t>The terms of the offering required the Company to place a portion of the proceeds of the offering ($10,867,500) in an escrow account (the “Interest Escrow”) with U.S. Bank National Association (the “Trustee”) under the indenture pursuant to which the Convertible Senior Notes were issued. Funds in the Interest Escrow were used to purchase six U.S. Treasury Strips (“Government Securities”) with an original cost of $10,845,236. The Government Securities have been, and will continue to be, used to make the first six scheduled interest payments on the Convertible Senior Notes, unless the Company elects to make the interest payments from the Company’s available funds. The interest payments on the Convertible Senior Notes are secured by a pledge of the Company’s interest in the Interest Escrow. At March 31, 2016, the remaining Government Securities are shown on the Condensed Consolidated Schedule of Investments and have an amortized cost of $1,845,845. The table below shows a reconciliation from the aggregate principal amount of Convertible Senior Notes to the balance shown on the Condensed Consolidated Statement of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10795</wp:posOffset>
            </wp:positionV>
            <wp:extent cx="520573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4"/>
              </w:rPr>
              <w:t>December 31,</w:t>
            </w:r>
          </w:p>
        </w:tc>
        <w:tc>
          <w:tcPr>
            <w:tcW w:w="1260" w:type="dxa"/>
            <w:vAlign w:val="bottom"/>
          </w:tcPr>
          <w:p>
            <w:pPr>
              <w:spacing w:after="0"/>
              <w:rPr>
                <w:sz w:val="14"/>
                <w:szCs w:val="14"/>
                <w:color w:val="auto"/>
              </w:rPr>
            </w:pPr>
          </w:p>
        </w:tc>
      </w:tr>
      <w:tr>
        <w:trPr>
          <w:trHeight w:val="171"/>
        </w:trPr>
        <w:tc>
          <w:tcPr>
            <w:tcW w:w="1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8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4"/>
                <w:szCs w:val="14"/>
                <w:color w:val="auto"/>
              </w:rPr>
            </w:pPr>
          </w:p>
        </w:tc>
        <w:tc>
          <w:tcPr>
            <w:tcW w:w="1260" w:type="dxa"/>
            <w:vAlign w:val="bottom"/>
          </w:tcPr>
          <w:p>
            <w:pPr>
              <w:spacing w:after="0"/>
              <w:rPr>
                <w:sz w:val="14"/>
                <w:szCs w:val="14"/>
                <w:color w:val="auto"/>
              </w:rPr>
            </w:pPr>
          </w:p>
        </w:tc>
      </w:tr>
      <w:tr>
        <w:trPr>
          <w:trHeight w:val="210"/>
        </w:trPr>
        <w:tc>
          <w:tcPr>
            <w:tcW w:w="120" w:type="dxa"/>
            <w:vAlign w:val="bottom"/>
          </w:tcPr>
          <w:p>
            <w:pPr>
              <w:spacing w:after="0"/>
              <w:rPr>
                <w:sz w:val="18"/>
                <w:szCs w:val="18"/>
                <w:color w:val="auto"/>
              </w:rPr>
            </w:pPr>
          </w:p>
        </w:tc>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Aggregate Principal Amount of Convertible Senior Notes</w:t>
            </w:r>
          </w:p>
        </w:tc>
        <w:tc>
          <w:tcPr>
            <w:tcW w:w="2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$ 69,000,000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69,000,000</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4380" w:type="dxa"/>
            <w:vAlign w:val="bottom"/>
          </w:tcPr>
          <w:p>
            <w:pPr>
              <w:ind w:left="20"/>
              <w:spacing w:after="0"/>
              <w:rPr>
                <w:sz w:val="20"/>
                <w:szCs w:val="20"/>
                <w:color w:val="auto"/>
              </w:rPr>
            </w:pPr>
            <w:r>
              <w:rPr>
                <w:rFonts w:ascii="Arial" w:cs="Arial" w:eastAsia="Arial" w:hAnsi="Arial"/>
                <w:sz w:val="18"/>
                <w:szCs w:val="18"/>
                <w:color w:val="auto"/>
              </w:rPr>
              <w:t>Amortization of Embedded Derivative Discount</w:t>
            </w:r>
          </w:p>
        </w:tc>
        <w:tc>
          <w:tcPr>
            <w:tcW w:w="2480" w:type="dxa"/>
            <w:vAlign w:val="bottom"/>
            <w:gridSpan w:val="3"/>
          </w:tcPr>
          <w:p>
            <w:pPr>
              <w:jc w:val="right"/>
              <w:ind w:right="60"/>
              <w:spacing w:after="0"/>
              <w:rPr>
                <w:sz w:val="20"/>
                <w:szCs w:val="20"/>
                <w:color w:val="auto"/>
              </w:rPr>
            </w:pPr>
            <w:r>
              <w:rPr>
                <w:rFonts w:ascii="Arial" w:cs="Arial" w:eastAsia="Arial" w:hAnsi="Arial"/>
                <w:sz w:val="18"/>
                <w:szCs w:val="18"/>
                <w:color w:val="auto"/>
              </w:rPr>
              <w:t>(368,735)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(403,381)</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 deduction of deferred debt issuance costs</w:t>
            </w:r>
          </w:p>
        </w:tc>
        <w:tc>
          <w:tcPr>
            <w:tcW w:w="1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(1,768,190)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(1,947,572)</w:t>
            </w:r>
          </w:p>
        </w:tc>
        <w:tc>
          <w:tcPr>
            <w:tcW w:w="1260" w:type="dxa"/>
            <w:vAlign w:val="bottom"/>
          </w:tcPr>
          <w:p>
            <w:pPr>
              <w:spacing w:after="0"/>
              <w:rPr>
                <w:sz w:val="18"/>
                <w:szCs w:val="18"/>
                <w:color w:val="auto"/>
              </w:rPr>
            </w:pPr>
          </w:p>
        </w:tc>
      </w:tr>
      <w:tr>
        <w:trPr>
          <w:trHeight w:val="210"/>
        </w:trPr>
        <w:tc>
          <w:tcPr>
            <w:tcW w:w="120" w:type="dxa"/>
            <w:vAlign w:val="bottom"/>
          </w:tcPr>
          <w:p>
            <w:pPr>
              <w:spacing w:after="0"/>
              <w:rPr>
                <w:sz w:val="18"/>
                <w:szCs w:val="18"/>
                <w:color w:val="auto"/>
              </w:rPr>
            </w:pPr>
          </w:p>
        </w:tc>
        <w:tc>
          <w:tcPr>
            <w:tcW w:w="438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Convertible Senior Notes</w:t>
            </w:r>
          </w:p>
        </w:tc>
        <w:tc>
          <w:tcPr>
            <w:tcW w:w="1380" w:type="dxa"/>
            <w:vAlign w:val="bottom"/>
            <w:tcBorders>
              <w:top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$ 66,863,075</w:t>
            </w: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66,649,047</w:t>
            </w:r>
          </w:p>
        </w:tc>
        <w:tc>
          <w:tcPr>
            <w:tcW w:w="140" w:type="dxa"/>
            <w:vAlign w:val="bottom"/>
            <w:tcBorders>
              <w:top w:val="single" w:sz="8" w:color="CCEEFF"/>
            </w:tcBorders>
          </w:tcPr>
          <w:p>
            <w:pPr>
              <w:spacing w:after="0"/>
              <w:rPr>
                <w:sz w:val="18"/>
                <w:szCs w:val="18"/>
                <w:color w:val="auto"/>
              </w:rPr>
            </w:pPr>
          </w:p>
        </w:tc>
        <w:tc>
          <w:tcPr>
            <w:tcW w:w="1260" w:type="dxa"/>
            <w:vAlign w:val="bottom"/>
          </w:tcPr>
          <w:p>
            <w:pPr>
              <w:spacing w:after="0"/>
              <w:rPr>
                <w:sz w:val="18"/>
                <w:szCs w:val="18"/>
                <w:color w:val="auto"/>
              </w:rPr>
            </w:pPr>
          </w:p>
        </w:tc>
      </w:tr>
      <w:tr>
        <w:trPr>
          <w:trHeight w:val="763"/>
        </w:trPr>
        <w:tc>
          <w:tcPr>
            <w:tcW w:w="1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380" w:type="dxa"/>
            <w:vAlign w:val="bottom"/>
          </w:tcPr>
          <w:p>
            <w:pPr>
              <w:jc w:val="right"/>
              <w:ind w:right="910"/>
              <w:spacing w:after="0"/>
              <w:rPr>
                <w:sz w:val="20"/>
                <w:szCs w:val="20"/>
                <w:color w:val="auto"/>
              </w:rPr>
            </w:pPr>
            <w:r>
              <w:rPr>
                <w:rFonts w:ascii="Arial" w:cs="Arial" w:eastAsia="Arial" w:hAnsi="Arial"/>
                <w:sz w:val="18"/>
                <w:szCs w:val="18"/>
                <w:color w:val="auto"/>
              </w:rPr>
              <w:t>36</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4380" w:type="dxa"/>
            <w:vAlign w:val="bottom"/>
            <w:tcBorders>
              <w:bottom w:val="single" w:sz="8" w:color="9A9A9A"/>
            </w:tcBorders>
          </w:tcPr>
          <w:p>
            <w:pPr>
              <w:spacing w:after="0"/>
              <w:rPr>
                <w:sz w:val="14"/>
                <w:szCs w:val="14"/>
                <w:color w:val="auto"/>
              </w:rPr>
            </w:pPr>
          </w:p>
        </w:tc>
        <w:tc>
          <w:tcPr>
            <w:tcW w:w="138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4380" w:type="dxa"/>
            <w:vAlign w:val="bottom"/>
            <w:tcBorders>
              <w:bottom w:val="single" w:sz="8" w:color="EEEEEE"/>
            </w:tcBorders>
          </w:tcPr>
          <w:p>
            <w:pPr>
              <w:spacing w:after="0" w:line="20" w:lineRule="exact"/>
              <w:rPr>
                <w:sz w:val="1"/>
                <w:szCs w:val="1"/>
                <w:color w:val="auto"/>
              </w:rPr>
            </w:pPr>
          </w:p>
        </w:tc>
        <w:tc>
          <w:tcPr>
            <w:tcW w:w="138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-779780</wp:posOffset>
            </wp:positionV>
            <wp:extent cx="5213985" cy="1543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March 31, 2016</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9 — LONG TERM LIABILITIES – (continued)</w:t>
      </w:r>
    </w:p>
    <w:p>
      <w:pPr>
        <w:spacing w:after="0" w:line="121" w:lineRule="exact"/>
        <w:rPr>
          <w:sz w:val="20"/>
          <w:szCs w:val="20"/>
          <w:color w:val="auto"/>
        </w:rPr>
      </w:pPr>
    </w:p>
    <w:p>
      <w:pPr>
        <w:ind w:left="40" w:right="619" w:firstLine="270"/>
        <w:spacing w:after="0" w:line="277" w:lineRule="auto"/>
        <w:rPr>
          <w:sz w:val="20"/>
          <w:szCs w:val="20"/>
          <w:color w:val="auto"/>
        </w:rPr>
      </w:pPr>
      <w:r>
        <w:rPr>
          <w:rFonts w:ascii="Arial" w:cs="Arial" w:eastAsia="Arial" w:hAnsi="Arial"/>
          <w:sz w:val="18"/>
          <w:szCs w:val="18"/>
          <w:color w:val="auto"/>
        </w:rPr>
        <w:t>As of March 31, 2016 and December 31, 2015, the principal amount of the Convertible Senior Notes exceeded the value of the underlying shares multiplied by the per share closing price of the Company’s common stock.</w:t>
      </w:r>
    </w:p>
    <w:p>
      <w:pPr>
        <w:spacing w:after="0" w:line="62" w:lineRule="exact"/>
        <w:rPr>
          <w:sz w:val="20"/>
          <w:szCs w:val="20"/>
          <w:color w:val="auto"/>
        </w:rPr>
      </w:pPr>
    </w:p>
    <w:p>
      <w:pPr>
        <w:ind w:left="40" w:right="539" w:firstLine="270"/>
        <w:spacing w:after="0" w:line="297" w:lineRule="auto"/>
        <w:rPr>
          <w:sz w:val="20"/>
          <w:szCs w:val="20"/>
          <w:color w:val="auto"/>
        </w:rPr>
      </w:pPr>
      <w:r>
        <w:rPr>
          <w:rFonts w:ascii="Arial" w:cs="Arial" w:eastAsia="Arial" w:hAnsi="Arial"/>
          <w:sz w:val="16"/>
          <w:szCs w:val="16"/>
          <w:color w:val="auto"/>
        </w:rPr>
        <w:t>The Convertible Senior Notes are the Company’s senior, unsecured obligations and rank senior in right of payment to any future indebtedness that is expressly subordinated in right of payment to the Convertible Senior Notes, equal in right of payment to any future unsecured indebtedness that is not so subordinated to the Convertible Senior Notes, junior (other than to the extent of the Interest Escrow) to any future secured indebtedness to the extent of the value of the assets securing such indebtedness, and structurally junior to all future indebtedness (including trade payables) incurred by the Company’s subsidiaries.</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Embedded Derivative</w:t>
      </w:r>
    </w:p>
    <w:p>
      <w:pPr>
        <w:spacing w:after="0" w:line="117" w:lineRule="exact"/>
        <w:rPr>
          <w:sz w:val="20"/>
          <w:szCs w:val="20"/>
          <w:color w:val="auto"/>
        </w:rPr>
      </w:pPr>
    </w:p>
    <w:p>
      <w:pPr>
        <w:ind w:left="40" w:right="619" w:firstLine="270"/>
        <w:spacing w:after="0" w:line="293" w:lineRule="auto"/>
        <w:rPr>
          <w:sz w:val="20"/>
          <w:szCs w:val="20"/>
          <w:color w:val="auto"/>
        </w:rPr>
      </w:pPr>
      <w:r>
        <w:rPr>
          <w:rFonts w:ascii="Arial" w:cs="Arial" w:eastAsia="Arial" w:hAnsi="Arial"/>
          <w:sz w:val="16"/>
          <w:szCs w:val="16"/>
          <w:color w:val="auto"/>
        </w:rPr>
        <w:t>The Convertible Senior Notes contain an interest make-whole payment provision pursuant to which holders who convert their notes prior to September 15, 2016 will receive, in addition to a number of shares the Company’s common stock calculated at the applicable conversion rate for the principal amount of notes being converted, the cash proceeds from sale by the escrow agent of the portion of the Government Securities in the escrow account that are remaining with respect to any of the first six interest payments that have not been made on the notes being converted. Under ASC 815-10-15-74(a), the interest make-whole payment is considered an embedded derivative and is separated from the host contract, the Convertible Senior Notes, and carried at fair value.</w:t>
      </w:r>
    </w:p>
    <w:p>
      <w:pPr>
        <w:spacing w:after="0" w:line="57" w:lineRule="exact"/>
        <w:rPr>
          <w:sz w:val="20"/>
          <w:szCs w:val="20"/>
          <w:color w:val="auto"/>
        </w:rPr>
      </w:pPr>
    </w:p>
    <w:p>
      <w:pPr>
        <w:ind w:left="40" w:right="619" w:firstLine="270"/>
        <w:spacing w:after="0" w:line="264" w:lineRule="auto"/>
        <w:rPr>
          <w:sz w:val="20"/>
          <w:szCs w:val="20"/>
          <w:color w:val="auto"/>
        </w:rPr>
      </w:pPr>
      <w:r>
        <w:rPr>
          <w:rFonts w:ascii="Arial" w:cs="Arial" w:eastAsia="Arial" w:hAnsi="Arial"/>
          <w:sz w:val="18"/>
          <w:szCs w:val="18"/>
          <w:color w:val="auto"/>
        </w:rPr>
        <w:t>The Company used a binomial lattice model to estimate the fair value of the embedded derivative in the Convertible Senior Notes. A binomial lattice model generates potential outcomes at various points in time, starting from the date of valuation until the expiration date of the embedded derivative.</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ind w:left="40" w:right="779" w:firstLine="270"/>
        <w:spacing w:after="0" w:line="264" w:lineRule="auto"/>
        <w:rPr>
          <w:sz w:val="20"/>
          <w:szCs w:val="20"/>
          <w:color w:val="auto"/>
        </w:rPr>
      </w:pPr>
      <w:r>
        <w:rPr>
          <w:rFonts w:ascii="Arial" w:cs="Arial" w:eastAsia="Arial" w:hAnsi="Arial"/>
          <w:sz w:val="18"/>
          <w:szCs w:val="18"/>
          <w:color w:val="auto"/>
        </w:rPr>
        <w:t>The Company entered into the Loan Agreement, effective December 31, 2013, with Silicon Valley Bank to provide the Company with an $18 million Credit Facility. Under the Credit Facility, the Company is permitted to borrow an amount equal to the lesser of $18 million or 20% of the Company’s then-current net asset value.</w:t>
      </w:r>
    </w:p>
    <w:p>
      <w:pPr>
        <w:spacing w:after="0" w:line="73" w:lineRule="exact"/>
        <w:rPr>
          <w:sz w:val="20"/>
          <w:szCs w:val="20"/>
          <w:color w:val="auto"/>
        </w:rPr>
      </w:pPr>
    </w:p>
    <w:p>
      <w:pPr>
        <w:ind w:left="40" w:right="559" w:firstLine="270"/>
        <w:spacing w:after="0" w:line="270" w:lineRule="auto"/>
        <w:rPr>
          <w:sz w:val="20"/>
          <w:szCs w:val="20"/>
          <w:color w:val="auto"/>
        </w:rPr>
      </w:pPr>
      <w:r>
        <w:rPr>
          <w:rFonts w:ascii="Arial" w:cs="Arial" w:eastAsia="Arial" w:hAnsi="Arial"/>
          <w:sz w:val="17"/>
          <w:szCs w:val="17"/>
          <w:color w:val="auto"/>
        </w:rPr>
        <w:t>The Credit Facility matures on December 31, 2016 and bears interest at a per annum rate equal to the greater of (i) the prime rate plus 4.75% and (ii) 8.0% on amounts drawn under the Credit Facility based on a 360-day year. In addition, a fee of $180,000 per annum (1.0% of the $18 million revolving line of credit) is charged under the Loan Agreement. Under the terms of the Credit Facility, the Company must repay all outstanding borrowings so that there is at least one 30-day period every twelve months during which the Company has no balance outstanding. Under the Loan Agreement, the Company has made certain customary representations and warranties and is required to comply with various covenants, reporting requirements, and other customary requirements for similar credit facilities. The Loan Agreement includes usual and customary events of default for credit facilities of this nature, including, without limitation, nonpayment, misrepresentation of representations and warranties in a material respect, breach of covenant, cross-default to certain other indebtedness, bankruptcy, change of control, and the occurrence of a material adverse effect.</w:t>
      </w:r>
    </w:p>
    <w:p>
      <w:pPr>
        <w:spacing w:after="0" w:line="200" w:lineRule="exact"/>
        <w:rPr>
          <w:sz w:val="20"/>
          <w:szCs w:val="20"/>
          <w:color w:val="auto"/>
        </w:rPr>
      </w:pPr>
    </w:p>
    <w:p>
      <w:pPr>
        <w:spacing w:after="0" w:line="31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0" w:name="page41"/>
    <w:bookmarkEnd w:id="40"/>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March 31, 2016</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 LONG TERM LIABILITIES – (continued)</w:t>
      </w:r>
    </w:p>
    <w:p>
      <w:pPr>
        <w:spacing w:after="0" w:line="121" w:lineRule="exact"/>
        <w:rPr>
          <w:sz w:val="20"/>
          <w:szCs w:val="20"/>
          <w:color w:val="auto"/>
        </w:rPr>
      </w:pPr>
    </w:p>
    <w:p>
      <w:pPr>
        <w:ind w:left="60" w:right="619" w:firstLine="270"/>
        <w:spacing w:after="0" w:line="255" w:lineRule="auto"/>
        <w:rPr>
          <w:sz w:val="20"/>
          <w:szCs w:val="20"/>
          <w:color w:val="auto"/>
        </w:rPr>
      </w:pPr>
      <w:r>
        <w:rPr>
          <w:rFonts w:ascii="Arial" w:cs="Arial" w:eastAsia="Arial" w:hAnsi="Arial"/>
          <w:sz w:val="18"/>
          <w:szCs w:val="18"/>
          <w:color w:val="auto"/>
        </w:rPr>
        <w:t>The Credit Facility is secured by all of the Company’s property and assets, except for the Company’s assets pledged to secure certain obligations in connection with the Company’s issuance of the Convertible Senior Notes and, as provided for in the Loan Agreement, as may be pledged in connection with any future issuance by the Company of Convertible Senior Notes on substantially similar terms. As of March 31, 2016, the Company had no borrowings under the Credit Facility. For the three months ended March 31, 2016 and 2015, the Company had average borrowings outstanding under the Credit Facility of $0 and $12,655,556, respectively.</w:t>
      </w:r>
    </w:p>
    <w:p>
      <w:pPr>
        <w:spacing w:after="0" w:line="85" w:lineRule="exact"/>
        <w:rPr>
          <w:sz w:val="20"/>
          <w:szCs w:val="20"/>
          <w:color w:val="auto"/>
        </w:rPr>
      </w:pPr>
    </w:p>
    <w:p>
      <w:pPr>
        <w:ind w:left="60" w:right="539" w:firstLine="270"/>
        <w:spacing w:after="0" w:line="264" w:lineRule="auto"/>
        <w:rPr>
          <w:sz w:val="20"/>
          <w:szCs w:val="20"/>
          <w:color w:val="auto"/>
        </w:rPr>
      </w:pPr>
      <w:r>
        <w:rPr>
          <w:rFonts w:ascii="Arial" w:cs="Arial" w:eastAsia="Arial" w:hAnsi="Arial"/>
          <w:sz w:val="18"/>
          <w:szCs w:val="18"/>
          <w:color w:val="auto"/>
        </w:rPr>
        <w:t>Borrowing under the Credit Facility is subject to the leverage restrictions contained in the 1940 Act. In addition, under the Loan Agreement, and as provided for therein, the Company has agreed not to incur certain additional permitted indebtedness in an aggregate amount exceeding 50% of the Company’s then-applicable net asset value.</w:t>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 SUBSEQUENT EVENTS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Portfolio Activity</w:t>
      </w:r>
    </w:p>
    <w:p>
      <w:pPr>
        <w:spacing w:after="0" w:line="117" w:lineRule="exact"/>
        <w:rPr>
          <w:sz w:val="20"/>
          <w:szCs w:val="20"/>
          <w:color w:val="auto"/>
        </w:rPr>
      </w:pPr>
    </w:p>
    <w:p>
      <w:pPr>
        <w:ind w:left="60" w:right="679" w:firstLine="270"/>
        <w:spacing w:after="0" w:line="257" w:lineRule="auto"/>
        <w:rPr>
          <w:sz w:val="20"/>
          <w:szCs w:val="20"/>
          <w:color w:val="auto"/>
        </w:rPr>
      </w:pPr>
      <w:r>
        <w:rPr>
          <w:rFonts w:ascii="Arial" w:cs="Arial" w:eastAsia="Arial" w:hAnsi="Arial"/>
          <w:sz w:val="18"/>
          <w:szCs w:val="18"/>
          <w:color w:val="auto"/>
        </w:rPr>
        <w:t>From March 31, 2016 through May 10, 2016, the Company closed on investment purchases of $3,999,990 plus transaction costs as shown in the following table. “Total Gross Payments” include both the actual cost of an investment, as well as capitalized costs (such as legal and other fees) associated with entering into a portfolio company investment. Refer to “Note 1 — Nature of Operations and Significant Accounting Policies” to the Company’s condensed consolidated financial statements as of March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17145</wp:posOffset>
            </wp:positionV>
            <wp:extent cx="518858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Portfolio Company</w:t>
            </w:r>
          </w:p>
        </w:tc>
        <w:tc>
          <w:tcPr>
            <w:tcW w:w="160" w:type="dxa"/>
            <w:vAlign w:val="bottom"/>
          </w:tcPr>
          <w:p>
            <w:pPr>
              <w:spacing w:after="0"/>
              <w:rPr>
                <w:sz w:val="14"/>
                <w:szCs w:val="14"/>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Industry</w:t>
            </w:r>
          </w:p>
        </w:tc>
        <w:tc>
          <w:tcPr>
            <w:tcW w:w="16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Transaction Date</w:t>
            </w:r>
          </w:p>
        </w:tc>
        <w:tc>
          <w:tcPr>
            <w:tcW w:w="160" w:type="dxa"/>
            <w:vAlign w:val="bottom"/>
          </w:tcPr>
          <w:p>
            <w:pPr>
              <w:spacing w:after="0"/>
              <w:rPr>
                <w:sz w:val="14"/>
                <w:szCs w:val="14"/>
                <w:color w:val="auto"/>
              </w:rPr>
            </w:pPr>
          </w:p>
        </w:tc>
        <w:tc>
          <w:tcPr>
            <w:tcW w:w="10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2"/>
              </w:rPr>
              <w:t>Gross Payments</w:t>
            </w:r>
          </w:p>
        </w:tc>
      </w:tr>
      <w:tr>
        <w:trPr>
          <w:trHeight w:val="195"/>
        </w:trPr>
        <w:tc>
          <w:tcPr>
            <w:tcW w:w="3300" w:type="dxa"/>
            <w:vAlign w:val="bottom"/>
          </w:tcPr>
          <w:p>
            <w:pPr>
              <w:ind w:left="20"/>
              <w:spacing w:after="0" w:line="195" w:lineRule="exact"/>
              <w:rPr>
                <w:sz w:val="20"/>
                <w:szCs w:val="20"/>
                <w:color w:val="auto"/>
              </w:rPr>
            </w:pPr>
            <w:r>
              <w:rPr>
                <w:rFonts w:ascii="Arial" w:cs="Arial" w:eastAsia="Arial" w:hAnsi="Arial"/>
                <w:sz w:val="18"/>
                <w:szCs w:val="18"/>
                <w:color w:val="auto"/>
              </w:rPr>
              <w:t>Snapchat Inc.</w:t>
            </w:r>
          </w:p>
        </w:tc>
        <w:tc>
          <w:tcPr>
            <w:tcW w:w="160" w:type="dxa"/>
            <w:vAlign w:val="bottom"/>
          </w:tcPr>
          <w:p>
            <w:pPr>
              <w:spacing w:after="0"/>
              <w:rPr>
                <w:sz w:val="16"/>
                <w:szCs w:val="16"/>
                <w:color w:val="auto"/>
              </w:rPr>
            </w:pPr>
          </w:p>
        </w:tc>
        <w:tc>
          <w:tcPr>
            <w:tcW w:w="2200" w:type="dxa"/>
            <w:vAlign w:val="bottom"/>
          </w:tcPr>
          <w:p>
            <w:pPr>
              <w:jc w:val="center"/>
              <w:spacing w:after="0" w:line="195" w:lineRule="exact"/>
              <w:rPr>
                <w:sz w:val="20"/>
                <w:szCs w:val="20"/>
                <w:color w:val="auto"/>
              </w:rPr>
            </w:pPr>
            <w:r>
              <w:rPr>
                <w:rFonts w:ascii="Arial" w:cs="Arial" w:eastAsia="Arial" w:hAnsi="Arial"/>
                <w:sz w:val="18"/>
                <w:szCs w:val="18"/>
                <w:color w:val="auto"/>
                <w:w w:val="91"/>
              </w:rPr>
              <w:t>Communication and</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0"/>
        </w:trPr>
        <w:tc>
          <w:tcPr>
            <w:tcW w:w="3300" w:type="dxa"/>
            <w:vAlign w:val="bottom"/>
          </w:tcPr>
          <w:p>
            <w:pPr>
              <w:ind w:left="200"/>
              <w:spacing w:after="0"/>
              <w:rPr>
                <w:sz w:val="20"/>
                <w:szCs w:val="20"/>
                <w:color w:val="auto"/>
              </w:rPr>
            </w:pPr>
            <w:r>
              <w:rPr>
                <w:rFonts w:ascii="Arial" w:cs="Arial" w:eastAsia="Arial" w:hAnsi="Arial"/>
                <w:sz w:val="18"/>
                <w:szCs w:val="18"/>
                <w:color w:val="auto"/>
              </w:rPr>
              <w:t>Preferred Shares</w:t>
            </w:r>
          </w:p>
        </w:tc>
        <w:tc>
          <w:tcPr>
            <w:tcW w:w="16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2"/>
              </w:rPr>
              <w:t>entertainment platform</w:t>
            </w:r>
          </w:p>
        </w:tc>
        <w:tc>
          <w:tcPr>
            <w:tcW w:w="16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May 6, 2016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3,999,990</w:t>
            </w:r>
          </w:p>
        </w:tc>
        <w:tc>
          <w:tcPr>
            <w:tcW w:w="80" w:type="dxa"/>
            <w:vAlign w:val="bottom"/>
          </w:tcPr>
          <w:p>
            <w:pPr>
              <w:spacing w:after="0"/>
              <w:rPr>
                <w:sz w:val="20"/>
                <w:szCs w:val="20"/>
                <w:color w:val="auto"/>
              </w:rPr>
            </w:pPr>
          </w:p>
        </w:tc>
      </w:tr>
      <w:tr>
        <w:trPr>
          <w:trHeight w:val="210"/>
        </w:trPr>
        <w:tc>
          <w:tcPr>
            <w:tcW w:w="3300" w:type="dxa"/>
            <w:vAlign w:val="bottom"/>
          </w:tcPr>
          <w:p>
            <w:pPr>
              <w:ind w:left="20"/>
              <w:spacing w:after="0"/>
              <w:rPr>
                <w:sz w:val="20"/>
                <w:szCs w:val="20"/>
                <w:color w:val="auto"/>
              </w:rPr>
            </w:pPr>
            <w:r>
              <w:rPr>
                <w:rFonts w:ascii="Arial" w:cs="Arial" w:eastAsia="Arial" w:hAnsi="Arial"/>
                <w:sz w:val="18"/>
                <w:szCs w:val="18"/>
                <w:color w:val="auto"/>
              </w:rPr>
              <w:t>Total Gross Payments</w:t>
            </w:r>
          </w:p>
        </w:tc>
        <w:tc>
          <w:tcPr>
            <w:tcW w:w="1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3,999,990</w:t>
            </w:r>
          </w:p>
        </w:tc>
        <w:tc>
          <w:tcPr>
            <w:tcW w:w="80" w:type="dxa"/>
            <w:vAlign w:val="bottom"/>
          </w:tcPr>
          <w:p>
            <w:pPr>
              <w:spacing w:after="0"/>
              <w:rPr>
                <w:sz w:val="18"/>
                <w:szCs w:val="18"/>
                <w:color w:val="auto"/>
              </w:rPr>
            </w:pPr>
          </w:p>
        </w:tc>
      </w:tr>
    </w:tbl>
    <w:p>
      <w:pPr>
        <w:spacing w:after="0" w:line="94" w:lineRule="exact"/>
        <w:rPr>
          <w:sz w:val="20"/>
          <w:szCs w:val="20"/>
          <w:color w:val="auto"/>
        </w:rPr>
      </w:pPr>
    </w:p>
    <w:p>
      <w:pPr>
        <w:ind w:left="60" w:right="719" w:firstLine="270"/>
        <w:spacing w:after="0" w:line="277" w:lineRule="auto"/>
        <w:rPr>
          <w:sz w:val="20"/>
          <w:szCs w:val="20"/>
          <w:color w:val="auto"/>
        </w:rPr>
      </w:pPr>
      <w:r>
        <w:rPr>
          <w:rFonts w:ascii="Arial" w:cs="Arial" w:eastAsia="Arial" w:hAnsi="Arial"/>
          <w:sz w:val="18"/>
          <w:szCs w:val="18"/>
          <w:color w:val="auto"/>
        </w:rPr>
        <w:t>From March 31, 2016 through May 10, 2016, the Company sold investments of $661,968 net of transaction costs as shown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18858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Sales by Portfolio Company</w:t>
            </w:r>
          </w:p>
        </w:tc>
        <w:tc>
          <w:tcPr>
            <w:tcW w:w="160" w:type="dxa"/>
            <w:vAlign w:val="bottom"/>
          </w:tcPr>
          <w:p>
            <w:pPr>
              <w:spacing w:after="0"/>
              <w:rPr>
                <w:sz w:val="16"/>
                <w:szCs w:val="16"/>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98"/>
              </w:rPr>
              <w:t>Transaction Date</w:t>
            </w:r>
          </w:p>
        </w:tc>
        <w:tc>
          <w:tcPr>
            <w:tcW w:w="16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Shares Sold</w:t>
            </w:r>
          </w:p>
        </w:tc>
        <w:tc>
          <w:tcPr>
            <w:tcW w:w="160" w:type="dxa"/>
            <w:vAlign w:val="bottom"/>
          </w:tcPr>
          <w:p>
            <w:pPr>
              <w:spacing w:after="0"/>
              <w:rPr>
                <w:sz w:val="16"/>
                <w:szCs w:val="16"/>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Average Net</w:t>
            </w:r>
          </w:p>
        </w:tc>
        <w:tc>
          <w:tcPr>
            <w:tcW w:w="160" w:type="dxa"/>
            <w:vAlign w:val="bottom"/>
          </w:tcPr>
          <w:p>
            <w:pPr>
              <w:spacing w:after="0"/>
              <w:rPr>
                <w:sz w:val="16"/>
                <w:szCs w:val="16"/>
                <w:color w:val="auto"/>
              </w:rPr>
            </w:pPr>
          </w:p>
        </w:tc>
        <w:tc>
          <w:tcPr>
            <w:tcW w:w="96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w w:val="96"/>
              </w:rPr>
              <w:t>Net Proceeds</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8"/>
              </w:rPr>
              <w:t>Realized</w:t>
            </w:r>
          </w:p>
        </w:tc>
        <w:tc>
          <w:tcPr>
            <w:tcW w:w="0" w:type="dxa"/>
            <w:vAlign w:val="bottom"/>
          </w:tcPr>
          <w:p>
            <w:pPr>
              <w:spacing w:after="0"/>
              <w:rPr>
                <w:sz w:val="1"/>
                <w:szCs w:val="1"/>
                <w:color w:val="auto"/>
              </w:rPr>
            </w:pPr>
          </w:p>
        </w:tc>
      </w:tr>
      <w:tr>
        <w:trPr>
          <w:trHeight w:val="176"/>
        </w:trPr>
        <w:tc>
          <w:tcPr>
            <w:tcW w:w="2460" w:type="dxa"/>
            <w:vAlign w:val="bottom"/>
            <w:tcBorders>
              <w:bottom w:val="single" w:sz="8" w:color="auto"/>
            </w:tcBorders>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Borders>
              <w:bottom w:val="single" w:sz="8" w:color="auto"/>
            </w:tcBorders>
            <w:gridSpan w:val="2"/>
          </w:tcPr>
          <w:p>
            <w:pPr>
              <w:jc w:val="center"/>
              <w:spacing w:after="0" w:line="176" w:lineRule="exact"/>
              <w:rPr>
                <w:sz w:val="20"/>
                <w:szCs w:val="20"/>
                <w:color w:val="auto"/>
              </w:rPr>
            </w:pPr>
            <w:r>
              <w:rPr>
                <w:rFonts w:ascii="Arial" w:cs="Arial" w:eastAsia="Arial" w:hAnsi="Arial"/>
                <w:sz w:val="13"/>
                <w:szCs w:val="13"/>
                <w:b w:val="1"/>
                <w:bCs w:val="1"/>
                <w:color w:val="auto"/>
                <w:w w:val="95"/>
              </w:rPr>
              <w:t>Share Price</w:t>
            </w:r>
            <w:r>
              <w:rPr>
                <w:rFonts w:ascii="Arial" w:cs="Arial" w:eastAsia="Arial" w:hAnsi="Arial"/>
                <w:sz w:val="20"/>
                <w:szCs w:val="20"/>
                <w:b w:val="1"/>
                <w:bCs w:val="1"/>
                <w:color w:val="auto"/>
                <w:w w:val="95"/>
                <w:vertAlign w:val="superscript"/>
              </w:rPr>
              <w:t>(1)</w:t>
            </w:r>
          </w:p>
        </w:tc>
        <w:tc>
          <w:tcPr>
            <w:tcW w:w="160" w:type="dxa"/>
            <w:vAlign w:val="bottom"/>
          </w:tcPr>
          <w:p>
            <w:pPr>
              <w:spacing w:after="0"/>
              <w:rPr>
                <w:sz w:val="15"/>
                <w:szCs w:val="15"/>
                <w:color w:val="auto"/>
              </w:rPr>
            </w:pPr>
          </w:p>
        </w:tc>
        <w:tc>
          <w:tcPr>
            <w:tcW w:w="960" w:type="dxa"/>
            <w:vAlign w:val="bottom"/>
            <w:tcBorders>
              <w:bottom w:val="single" w:sz="8" w:color="auto"/>
            </w:tcBorders>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Gain</w:t>
            </w:r>
          </w:p>
        </w:tc>
        <w:tc>
          <w:tcPr>
            <w:tcW w:w="0" w:type="dxa"/>
            <w:vAlign w:val="bottom"/>
          </w:tcPr>
          <w:p>
            <w:pPr>
              <w:spacing w:after="0"/>
              <w:rPr>
                <w:sz w:val="1"/>
                <w:szCs w:val="1"/>
                <w:color w:val="auto"/>
              </w:rPr>
            </w:pPr>
          </w:p>
        </w:tc>
      </w:tr>
      <w:tr>
        <w:trPr>
          <w:trHeight w:val="210"/>
        </w:trPr>
        <w:tc>
          <w:tcPr>
            <w:tcW w:w="2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Lyft, Inc.</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April 15, 2016</w:t>
            </w:r>
          </w:p>
        </w:tc>
        <w:tc>
          <w:tcPr>
            <w:tcW w:w="11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27,582</w:t>
            </w:r>
          </w:p>
        </w:tc>
        <w:tc>
          <w:tcPr>
            <w:tcW w:w="4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24.00</w:t>
            </w:r>
          </w:p>
        </w:tc>
        <w:tc>
          <w:tcPr>
            <w:tcW w:w="3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661,968</w:t>
            </w: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382,078</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60" w:type="dxa"/>
            <w:vAlign w:val="bottom"/>
            <w:gridSpan w:val="3"/>
          </w:tcPr>
          <w:p>
            <w:pPr>
              <w:ind w:left="20"/>
              <w:spacing w:after="0"/>
              <w:rPr>
                <w:sz w:val="20"/>
                <w:szCs w:val="20"/>
                <w:color w:val="auto"/>
              </w:rPr>
            </w:pPr>
            <w:r>
              <w:rPr>
                <w:rFonts w:ascii="Arial" w:cs="Arial" w:eastAsia="Arial" w:hAnsi="Arial"/>
                <w:sz w:val="18"/>
                <w:szCs w:val="18"/>
                <w:color w:val="auto"/>
              </w:rPr>
              <w:t>Totals</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661,968</w:t>
            </w:r>
          </w:p>
        </w:tc>
        <w:tc>
          <w:tcPr>
            <w:tcW w:w="80" w:type="dxa"/>
            <w:vAlign w:val="bottom"/>
          </w:tcPr>
          <w:p>
            <w:pPr>
              <w:spacing w:after="0"/>
              <w:rPr>
                <w:sz w:val="18"/>
                <w:szCs w:val="18"/>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382,078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-359410</wp:posOffset>
            </wp:positionV>
            <wp:extent cx="5213985" cy="1803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2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 The average net share price is the net share price realized after deducting all commissions and fees on the sale(s).</w:t>
      </w:r>
    </w:p>
    <w:p>
      <w:pPr>
        <w:spacing w:after="0" w:line="117" w:lineRule="exact"/>
        <w:rPr>
          <w:sz w:val="20"/>
          <w:szCs w:val="20"/>
          <w:color w:val="auto"/>
        </w:rPr>
      </w:pPr>
    </w:p>
    <w:p>
      <w:pPr>
        <w:ind w:left="60" w:right="639" w:firstLine="270"/>
        <w:spacing w:after="0" w:line="272" w:lineRule="auto"/>
        <w:rPr>
          <w:sz w:val="20"/>
          <w:szCs w:val="20"/>
          <w:color w:val="auto"/>
        </w:rPr>
      </w:pPr>
      <w:r>
        <w:rPr>
          <w:rFonts w:ascii="Arial" w:cs="Arial" w:eastAsia="Arial" w:hAnsi="Arial"/>
          <w:sz w:val="17"/>
          <w:szCs w:val="17"/>
          <w:color w:val="auto"/>
        </w:rPr>
        <w:t>The Company is frequently in negotiations with various private companies with respect to investments in such companies. Investments in private companies are generally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the Company. Equity investments made through the secondary market may involve making deposits in escrow accounts until the applicable closing conditions are satisfied, at which time the escrow accounts will close and such equity investments will be effectuated. From March 31, 2016 through May 10, 2016, the Company made no such escrow deposits.</w:t>
      </w:r>
    </w:p>
    <w:p>
      <w:pPr>
        <w:spacing w:after="0" w:line="200" w:lineRule="exact"/>
        <w:rPr>
          <w:sz w:val="20"/>
          <w:szCs w:val="20"/>
          <w:color w:val="auto"/>
        </w:rPr>
      </w:pPr>
    </w:p>
    <w:p>
      <w:pPr>
        <w:spacing w:after="0" w:line="32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right="2619"/>
        <w:spacing w:after="0" w:line="40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ind w:left="40" w:right="579" w:firstLine="270"/>
        <w:spacing w:after="0" w:line="297" w:lineRule="auto"/>
        <w:rPr>
          <w:sz w:val="20"/>
          <w:szCs w:val="20"/>
          <w:color w:val="auto"/>
        </w:rPr>
      </w:pPr>
      <w:r>
        <w:rPr>
          <w:rFonts w:ascii="Arial" w:cs="Arial" w:eastAsia="Arial" w:hAnsi="Arial"/>
          <w:sz w:val="16"/>
          <w:szCs w:val="16"/>
          <w:color w:val="auto"/>
        </w:rPr>
        <w:t>This quarterly report on Form 10-Q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50" w:lineRule="exact"/>
        <w:rPr>
          <w:sz w:val="20"/>
          <w:szCs w:val="20"/>
          <w:color w:val="auto"/>
        </w:rPr>
      </w:pPr>
    </w:p>
    <w:p>
      <w:pPr>
        <w:ind w:left="40" w:right="959" w:firstLine="270"/>
        <w:spacing w:after="0" w:line="277" w:lineRule="auto"/>
        <w:rPr>
          <w:sz w:val="20"/>
          <w:szCs w:val="20"/>
          <w:color w:val="auto"/>
        </w:rPr>
      </w:pPr>
      <w:r>
        <w:rPr>
          <w:rFonts w:ascii="Arial" w:cs="Arial" w:eastAsia="Arial" w:hAnsi="Arial"/>
          <w:sz w:val="18"/>
          <w:szCs w:val="18"/>
          <w:color w:val="auto"/>
        </w:rPr>
        <w:t>The forward-looking statements contained in this quarterly report on Form 10-Q involve risks and uncertainties, including statements as to:</w:t>
      </w:r>
    </w:p>
    <w:p>
      <w:pPr>
        <w:spacing w:after="0" w:line="62" w:lineRule="exact"/>
        <w:rPr>
          <w:sz w:val="20"/>
          <w:szCs w:val="20"/>
          <w:color w:val="auto"/>
        </w:rPr>
      </w:pPr>
    </w:p>
    <w:p>
      <w:pPr>
        <w:ind w:left="600" w:hanging="322"/>
        <w:spacing w:after="0"/>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dependence of our future success on the general economy and its impact on the industries in which we invest;</w:t>
      </w:r>
    </w:p>
    <w:p>
      <w:pPr>
        <w:spacing w:after="0" w:line="128" w:lineRule="exact"/>
        <w:rPr>
          <w:rFonts w:ascii="Arial" w:cs="Arial" w:eastAsia="Arial" w:hAnsi="Arial"/>
          <w:sz w:val="17"/>
          <w:szCs w:val="17"/>
          <w:color w:val="auto"/>
        </w:rPr>
      </w:pPr>
    </w:p>
    <w:p>
      <w:pPr>
        <w:ind w:left="600" w:hanging="322"/>
        <w:spacing w:after="0"/>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117" w:lineRule="exact"/>
        <w:rPr>
          <w:sz w:val="20"/>
          <w:szCs w:val="20"/>
          <w:color w:val="auto"/>
        </w:rPr>
      </w:pPr>
    </w:p>
    <w:p>
      <w:pPr>
        <w:jc w:val="both"/>
        <w:ind w:left="40" w:right="879" w:firstLine="270"/>
        <w:spacing w:after="0" w:line="264" w:lineRule="auto"/>
        <w:rPr>
          <w:sz w:val="20"/>
          <w:szCs w:val="20"/>
          <w:color w:val="auto"/>
        </w:rPr>
      </w:pPr>
      <w:r>
        <w:rPr>
          <w:rFonts w:ascii="Arial" w:cs="Arial" w:eastAsia="Arial" w:hAnsi="Arial"/>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73" w:lineRule="exact"/>
        <w:rPr>
          <w:sz w:val="20"/>
          <w:szCs w:val="20"/>
          <w:color w:val="auto"/>
        </w:rPr>
      </w:pPr>
    </w:p>
    <w:p>
      <w:pPr>
        <w:ind w:left="600" w:right="639" w:hanging="322"/>
        <w:spacing w:after="0" w:line="277" w:lineRule="auto"/>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ability to continue to operate, which could lead to the loss of some or all of our equity investments in such portfolio companies;</w:t>
      </w:r>
    </w:p>
    <w:p>
      <w:pPr>
        <w:spacing w:after="0" w:line="62" w:lineRule="exact"/>
        <w:rPr>
          <w:rFonts w:ascii="Arial" w:cs="Arial" w:eastAsia="Arial" w:hAnsi="Arial"/>
          <w:sz w:val="18"/>
          <w:szCs w:val="18"/>
          <w:color w:val="auto"/>
        </w:rPr>
      </w:pPr>
    </w:p>
    <w:p>
      <w:pPr>
        <w:ind w:left="600" w:right="639" w:hanging="322"/>
        <w:spacing w:after="0" w:line="277" w:lineRule="auto"/>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economic downturn could disproportionately impact the market sectors in which a significant portion of our portfolio is concentrated, causing us to suffer losses in our portfolio;</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inability to access the equity markets could impair our investment activities;</w:t>
      </w:r>
    </w:p>
    <w:p>
      <w:pPr>
        <w:spacing w:after="0" w:line="117" w:lineRule="exact"/>
        <w:rPr>
          <w:rFonts w:ascii="Arial" w:cs="Arial" w:eastAsia="Arial" w:hAnsi="Arial"/>
          <w:sz w:val="18"/>
          <w:szCs w:val="18"/>
          <w:color w:val="auto"/>
        </w:rPr>
      </w:pPr>
    </w:p>
    <w:p>
      <w:pPr>
        <w:ind w:left="600" w:right="939" w:hanging="322"/>
        <w:spacing w:after="0" w:line="277" w:lineRule="auto"/>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interest rate volatility could adversely affect our results, particularly because we use leverage as part of our investment strategy; and</w:t>
      </w:r>
    </w:p>
    <w:p>
      <w:pPr>
        <w:spacing w:after="0" w:line="62" w:lineRule="exact"/>
        <w:rPr>
          <w:rFonts w:ascii="Arial" w:cs="Arial" w:eastAsia="Arial" w:hAnsi="Arial"/>
          <w:sz w:val="18"/>
          <w:szCs w:val="18"/>
          <w:color w:val="auto"/>
        </w:rPr>
      </w:pPr>
    </w:p>
    <w:p>
      <w:pPr>
        <w:ind w:left="600" w:right="639" w:hanging="322"/>
        <w:spacing w:after="0" w:line="277" w:lineRule="auto"/>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“Risk Factors” in our annual report on Form 10-K and in our filings with the SEC.</w:t>
      </w:r>
    </w:p>
    <w:p>
      <w:pPr>
        <w:spacing w:after="0" w:line="62"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color w:val="auto"/>
        </w:rPr>
        <w:t>Although we believe the assumptions on which these forward-looking statements are based are reasonable, any of those assumptions could prove to be inaccurate, and as a result, the forward-looking statements based on those assumptions also could be inaccurate.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our annual report on Form 10-K, in the “Risk Factors” section. You should not place undue reliance on these forward-looking statements, which apply only as of the date of this quarterly report on Form 10-Q.</w:t>
      </w:r>
    </w:p>
    <w:p>
      <w:pPr>
        <w:spacing w:after="0" w:line="200" w:lineRule="exact"/>
        <w:rPr>
          <w:sz w:val="20"/>
          <w:szCs w:val="20"/>
          <w:color w:val="auto"/>
        </w:rPr>
      </w:pPr>
    </w:p>
    <w:p>
      <w:pPr>
        <w:spacing w:after="0" w:line="32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799" w:firstLine="270"/>
        <w:spacing w:after="0" w:line="342" w:lineRule="auto"/>
        <w:rPr>
          <w:sz w:val="20"/>
          <w:szCs w:val="20"/>
          <w:color w:val="auto"/>
        </w:rPr>
      </w:pPr>
      <w:r>
        <w:rPr>
          <w:rFonts w:ascii="Arial" w:cs="Arial" w:eastAsia="Arial" w:hAnsi="Arial"/>
          <w:sz w:val="16"/>
          <w:szCs w:val="16"/>
          <w:color w:val="auto"/>
        </w:rPr>
        <w:t>The following analysis of our financial condition and results of operations should be read in conjunction with our condensed consolidated financial statements and the related notes thereto contained elsewhere in this quarterly report on Form 10-Q.</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40" w:right="539" w:firstLine="270"/>
        <w:spacing w:after="0" w:line="268" w:lineRule="auto"/>
        <w:rPr>
          <w:sz w:val="20"/>
          <w:szCs w:val="20"/>
          <w:color w:val="auto"/>
        </w:rPr>
      </w:pPr>
      <w:r>
        <w:rPr>
          <w:rFonts w:ascii="Arial" w:cs="Arial" w:eastAsia="Arial" w:hAnsi="Arial"/>
          <w:sz w:val="17"/>
          <w:szCs w:val="17"/>
          <w:color w:val="auto"/>
        </w:rPr>
        <w:t>We are an externally managed, non-diversified closed-end management investment company that has elected to be regulated as a business development company under the Investment Company Act of 1940, as amended (the “1940 Act”). Our investment objective is to maximize our portfolio’s total return, principally by seeking capital gains on our equity and equity-related investments. We invest principally in the equity securities of what we believe to be rapidly growing venture-capital-backed emerging companies. We have also invested, on an opportunistic basis, in select publicly traded equity securities of rapidly growing companies that otherwise meet our investment criteria, and may continue to do so in the future. In addition, while we invest primarily in U.S. companies, we may invest on an opportunistic basis in certain non-U.S. companies that otherwise meet our investment criteria. In regards to the regulatory requirements for business development companies under the 1940 Act, some of these investments may not qualify as investments in “eligible portfolio companies,” and thus may not be considered “qualifying assets.” “Eligible portfolio companies” generally include U.S. companies that are not investment companies and that do not have securities listed on a national exchange. If at any time less than 70% of our gross assets are comprised of qualifying assets, including as a result of an increase in the value of any non-qualifying assets or decrease in the value of any qualifying assets, we would generally not be permitted to acquire any additional non-qualifying assets until such time as 70% of our then-current gross assets were comprised of qualifying assets. We would not be required, however, to dispose of any non-qualifying assets in such circumstances.</w:t>
      </w:r>
    </w:p>
    <w:p>
      <w:pPr>
        <w:spacing w:after="0" w:line="75" w:lineRule="exact"/>
        <w:rPr>
          <w:sz w:val="20"/>
          <w:szCs w:val="20"/>
          <w:color w:val="auto"/>
        </w:rPr>
      </w:pPr>
    </w:p>
    <w:p>
      <w:pPr>
        <w:ind w:left="40" w:right="679" w:firstLine="270"/>
        <w:spacing w:after="0" w:line="286" w:lineRule="auto"/>
        <w:rPr>
          <w:sz w:val="20"/>
          <w:szCs w:val="20"/>
          <w:color w:val="auto"/>
        </w:rPr>
      </w:pPr>
      <w:r>
        <w:rPr>
          <w:rFonts w:ascii="Arial" w:cs="Arial" w:eastAsia="Arial" w:hAnsi="Arial"/>
          <w:sz w:val="17"/>
          <w:szCs w:val="17"/>
          <w:color w:val="auto"/>
        </w:rPr>
        <w:t>We acquire our investments through direct investments with prospective portfolio companies, secondary marketplaces for private companies and negotiations with selling stockholders. Our investment activities are managed by GSV Asset Management. GSV Capital Service Company provides the administrative services necessary for us to operate.</w:t>
      </w:r>
    </w:p>
    <w:p>
      <w:pPr>
        <w:spacing w:after="0" w:line="57" w:lineRule="exact"/>
        <w:rPr>
          <w:sz w:val="20"/>
          <w:szCs w:val="20"/>
          <w:color w:val="auto"/>
        </w:rPr>
      </w:pPr>
    </w:p>
    <w:p>
      <w:pPr>
        <w:ind w:left="40" w:right="579" w:firstLine="270"/>
        <w:spacing w:after="0" w:line="272" w:lineRule="auto"/>
        <w:rPr>
          <w:sz w:val="20"/>
          <w:szCs w:val="20"/>
          <w:color w:val="auto"/>
        </w:rPr>
      </w:pPr>
      <w:r>
        <w:rPr>
          <w:rFonts w:ascii="Arial" w:cs="Arial" w:eastAsia="Arial" w:hAnsi="Arial"/>
          <w:sz w:val="17"/>
          <w:szCs w:val="17"/>
          <w:color w:val="auto"/>
        </w:rPr>
        <w:t>Our investment philosophy is premised on a disciplined approach of identifying high-growth emerging companies across several key industry themes which may include, among others, social mobile, cloud computing and big data, internet commerce, sustainability and education technology. GSV Asset Management’s investment decisions are based on a disciplined analysis of available information regarding each potential portfolio company’s business operations, focusing on the company’s growth potential, the quality of recurring revenues and cash flow and cost structures, as well as an understanding of key market fundamentals. Many of the companies that our investment adviser, GSV Asset Management, evaluates have financial backing from top-tier venture capital funds or other financial or strategic sponsors.</w:t>
      </w:r>
    </w:p>
    <w:p>
      <w:pPr>
        <w:spacing w:after="0" w:line="70" w:lineRule="exact"/>
        <w:rPr>
          <w:sz w:val="20"/>
          <w:szCs w:val="20"/>
          <w:color w:val="auto"/>
        </w:rPr>
      </w:pPr>
    </w:p>
    <w:p>
      <w:pPr>
        <w:ind w:left="40" w:right="519" w:firstLine="270"/>
        <w:spacing w:after="0" w:line="273" w:lineRule="auto"/>
        <w:rPr>
          <w:sz w:val="20"/>
          <w:szCs w:val="20"/>
          <w:color w:val="auto"/>
        </w:rPr>
      </w:pPr>
      <w:r>
        <w:rPr>
          <w:rFonts w:ascii="Arial" w:cs="Arial" w:eastAsia="Arial" w:hAnsi="Arial"/>
          <w:sz w:val="17"/>
          <w:szCs w:val="17"/>
          <w:color w:val="auto"/>
        </w:rPr>
        <w:t>We seek to deploy capital primarily in the form of non-controlling equity and equity-related investments, including common stock, warrants, preferred stock and similar forms of senior equity, which may or may not be convertible into a portfolio company’s common equity, and convertible debt securities with a significant equity component. Typically, our preferred stock investments are non-income producing, have different voting rights than common stock and are generally convertible into common stock at our discretion. Our investments generally do not produce current income and therefore we may be dependent on future capital raising to meet our operating needs if no other source of liquidity is available.</w:t>
      </w:r>
    </w:p>
    <w:p>
      <w:pPr>
        <w:spacing w:after="0" w:line="200" w:lineRule="exact"/>
        <w:rPr>
          <w:sz w:val="20"/>
          <w:szCs w:val="20"/>
          <w:color w:val="auto"/>
        </w:rPr>
      </w:pPr>
    </w:p>
    <w:p>
      <w:pPr>
        <w:spacing w:after="0" w:line="33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3" w:name="page44"/>
    <w:bookmarkEnd w:id="43"/>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Investments — (Portfolio Activity)</w:t>
      </w:r>
    </w:p>
    <w:p>
      <w:pPr>
        <w:spacing w:after="0" w:line="117" w:lineRule="exact"/>
        <w:rPr>
          <w:sz w:val="20"/>
          <w:szCs w:val="20"/>
          <w:color w:val="auto"/>
        </w:rPr>
      </w:pPr>
    </w:p>
    <w:p>
      <w:pPr>
        <w:ind w:left="60" w:right="699" w:firstLine="270"/>
        <w:spacing w:after="0" w:line="272" w:lineRule="auto"/>
        <w:rPr>
          <w:sz w:val="20"/>
          <w:szCs w:val="20"/>
          <w:color w:val="auto"/>
        </w:rPr>
      </w:pPr>
      <w:r>
        <w:rPr>
          <w:rFonts w:ascii="Arial" w:cs="Arial" w:eastAsia="Arial" w:hAnsi="Arial"/>
          <w:sz w:val="17"/>
          <w:szCs w:val="17"/>
          <w:color w:val="auto"/>
        </w:rPr>
        <w:t>The value of our investment portfolio will change over time due to changes in the fair value of our underlying investments, as well as changes in the composition of our portfolio resulting from purchases of new and follow-on investments as well as sales of existing investments. The fair value, as of March 31, 2016, of all of our portfolio investments, excluding U.S. Treasury Bills and Strips, was $325,288,396. The following table summarizes the investment purchases we funded during the three months ended March 31, 2016. “Total Gross Payments” include both the actual cost of an investment, as well as capitalized costs (such as legal and other fees) associated with entering into a portfolio company investment. Refer to “Note 1 — Nature of Operations and Significant Accounting Policies” for further detail.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10795</wp:posOffset>
            </wp:positionV>
            <wp:extent cx="520573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Quarter ended</w:t>
            </w:r>
          </w:p>
        </w:tc>
        <w:tc>
          <w:tcPr>
            <w:tcW w:w="0" w:type="dxa"/>
            <w:vAlign w:val="bottom"/>
          </w:tcPr>
          <w:p>
            <w:pPr>
              <w:spacing w:after="0"/>
              <w:rPr>
                <w:sz w:val="1"/>
                <w:szCs w:val="1"/>
                <w:color w:val="auto"/>
              </w:rPr>
            </w:pPr>
          </w:p>
        </w:tc>
      </w:tr>
      <w:tr>
        <w:trPr>
          <w:trHeight w:val="149"/>
        </w:trPr>
        <w:tc>
          <w:tcPr>
            <w:tcW w:w="7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Fundings by Portfolio Company (Industry)</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71"/>
        </w:trPr>
        <w:tc>
          <w:tcPr>
            <w:tcW w:w="708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Curious.com Inc. (Online Education)</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2,000,003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20"/>
              <w:spacing w:after="0"/>
              <w:rPr>
                <w:sz w:val="20"/>
                <w:szCs w:val="20"/>
                <w:color w:val="auto"/>
              </w:rPr>
            </w:pPr>
            <w:r>
              <w:rPr>
                <w:rFonts w:ascii="Arial" w:cs="Arial" w:eastAsia="Arial" w:hAnsi="Arial"/>
                <w:sz w:val="18"/>
                <w:szCs w:val="18"/>
                <w:color w:val="auto"/>
              </w:rPr>
              <w:t>Fullbridge, Inc. (Business Education)</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Lytro Inc. (Light Field Imaging Platform)</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2,500,001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20"/>
              <w:spacing w:after="0"/>
              <w:rPr>
                <w:sz w:val="20"/>
                <w:szCs w:val="20"/>
                <w:color w:val="auto"/>
              </w:rPr>
            </w:pPr>
            <w:r>
              <w:rPr>
                <w:rFonts w:ascii="Arial" w:cs="Arial" w:eastAsia="Arial" w:hAnsi="Arial"/>
                <w:sz w:val="18"/>
                <w:szCs w:val="18"/>
                <w:color w:val="auto"/>
              </w:rPr>
              <w:t>NestGSV, Inc. (d/b/a GSV Labs, Inc.) (Incubator)</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Capitalized Fees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5,947</w:t>
            </w:r>
          </w:p>
        </w:tc>
        <w:tc>
          <w:tcPr>
            <w:tcW w:w="0" w:type="dxa"/>
            <w:vAlign w:val="bottom"/>
          </w:tcPr>
          <w:p>
            <w:pPr>
              <w:spacing w:after="0"/>
              <w:rPr>
                <w:sz w:val="1"/>
                <w:szCs w:val="1"/>
                <w:color w:val="auto"/>
              </w:rPr>
            </w:pPr>
          </w:p>
        </w:tc>
      </w:tr>
      <w:tr>
        <w:trPr>
          <w:trHeight w:val="20"/>
        </w:trPr>
        <w:tc>
          <w:tcPr>
            <w:tcW w:w="70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80" w:type="dxa"/>
            <w:vAlign w:val="bottom"/>
          </w:tcPr>
          <w:p>
            <w:pPr>
              <w:ind w:left="20"/>
              <w:spacing w:after="0"/>
              <w:rPr>
                <w:sz w:val="20"/>
                <w:szCs w:val="20"/>
                <w:color w:val="auto"/>
              </w:rPr>
            </w:pPr>
            <w:r>
              <w:rPr>
                <w:rFonts w:ascii="Arial" w:cs="Arial" w:eastAsia="Arial" w:hAnsi="Arial"/>
                <w:sz w:val="18"/>
                <w:szCs w:val="18"/>
                <w:color w:val="auto"/>
              </w:rPr>
              <w:t>Total Gross Payments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6,005,951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-153670</wp:posOffset>
            </wp:positionV>
            <wp:extent cx="5213985" cy="1543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213985" cy="154305"/>
                    </a:xfrm>
                    <a:prstGeom prst="rect">
                      <a:avLst/>
                    </a:prstGeom>
                    <a:noFill/>
                  </pic:spPr>
                </pic:pic>
              </a:graphicData>
            </a:graphic>
          </wp:anchor>
        </w:drawing>
      </w:r>
    </w:p>
    <w:p>
      <w:pPr>
        <w:spacing w:after="0" w:line="74" w:lineRule="exact"/>
        <w:rPr>
          <w:sz w:val="20"/>
          <w:szCs w:val="20"/>
          <w:color w:val="auto"/>
        </w:rPr>
      </w:pPr>
    </w:p>
    <w:p>
      <w:pPr>
        <w:ind w:left="60" w:right="1019" w:firstLine="270"/>
        <w:spacing w:after="0" w:line="277" w:lineRule="auto"/>
        <w:rPr>
          <w:sz w:val="20"/>
          <w:szCs w:val="20"/>
          <w:color w:val="auto"/>
        </w:rPr>
      </w:pPr>
      <w:r>
        <w:rPr>
          <w:rFonts w:ascii="Arial" w:cs="Arial" w:eastAsia="Arial" w:hAnsi="Arial"/>
          <w:sz w:val="18"/>
          <w:szCs w:val="18"/>
          <w:color w:val="auto"/>
        </w:rPr>
        <w:t>The tables below summarize the portfolio investments we sold during the three months ended March 31, 2016, and 2015,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17144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71440"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Realized</w:t>
            </w:r>
          </w:p>
        </w:tc>
      </w:tr>
      <w:tr>
        <w:trPr>
          <w:trHeight w:val="172"/>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7"/>
              </w:rPr>
              <w:t>Average Net</w:t>
            </w:r>
          </w:p>
        </w:tc>
        <w:tc>
          <w:tcPr>
            <w:tcW w:w="1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7"/>
              </w:rPr>
              <w:t>Net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Gains/</w:t>
            </w:r>
          </w:p>
        </w:tc>
      </w:tr>
      <w:tr>
        <w:trPr>
          <w:trHeight w:val="188"/>
        </w:trPr>
        <w:tc>
          <w:tcPr>
            <w:tcW w:w="24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Sales by Portfolio Company</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Quarter Ended</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88"/>
              </w:rPr>
              <w:t>Shares Sold</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Borders>
              <w:bottom w:val="single" w:sz="8" w:color="auto"/>
            </w:tcBorders>
            <w:gridSpan w:val="3"/>
          </w:tcPr>
          <w:p>
            <w:pPr>
              <w:ind w:left="20"/>
              <w:spacing w:after="0" w:line="188" w:lineRule="exact"/>
              <w:rPr>
                <w:sz w:val="20"/>
                <w:szCs w:val="20"/>
                <w:color w:val="auto"/>
              </w:rPr>
            </w:pPr>
            <w:r>
              <w:rPr>
                <w:rFonts w:ascii="Arial" w:cs="Arial" w:eastAsia="Arial" w:hAnsi="Arial"/>
                <w:sz w:val="13"/>
                <w:szCs w:val="13"/>
                <w:b w:val="1"/>
                <w:bCs w:val="1"/>
                <w:color w:val="auto"/>
                <w:w w:val="94"/>
              </w:rPr>
              <w:t>Share Price</w:t>
            </w:r>
            <w:r>
              <w:rPr>
                <w:rFonts w:ascii="Arial" w:cs="Arial" w:eastAsia="Arial" w:hAnsi="Arial"/>
                <w:sz w:val="21"/>
                <w:szCs w:val="21"/>
                <w:b w:val="1"/>
                <w:bCs w:val="1"/>
                <w:color w:val="auto"/>
                <w:w w:val="94"/>
                <w:vertAlign w:val="superscript"/>
              </w:rPr>
              <w:t>(1)</w:t>
            </w:r>
          </w:p>
        </w:tc>
        <w:tc>
          <w:tcPr>
            <w:tcW w:w="16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Proceeds</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140"/>
              <w:spacing w:after="0" w:line="188" w:lineRule="exact"/>
              <w:rPr>
                <w:sz w:val="20"/>
                <w:szCs w:val="20"/>
                <w:color w:val="auto"/>
              </w:rPr>
            </w:pPr>
            <w:r>
              <w:rPr>
                <w:rFonts w:ascii="Arial" w:cs="Arial" w:eastAsia="Arial" w:hAnsi="Arial"/>
                <w:sz w:val="13"/>
                <w:szCs w:val="13"/>
                <w:b w:val="1"/>
                <w:bCs w:val="1"/>
                <w:color w:val="auto"/>
                <w:w w:val="90"/>
              </w:rPr>
              <w:t>(Losses)</w:t>
            </w:r>
            <w:r>
              <w:rPr>
                <w:rFonts w:ascii="Arial" w:cs="Arial" w:eastAsia="Arial" w:hAnsi="Arial"/>
                <w:sz w:val="21"/>
                <w:szCs w:val="21"/>
                <w:b w:val="1"/>
                <w:bCs w:val="1"/>
                <w:color w:val="auto"/>
                <w:w w:val="90"/>
                <w:vertAlign w:val="superscript"/>
              </w:rPr>
              <w:t>(2)</w:t>
            </w:r>
          </w:p>
        </w:tc>
      </w:tr>
      <w:tr>
        <w:trPr>
          <w:trHeight w:val="210"/>
        </w:trPr>
        <w:tc>
          <w:tcPr>
            <w:tcW w:w="24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Bloom Energy Corporation</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March 31, 2016</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201,589</w:t>
            </w:r>
          </w:p>
        </w:tc>
        <w:tc>
          <w:tcPr>
            <w:tcW w:w="40" w:type="dxa"/>
            <w:vAlign w:val="bottom"/>
            <w:shd w:val="clear" w:color="auto" w:fill="CCEEFF"/>
          </w:tcPr>
          <w:p>
            <w:pPr>
              <w:spacing w:after="0"/>
              <w:rPr>
                <w:sz w:val="18"/>
                <w:szCs w:val="18"/>
                <w:color w:val="auto"/>
              </w:rPr>
            </w:pPr>
          </w:p>
        </w:tc>
        <w:tc>
          <w:tcPr>
            <w:tcW w:w="3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$ 2,973,437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(882,162)</w:t>
            </w:r>
          </w:p>
        </w:tc>
      </w:tr>
      <w:tr>
        <w:trPr>
          <w:trHeight w:val="257"/>
        </w:trPr>
        <w:tc>
          <w:tcPr>
            <w:tcW w:w="2480" w:type="dxa"/>
            <w:vAlign w:val="bottom"/>
            <w:gridSpan w:val="4"/>
          </w:tcPr>
          <w:p>
            <w:pPr>
              <w:ind w:left="20"/>
              <w:spacing w:after="0" w:line="256" w:lineRule="exact"/>
              <w:rPr>
                <w:sz w:val="20"/>
                <w:szCs w:val="20"/>
                <w:color w:val="auto"/>
              </w:rPr>
            </w:pPr>
            <w:r>
              <w:rPr>
                <w:rFonts w:ascii="Arial" w:cs="Arial" w:eastAsia="Arial" w:hAnsi="Arial"/>
                <w:sz w:val="18"/>
                <w:szCs w:val="18"/>
                <w:color w:val="auto"/>
              </w:rPr>
              <w:t>Gilt Groupe Holdings, Inc.</w:t>
            </w:r>
            <w:r>
              <w:rPr>
                <w:rFonts w:ascii="Arial" w:cs="Arial" w:eastAsia="Arial" w:hAnsi="Arial"/>
                <w:sz w:val="29"/>
                <w:szCs w:val="29"/>
                <w:color w:val="auto"/>
                <w:vertAlign w:val="superscript"/>
              </w:rPr>
              <w:t>(3)</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color w:val="auto"/>
                <w:w w:val="91"/>
              </w:rPr>
              <w:t>March 31, 2016</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248,600</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1.72</w:t>
            </w:r>
          </w:p>
        </w:tc>
        <w:tc>
          <w:tcPr>
            <w:tcW w:w="6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427,270</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(6,167,164)</w:t>
            </w:r>
          </w:p>
        </w:tc>
      </w:tr>
      <w:tr>
        <w:trPr>
          <w:trHeight w:val="216"/>
        </w:trPr>
        <w:tc>
          <w:tcPr>
            <w:tcW w:w="24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Lyft, Inc.</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March 31, 2016</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65,557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1,638,925</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974,224</w:t>
            </w:r>
          </w:p>
        </w:tc>
        <w:tc>
          <w:tcPr>
            <w:tcW w:w="80" w:type="dxa"/>
            <w:vAlign w:val="bottom"/>
            <w:shd w:val="clear" w:color="auto" w:fill="CCEEFF"/>
          </w:tcPr>
          <w:p>
            <w:pPr>
              <w:spacing w:after="0"/>
              <w:rPr>
                <w:sz w:val="18"/>
                <w:szCs w:val="18"/>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2480" w:type="dxa"/>
            <w:vAlign w:val="bottom"/>
            <w:gridSpan w:val="4"/>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$ 5,039,632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(6,075,102)</w:t>
            </w: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Average Net</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Realized</w:t>
            </w:r>
          </w:p>
        </w:tc>
      </w:tr>
      <w:tr>
        <w:trPr>
          <w:trHeight w:val="202"/>
        </w:trPr>
        <w:tc>
          <w:tcPr>
            <w:tcW w:w="24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Sales by Portfolio Company</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Quarter Ended</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Shares Sold</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Borders>
              <w:bottom w:val="single" w:sz="8" w:color="auto"/>
            </w:tcBorders>
            <w:gridSpan w:val="3"/>
          </w:tcPr>
          <w:p>
            <w:pPr>
              <w:jc w:val="right"/>
              <w:spacing w:after="0" w:line="202" w:lineRule="exact"/>
              <w:rPr>
                <w:sz w:val="20"/>
                <w:szCs w:val="20"/>
                <w:color w:val="auto"/>
              </w:rPr>
            </w:pPr>
            <w:r>
              <w:rPr>
                <w:rFonts w:ascii="Arial" w:cs="Arial" w:eastAsia="Arial" w:hAnsi="Arial"/>
                <w:sz w:val="14"/>
                <w:szCs w:val="14"/>
                <w:b w:val="1"/>
                <w:bCs w:val="1"/>
                <w:color w:val="auto"/>
                <w:w w:val="87"/>
              </w:rPr>
              <w:t>Share Price</w:t>
            </w:r>
            <w:r>
              <w:rPr>
                <w:rFonts w:ascii="Arial" w:cs="Arial" w:eastAsia="Arial" w:hAnsi="Arial"/>
                <w:sz w:val="23"/>
                <w:szCs w:val="23"/>
                <w:b w:val="1"/>
                <w:bCs w:val="1"/>
                <w:color w:val="auto"/>
                <w:w w:val="87"/>
                <w:vertAlign w:val="superscript"/>
              </w:rPr>
              <w:t>(1)</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Net Proceeds</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center"/>
              <w:ind w:right="120"/>
              <w:spacing w:after="0" w:line="202" w:lineRule="exact"/>
              <w:rPr>
                <w:sz w:val="20"/>
                <w:szCs w:val="20"/>
                <w:color w:val="auto"/>
              </w:rPr>
            </w:pPr>
            <w:r>
              <w:rPr>
                <w:rFonts w:ascii="Arial" w:cs="Arial" w:eastAsia="Arial" w:hAnsi="Arial"/>
                <w:sz w:val="14"/>
                <w:szCs w:val="14"/>
                <w:b w:val="1"/>
                <w:bCs w:val="1"/>
                <w:color w:val="auto"/>
                <w:w w:val="86"/>
              </w:rPr>
              <w:t>Gains</w:t>
            </w:r>
            <w:r>
              <w:rPr>
                <w:rFonts w:ascii="Arial" w:cs="Arial" w:eastAsia="Arial" w:hAnsi="Arial"/>
                <w:sz w:val="23"/>
                <w:szCs w:val="23"/>
                <w:b w:val="1"/>
                <w:bCs w:val="1"/>
                <w:color w:val="auto"/>
                <w:w w:val="86"/>
                <w:vertAlign w:val="superscript"/>
              </w:rPr>
              <w:t>(2)</w:t>
            </w:r>
          </w:p>
        </w:tc>
      </w:tr>
      <w:tr>
        <w:trPr>
          <w:trHeight w:val="210"/>
        </w:trPr>
        <w:tc>
          <w:tcPr>
            <w:tcW w:w="24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Twitter, Inc.</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1"/>
              </w:rPr>
              <w:t>March 31, 2015</w:t>
            </w:r>
          </w:p>
        </w:tc>
        <w:tc>
          <w:tcPr>
            <w:tcW w:w="90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400,000</w:t>
            </w:r>
          </w:p>
        </w:tc>
        <w:tc>
          <w:tcPr>
            <w:tcW w:w="4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48.90</w:t>
            </w:r>
          </w:p>
        </w:tc>
        <w:tc>
          <w:tcPr>
            <w:tcW w:w="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1"/>
              </w:rPr>
              <w:t>$ 19,558,200</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13,220,095</w:t>
            </w: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2480" w:type="dxa"/>
            <w:vAlign w:val="bottom"/>
            <w:gridSpan w:val="4"/>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1"/>
              </w:rPr>
              <w:t>$ 19,558,200</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13,220,095</w:t>
            </w: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71"/>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-1011555</wp:posOffset>
            </wp:positionV>
            <wp:extent cx="5213985" cy="1803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-368300</wp:posOffset>
            </wp:positionV>
            <wp:extent cx="5213985" cy="1803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-805815</wp:posOffset>
            </wp:positionV>
            <wp:extent cx="518858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236" w:lineRule="exact"/>
        <w:rPr>
          <w:sz w:val="20"/>
          <w:szCs w:val="20"/>
          <w:color w:val="auto"/>
        </w:rPr>
      </w:pPr>
    </w:p>
    <w:p>
      <w:pPr>
        <w:ind w:left="300" w:hanging="272"/>
        <w:spacing w:after="0"/>
        <w:tabs>
          <w:tab w:leader="none" w:pos="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average net share price is the net share price realized after deducting all commissions and fees on the sale(s).</w:t>
      </w:r>
    </w:p>
    <w:p>
      <w:pPr>
        <w:spacing w:after="0" w:line="128" w:lineRule="exact"/>
        <w:rPr>
          <w:rFonts w:ascii="Arial" w:cs="Arial" w:eastAsia="Arial" w:hAnsi="Arial"/>
          <w:sz w:val="17"/>
          <w:szCs w:val="17"/>
          <w:color w:val="auto"/>
        </w:rPr>
      </w:pPr>
    </w:p>
    <w:p>
      <w:pPr>
        <w:ind w:left="300" w:hanging="272"/>
        <w:spacing w:after="0"/>
        <w:tabs>
          <w:tab w:leader="none" w:pos="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Realized gains/(losses) exclude any realized gains/(losses) incurred on the maturity of our treasury investments.</w:t>
      </w:r>
    </w:p>
    <w:p>
      <w:pPr>
        <w:spacing w:after="0" w:line="117" w:lineRule="exact"/>
        <w:rPr>
          <w:rFonts w:ascii="Arial" w:cs="Arial" w:eastAsia="Arial" w:hAnsi="Arial"/>
          <w:sz w:val="18"/>
          <w:szCs w:val="18"/>
          <w:color w:val="auto"/>
        </w:rPr>
      </w:pPr>
    </w:p>
    <w:p>
      <w:pPr>
        <w:ind w:left="300" w:right="1019" w:hanging="272"/>
        <w:spacing w:after="0" w:line="277" w:lineRule="auto"/>
        <w:tabs>
          <w:tab w:leader="none" w:pos="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January 2016, Gilt Groupe Holdings, Inc. sold for $250 million to Hudson’s Bay Co., the parent company of Saks Fifth Avenue.</w:t>
      </w:r>
    </w:p>
    <w:p>
      <w:pPr>
        <w:spacing w:after="0" w:line="200" w:lineRule="exact"/>
        <w:rPr>
          <w:sz w:val="20"/>
          <w:szCs w:val="20"/>
          <w:color w:val="auto"/>
        </w:rPr>
      </w:pPr>
    </w:p>
    <w:p>
      <w:pPr>
        <w:spacing w:after="0" w:line="30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Results of Operations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For the three months ended March 31, 2016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23495</wp:posOffset>
            </wp:positionV>
            <wp:extent cx="444246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44246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118110</wp:posOffset>
            </wp:positionV>
            <wp:extent cx="444246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442460" cy="889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7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4"/>
          </w:tcPr>
          <w:p>
            <w:pPr>
              <w:jc w:val="right"/>
              <w:ind w:right="349"/>
              <w:spacing w:after="0"/>
              <w:rPr>
                <w:sz w:val="20"/>
                <w:szCs w:val="20"/>
                <w:color w:val="auto"/>
              </w:rPr>
            </w:pPr>
            <w:r>
              <w:rPr>
                <w:rFonts w:ascii="Arial" w:cs="Arial" w:eastAsia="Arial" w:hAnsi="Arial"/>
                <w:sz w:val="13"/>
                <w:szCs w:val="13"/>
                <w:b w:val="1"/>
                <w:bCs w:val="1"/>
                <w:color w:val="auto"/>
              </w:rPr>
              <w:t>March 31, 2016</w:t>
            </w: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4"/>
          </w:tcPr>
          <w:p>
            <w:pPr>
              <w:jc w:val="right"/>
              <w:ind w:right="309"/>
              <w:spacing w:after="0"/>
              <w:rPr>
                <w:sz w:val="20"/>
                <w:szCs w:val="20"/>
                <w:color w:val="auto"/>
              </w:rPr>
            </w:pPr>
            <w:r>
              <w:rPr>
                <w:rFonts w:ascii="Arial" w:cs="Arial" w:eastAsia="Arial" w:hAnsi="Arial"/>
                <w:sz w:val="13"/>
                <w:szCs w:val="13"/>
                <w:b w:val="1"/>
                <w:bCs w:val="1"/>
                <w:color w:val="auto"/>
              </w:rPr>
              <w:t>March 31, 2015</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ind w:right="29"/>
              <w:spacing w:after="0" w:line="118" w:lineRule="exact"/>
              <w:rPr>
                <w:sz w:val="20"/>
                <w:szCs w:val="20"/>
                <w:color w:val="auto"/>
              </w:rPr>
            </w:pPr>
            <w:r>
              <w:rPr>
                <w:rFonts w:ascii="Arial" w:cs="Arial" w:eastAsia="Arial" w:hAnsi="Arial"/>
                <w:sz w:val="13"/>
                <w:szCs w:val="13"/>
                <w:b w:val="1"/>
                <w:bCs w:val="1"/>
                <w:color w:val="auto"/>
                <w:w w:val="84"/>
              </w:rPr>
              <w:t>Per Basic</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ind w:right="9"/>
              <w:spacing w:after="0" w:line="118" w:lineRule="exact"/>
              <w:rPr>
                <w:sz w:val="20"/>
                <w:szCs w:val="20"/>
                <w:color w:val="auto"/>
              </w:rPr>
            </w:pPr>
            <w:r>
              <w:rPr>
                <w:rFonts w:ascii="Arial" w:cs="Arial" w:eastAsia="Arial" w:hAnsi="Arial"/>
                <w:sz w:val="13"/>
                <w:szCs w:val="13"/>
                <w:b w:val="1"/>
                <w:bCs w:val="1"/>
                <w:color w:val="auto"/>
                <w:w w:val="80"/>
              </w:rPr>
              <w:t>Per Basic</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2700" w:type="dxa"/>
            <w:vAlign w:val="bottom"/>
            <w:vMerge w:val="restart"/>
          </w:tcPr>
          <w:p>
            <w:pPr>
              <w:spacing w:after="0"/>
              <w:rPr>
                <w:sz w:val="20"/>
                <w:szCs w:val="20"/>
                <w:color w:val="auto"/>
              </w:rPr>
            </w:pPr>
            <w:r>
              <w:rPr>
                <w:rFonts w:ascii="Arial" w:cs="Arial" w:eastAsia="Arial" w:hAnsi="Arial"/>
                <w:sz w:val="14"/>
                <w:szCs w:val="14"/>
                <w:b w:val="1"/>
                <w:bCs w:val="1"/>
                <w:color w:val="auto"/>
              </w:rPr>
              <w:t>Total Investment Income</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69"/>
              <w:spacing w:after="0" w:line="186" w:lineRule="exact"/>
              <w:rPr>
                <w:sz w:val="20"/>
                <w:szCs w:val="20"/>
                <w:color w:val="auto"/>
              </w:rPr>
            </w:pPr>
            <w:r>
              <w:rPr>
                <w:rFonts w:ascii="Arial" w:cs="Arial" w:eastAsia="Arial" w:hAnsi="Arial"/>
                <w:sz w:val="13"/>
                <w:szCs w:val="13"/>
                <w:b w:val="1"/>
                <w:bCs w:val="1"/>
                <w:color w:val="auto"/>
                <w:w w:val="87"/>
              </w:rPr>
              <w:t>Share</w:t>
            </w:r>
            <w:r>
              <w:rPr>
                <w:rFonts w:ascii="Arial" w:cs="Arial" w:eastAsia="Arial" w:hAnsi="Arial"/>
                <w:sz w:val="20"/>
                <w:szCs w:val="20"/>
                <w:b w:val="1"/>
                <w:bCs w:val="1"/>
                <w:color w:val="auto"/>
                <w:w w:val="87"/>
                <w:vertAlign w:val="superscript"/>
              </w:rPr>
              <w:t>(1)</w:t>
            </w: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29"/>
              <w:spacing w:after="0" w:line="186" w:lineRule="exact"/>
              <w:rPr>
                <w:sz w:val="20"/>
                <w:szCs w:val="20"/>
                <w:color w:val="auto"/>
              </w:rPr>
            </w:pPr>
            <w:r>
              <w:rPr>
                <w:rFonts w:ascii="Arial" w:cs="Arial" w:eastAsia="Arial" w:hAnsi="Arial"/>
                <w:sz w:val="13"/>
                <w:szCs w:val="13"/>
                <w:b w:val="1"/>
                <w:bCs w:val="1"/>
                <w:color w:val="auto"/>
                <w:w w:val="87"/>
              </w:rPr>
              <w:t>Share</w:t>
            </w:r>
            <w:r>
              <w:rPr>
                <w:rFonts w:ascii="Arial" w:cs="Arial" w:eastAsia="Arial" w:hAnsi="Arial"/>
                <w:sz w:val="20"/>
                <w:szCs w:val="20"/>
                <w:b w:val="1"/>
                <w:bCs w:val="1"/>
                <w:color w:val="auto"/>
                <w:w w:val="87"/>
                <w:vertAlign w:val="superscript"/>
              </w:rPr>
              <w:t>(1)</w:t>
            </w: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64"/>
        </w:trPr>
        <w:tc>
          <w:tcPr>
            <w:tcW w:w="2700" w:type="dxa"/>
            <w:vAlign w:val="bottom"/>
            <w:vMerge w:val="continue"/>
          </w:tcPr>
          <w:p>
            <w:pPr>
              <w:spacing w:after="0"/>
              <w:rPr>
                <w:sz w:val="14"/>
                <w:szCs w:val="1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780" w:type="dxa"/>
            <w:vAlign w:val="bottom"/>
          </w:tcPr>
          <w:p>
            <w:pPr>
              <w:jc w:val="right"/>
              <w:ind w:right="9"/>
              <w:spacing w:after="0"/>
              <w:rPr>
                <w:sz w:val="20"/>
                <w:szCs w:val="20"/>
                <w:color w:val="auto"/>
              </w:rPr>
            </w:pPr>
            <w:r>
              <w:rPr>
                <w:rFonts w:ascii="Arial" w:cs="Arial" w:eastAsia="Arial" w:hAnsi="Arial"/>
                <w:sz w:val="14"/>
                <w:szCs w:val="14"/>
                <w:b w:val="1"/>
                <w:bCs w:val="1"/>
                <w:color w:val="auto"/>
              </w:rPr>
              <w:t>102,652</w:t>
            </w:r>
          </w:p>
        </w:tc>
        <w:tc>
          <w:tcPr>
            <w:tcW w:w="1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49"/>
              <w:spacing w:after="0"/>
              <w:rPr>
                <w:sz w:val="20"/>
                <w:szCs w:val="20"/>
                <w:color w:val="auto"/>
              </w:rPr>
            </w:pPr>
            <w:r>
              <w:rPr>
                <w:rFonts w:ascii="Arial" w:cs="Arial" w:eastAsia="Arial" w:hAnsi="Arial"/>
                <w:sz w:val="14"/>
                <w:szCs w:val="14"/>
                <w:b w:val="1"/>
                <w:bCs w:val="1"/>
                <w:color w:val="auto"/>
              </w:rPr>
              <w:t>0.00</w:t>
            </w:r>
          </w:p>
        </w:tc>
        <w:tc>
          <w:tcPr>
            <w:tcW w:w="1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29"/>
              <w:spacing w:after="0"/>
              <w:rPr>
                <w:sz w:val="20"/>
                <w:szCs w:val="20"/>
                <w:color w:val="auto"/>
              </w:rPr>
            </w:pPr>
            <w:r>
              <w:rPr>
                <w:rFonts w:ascii="Arial" w:cs="Arial" w:eastAsia="Arial" w:hAnsi="Arial"/>
                <w:sz w:val="14"/>
                <w:szCs w:val="14"/>
                <w:b w:val="1"/>
                <w:bCs w:val="1"/>
                <w:color w:val="auto"/>
              </w:rPr>
              <w:t>59,024</w:t>
            </w:r>
          </w:p>
        </w:tc>
        <w:tc>
          <w:tcPr>
            <w:tcW w:w="1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ind w:right="69"/>
              <w:spacing w:after="0"/>
              <w:rPr>
                <w:sz w:val="20"/>
                <w:szCs w:val="20"/>
                <w:color w:val="auto"/>
              </w:rPr>
            </w:pPr>
            <w:r>
              <w:rPr>
                <w:rFonts w:ascii="Arial" w:cs="Arial" w:eastAsia="Arial" w:hAnsi="Arial"/>
                <w:sz w:val="14"/>
                <w:szCs w:val="14"/>
                <w:b w:val="1"/>
                <w:bCs w:val="1"/>
                <w:color w:val="auto"/>
              </w:rPr>
              <w:t>0.00</w:t>
            </w:r>
          </w:p>
        </w:tc>
        <w:tc>
          <w:tcPr>
            <w:tcW w:w="1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29"/>
              <w:spacing w:after="0"/>
              <w:rPr>
                <w:sz w:val="20"/>
                <w:szCs w:val="20"/>
                <w:color w:val="auto"/>
              </w:rPr>
            </w:pPr>
            <w:r>
              <w:rPr>
                <w:rFonts w:ascii="Arial" w:cs="Arial" w:eastAsia="Arial" w:hAnsi="Arial"/>
                <w:sz w:val="14"/>
                <w:szCs w:val="14"/>
                <w:b w:val="1"/>
                <w:bCs w:val="1"/>
                <w:color w:val="auto"/>
              </w:rPr>
              <w:t>43,628</w:t>
            </w:r>
          </w:p>
        </w:tc>
        <w:tc>
          <w:tcPr>
            <w:tcW w:w="0" w:type="dxa"/>
            <w:vAlign w:val="bottom"/>
          </w:tcPr>
          <w:p>
            <w:pPr>
              <w:spacing w:after="0"/>
              <w:rPr>
                <w:sz w:val="1"/>
                <w:szCs w:val="1"/>
                <w:color w:val="auto"/>
              </w:rPr>
            </w:pPr>
          </w:p>
        </w:tc>
      </w:tr>
      <w:tr>
        <w:trPr>
          <w:trHeight w:val="182"/>
        </w:trPr>
        <w:tc>
          <w:tcPr>
            <w:tcW w:w="2700" w:type="dxa"/>
            <w:vAlign w:val="bottom"/>
          </w:tcPr>
          <w:p>
            <w:pPr>
              <w:ind w:left="180"/>
              <w:spacing w:after="0"/>
              <w:rPr>
                <w:sz w:val="20"/>
                <w:szCs w:val="20"/>
                <w:color w:val="auto"/>
              </w:rPr>
            </w:pPr>
            <w:r>
              <w:rPr>
                <w:rFonts w:ascii="Arial" w:cs="Arial" w:eastAsia="Arial" w:hAnsi="Arial"/>
                <w:sz w:val="14"/>
                <w:szCs w:val="14"/>
                <w:color w:val="auto"/>
              </w:rPr>
              <w:t>Interest income</w:t>
            </w:r>
          </w:p>
        </w:tc>
        <w:tc>
          <w:tcPr>
            <w:tcW w:w="160" w:type="dxa"/>
            <w:vAlign w:val="bottom"/>
          </w:tcPr>
          <w:p>
            <w:pPr>
              <w:spacing w:after="0"/>
              <w:rPr>
                <w:sz w:val="15"/>
                <w:szCs w:val="15"/>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97,367</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vMerge w:val="restart"/>
          </w:tcPr>
          <w:p>
            <w:pPr>
              <w:jc w:val="right"/>
              <w:ind w:right="49"/>
              <w:spacing w:after="0"/>
              <w:rPr>
                <w:sz w:val="20"/>
                <w:szCs w:val="20"/>
                <w:color w:val="auto"/>
              </w:rPr>
            </w:pPr>
            <w:r>
              <w:rPr>
                <w:rFonts w:ascii="Arial" w:cs="Arial" w:eastAsia="Arial" w:hAnsi="Arial"/>
                <w:sz w:val="14"/>
                <w:szCs w:val="14"/>
                <w:color w:val="auto"/>
              </w:rPr>
              <w:t>0.00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restart"/>
          </w:tcPr>
          <w:p>
            <w:pPr>
              <w:jc w:val="right"/>
              <w:ind w:right="29"/>
              <w:spacing w:after="0"/>
              <w:rPr>
                <w:sz w:val="20"/>
                <w:szCs w:val="20"/>
                <w:color w:val="auto"/>
              </w:rPr>
            </w:pPr>
            <w:r>
              <w:rPr>
                <w:rFonts w:ascii="Arial" w:cs="Arial" w:eastAsia="Arial" w:hAnsi="Arial"/>
                <w:sz w:val="14"/>
                <w:szCs w:val="14"/>
                <w:color w:val="auto"/>
              </w:rPr>
              <w:t>59,024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vMerge w:val="restart"/>
          </w:tcPr>
          <w:p>
            <w:pPr>
              <w:jc w:val="right"/>
              <w:ind w:right="69"/>
              <w:spacing w:after="0"/>
              <w:rPr>
                <w:sz w:val="20"/>
                <w:szCs w:val="20"/>
                <w:color w:val="auto"/>
              </w:rPr>
            </w:pPr>
            <w:r>
              <w:rPr>
                <w:rFonts w:ascii="Arial" w:cs="Arial" w:eastAsia="Arial" w:hAnsi="Arial"/>
                <w:sz w:val="14"/>
                <w:szCs w:val="14"/>
                <w:color w:val="auto"/>
              </w:rPr>
              <w:t>0.00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restart"/>
          </w:tcPr>
          <w:p>
            <w:pPr>
              <w:jc w:val="right"/>
              <w:ind w:right="29"/>
              <w:spacing w:after="0"/>
              <w:rPr>
                <w:sz w:val="20"/>
                <w:szCs w:val="20"/>
                <w:color w:val="auto"/>
              </w:rPr>
            </w:pPr>
            <w:r>
              <w:rPr>
                <w:rFonts w:ascii="Arial" w:cs="Arial" w:eastAsia="Arial" w:hAnsi="Arial"/>
                <w:sz w:val="14"/>
                <w:szCs w:val="14"/>
                <w:color w:val="auto"/>
              </w:rPr>
              <w:t>38,343</w:t>
            </w:r>
          </w:p>
        </w:tc>
        <w:tc>
          <w:tcPr>
            <w:tcW w:w="0" w:type="dxa"/>
            <w:vAlign w:val="bottom"/>
          </w:tcPr>
          <w:p>
            <w:pPr>
              <w:spacing w:after="0"/>
              <w:rPr>
                <w:sz w:val="1"/>
                <w:szCs w:val="1"/>
                <w:color w:val="auto"/>
              </w:rPr>
            </w:pPr>
          </w:p>
        </w:tc>
      </w:tr>
      <w:tr>
        <w:trPr>
          <w:trHeight w:val="54"/>
        </w:trPr>
        <w:tc>
          <w:tcPr>
            <w:tcW w:w="2700" w:type="dxa"/>
            <w:vAlign w:val="bottom"/>
            <w:vMerge w:val="restart"/>
          </w:tcPr>
          <w:p>
            <w:pPr>
              <w:ind w:left="180"/>
              <w:spacing w:after="0"/>
              <w:rPr>
                <w:sz w:val="20"/>
                <w:szCs w:val="20"/>
                <w:color w:val="auto"/>
              </w:rPr>
            </w:pPr>
            <w:r>
              <w:rPr>
                <w:rFonts w:ascii="Arial" w:cs="Arial" w:eastAsia="Arial" w:hAnsi="Arial"/>
                <w:sz w:val="14"/>
                <w:szCs w:val="14"/>
                <w:color w:val="auto"/>
              </w:rPr>
              <w:t>Dividend income</w:t>
            </w:r>
          </w:p>
        </w:tc>
        <w:tc>
          <w:tcPr>
            <w:tcW w:w="16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7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5,285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jc w:val="right"/>
              <w:ind w:right="49"/>
              <w:spacing w:after="0"/>
              <w:rPr>
                <w:sz w:val="20"/>
                <w:szCs w:val="20"/>
                <w:color w:val="auto"/>
              </w:rPr>
            </w:pPr>
            <w:r>
              <w:rPr>
                <w:rFonts w:ascii="Arial" w:cs="Arial" w:eastAsia="Arial" w:hAnsi="Arial"/>
                <w:sz w:val="14"/>
                <w:szCs w:val="14"/>
                <w:color w:val="auto"/>
              </w:rPr>
              <w:t>0.00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right"/>
              <w:ind w:right="29"/>
              <w:spacing w:after="0"/>
              <w:rPr>
                <w:sz w:val="20"/>
                <w:szCs w:val="20"/>
                <w:color w:val="auto"/>
              </w:rPr>
            </w:pPr>
            <w:r>
              <w:rPr>
                <w:rFonts w:ascii="Arial" w:cs="Arial" w:eastAsia="Arial" w:hAnsi="Arial"/>
                <w:sz w:val="14"/>
                <w:szCs w:val="14"/>
                <w:color w:val="auto"/>
              </w:rPr>
              <w:t>5,285</w:t>
            </w:r>
          </w:p>
        </w:tc>
        <w:tc>
          <w:tcPr>
            <w:tcW w:w="0" w:type="dxa"/>
            <w:vAlign w:val="bottom"/>
          </w:tcPr>
          <w:p>
            <w:pPr>
              <w:spacing w:after="0"/>
              <w:rPr>
                <w:sz w:val="1"/>
                <w:szCs w:val="1"/>
                <w:color w:val="auto"/>
              </w:rPr>
            </w:pPr>
          </w:p>
        </w:tc>
      </w:tr>
      <w:tr>
        <w:trPr>
          <w:trHeight w:val="43"/>
        </w:trPr>
        <w:tc>
          <w:tcPr>
            <w:tcW w:w="2700" w:type="dxa"/>
            <w:vAlign w:val="bottom"/>
            <w:vMerge w:val="restart"/>
          </w:tcPr>
          <w:p>
            <w:pPr>
              <w:spacing w:after="0"/>
              <w:rPr>
                <w:sz w:val="20"/>
                <w:szCs w:val="20"/>
                <w:color w:val="auto"/>
              </w:rPr>
            </w:pPr>
            <w:r>
              <w:rPr>
                <w:rFonts w:ascii="Arial" w:cs="Arial" w:eastAsia="Arial" w:hAnsi="Arial"/>
                <w:sz w:val="14"/>
                <w:szCs w:val="14"/>
                <w:b w:val="1"/>
                <w:bCs w:val="1"/>
                <w:color w:val="auto"/>
              </w:rPr>
              <w:t>Total Operating Expenses</w:t>
            </w:r>
          </w:p>
        </w:tc>
        <w:tc>
          <w:tcPr>
            <w:tcW w:w="16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27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(444,355)</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ind w:right="9"/>
              <w:spacing w:after="0" w:line="153" w:lineRule="exact"/>
              <w:rPr>
                <w:sz w:val="20"/>
                <w:szCs w:val="20"/>
                <w:color w:val="auto"/>
              </w:rPr>
            </w:pPr>
            <w:r>
              <w:rPr>
                <w:rFonts w:ascii="Arial" w:cs="Arial" w:eastAsia="Arial" w:hAnsi="Arial"/>
                <w:sz w:val="14"/>
                <w:szCs w:val="14"/>
                <w:b w:val="1"/>
                <w:bCs w:val="1"/>
                <w:color w:val="auto"/>
              </w:rPr>
              <w:t>(0.02)</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29"/>
              <w:spacing w:after="0" w:line="153" w:lineRule="exact"/>
              <w:rPr>
                <w:sz w:val="20"/>
                <w:szCs w:val="20"/>
                <w:color w:val="auto"/>
              </w:rPr>
            </w:pPr>
            <w:r>
              <w:rPr>
                <w:rFonts w:ascii="Arial" w:cs="Arial" w:eastAsia="Arial" w:hAnsi="Arial"/>
                <w:sz w:val="14"/>
                <w:szCs w:val="14"/>
                <w:b w:val="1"/>
                <w:bCs w:val="1"/>
                <w:color w:val="auto"/>
                <w:w w:val="96"/>
              </w:rPr>
              <w:t>12,852,430</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69"/>
              <w:spacing w:after="0" w:line="153" w:lineRule="exact"/>
              <w:rPr>
                <w:sz w:val="20"/>
                <w:szCs w:val="20"/>
                <w:color w:val="auto"/>
              </w:rPr>
            </w:pPr>
            <w:r>
              <w:rPr>
                <w:rFonts w:ascii="Arial" w:cs="Arial" w:eastAsia="Arial" w:hAnsi="Arial"/>
                <w:sz w:val="14"/>
                <w:szCs w:val="14"/>
                <w:b w:val="1"/>
                <w:bCs w:val="1"/>
                <w:color w:val="auto"/>
              </w:rPr>
              <w:t>0.67</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w w:val="98"/>
              </w:rPr>
              <w:t>(13,296,785)</w:t>
            </w:r>
          </w:p>
        </w:tc>
        <w:tc>
          <w:tcPr>
            <w:tcW w:w="0" w:type="dxa"/>
            <w:vAlign w:val="bottom"/>
          </w:tcPr>
          <w:p>
            <w:pPr>
              <w:spacing w:after="0"/>
              <w:rPr>
                <w:sz w:val="1"/>
                <w:szCs w:val="1"/>
                <w:color w:val="auto"/>
              </w:rPr>
            </w:pPr>
          </w:p>
        </w:tc>
      </w:tr>
      <w:tr>
        <w:trPr>
          <w:trHeight w:val="176"/>
        </w:trPr>
        <w:tc>
          <w:tcPr>
            <w:tcW w:w="2700" w:type="dxa"/>
            <w:vAlign w:val="bottom"/>
          </w:tcPr>
          <w:p>
            <w:pPr>
              <w:ind w:left="180"/>
              <w:spacing w:after="0"/>
              <w:rPr>
                <w:sz w:val="20"/>
                <w:szCs w:val="20"/>
                <w:color w:val="auto"/>
              </w:rPr>
            </w:pPr>
            <w:r>
              <w:rPr>
                <w:rFonts w:ascii="Arial" w:cs="Arial" w:eastAsia="Arial" w:hAnsi="Arial"/>
                <w:sz w:val="14"/>
                <w:szCs w:val="14"/>
                <w:color w:val="auto"/>
              </w:rPr>
              <w:t>Management fees</w:t>
            </w:r>
          </w:p>
        </w:tc>
        <w:tc>
          <w:tcPr>
            <w:tcW w:w="160" w:type="dxa"/>
            <w:vAlign w:val="bottom"/>
          </w:tcPr>
          <w:p>
            <w:pPr>
              <w:spacing w:after="0"/>
              <w:rPr>
                <w:sz w:val="15"/>
                <w:szCs w:val="15"/>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1,958,000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0.09</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1,921,128</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69"/>
              <w:spacing w:after="0"/>
              <w:rPr>
                <w:sz w:val="20"/>
                <w:szCs w:val="20"/>
                <w:color w:val="auto"/>
              </w:rPr>
            </w:pPr>
            <w:r>
              <w:rPr>
                <w:rFonts w:ascii="Arial" w:cs="Arial" w:eastAsia="Arial" w:hAnsi="Arial"/>
                <w:sz w:val="14"/>
                <w:szCs w:val="14"/>
                <w:color w:val="auto"/>
              </w:rPr>
              <w:t>0.10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36,872</w:t>
            </w:r>
          </w:p>
        </w:tc>
        <w:tc>
          <w:tcPr>
            <w:tcW w:w="0" w:type="dxa"/>
            <w:vAlign w:val="bottom"/>
          </w:tcPr>
          <w:p>
            <w:pPr>
              <w:spacing w:after="0"/>
              <w:rPr>
                <w:sz w:val="1"/>
                <w:szCs w:val="1"/>
                <w:color w:val="auto"/>
              </w:rPr>
            </w:pPr>
          </w:p>
        </w:tc>
      </w:tr>
      <w:tr>
        <w:trPr>
          <w:trHeight w:val="149"/>
        </w:trPr>
        <w:tc>
          <w:tcPr>
            <w:tcW w:w="2700" w:type="dxa"/>
            <w:vAlign w:val="bottom"/>
          </w:tcPr>
          <w:p>
            <w:pPr>
              <w:ind w:left="180"/>
              <w:spacing w:after="0" w:line="149" w:lineRule="exact"/>
              <w:rPr>
                <w:sz w:val="20"/>
                <w:szCs w:val="20"/>
                <w:color w:val="auto"/>
              </w:rPr>
            </w:pPr>
            <w:r>
              <w:rPr>
                <w:rFonts w:ascii="Arial" w:cs="Arial" w:eastAsia="Arial" w:hAnsi="Arial"/>
                <w:sz w:val="14"/>
                <w:szCs w:val="14"/>
                <w:color w:val="auto"/>
              </w:rPr>
              <w:t>(Reversal of Incentive fee</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700" w:type="dxa"/>
            <w:vAlign w:val="bottom"/>
          </w:tcPr>
          <w:p>
            <w:pPr>
              <w:ind w:left="360"/>
              <w:spacing w:after="0"/>
              <w:rPr>
                <w:sz w:val="20"/>
                <w:szCs w:val="20"/>
                <w:color w:val="auto"/>
              </w:rPr>
            </w:pPr>
            <w:r>
              <w:rPr>
                <w:rFonts w:ascii="Arial" w:cs="Arial" w:eastAsia="Arial" w:hAnsi="Arial"/>
                <w:sz w:val="14"/>
                <w:szCs w:val="14"/>
                <w:color w:val="auto"/>
              </w:rPr>
              <w:t>accrual)/Incentive fees</w:t>
            </w:r>
          </w:p>
        </w:tc>
        <w:tc>
          <w:tcPr>
            <w:tcW w:w="1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(5,118,584)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vMerge w:val="restart"/>
          </w:tcPr>
          <w:p>
            <w:pPr>
              <w:jc w:val="right"/>
              <w:ind w:right="9"/>
              <w:spacing w:after="0"/>
              <w:rPr>
                <w:sz w:val="20"/>
                <w:szCs w:val="20"/>
                <w:color w:val="auto"/>
              </w:rPr>
            </w:pPr>
            <w:r>
              <w:rPr>
                <w:rFonts w:ascii="Arial" w:cs="Arial" w:eastAsia="Arial" w:hAnsi="Arial"/>
                <w:sz w:val="14"/>
                <w:szCs w:val="14"/>
                <w:color w:val="auto"/>
              </w:rPr>
              <w:t>(0.23)</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restart"/>
          </w:tcPr>
          <w:p>
            <w:pPr>
              <w:jc w:val="right"/>
              <w:ind w:right="29"/>
              <w:spacing w:after="0"/>
              <w:rPr>
                <w:sz w:val="20"/>
                <w:szCs w:val="20"/>
                <w:color w:val="auto"/>
              </w:rPr>
            </w:pPr>
            <w:r>
              <w:rPr>
                <w:rFonts w:ascii="Arial" w:cs="Arial" w:eastAsia="Arial" w:hAnsi="Arial"/>
                <w:sz w:val="14"/>
                <w:szCs w:val="14"/>
                <w:color w:val="auto"/>
              </w:rPr>
              <w:t>8,211,728</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vMerge w:val="restart"/>
          </w:tcPr>
          <w:p>
            <w:pPr>
              <w:jc w:val="right"/>
              <w:ind w:right="69"/>
              <w:spacing w:after="0"/>
              <w:rPr>
                <w:sz w:val="20"/>
                <w:szCs w:val="20"/>
                <w:color w:val="auto"/>
              </w:rPr>
            </w:pPr>
            <w:r>
              <w:rPr>
                <w:rFonts w:ascii="Arial" w:cs="Arial" w:eastAsia="Arial" w:hAnsi="Arial"/>
                <w:sz w:val="14"/>
                <w:szCs w:val="14"/>
                <w:color w:val="auto"/>
              </w:rPr>
              <w:t>0.43</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w w:val="98"/>
              </w:rPr>
              <w:t>(13,330,312)</w:t>
            </w:r>
          </w:p>
        </w:tc>
        <w:tc>
          <w:tcPr>
            <w:tcW w:w="0" w:type="dxa"/>
            <w:vAlign w:val="bottom"/>
          </w:tcPr>
          <w:p>
            <w:pPr>
              <w:spacing w:after="0"/>
              <w:rPr>
                <w:sz w:val="1"/>
                <w:szCs w:val="1"/>
                <w:color w:val="auto"/>
              </w:rPr>
            </w:pPr>
          </w:p>
        </w:tc>
      </w:tr>
      <w:tr>
        <w:trPr>
          <w:trHeight w:val="54"/>
        </w:trPr>
        <w:tc>
          <w:tcPr>
            <w:tcW w:w="2700" w:type="dxa"/>
            <w:vAlign w:val="bottom"/>
            <w:vMerge w:val="restart"/>
          </w:tcPr>
          <w:p>
            <w:pPr>
              <w:ind w:left="180"/>
              <w:spacing w:after="0"/>
              <w:rPr>
                <w:sz w:val="20"/>
                <w:szCs w:val="20"/>
                <w:color w:val="auto"/>
              </w:rPr>
            </w:pPr>
            <w:r>
              <w:rPr>
                <w:rFonts w:ascii="Arial" w:cs="Arial" w:eastAsia="Arial" w:hAnsi="Arial"/>
                <w:sz w:val="14"/>
                <w:szCs w:val="14"/>
                <w:color w:val="auto"/>
              </w:rPr>
              <w:t>Costs incurred under Administration</w:t>
            </w:r>
          </w:p>
        </w:tc>
        <w:tc>
          <w:tcPr>
            <w:tcW w:w="16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7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2700" w:type="dxa"/>
            <w:vAlign w:val="bottom"/>
          </w:tcPr>
          <w:p>
            <w:pPr>
              <w:ind w:left="360"/>
              <w:spacing w:after="0"/>
              <w:rPr>
                <w:sz w:val="20"/>
                <w:szCs w:val="20"/>
                <w:color w:val="auto"/>
              </w:rPr>
            </w:pPr>
            <w:r>
              <w:rPr>
                <w:rFonts w:ascii="Arial" w:cs="Arial" w:eastAsia="Arial" w:hAnsi="Arial"/>
                <w:sz w:val="14"/>
                <w:szCs w:val="14"/>
                <w:color w:val="auto"/>
              </w:rPr>
              <w:t>Agreement</w:t>
            </w:r>
          </w:p>
        </w:tc>
        <w:tc>
          <w:tcPr>
            <w:tcW w:w="160" w:type="dxa"/>
            <w:vAlign w:val="bottom"/>
          </w:tcPr>
          <w:p>
            <w:pPr>
              <w:spacing w:after="0"/>
              <w:rPr>
                <w:sz w:val="15"/>
                <w:szCs w:val="15"/>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599,950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vMerge w:val="restart"/>
          </w:tcPr>
          <w:p>
            <w:pPr>
              <w:jc w:val="right"/>
              <w:ind w:right="49"/>
              <w:spacing w:after="0"/>
              <w:rPr>
                <w:sz w:val="20"/>
                <w:szCs w:val="20"/>
                <w:color w:val="auto"/>
              </w:rPr>
            </w:pPr>
            <w:r>
              <w:rPr>
                <w:rFonts w:ascii="Arial" w:cs="Arial" w:eastAsia="Arial" w:hAnsi="Arial"/>
                <w:sz w:val="14"/>
                <w:szCs w:val="14"/>
                <w:color w:val="auto"/>
              </w:rPr>
              <w:t>0.03</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restart"/>
          </w:tcPr>
          <w:p>
            <w:pPr>
              <w:jc w:val="right"/>
              <w:ind w:right="29"/>
              <w:spacing w:after="0"/>
              <w:rPr>
                <w:sz w:val="20"/>
                <w:szCs w:val="20"/>
                <w:color w:val="auto"/>
              </w:rPr>
            </w:pPr>
            <w:r>
              <w:rPr>
                <w:rFonts w:ascii="Arial" w:cs="Arial" w:eastAsia="Arial" w:hAnsi="Arial"/>
                <w:sz w:val="14"/>
                <w:szCs w:val="14"/>
                <w:color w:val="auto"/>
              </w:rPr>
              <w:t>802,396</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vMerge w:val="restart"/>
          </w:tcPr>
          <w:p>
            <w:pPr>
              <w:jc w:val="right"/>
              <w:ind w:right="69"/>
              <w:spacing w:after="0"/>
              <w:rPr>
                <w:sz w:val="20"/>
                <w:szCs w:val="20"/>
                <w:color w:val="auto"/>
              </w:rPr>
            </w:pPr>
            <w:r>
              <w:rPr>
                <w:rFonts w:ascii="Arial" w:cs="Arial" w:eastAsia="Arial" w:hAnsi="Arial"/>
                <w:sz w:val="14"/>
                <w:szCs w:val="14"/>
                <w:color w:val="auto"/>
              </w:rPr>
              <w:t>0.04</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(202,446)</w:t>
            </w:r>
          </w:p>
        </w:tc>
        <w:tc>
          <w:tcPr>
            <w:tcW w:w="0" w:type="dxa"/>
            <w:vAlign w:val="bottom"/>
          </w:tcPr>
          <w:p>
            <w:pPr>
              <w:spacing w:after="0"/>
              <w:rPr>
                <w:sz w:val="1"/>
                <w:szCs w:val="1"/>
                <w:color w:val="auto"/>
              </w:rPr>
            </w:pPr>
          </w:p>
        </w:tc>
      </w:tr>
      <w:tr>
        <w:trPr>
          <w:trHeight w:val="47"/>
        </w:trPr>
        <w:tc>
          <w:tcPr>
            <w:tcW w:w="2700" w:type="dxa"/>
            <w:vAlign w:val="bottom"/>
            <w:vMerge w:val="restart"/>
          </w:tcPr>
          <w:p>
            <w:pPr>
              <w:ind w:left="180"/>
              <w:spacing w:after="0"/>
              <w:rPr>
                <w:sz w:val="20"/>
                <w:szCs w:val="20"/>
                <w:color w:val="auto"/>
              </w:rPr>
            </w:pPr>
            <w:r>
              <w:rPr>
                <w:rFonts w:ascii="Arial" w:cs="Arial" w:eastAsia="Arial" w:hAnsi="Arial"/>
                <w:sz w:val="14"/>
                <w:szCs w:val="14"/>
                <w:color w:val="auto"/>
              </w:rPr>
              <w:t>Directors’ fees</w:t>
            </w:r>
          </w:p>
        </w:tc>
        <w:tc>
          <w:tcPr>
            <w:tcW w:w="16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7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9"/>
              <w:spacing w:after="0" w:line="149" w:lineRule="exact"/>
              <w:rPr>
                <w:sz w:val="20"/>
                <w:szCs w:val="20"/>
                <w:color w:val="auto"/>
              </w:rPr>
            </w:pPr>
            <w:r>
              <w:rPr>
                <w:rFonts w:ascii="Arial" w:cs="Arial" w:eastAsia="Arial" w:hAnsi="Arial"/>
                <w:sz w:val="14"/>
                <w:szCs w:val="14"/>
                <w:color w:val="auto"/>
              </w:rPr>
              <w:t>86,250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49"/>
              <w:spacing w:after="0" w:line="149" w:lineRule="exact"/>
              <w:rPr>
                <w:sz w:val="20"/>
                <w:szCs w:val="20"/>
                <w:color w:val="auto"/>
              </w:rPr>
            </w:pPr>
            <w:r>
              <w:rPr>
                <w:rFonts w:ascii="Arial" w:cs="Arial" w:eastAsia="Arial" w:hAnsi="Arial"/>
                <w:sz w:val="14"/>
                <w:szCs w:val="14"/>
                <w:color w:val="auto"/>
              </w:rPr>
              <w:t>0.00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29"/>
              <w:spacing w:after="0" w:line="149" w:lineRule="exact"/>
              <w:rPr>
                <w:sz w:val="20"/>
                <w:szCs w:val="20"/>
                <w:color w:val="auto"/>
              </w:rPr>
            </w:pPr>
            <w:r>
              <w:rPr>
                <w:rFonts w:ascii="Arial" w:cs="Arial" w:eastAsia="Arial" w:hAnsi="Arial"/>
                <w:sz w:val="14"/>
                <w:szCs w:val="14"/>
                <w:color w:val="auto"/>
              </w:rPr>
              <w:t>85,306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69"/>
              <w:spacing w:after="0" w:line="149" w:lineRule="exact"/>
              <w:rPr>
                <w:sz w:val="20"/>
                <w:szCs w:val="20"/>
                <w:color w:val="auto"/>
              </w:rPr>
            </w:pPr>
            <w:r>
              <w:rPr>
                <w:rFonts w:ascii="Arial" w:cs="Arial" w:eastAsia="Arial" w:hAnsi="Arial"/>
                <w:sz w:val="14"/>
                <w:szCs w:val="14"/>
                <w:color w:val="auto"/>
              </w:rPr>
              <w:t>0.00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ind w:right="29"/>
              <w:spacing w:after="0" w:line="149" w:lineRule="exact"/>
              <w:rPr>
                <w:sz w:val="20"/>
                <w:szCs w:val="20"/>
                <w:color w:val="auto"/>
              </w:rPr>
            </w:pPr>
            <w:r>
              <w:rPr>
                <w:rFonts w:ascii="Arial" w:cs="Arial" w:eastAsia="Arial" w:hAnsi="Arial"/>
                <w:sz w:val="14"/>
                <w:szCs w:val="14"/>
                <w:color w:val="auto"/>
              </w:rPr>
              <w:t>944</w:t>
            </w:r>
          </w:p>
        </w:tc>
        <w:tc>
          <w:tcPr>
            <w:tcW w:w="0" w:type="dxa"/>
            <w:vAlign w:val="bottom"/>
          </w:tcPr>
          <w:p>
            <w:pPr>
              <w:spacing w:after="0"/>
              <w:rPr>
                <w:sz w:val="1"/>
                <w:szCs w:val="1"/>
                <w:color w:val="auto"/>
              </w:rPr>
            </w:pPr>
          </w:p>
        </w:tc>
      </w:tr>
      <w:tr>
        <w:trPr>
          <w:trHeight w:val="176"/>
        </w:trPr>
        <w:tc>
          <w:tcPr>
            <w:tcW w:w="2700" w:type="dxa"/>
            <w:vAlign w:val="bottom"/>
          </w:tcPr>
          <w:p>
            <w:pPr>
              <w:ind w:left="180"/>
              <w:spacing w:after="0"/>
              <w:rPr>
                <w:sz w:val="20"/>
                <w:szCs w:val="20"/>
                <w:color w:val="auto"/>
              </w:rPr>
            </w:pPr>
            <w:r>
              <w:rPr>
                <w:rFonts w:ascii="Arial" w:cs="Arial" w:eastAsia="Arial" w:hAnsi="Arial"/>
                <w:sz w:val="14"/>
                <w:szCs w:val="14"/>
                <w:color w:val="auto"/>
              </w:rPr>
              <w:t>Professional fees</w:t>
            </w:r>
          </w:p>
        </w:tc>
        <w:tc>
          <w:tcPr>
            <w:tcW w:w="160" w:type="dxa"/>
            <w:vAlign w:val="bottom"/>
          </w:tcPr>
          <w:p>
            <w:pPr>
              <w:spacing w:after="0"/>
              <w:rPr>
                <w:sz w:val="15"/>
                <w:szCs w:val="15"/>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637,128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0.03</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341,744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69"/>
              <w:spacing w:after="0"/>
              <w:rPr>
                <w:sz w:val="20"/>
                <w:szCs w:val="20"/>
                <w:color w:val="auto"/>
              </w:rPr>
            </w:pPr>
            <w:r>
              <w:rPr>
                <w:rFonts w:ascii="Arial" w:cs="Arial" w:eastAsia="Arial" w:hAnsi="Arial"/>
                <w:sz w:val="14"/>
                <w:szCs w:val="14"/>
                <w:color w:val="auto"/>
              </w:rPr>
              <w:t>0.02</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295,384</w:t>
            </w:r>
          </w:p>
        </w:tc>
        <w:tc>
          <w:tcPr>
            <w:tcW w:w="0" w:type="dxa"/>
            <w:vAlign w:val="bottom"/>
          </w:tcPr>
          <w:p>
            <w:pPr>
              <w:spacing w:after="0"/>
              <w:rPr>
                <w:sz w:val="1"/>
                <w:szCs w:val="1"/>
                <w:color w:val="auto"/>
              </w:rPr>
            </w:pPr>
          </w:p>
        </w:tc>
      </w:tr>
      <w:tr>
        <w:trPr>
          <w:trHeight w:val="176"/>
        </w:trPr>
        <w:tc>
          <w:tcPr>
            <w:tcW w:w="2700" w:type="dxa"/>
            <w:vAlign w:val="bottom"/>
          </w:tcPr>
          <w:p>
            <w:pPr>
              <w:ind w:left="180"/>
              <w:spacing w:after="0"/>
              <w:rPr>
                <w:sz w:val="20"/>
                <w:szCs w:val="20"/>
                <w:color w:val="auto"/>
              </w:rPr>
            </w:pPr>
            <w:r>
              <w:rPr>
                <w:rFonts w:ascii="Arial" w:cs="Arial" w:eastAsia="Arial" w:hAnsi="Arial"/>
                <w:sz w:val="14"/>
                <w:szCs w:val="14"/>
                <w:color w:val="auto"/>
              </w:rPr>
              <w:t>Interest expense</w:t>
            </w:r>
          </w:p>
        </w:tc>
        <w:tc>
          <w:tcPr>
            <w:tcW w:w="160" w:type="dxa"/>
            <w:vAlign w:val="bottom"/>
          </w:tcPr>
          <w:p>
            <w:pPr>
              <w:spacing w:after="0"/>
              <w:rPr>
                <w:sz w:val="15"/>
                <w:szCs w:val="15"/>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1,183,163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0.05</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1,368,803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69"/>
              <w:spacing w:after="0"/>
              <w:rPr>
                <w:sz w:val="20"/>
                <w:szCs w:val="20"/>
                <w:color w:val="auto"/>
              </w:rPr>
            </w:pPr>
            <w:r>
              <w:rPr>
                <w:rFonts w:ascii="Arial" w:cs="Arial" w:eastAsia="Arial" w:hAnsi="Arial"/>
                <w:sz w:val="14"/>
                <w:szCs w:val="14"/>
                <w:color w:val="auto"/>
              </w:rPr>
              <w:t>0.07</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(185,640)</w:t>
            </w:r>
          </w:p>
        </w:tc>
        <w:tc>
          <w:tcPr>
            <w:tcW w:w="0" w:type="dxa"/>
            <w:vAlign w:val="bottom"/>
          </w:tcPr>
          <w:p>
            <w:pPr>
              <w:spacing w:after="0"/>
              <w:rPr>
                <w:sz w:val="1"/>
                <w:szCs w:val="1"/>
                <w:color w:val="auto"/>
              </w:rPr>
            </w:pPr>
          </w:p>
        </w:tc>
      </w:tr>
      <w:tr>
        <w:trPr>
          <w:trHeight w:val="209"/>
        </w:trPr>
        <w:tc>
          <w:tcPr>
            <w:tcW w:w="2700" w:type="dxa"/>
            <w:vAlign w:val="bottom"/>
          </w:tcPr>
          <w:p>
            <w:pPr>
              <w:ind w:left="180"/>
              <w:spacing w:after="0"/>
              <w:rPr>
                <w:sz w:val="20"/>
                <w:szCs w:val="20"/>
                <w:color w:val="auto"/>
              </w:rPr>
            </w:pPr>
            <w:r>
              <w:rPr>
                <w:rFonts w:ascii="Arial" w:cs="Arial" w:eastAsia="Arial" w:hAnsi="Arial"/>
                <w:sz w:val="14"/>
                <w:szCs w:val="14"/>
                <w:color w:val="auto"/>
              </w:rPr>
              <w:t>Other expenses</w:t>
            </w:r>
          </w:p>
        </w:tc>
        <w:tc>
          <w:tcPr>
            <w:tcW w:w="160" w:type="dxa"/>
            <w:vAlign w:val="bottom"/>
          </w:tcPr>
          <w:p>
            <w:pPr>
              <w:spacing w:after="0"/>
              <w:rPr>
                <w:sz w:val="18"/>
                <w:szCs w:val="18"/>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209,738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0.01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121,325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ind w:right="69"/>
              <w:spacing w:after="0"/>
              <w:rPr>
                <w:sz w:val="20"/>
                <w:szCs w:val="20"/>
                <w:color w:val="auto"/>
              </w:rPr>
            </w:pPr>
            <w:r>
              <w:rPr>
                <w:rFonts w:ascii="Arial" w:cs="Arial" w:eastAsia="Arial" w:hAnsi="Arial"/>
                <w:sz w:val="14"/>
                <w:szCs w:val="14"/>
                <w:color w:val="auto"/>
              </w:rPr>
              <w:t>0.01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88,413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180" w:type="dxa"/>
        <w:tblCellMar>
          <w:top w:w="0" w:type="dxa"/>
          <w:left w:w="0" w:type="dxa"/>
          <w:bottom w:w="0" w:type="dxa"/>
          <w:right w:w="0" w:type="dxa"/>
        </w:tblCellMar>
      </w:tblPr>
      <w:tr>
        <w:trPr>
          <w:trHeight w:val="209"/>
        </w:trPr>
        <w:tc>
          <w:tcPr>
            <w:tcW w:w="2440" w:type="dxa"/>
            <w:vAlign w:val="bottom"/>
          </w:tcPr>
          <w:p>
            <w:pPr>
              <w:spacing w:after="0"/>
              <w:rPr>
                <w:sz w:val="20"/>
                <w:szCs w:val="20"/>
                <w:color w:val="auto"/>
              </w:rPr>
            </w:pPr>
            <w:r>
              <w:rPr>
                <w:rFonts w:ascii="Arial" w:cs="Arial" w:eastAsia="Arial" w:hAnsi="Arial"/>
                <w:sz w:val="14"/>
                <w:szCs w:val="14"/>
                <w:color w:val="auto"/>
                <w:w w:val="99"/>
              </w:rPr>
              <w:t>Benefit for taxes on net investment loss</w:t>
            </w: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5,223,611</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0.27</w:t>
            </w:r>
          </w:p>
        </w:tc>
        <w:tc>
          <w:tcPr>
            <w:tcW w:w="940" w:type="dxa"/>
            <w:vAlign w:val="bottom"/>
          </w:tcPr>
          <w:p>
            <w:pPr>
              <w:jc w:val="right"/>
              <w:spacing w:after="0"/>
              <w:rPr>
                <w:sz w:val="20"/>
                <w:szCs w:val="20"/>
                <w:color w:val="auto"/>
              </w:rPr>
            </w:pPr>
            <w:r>
              <w:rPr>
                <w:rFonts w:ascii="Arial" w:cs="Arial" w:eastAsia="Arial" w:hAnsi="Arial"/>
                <w:sz w:val="14"/>
                <w:szCs w:val="14"/>
                <w:color w:val="auto"/>
              </w:rPr>
              <w:t>(5,223,611)</w:t>
            </w:r>
          </w:p>
        </w:tc>
        <w:tc>
          <w:tcPr>
            <w:tcW w:w="0" w:type="dxa"/>
            <w:vAlign w:val="bottom"/>
          </w:tcPr>
          <w:p>
            <w:pPr>
              <w:spacing w:after="0"/>
              <w:rPr>
                <w:sz w:val="1"/>
                <w:szCs w:val="1"/>
                <w:color w:val="auto"/>
              </w:rPr>
            </w:pPr>
          </w:p>
        </w:tc>
      </w:tr>
      <w:tr>
        <w:trPr>
          <w:trHeight w:val="716"/>
        </w:trPr>
        <w:tc>
          <w:tcPr>
            <w:tcW w:w="2440" w:type="dxa"/>
            <w:vAlign w:val="bottom"/>
          </w:tcPr>
          <w:p>
            <w:pPr>
              <w:spacing w:after="0"/>
              <w:rPr>
                <w:sz w:val="20"/>
                <w:szCs w:val="20"/>
                <w:color w:val="auto"/>
              </w:rPr>
            </w:pPr>
            <w:r>
              <w:rPr>
                <w:rFonts w:ascii="Arial" w:cs="Arial" w:eastAsia="Arial" w:hAnsi="Arial"/>
                <w:sz w:val="14"/>
                <w:szCs w:val="14"/>
                <w:color w:val="auto"/>
              </w:rPr>
              <w:t>Net Investment Income/(Loss)</w:t>
            </w:r>
          </w:p>
        </w:tc>
        <w:tc>
          <w:tcPr>
            <w:tcW w:w="1140" w:type="dxa"/>
            <w:vAlign w:val="bottom"/>
            <w:vMerge w:val="restart"/>
          </w:tcPr>
          <w:p>
            <w:pPr>
              <w:jc w:val="right"/>
              <w:ind w:right="128"/>
              <w:spacing w:after="0"/>
              <w:rPr>
                <w:sz w:val="20"/>
                <w:szCs w:val="20"/>
                <w:color w:val="auto"/>
              </w:rPr>
            </w:pPr>
            <w:r>
              <w:rPr>
                <w:rFonts w:ascii="Arial" w:cs="Arial" w:eastAsia="Arial" w:hAnsi="Arial"/>
                <w:sz w:val="14"/>
                <w:szCs w:val="14"/>
                <w:color w:val="auto"/>
              </w:rPr>
              <w:t>547,007</w:t>
            </w:r>
          </w:p>
        </w:tc>
        <w:tc>
          <w:tcPr>
            <w:tcW w:w="680" w:type="dxa"/>
            <w:vAlign w:val="bottom"/>
            <w:vMerge w:val="restart"/>
          </w:tcPr>
          <w:p>
            <w:pPr>
              <w:jc w:val="right"/>
              <w:ind w:right="88"/>
              <w:spacing w:after="0"/>
              <w:rPr>
                <w:sz w:val="20"/>
                <w:szCs w:val="20"/>
                <w:color w:val="auto"/>
              </w:rPr>
            </w:pPr>
            <w:r>
              <w:rPr>
                <w:rFonts w:ascii="Arial" w:cs="Arial" w:eastAsia="Arial" w:hAnsi="Arial"/>
                <w:sz w:val="14"/>
                <w:szCs w:val="14"/>
                <w:color w:val="auto"/>
              </w:rPr>
              <w:t>0.02</w:t>
            </w:r>
          </w:p>
        </w:tc>
        <w:tc>
          <w:tcPr>
            <w:tcW w:w="1020" w:type="dxa"/>
            <w:vAlign w:val="bottom"/>
            <w:vMerge w:val="restart"/>
          </w:tcPr>
          <w:p>
            <w:pPr>
              <w:jc w:val="right"/>
              <w:ind w:right="88"/>
              <w:spacing w:after="0"/>
              <w:rPr>
                <w:sz w:val="20"/>
                <w:szCs w:val="20"/>
                <w:color w:val="auto"/>
              </w:rPr>
            </w:pPr>
            <w:r>
              <w:rPr>
                <w:rFonts w:ascii="Arial" w:cs="Arial" w:eastAsia="Arial" w:hAnsi="Arial"/>
                <w:sz w:val="14"/>
                <w:szCs w:val="14"/>
                <w:color w:val="auto"/>
              </w:rPr>
              <w:t>(7,569,795)</w:t>
            </w:r>
          </w:p>
        </w:tc>
        <w:tc>
          <w:tcPr>
            <w:tcW w:w="620" w:type="dxa"/>
            <w:vAlign w:val="bottom"/>
            <w:vMerge w:val="restart"/>
          </w:tcPr>
          <w:p>
            <w:pPr>
              <w:jc w:val="right"/>
              <w:ind w:right="28"/>
              <w:spacing w:after="0"/>
              <w:rPr>
                <w:sz w:val="20"/>
                <w:szCs w:val="20"/>
                <w:color w:val="auto"/>
              </w:rPr>
            </w:pPr>
            <w:r>
              <w:rPr>
                <w:rFonts w:ascii="Arial" w:cs="Arial" w:eastAsia="Arial" w:hAnsi="Arial"/>
                <w:sz w:val="14"/>
                <w:szCs w:val="14"/>
                <w:color w:val="auto"/>
              </w:rPr>
              <w:t>(0.39)</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8,116,802</w:t>
            </w:r>
          </w:p>
        </w:tc>
        <w:tc>
          <w:tcPr>
            <w:tcW w:w="0" w:type="dxa"/>
            <w:vAlign w:val="bottom"/>
          </w:tcPr>
          <w:p>
            <w:pPr>
              <w:spacing w:after="0"/>
              <w:rPr>
                <w:sz w:val="1"/>
                <w:szCs w:val="1"/>
                <w:color w:val="auto"/>
              </w:rPr>
            </w:pPr>
          </w:p>
        </w:tc>
      </w:tr>
      <w:tr>
        <w:trPr>
          <w:trHeight w:val="68"/>
        </w:trPr>
        <w:tc>
          <w:tcPr>
            <w:tcW w:w="24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0"/>
        </w:trPr>
        <w:tc>
          <w:tcPr>
            <w:tcW w:w="2440" w:type="dxa"/>
            <w:vAlign w:val="bottom"/>
          </w:tcPr>
          <w:p>
            <w:pPr>
              <w:spacing w:after="0"/>
              <w:rPr>
                <w:sz w:val="20"/>
                <w:szCs w:val="20"/>
                <w:color w:val="auto"/>
              </w:rPr>
            </w:pPr>
            <w:r>
              <w:rPr>
                <w:rFonts w:ascii="Arial" w:cs="Arial" w:eastAsia="Arial" w:hAnsi="Arial"/>
                <w:sz w:val="14"/>
                <w:szCs w:val="14"/>
                <w:color w:val="auto"/>
              </w:rPr>
              <w:t>Net Realized Gain/(Loss) on</w:t>
            </w: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440" w:type="dxa"/>
            <w:vAlign w:val="bottom"/>
          </w:tcPr>
          <w:p>
            <w:pPr>
              <w:ind w:left="180"/>
              <w:spacing w:after="0"/>
              <w:rPr>
                <w:sz w:val="20"/>
                <w:szCs w:val="20"/>
                <w:color w:val="auto"/>
              </w:rPr>
            </w:pPr>
            <w:r>
              <w:rPr>
                <w:rFonts w:ascii="Arial" w:cs="Arial" w:eastAsia="Arial" w:hAnsi="Arial"/>
                <w:sz w:val="14"/>
                <w:szCs w:val="14"/>
                <w:color w:val="auto"/>
              </w:rPr>
              <w:t>Investments</w:t>
            </w:r>
          </w:p>
        </w:tc>
        <w:tc>
          <w:tcPr>
            <w:tcW w:w="1140" w:type="dxa"/>
            <w:vAlign w:val="bottom"/>
            <w:vMerge w:val="restart"/>
          </w:tcPr>
          <w:p>
            <w:pPr>
              <w:jc w:val="right"/>
              <w:ind w:right="88"/>
              <w:spacing w:after="0"/>
              <w:rPr>
                <w:sz w:val="20"/>
                <w:szCs w:val="20"/>
                <w:color w:val="auto"/>
              </w:rPr>
            </w:pPr>
            <w:r>
              <w:rPr>
                <w:rFonts w:ascii="Arial" w:cs="Arial" w:eastAsia="Arial" w:hAnsi="Arial"/>
                <w:sz w:val="14"/>
                <w:szCs w:val="14"/>
                <w:color w:val="auto"/>
              </w:rPr>
              <w:t>(6,075,070)</w:t>
            </w: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(0.27)</w:t>
            </w:r>
          </w:p>
        </w:tc>
        <w:tc>
          <w:tcPr>
            <w:tcW w:w="1020" w:type="dxa"/>
            <w:vAlign w:val="bottom"/>
            <w:vMerge w:val="restart"/>
          </w:tcPr>
          <w:p>
            <w:pPr>
              <w:jc w:val="right"/>
              <w:ind w:right="128"/>
              <w:spacing w:after="0"/>
              <w:rPr>
                <w:sz w:val="20"/>
                <w:szCs w:val="20"/>
                <w:color w:val="auto"/>
              </w:rPr>
            </w:pPr>
            <w:r>
              <w:rPr>
                <w:rFonts w:ascii="Arial" w:cs="Arial" w:eastAsia="Arial" w:hAnsi="Arial"/>
                <w:sz w:val="14"/>
                <w:szCs w:val="14"/>
                <w:color w:val="auto"/>
              </w:rPr>
              <w:t>13,218,403</w:t>
            </w:r>
          </w:p>
        </w:tc>
        <w:tc>
          <w:tcPr>
            <w:tcW w:w="620" w:type="dxa"/>
            <w:vAlign w:val="bottom"/>
            <w:vMerge w:val="restart"/>
          </w:tcPr>
          <w:p>
            <w:pPr>
              <w:jc w:val="right"/>
              <w:ind w:right="88"/>
              <w:spacing w:after="0"/>
              <w:rPr>
                <w:sz w:val="20"/>
                <w:szCs w:val="20"/>
                <w:color w:val="auto"/>
              </w:rPr>
            </w:pPr>
            <w:r>
              <w:rPr>
                <w:rFonts w:ascii="Arial" w:cs="Arial" w:eastAsia="Arial" w:hAnsi="Arial"/>
                <w:sz w:val="14"/>
                <w:szCs w:val="14"/>
                <w:color w:val="auto"/>
              </w:rPr>
              <w:t>0.68</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(19,293,473)</w:t>
            </w:r>
          </w:p>
        </w:tc>
        <w:tc>
          <w:tcPr>
            <w:tcW w:w="0" w:type="dxa"/>
            <w:vAlign w:val="bottom"/>
          </w:tcPr>
          <w:p>
            <w:pPr>
              <w:spacing w:after="0"/>
              <w:rPr>
                <w:sz w:val="1"/>
                <w:szCs w:val="1"/>
                <w:color w:val="auto"/>
              </w:rPr>
            </w:pPr>
          </w:p>
        </w:tc>
      </w:tr>
      <w:tr>
        <w:trPr>
          <w:trHeight w:val="95"/>
        </w:trPr>
        <w:tc>
          <w:tcPr>
            <w:tcW w:w="244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17"/>
        </w:trPr>
        <w:tc>
          <w:tcPr>
            <w:tcW w:w="2440" w:type="dxa"/>
            <w:vAlign w:val="bottom"/>
          </w:tcPr>
          <w:p>
            <w:pPr>
              <w:spacing w:after="0"/>
              <w:rPr>
                <w:sz w:val="20"/>
                <w:szCs w:val="20"/>
                <w:color w:val="auto"/>
              </w:rPr>
            </w:pPr>
            <w:r>
              <w:rPr>
                <w:rFonts w:ascii="Arial" w:cs="Arial" w:eastAsia="Arial" w:hAnsi="Arial"/>
                <w:sz w:val="14"/>
                <w:szCs w:val="14"/>
                <w:color w:val="auto"/>
              </w:rPr>
              <w:t>Provision for taxes on Net Realized</w:t>
            </w: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440" w:type="dxa"/>
            <w:vAlign w:val="bottom"/>
          </w:tcPr>
          <w:p>
            <w:pPr>
              <w:ind w:left="180"/>
              <w:spacing w:after="0"/>
              <w:rPr>
                <w:sz w:val="20"/>
                <w:szCs w:val="20"/>
                <w:color w:val="auto"/>
              </w:rPr>
            </w:pPr>
            <w:r>
              <w:rPr>
                <w:rFonts w:ascii="Arial" w:cs="Arial" w:eastAsia="Arial" w:hAnsi="Arial"/>
                <w:sz w:val="14"/>
                <w:szCs w:val="14"/>
                <w:color w:val="auto"/>
              </w:rPr>
              <w:t>Capital Gains</w:t>
            </w:r>
          </w:p>
        </w:tc>
        <w:tc>
          <w:tcPr>
            <w:tcW w:w="114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88"/>
              <w:spacing w:after="0"/>
              <w:rPr>
                <w:sz w:val="20"/>
                <w:szCs w:val="20"/>
                <w:color w:val="auto"/>
              </w:rPr>
            </w:pPr>
            <w:r>
              <w:rPr>
                <w:rFonts w:ascii="Arial" w:cs="Arial" w:eastAsia="Arial" w:hAnsi="Arial"/>
                <w:sz w:val="14"/>
                <w:szCs w:val="14"/>
                <w:color w:val="auto"/>
              </w:rPr>
              <w:t>(5,397,074)</w:t>
            </w:r>
          </w:p>
        </w:tc>
        <w:tc>
          <w:tcPr>
            <w:tcW w:w="620" w:type="dxa"/>
            <w:vAlign w:val="bottom"/>
            <w:vMerge w:val="restart"/>
          </w:tcPr>
          <w:p>
            <w:pPr>
              <w:jc w:val="right"/>
              <w:ind w:right="28"/>
              <w:spacing w:after="0"/>
              <w:rPr>
                <w:sz w:val="20"/>
                <w:szCs w:val="20"/>
                <w:color w:val="auto"/>
              </w:rPr>
            </w:pPr>
            <w:r>
              <w:rPr>
                <w:rFonts w:ascii="Arial" w:cs="Arial" w:eastAsia="Arial" w:hAnsi="Arial"/>
                <w:sz w:val="14"/>
                <w:szCs w:val="14"/>
                <w:color w:val="auto"/>
              </w:rPr>
              <w:t>(0.28)</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5,397,074</w:t>
            </w:r>
          </w:p>
        </w:tc>
        <w:tc>
          <w:tcPr>
            <w:tcW w:w="0" w:type="dxa"/>
            <w:vAlign w:val="bottom"/>
          </w:tcPr>
          <w:p>
            <w:pPr>
              <w:spacing w:after="0"/>
              <w:rPr>
                <w:sz w:val="1"/>
                <w:szCs w:val="1"/>
                <w:color w:val="auto"/>
              </w:rPr>
            </w:pPr>
          </w:p>
        </w:tc>
      </w:tr>
      <w:tr>
        <w:trPr>
          <w:trHeight w:val="54"/>
        </w:trPr>
        <w:tc>
          <w:tcPr>
            <w:tcW w:w="244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55"/>
        </w:trPr>
        <w:tc>
          <w:tcPr>
            <w:tcW w:w="2440" w:type="dxa"/>
            <w:vAlign w:val="bottom"/>
          </w:tcPr>
          <w:p>
            <w:pPr>
              <w:spacing w:after="0"/>
              <w:rPr>
                <w:sz w:val="20"/>
                <w:szCs w:val="20"/>
                <w:color w:val="auto"/>
              </w:rPr>
            </w:pPr>
            <w:r>
              <w:rPr>
                <w:rFonts w:ascii="Arial" w:cs="Arial" w:eastAsia="Arial" w:hAnsi="Arial"/>
                <w:sz w:val="14"/>
                <w:szCs w:val="14"/>
                <w:color w:val="auto"/>
              </w:rPr>
              <w:t>Net change in Unrealized</w:t>
            </w: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440" w:type="dxa"/>
            <w:vAlign w:val="bottom"/>
          </w:tcPr>
          <w:p>
            <w:pPr>
              <w:ind w:left="180"/>
              <w:spacing w:after="0" w:line="149" w:lineRule="exact"/>
              <w:rPr>
                <w:sz w:val="20"/>
                <w:szCs w:val="20"/>
                <w:color w:val="auto"/>
              </w:rPr>
            </w:pPr>
            <w:r>
              <w:rPr>
                <w:rFonts w:ascii="Arial" w:cs="Arial" w:eastAsia="Arial" w:hAnsi="Arial"/>
                <w:sz w:val="14"/>
                <w:szCs w:val="14"/>
                <w:color w:val="auto"/>
              </w:rPr>
              <w:t>Appreciation/(Depreciation) of</w:t>
            </w:r>
          </w:p>
        </w:tc>
        <w:tc>
          <w:tcPr>
            <w:tcW w:w="1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440" w:type="dxa"/>
            <w:vAlign w:val="bottom"/>
          </w:tcPr>
          <w:p>
            <w:pPr>
              <w:ind w:left="180"/>
              <w:spacing w:after="0"/>
              <w:rPr>
                <w:sz w:val="20"/>
                <w:szCs w:val="20"/>
                <w:color w:val="auto"/>
              </w:rPr>
            </w:pPr>
            <w:r>
              <w:rPr>
                <w:rFonts w:ascii="Arial" w:cs="Arial" w:eastAsia="Arial" w:hAnsi="Arial"/>
                <w:sz w:val="14"/>
                <w:szCs w:val="14"/>
                <w:color w:val="auto"/>
              </w:rPr>
              <w:t>Investments</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(19,421,001)</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(0.87)</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27,784,081</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1.44</w:t>
            </w:r>
          </w:p>
        </w:tc>
        <w:tc>
          <w:tcPr>
            <w:tcW w:w="940" w:type="dxa"/>
            <w:vAlign w:val="bottom"/>
          </w:tcPr>
          <w:p>
            <w:pPr>
              <w:jc w:val="right"/>
              <w:spacing w:after="0"/>
              <w:rPr>
                <w:sz w:val="20"/>
                <w:szCs w:val="20"/>
                <w:color w:val="auto"/>
              </w:rPr>
            </w:pPr>
            <w:r>
              <w:rPr>
                <w:rFonts w:ascii="Arial" w:cs="Arial" w:eastAsia="Arial" w:hAnsi="Arial"/>
                <w:sz w:val="14"/>
                <w:szCs w:val="14"/>
                <w:color w:val="auto"/>
              </w:rPr>
              <w:t>(47,205,082)</w:t>
            </w:r>
          </w:p>
        </w:tc>
        <w:tc>
          <w:tcPr>
            <w:tcW w:w="0" w:type="dxa"/>
            <w:vAlign w:val="bottom"/>
          </w:tcPr>
          <w:p>
            <w:pPr>
              <w:spacing w:after="0"/>
              <w:rPr>
                <w:sz w:val="1"/>
                <w:szCs w:val="1"/>
                <w:color w:val="auto"/>
              </w:rPr>
            </w:pPr>
          </w:p>
        </w:tc>
      </w:tr>
      <w:tr>
        <w:trPr>
          <w:trHeight w:val="561"/>
        </w:trPr>
        <w:tc>
          <w:tcPr>
            <w:tcW w:w="2440" w:type="dxa"/>
            <w:vAlign w:val="bottom"/>
          </w:tcPr>
          <w:p>
            <w:pPr>
              <w:spacing w:after="0"/>
              <w:rPr>
                <w:sz w:val="20"/>
                <w:szCs w:val="20"/>
                <w:color w:val="auto"/>
              </w:rPr>
            </w:pPr>
            <w:r>
              <w:rPr>
                <w:rFonts w:ascii="Arial" w:cs="Arial" w:eastAsia="Arial" w:hAnsi="Arial"/>
                <w:sz w:val="14"/>
                <w:szCs w:val="14"/>
                <w:color w:val="auto"/>
              </w:rPr>
              <w:t>Provision for taxes on Unrealized</w:t>
            </w: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440" w:type="dxa"/>
            <w:vAlign w:val="bottom"/>
          </w:tcPr>
          <w:p>
            <w:pPr>
              <w:ind w:left="180"/>
              <w:spacing w:after="0"/>
              <w:rPr>
                <w:sz w:val="20"/>
                <w:szCs w:val="20"/>
                <w:color w:val="auto"/>
              </w:rPr>
            </w:pPr>
            <w:r>
              <w:rPr>
                <w:rFonts w:ascii="Arial" w:cs="Arial" w:eastAsia="Arial" w:hAnsi="Arial"/>
                <w:sz w:val="14"/>
                <w:szCs w:val="14"/>
                <w:color w:val="auto"/>
              </w:rPr>
              <w:t>Appreciation of Investments</w:t>
            </w:r>
          </w:p>
        </w:tc>
        <w:tc>
          <w:tcPr>
            <w:tcW w:w="114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88"/>
              <w:spacing w:after="0"/>
              <w:rPr>
                <w:sz w:val="20"/>
                <w:szCs w:val="20"/>
                <w:color w:val="auto"/>
              </w:rPr>
            </w:pPr>
            <w:r>
              <w:rPr>
                <w:rFonts w:ascii="Arial" w:cs="Arial" w:eastAsia="Arial" w:hAnsi="Arial"/>
                <w:sz w:val="14"/>
                <w:szCs w:val="14"/>
                <w:color w:val="auto"/>
              </w:rPr>
              <w:t>(11,370,993)</w:t>
            </w:r>
          </w:p>
        </w:tc>
        <w:tc>
          <w:tcPr>
            <w:tcW w:w="620" w:type="dxa"/>
            <w:vAlign w:val="bottom"/>
            <w:vMerge w:val="restart"/>
          </w:tcPr>
          <w:p>
            <w:pPr>
              <w:jc w:val="right"/>
              <w:ind w:right="28"/>
              <w:spacing w:after="0"/>
              <w:rPr>
                <w:sz w:val="20"/>
                <w:szCs w:val="20"/>
                <w:color w:val="auto"/>
              </w:rPr>
            </w:pPr>
            <w:r>
              <w:rPr>
                <w:rFonts w:ascii="Arial" w:cs="Arial" w:eastAsia="Arial" w:hAnsi="Arial"/>
                <w:sz w:val="14"/>
                <w:szCs w:val="14"/>
                <w:color w:val="auto"/>
              </w:rPr>
              <w:t>(0.59)</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11,370,993</w:t>
            </w:r>
          </w:p>
        </w:tc>
        <w:tc>
          <w:tcPr>
            <w:tcW w:w="0" w:type="dxa"/>
            <w:vAlign w:val="bottom"/>
          </w:tcPr>
          <w:p>
            <w:pPr>
              <w:spacing w:after="0"/>
              <w:rPr>
                <w:sz w:val="1"/>
                <w:szCs w:val="1"/>
                <w:color w:val="auto"/>
              </w:rPr>
            </w:pPr>
          </w:p>
        </w:tc>
      </w:tr>
      <w:tr>
        <w:trPr>
          <w:trHeight w:val="54"/>
        </w:trPr>
        <w:tc>
          <w:tcPr>
            <w:tcW w:w="244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55"/>
        </w:trPr>
        <w:tc>
          <w:tcPr>
            <w:tcW w:w="2440" w:type="dxa"/>
            <w:vAlign w:val="bottom"/>
          </w:tcPr>
          <w:p>
            <w:pPr>
              <w:spacing w:after="0"/>
              <w:rPr>
                <w:sz w:val="20"/>
                <w:szCs w:val="20"/>
                <w:color w:val="auto"/>
              </w:rPr>
            </w:pPr>
            <w:r>
              <w:rPr>
                <w:rFonts w:ascii="Arial" w:cs="Arial" w:eastAsia="Arial" w:hAnsi="Arial"/>
                <w:sz w:val="14"/>
                <w:szCs w:val="14"/>
                <w:color w:val="auto"/>
              </w:rPr>
              <w:t>Net Increase/(Decrease) in Net Assets</w:t>
            </w: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440" w:type="dxa"/>
            <w:vAlign w:val="bottom"/>
          </w:tcPr>
          <w:p>
            <w:pPr>
              <w:ind w:left="180"/>
              <w:spacing w:after="0"/>
              <w:rPr>
                <w:sz w:val="20"/>
                <w:szCs w:val="20"/>
                <w:color w:val="auto"/>
              </w:rPr>
            </w:pPr>
            <w:r>
              <w:rPr>
                <w:rFonts w:ascii="Arial" w:cs="Arial" w:eastAsia="Arial" w:hAnsi="Arial"/>
                <w:sz w:val="14"/>
                <w:szCs w:val="14"/>
                <w:color w:val="auto"/>
              </w:rPr>
              <w:t>Resulting from Operations</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$(24,949,064)</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$(1.12)</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$16,664,622</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$0.86</w:t>
            </w:r>
          </w:p>
        </w:tc>
        <w:tc>
          <w:tcPr>
            <w:tcW w:w="940" w:type="dxa"/>
            <w:vAlign w:val="bottom"/>
          </w:tcPr>
          <w:p>
            <w:pPr>
              <w:jc w:val="right"/>
              <w:spacing w:after="0"/>
              <w:rPr>
                <w:sz w:val="20"/>
                <w:szCs w:val="20"/>
                <w:color w:val="auto"/>
              </w:rPr>
            </w:pPr>
            <w:r>
              <w:rPr>
                <w:rFonts w:ascii="Arial" w:cs="Arial" w:eastAsia="Arial" w:hAnsi="Arial"/>
                <w:sz w:val="14"/>
                <w:szCs w:val="14"/>
                <w:color w:val="auto"/>
              </w:rPr>
              <w:t>$(41,613,686)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Explanation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2540</wp:posOffset>
            </wp:positionV>
            <wp:extent cx="172402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724025" cy="889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-434340</wp:posOffset>
            </wp:positionV>
            <wp:extent cx="172402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724025" cy="889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-339725</wp:posOffset>
            </wp:positionV>
            <wp:extent cx="172402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ind w:right="399"/>
        <w:spacing w:after="0" w:line="221" w:lineRule="auto"/>
        <w:rPr>
          <w:sz w:val="20"/>
          <w:szCs w:val="20"/>
          <w:color w:val="auto"/>
        </w:rPr>
      </w:pPr>
      <w:r>
        <w:rPr>
          <w:rFonts w:ascii="Arial" w:cs="Arial" w:eastAsia="Arial" w:hAnsi="Arial"/>
          <w:sz w:val="14"/>
          <w:szCs w:val="14"/>
          <w:color w:val="auto"/>
        </w:rPr>
        <w:t>Investment income increased due primarily to the addition of new term loans to Fullbridge, Inc. and NestGSV, Inc. (d/b/a GSV Labs, Inc.).</w:t>
      </w:r>
    </w:p>
    <w:p>
      <w:pPr>
        <w:spacing w:after="0" w:line="1" w:lineRule="exact"/>
        <w:rPr>
          <w:sz w:val="20"/>
          <w:szCs w:val="20"/>
          <w:color w:val="auto"/>
        </w:rPr>
      </w:pPr>
    </w:p>
    <w:p>
      <w:pPr>
        <w:ind w:right="319"/>
        <w:spacing w:after="0"/>
        <w:rPr>
          <w:sz w:val="20"/>
          <w:szCs w:val="20"/>
          <w:color w:val="auto"/>
        </w:rPr>
      </w:pPr>
      <w:r>
        <w:rPr>
          <w:rFonts w:ascii="Arial" w:cs="Arial" w:eastAsia="Arial" w:hAnsi="Arial"/>
          <w:sz w:val="13"/>
          <w:szCs w:val="13"/>
          <w:color w:val="auto"/>
        </w:rPr>
        <w:t>Total operating expenses decreased for the three months ended March 31, 2016, as compared to the three months ended March 31, 2015, primarily due to the reversal during the quarter of previously accrued incentive fees, which resulted from net realized losses from the sales of our investments in Bloom Energy Corporation, Gilt Groupe Holdings, Inc. and Lyft Inc., and the unrealized depreciation of our portfolio investments in the aggregate. Costs under the Administration Agreement decreased due to lower general and administrative expenses, overhead allocation and travel expenses for the three months ended March 31, 2016, as compared to the three months ended March 31, 2015. Interest expense decreased due to lower average borrowings on the Credit Facility for the three months ended March 31, 2016, as compared to the three months ended March 31, 2015. Professional fees increased during the three months ended March 31, 2016, as compared to the three months ended March 31, 2015, primarily because of higher accounting fees incurred.</w:t>
      </w:r>
    </w:p>
    <w:p>
      <w:pPr>
        <w:spacing w:after="0" w:line="125" w:lineRule="exact"/>
        <w:rPr>
          <w:sz w:val="20"/>
          <w:szCs w:val="20"/>
          <w:color w:val="auto"/>
        </w:rPr>
      </w:pPr>
    </w:p>
    <w:p>
      <w:pPr>
        <w:ind w:right="619"/>
        <w:spacing w:after="0" w:line="221" w:lineRule="auto"/>
        <w:rPr>
          <w:sz w:val="20"/>
          <w:szCs w:val="20"/>
          <w:color w:val="auto"/>
        </w:rPr>
      </w:pPr>
      <w:r>
        <w:rPr>
          <w:rFonts w:ascii="Arial" w:cs="Arial" w:eastAsia="Arial" w:hAnsi="Arial"/>
          <w:sz w:val="14"/>
          <w:szCs w:val="14"/>
          <w:color w:val="auto"/>
        </w:rPr>
        <w:t>Benefit for taxes on net investment loss decreased between periods due to our election to be treated as a RIC, which resulted in no new tax provisions being accrued.</w:t>
      </w:r>
    </w:p>
    <w:p>
      <w:pPr>
        <w:spacing w:after="0" w:line="2" w:lineRule="exact"/>
        <w:rPr>
          <w:sz w:val="20"/>
          <w:szCs w:val="20"/>
          <w:color w:val="auto"/>
        </w:rPr>
      </w:pPr>
    </w:p>
    <w:p>
      <w:pPr>
        <w:ind w:right="459"/>
        <w:spacing w:after="0" w:line="226" w:lineRule="auto"/>
        <w:rPr>
          <w:sz w:val="20"/>
          <w:szCs w:val="20"/>
          <w:color w:val="auto"/>
        </w:rPr>
      </w:pPr>
      <w:r>
        <w:rPr>
          <w:rFonts w:ascii="Arial" w:cs="Arial" w:eastAsia="Arial" w:hAnsi="Arial"/>
          <w:sz w:val="14"/>
          <w:szCs w:val="14"/>
          <w:color w:val="auto"/>
        </w:rPr>
        <w:t>Our net investment income increased between periods primarily due to the large reversal of incentive fees and the fact that we accrued no new tax provision for the three months ended March 31, 2016, as discussed above.</w:t>
      </w:r>
    </w:p>
    <w:p>
      <w:pPr>
        <w:spacing w:after="0" w:line="118" w:lineRule="exact"/>
        <w:rPr>
          <w:sz w:val="20"/>
          <w:szCs w:val="20"/>
          <w:color w:val="auto"/>
        </w:rPr>
      </w:pPr>
    </w:p>
    <w:p>
      <w:pPr>
        <w:jc w:val="both"/>
        <w:ind w:right="519"/>
        <w:spacing w:after="0" w:line="296" w:lineRule="auto"/>
        <w:rPr>
          <w:sz w:val="20"/>
          <w:szCs w:val="20"/>
          <w:color w:val="auto"/>
        </w:rPr>
      </w:pPr>
      <w:r>
        <w:rPr>
          <w:rFonts w:ascii="Arial" w:cs="Arial" w:eastAsia="Arial" w:hAnsi="Arial"/>
          <w:sz w:val="12"/>
          <w:szCs w:val="12"/>
          <w:color w:val="auto"/>
        </w:rPr>
        <w:t>The components of our net realized gains and losses on investments are reflected in the tables on the previous page.</w:t>
      </w:r>
    </w:p>
    <w:p>
      <w:pPr>
        <w:spacing w:after="0" w:line="84" w:lineRule="exact"/>
        <w:rPr>
          <w:sz w:val="20"/>
          <w:szCs w:val="20"/>
          <w:color w:val="auto"/>
        </w:rPr>
      </w:pPr>
    </w:p>
    <w:p>
      <w:pPr>
        <w:ind w:right="359"/>
        <w:spacing w:after="0" w:line="231" w:lineRule="auto"/>
        <w:rPr>
          <w:sz w:val="20"/>
          <w:szCs w:val="20"/>
          <w:color w:val="auto"/>
        </w:rPr>
      </w:pPr>
      <w:r>
        <w:rPr>
          <w:rFonts w:ascii="Arial" w:cs="Arial" w:eastAsia="Arial" w:hAnsi="Arial"/>
          <w:sz w:val="14"/>
          <w:szCs w:val="14"/>
          <w:color w:val="auto"/>
        </w:rPr>
        <w:t>Our provision for taxes on net realized capital gains decreased between periods due to our election to be treated as a RIC, which resulted in no new tax provisions being accrued.</w:t>
      </w:r>
    </w:p>
    <w:p>
      <w:pPr>
        <w:spacing w:after="0" w:line="265" w:lineRule="exact"/>
        <w:rPr>
          <w:sz w:val="20"/>
          <w:szCs w:val="20"/>
          <w:color w:val="auto"/>
        </w:rPr>
      </w:pPr>
    </w:p>
    <w:p>
      <w:pPr>
        <w:ind w:right="359"/>
        <w:spacing w:after="0" w:line="256" w:lineRule="auto"/>
        <w:rPr>
          <w:sz w:val="20"/>
          <w:szCs w:val="20"/>
          <w:color w:val="auto"/>
        </w:rPr>
      </w:pPr>
      <w:r>
        <w:rPr>
          <w:rFonts w:ascii="Arial" w:cs="Arial" w:eastAsia="Arial" w:hAnsi="Arial"/>
          <w:sz w:val="13"/>
          <w:szCs w:val="13"/>
          <w:color w:val="auto"/>
        </w:rPr>
        <w:t>The components of our net change between periods in unrealized appreciation/ (deprecation) of investments are reflected in the table below.</w:t>
      </w:r>
    </w:p>
    <w:p>
      <w:pPr>
        <w:spacing w:after="0" w:line="105" w:lineRule="exact"/>
        <w:rPr>
          <w:sz w:val="20"/>
          <w:szCs w:val="20"/>
          <w:color w:val="auto"/>
        </w:rPr>
      </w:pPr>
    </w:p>
    <w:p>
      <w:pPr>
        <w:ind w:right="359"/>
        <w:spacing w:after="0" w:line="231" w:lineRule="auto"/>
        <w:rPr>
          <w:sz w:val="20"/>
          <w:szCs w:val="20"/>
          <w:color w:val="auto"/>
        </w:rPr>
      </w:pPr>
      <w:r>
        <w:rPr>
          <w:rFonts w:ascii="Arial" w:cs="Arial" w:eastAsia="Arial" w:hAnsi="Arial"/>
          <w:sz w:val="14"/>
          <w:szCs w:val="14"/>
          <w:color w:val="auto"/>
        </w:rPr>
        <w:t>Our provision for taxes on net change in unrealized appreciation decreased between periods due to our election to be treated as a RIC, which resulted in no new tax provisions being accrued.</w:t>
      </w:r>
    </w:p>
    <w:p>
      <w:pPr>
        <w:spacing w:after="0" w:line="498" w:lineRule="exact"/>
        <w:rPr>
          <w:sz w:val="20"/>
          <w:szCs w:val="20"/>
          <w:color w:val="auto"/>
        </w:rPr>
      </w:pPr>
    </w:p>
    <w:p>
      <w:pPr>
        <w:sectPr>
          <w:pgSz w:w="11900" w:h="16838" w:orient="portrait"/>
          <w:cols w:equalWidth="0" w:num="2">
            <w:col w:w="7060" w:space="120"/>
            <w:col w:w="2899"/>
          </w:cols>
          <w:pgMar w:left="380" w:top="792" w:right="1440" w:bottom="1440" w:gutter="0" w:footer="0" w:header="0"/>
        </w:sectPr>
      </w:pPr>
    </w:p>
    <w:p>
      <w:pPr>
        <w:spacing w:after="0" w:line="324"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120015</wp:posOffset>
            </wp:positionV>
            <wp:extent cx="6114415" cy="596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type w:val="continuous"/>
        </w:sectPr>
      </w:pPr>
    </w:p>
    <w:bookmarkStart w:id="45" w:name="page46"/>
    <w:bookmarkEnd w:id="45"/>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143510</wp:posOffset>
            </wp:positionV>
            <wp:extent cx="6172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300" w:right="539" w:hanging="272"/>
        <w:spacing w:after="0" w:line="277" w:lineRule="auto"/>
        <w:tabs>
          <w:tab w:leader="none" w:pos="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per-share figures are based on weighted averages of 22,181,003 and 19,320,100 shares of common stock outstanding for the three months ended March 31, 2016 and 2015, respectively.</w:t>
      </w:r>
    </w:p>
    <w:p>
      <w:pPr>
        <w:spacing w:after="0" w:line="10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Change in Unrealized Appreciation/(Depreciation) of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23495</wp:posOffset>
            </wp:positionV>
            <wp:extent cx="521398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Change in</w:t>
            </w:r>
          </w:p>
        </w:tc>
        <w:tc>
          <w:tcPr>
            <w:tcW w:w="100" w:type="dxa"/>
            <w:vAlign w:val="bottom"/>
          </w:tcPr>
          <w:p>
            <w:pPr>
              <w:spacing w:after="0"/>
              <w:rPr>
                <w:sz w:val="14"/>
                <w:szCs w:val="14"/>
                <w:color w:val="auto"/>
              </w:rPr>
            </w:pPr>
          </w:p>
        </w:tc>
        <w:tc>
          <w:tcPr>
            <w:tcW w:w="2780" w:type="dxa"/>
            <w:vAlign w:val="bottom"/>
            <w:gridSpan w:val="8"/>
          </w:tcPr>
          <w:p>
            <w:pPr>
              <w:jc w:val="center"/>
              <w:ind w:right="160"/>
              <w:spacing w:after="0"/>
              <w:rPr>
                <w:sz w:val="20"/>
                <w:szCs w:val="20"/>
                <w:color w:val="auto"/>
              </w:rPr>
            </w:pPr>
            <w:r>
              <w:rPr>
                <w:rFonts w:ascii="Arial" w:cs="Arial" w:eastAsia="Arial" w:hAnsi="Arial"/>
                <w:sz w:val="14"/>
                <w:szCs w:val="14"/>
                <w:b w:val="1"/>
                <w:bCs w:val="1"/>
                <w:color w:val="auto"/>
                <w:w w:val="95"/>
              </w:rPr>
              <w:t>March 31, 2016 (Unaudited)</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w w:val="91"/>
              </w:rPr>
              <w:t>December 31, 2015</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gridSpan w:val="3"/>
          </w:tcPr>
          <w:p>
            <w:pPr>
              <w:jc w:val="center"/>
              <w:ind w:right="80"/>
              <w:spacing w:after="0" w:line="119" w:lineRule="exact"/>
              <w:rPr>
                <w:sz w:val="20"/>
                <w:szCs w:val="20"/>
                <w:color w:val="auto"/>
              </w:rPr>
            </w:pPr>
            <w:r>
              <w:rPr>
                <w:rFonts w:ascii="Arial" w:cs="Arial" w:eastAsia="Arial" w:hAnsi="Arial"/>
                <w:sz w:val="13"/>
                <w:szCs w:val="13"/>
                <w:b w:val="1"/>
                <w:bCs w:val="1"/>
                <w:color w:val="auto"/>
              </w:rPr>
              <w:t>Unrealized</w:t>
            </w: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Unrealized</w:t>
            </w: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Unrealized</w:t>
            </w:r>
          </w:p>
        </w:tc>
        <w:tc>
          <w:tcPr>
            <w:tcW w:w="0" w:type="dxa"/>
            <w:vAlign w:val="bottom"/>
          </w:tcPr>
          <w:p>
            <w:pPr>
              <w:spacing w:after="0"/>
              <w:rPr>
                <w:sz w:val="1"/>
                <w:szCs w:val="1"/>
                <w:color w:val="auto"/>
              </w:rPr>
            </w:pPr>
          </w:p>
        </w:tc>
      </w:tr>
      <w:tr>
        <w:trPr>
          <w:trHeight w:val="149"/>
        </w:trPr>
        <w:tc>
          <w:tcPr>
            <w:tcW w:w="15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9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00" w:type="dxa"/>
            <w:vAlign w:val="bottom"/>
          </w:tcPr>
          <w:p>
            <w:pPr>
              <w:spacing w:after="0"/>
              <w:rPr>
                <w:sz w:val="12"/>
                <w:szCs w:val="12"/>
                <w:color w:val="auto"/>
              </w:rPr>
            </w:pPr>
          </w:p>
        </w:tc>
        <w:tc>
          <w:tcPr>
            <w:tcW w:w="7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Fair Value</w:t>
            </w:r>
          </w:p>
        </w:tc>
        <w:tc>
          <w:tcPr>
            <w:tcW w:w="140" w:type="dxa"/>
            <w:vAlign w:val="bottom"/>
          </w:tcPr>
          <w:p>
            <w:pPr>
              <w:spacing w:after="0"/>
              <w:rPr>
                <w:sz w:val="12"/>
                <w:szCs w:val="12"/>
                <w:color w:val="auto"/>
              </w:rPr>
            </w:pPr>
          </w:p>
        </w:tc>
        <w:tc>
          <w:tcPr>
            <w:tcW w:w="9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Appreciation/</w:t>
            </w:r>
          </w:p>
        </w:tc>
        <w:tc>
          <w:tcPr>
            <w:tcW w:w="80" w:type="dxa"/>
            <w:vAlign w:val="bottom"/>
          </w:tcPr>
          <w:p>
            <w:pPr>
              <w:spacing w:after="0"/>
              <w:rPr>
                <w:sz w:val="12"/>
                <w:szCs w:val="12"/>
                <w:color w:val="auto"/>
              </w:rPr>
            </w:pPr>
          </w:p>
        </w:tc>
        <w:tc>
          <w:tcPr>
            <w:tcW w:w="7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0" w:type="dxa"/>
            <w:vAlign w:val="bottom"/>
          </w:tcPr>
          <w:p>
            <w:pPr>
              <w:spacing w:after="0"/>
              <w:rPr>
                <w:sz w:val="1"/>
                <w:szCs w:val="1"/>
                <w:color w:val="auto"/>
              </w:rPr>
            </w:pPr>
          </w:p>
        </w:tc>
      </w:tr>
      <w:tr>
        <w:trPr>
          <w:trHeight w:val="171"/>
        </w:trPr>
        <w:tc>
          <w:tcPr>
            <w:tcW w:w="1560" w:type="dxa"/>
            <w:vAlign w:val="bottom"/>
            <w:gridSpan w:val="3"/>
            <w:vMerge w:val="continue"/>
          </w:tcPr>
          <w:p>
            <w:pPr>
              <w:spacing w:after="0"/>
              <w:rPr>
                <w:sz w:val="14"/>
                <w:szCs w:val="14"/>
                <w:color w:val="auto"/>
              </w:rPr>
            </w:pPr>
          </w:p>
        </w:tc>
        <w:tc>
          <w:tcPr>
            <w:tcW w:w="9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(Depreciation)</w:t>
            </w: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(Depreciation)</w:t>
            </w: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(Depreciation)</w:t>
            </w:r>
          </w:p>
        </w:tc>
        <w:tc>
          <w:tcPr>
            <w:tcW w:w="0" w:type="dxa"/>
            <w:vAlign w:val="bottom"/>
          </w:tcPr>
          <w:p>
            <w:pPr>
              <w:spacing w:after="0"/>
              <w:rPr>
                <w:sz w:val="1"/>
                <w:szCs w:val="1"/>
                <w:color w:val="auto"/>
              </w:rPr>
            </w:pPr>
          </w:p>
        </w:tc>
      </w:tr>
      <w:tr>
        <w:trPr>
          <w:trHeight w:val="123"/>
        </w:trPr>
        <w:tc>
          <w:tcPr>
            <w:tcW w:w="1560" w:type="dxa"/>
            <w:vAlign w:val="bottom"/>
            <w:tcBorders>
              <w:top w:val="single" w:sz="8" w:color="auto"/>
            </w:tcBorders>
            <w:gridSpan w:val="3"/>
          </w:tcPr>
          <w:p>
            <w:pPr>
              <w:ind w:left="20"/>
              <w:spacing w:after="0" w:line="123" w:lineRule="exact"/>
              <w:rPr>
                <w:sz w:val="20"/>
                <w:szCs w:val="20"/>
                <w:color w:val="auto"/>
              </w:rPr>
            </w:pPr>
            <w:r>
              <w:rPr>
                <w:rFonts w:ascii="Arial" w:cs="Arial" w:eastAsia="Arial" w:hAnsi="Arial"/>
                <w:sz w:val="14"/>
                <w:szCs w:val="14"/>
                <w:color w:val="auto"/>
              </w:rPr>
              <w:t>Palantir Technologies,</w:t>
            </w:r>
          </w:p>
        </w:tc>
        <w:tc>
          <w:tcPr>
            <w:tcW w:w="7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40" w:type="dxa"/>
            <w:vAlign w:val="bottom"/>
            <w:gridSpan w:val="2"/>
          </w:tcPr>
          <w:p>
            <w:pPr>
              <w:ind w:left="180"/>
              <w:spacing w:after="0"/>
              <w:rPr>
                <w:sz w:val="20"/>
                <w:szCs w:val="20"/>
                <w:color w:val="auto"/>
              </w:rPr>
            </w:pPr>
            <w:r>
              <w:rPr>
                <w:rFonts w:ascii="Arial" w:cs="Arial" w:eastAsia="Arial" w:hAnsi="Arial"/>
                <w:sz w:val="14"/>
                <w:szCs w:val="14"/>
                <w:color w:val="auto"/>
              </w:rPr>
              <w:t>Inc.</w:t>
            </w: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w w:val="90"/>
              </w:rPr>
              <w:t>$ (10,236,707)</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w w:val="99"/>
              </w:rPr>
              <w:t>17,198,903</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w w:val="99"/>
              </w:rPr>
              <w:t>46,116,541</w:t>
            </w:r>
          </w:p>
        </w:tc>
        <w:tc>
          <w:tcPr>
            <w:tcW w:w="1040" w:type="dxa"/>
            <w:vAlign w:val="bottom"/>
            <w:gridSpan w:val="3"/>
          </w:tcPr>
          <w:p>
            <w:pPr>
              <w:jc w:val="right"/>
              <w:ind w:right="120"/>
              <w:spacing w:after="0"/>
              <w:rPr>
                <w:sz w:val="20"/>
                <w:szCs w:val="20"/>
                <w:color w:val="auto"/>
              </w:rPr>
            </w:pPr>
            <w:r>
              <w:rPr>
                <w:rFonts w:ascii="Arial" w:cs="Arial" w:eastAsia="Arial" w:hAnsi="Arial"/>
                <w:sz w:val="14"/>
                <w:szCs w:val="14"/>
                <w:color w:val="auto"/>
              </w:rPr>
              <w:t>$ 28,917,638</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4"/>
                <w:szCs w:val="14"/>
                <w:color w:val="auto"/>
                <w:w w:val="99"/>
              </w:rPr>
              <w:t>17,198,903</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56,353,248</w:t>
            </w:r>
          </w:p>
        </w:tc>
        <w:tc>
          <w:tcPr>
            <w:tcW w:w="1060" w:type="dxa"/>
            <w:vAlign w:val="bottom"/>
            <w:gridSpan w:val="3"/>
          </w:tcPr>
          <w:p>
            <w:pPr>
              <w:jc w:val="right"/>
              <w:ind w:right="120"/>
              <w:spacing w:after="0"/>
              <w:rPr>
                <w:sz w:val="20"/>
                <w:szCs w:val="20"/>
                <w:color w:val="auto"/>
              </w:rPr>
            </w:pPr>
            <w:r>
              <w:rPr>
                <w:rFonts w:ascii="Arial" w:cs="Arial" w:eastAsia="Arial" w:hAnsi="Arial"/>
                <w:sz w:val="14"/>
                <w:szCs w:val="14"/>
                <w:color w:val="auto"/>
              </w:rPr>
              <w:t>$ 39,154,345</w:t>
            </w:r>
          </w:p>
        </w:tc>
        <w:tc>
          <w:tcPr>
            <w:tcW w:w="0" w:type="dxa"/>
            <w:vAlign w:val="bottom"/>
          </w:tcPr>
          <w:p>
            <w:pPr>
              <w:spacing w:after="0"/>
              <w:rPr>
                <w:sz w:val="1"/>
                <w:szCs w:val="1"/>
                <w:color w:val="auto"/>
              </w:rPr>
            </w:pPr>
          </w:p>
        </w:tc>
      </w:tr>
      <w:tr>
        <w:trPr>
          <w:trHeight w:val="130"/>
        </w:trPr>
        <w:tc>
          <w:tcPr>
            <w:tcW w:w="1560" w:type="dxa"/>
            <w:vAlign w:val="bottom"/>
            <w:tcBorders>
              <w:right w:val="single" w:sz="8" w:color="CCEEFF"/>
            </w:tcBorders>
            <w:gridSpan w:val="3"/>
            <w:shd w:val="clear" w:color="auto" w:fill="CCEEFF"/>
          </w:tcPr>
          <w:p>
            <w:pPr>
              <w:ind w:left="20"/>
              <w:spacing w:after="0" w:line="130" w:lineRule="exact"/>
              <w:rPr>
                <w:sz w:val="20"/>
                <w:szCs w:val="20"/>
                <w:color w:val="auto"/>
              </w:rPr>
            </w:pPr>
            <w:r>
              <w:rPr>
                <w:rFonts w:ascii="Arial" w:cs="Arial" w:eastAsia="Arial" w:hAnsi="Arial"/>
                <w:sz w:val="14"/>
                <w:szCs w:val="14"/>
                <w:color w:val="auto"/>
              </w:rPr>
              <w:t>Gilt Groupe Holdings,</w:t>
            </w: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15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Inc.</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6,055,046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spacing w:after="0"/>
              <w:rPr>
                <w:sz w:val="14"/>
                <w:szCs w:val="14"/>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6,594,433</w:t>
            </w:r>
          </w:p>
        </w:tc>
        <w:tc>
          <w:tcPr>
            <w:tcW w:w="14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539,387</w:t>
            </w:r>
          </w:p>
        </w:tc>
        <w:tc>
          <w:tcPr>
            <w:tcW w:w="106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(6,055,046)</w:t>
            </w:r>
          </w:p>
        </w:tc>
        <w:tc>
          <w:tcPr>
            <w:tcW w:w="0" w:type="dxa"/>
            <w:vAlign w:val="bottom"/>
          </w:tcPr>
          <w:p>
            <w:pPr>
              <w:spacing w:after="0"/>
              <w:rPr>
                <w:sz w:val="1"/>
                <w:szCs w:val="1"/>
                <w:color w:val="auto"/>
              </w:rPr>
            </w:pPr>
          </w:p>
        </w:tc>
      </w:tr>
      <w:tr>
        <w:trPr>
          <w:trHeight w:val="149"/>
        </w:trPr>
        <w:tc>
          <w:tcPr>
            <w:tcW w:w="15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Stormwind, LLC</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1,032,647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6,130,474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9"/>
              </w:rPr>
              <w:t>10,783,593</w:t>
            </w:r>
          </w:p>
        </w:tc>
        <w:tc>
          <w:tcPr>
            <w:tcW w:w="10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4,653,119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6,130,474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9,750,946</w:t>
            </w:r>
          </w:p>
        </w:tc>
        <w:tc>
          <w:tcPr>
            <w:tcW w:w="10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3,620,472</w:t>
            </w:r>
          </w:p>
        </w:tc>
        <w:tc>
          <w:tcPr>
            <w:tcW w:w="0" w:type="dxa"/>
            <w:vAlign w:val="bottom"/>
          </w:tcPr>
          <w:p>
            <w:pPr>
              <w:spacing w:after="0"/>
              <w:rPr>
                <w:sz w:val="1"/>
                <w:szCs w:val="1"/>
                <w:color w:val="auto"/>
              </w:rPr>
            </w:pPr>
          </w:p>
        </w:tc>
      </w:tr>
      <w:tr>
        <w:trPr>
          <w:trHeight w:val="149"/>
        </w:trPr>
        <w:tc>
          <w:tcPr>
            <w:tcW w:w="1560" w:type="dxa"/>
            <w:vAlign w:val="bottom"/>
            <w:tcBorders>
              <w:right w:val="single" w:sz="8" w:color="CCEEFF"/>
            </w:tcBorders>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Twitter, Inc.</w:t>
            </w: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(5,275,954)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14,271,866</w:t>
            </w:r>
          </w:p>
        </w:tc>
        <w:tc>
          <w:tcPr>
            <w:tcW w:w="14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13,249,930</w:t>
            </w:r>
          </w:p>
        </w:tc>
        <w:tc>
          <w:tcPr>
            <w:tcW w:w="10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(1,021,936)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14,271,866</w:t>
            </w:r>
          </w:p>
        </w:tc>
        <w:tc>
          <w:tcPr>
            <w:tcW w:w="14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18,525,884</w:t>
            </w:r>
          </w:p>
        </w:tc>
        <w:tc>
          <w:tcPr>
            <w:tcW w:w="1060" w:type="dxa"/>
            <w:vAlign w:val="bottom"/>
            <w:tcBorders>
              <w:left w:val="single" w:sz="8" w:color="CCEEFF"/>
            </w:tcBorders>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4,254,018</w:t>
            </w:r>
          </w:p>
        </w:tc>
        <w:tc>
          <w:tcPr>
            <w:tcW w:w="0" w:type="dxa"/>
            <w:vAlign w:val="bottom"/>
          </w:tcPr>
          <w:p>
            <w:pPr>
              <w:spacing w:after="0"/>
              <w:rPr>
                <w:sz w:val="1"/>
                <w:szCs w:val="1"/>
                <w:color w:val="auto"/>
              </w:rPr>
            </w:pPr>
          </w:p>
        </w:tc>
      </w:tr>
      <w:tr>
        <w:trPr>
          <w:trHeight w:val="149"/>
        </w:trPr>
        <w:tc>
          <w:tcPr>
            <w:tcW w:w="15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Dropbox, Inc.</w:t>
            </w: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(3,047,448)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9"/>
              </w:rPr>
              <w:t>13,656,926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9"/>
              </w:rPr>
              <w:t>19,184,740</w:t>
            </w:r>
          </w:p>
        </w:tc>
        <w:tc>
          <w:tcPr>
            <w:tcW w:w="10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5,527,814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9"/>
              </w:rPr>
              <w:t>13,656,926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22,232,188</w:t>
            </w:r>
          </w:p>
        </w:tc>
        <w:tc>
          <w:tcPr>
            <w:tcW w:w="10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8,575,262</w:t>
            </w:r>
          </w:p>
        </w:tc>
        <w:tc>
          <w:tcPr>
            <w:tcW w:w="0" w:type="dxa"/>
            <w:vAlign w:val="bottom"/>
          </w:tcPr>
          <w:p>
            <w:pPr>
              <w:spacing w:after="0"/>
              <w:rPr>
                <w:sz w:val="1"/>
                <w:szCs w:val="1"/>
                <w:color w:val="auto"/>
              </w:rPr>
            </w:pPr>
          </w:p>
        </w:tc>
      </w:tr>
      <w:tr>
        <w:trPr>
          <w:trHeight w:val="149"/>
        </w:trPr>
        <w:tc>
          <w:tcPr>
            <w:tcW w:w="1560" w:type="dxa"/>
            <w:vAlign w:val="bottom"/>
            <w:tcBorders>
              <w:right w:val="single" w:sz="8" w:color="CCEEFF"/>
            </w:tcBorders>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Chegg, Inc.</w:t>
            </w: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(2,684,938)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14,022,863</w:t>
            </w:r>
          </w:p>
        </w:tc>
        <w:tc>
          <w:tcPr>
            <w:tcW w:w="14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5,275,252</w:t>
            </w:r>
          </w:p>
        </w:tc>
        <w:tc>
          <w:tcPr>
            <w:tcW w:w="10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(8,747,611)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14,022,863</w:t>
            </w:r>
          </w:p>
        </w:tc>
        <w:tc>
          <w:tcPr>
            <w:tcW w:w="14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7,960,190</w:t>
            </w:r>
          </w:p>
        </w:tc>
        <w:tc>
          <w:tcPr>
            <w:tcW w:w="106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(6,062,673)</w:t>
            </w:r>
          </w:p>
        </w:tc>
        <w:tc>
          <w:tcPr>
            <w:tcW w:w="0" w:type="dxa"/>
            <w:vAlign w:val="bottom"/>
          </w:tcPr>
          <w:p>
            <w:pPr>
              <w:spacing w:after="0"/>
              <w:rPr>
                <w:sz w:val="1"/>
                <w:szCs w:val="1"/>
                <w:color w:val="auto"/>
              </w:rPr>
            </w:pPr>
          </w:p>
        </w:tc>
      </w:tr>
      <w:tr>
        <w:trPr>
          <w:trHeight w:val="149"/>
        </w:trPr>
        <w:tc>
          <w:tcPr>
            <w:tcW w:w="15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Dataminr, Inc.</w:t>
            </w: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(2,607,255)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3,164,265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8,781,134</w:t>
            </w:r>
          </w:p>
        </w:tc>
        <w:tc>
          <w:tcPr>
            <w:tcW w:w="10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5,616,869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3,164,265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11,388,389</w:t>
            </w:r>
          </w:p>
        </w:tc>
        <w:tc>
          <w:tcPr>
            <w:tcW w:w="10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8,224,124</w:t>
            </w:r>
          </w:p>
        </w:tc>
        <w:tc>
          <w:tcPr>
            <w:tcW w:w="0" w:type="dxa"/>
            <w:vAlign w:val="bottom"/>
          </w:tcPr>
          <w:p>
            <w:pPr>
              <w:spacing w:after="0"/>
              <w:rPr>
                <w:sz w:val="1"/>
                <w:szCs w:val="1"/>
                <w:color w:val="auto"/>
              </w:rPr>
            </w:pPr>
          </w:p>
        </w:tc>
      </w:tr>
      <w:tr>
        <w:trPr>
          <w:trHeight w:val="149"/>
        </w:trPr>
        <w:tc>
          <w:tcPr>
            <w:tcW w:w="1560" w:type="dxa"/>
            <w:vAlign w:val="bottom"/>
            <w:tcBorders>
              <w:right w:val="single" w:sz="8" w:color="CCEEFF"/>
            </w:tcBorders>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SugarCRM, Inc.</w:t>
            </w: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(1,356,844)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6,977,024</w:t>
            </w:r>
          </w:p>
        </w:tc>
        <w:tc>
          <w:tcPr>
            <w:tcW w:w="14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8,626,462</w:t>
            </w:r>
          </w:p>
        </w:tc>
        <w:tc>
          <w:tcPr>
            <w:tcW w:w="1040" w:type="dxa"/>
            <w:vAlign w:val="bottom"/>
            <w:tcBorders>
              <w:left w:val="single" w:sz="8" w:color="CCEEFF"/>
            </w:tcBorders>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1,649,438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6,977,024</w:t>
            </w:r>
          </w:p>
        </w:tc>
        <w:tc>
          <w:tcPr>
            <w:tcW w:w="14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9,983,306</w:t>
            </w:r>
          </w:p>
        </w:tc>
        <w:tc>
          <w:tcPr>
            <w:tcW w:w="1060" w:type="dxa"/>
            <w:vAlign w:val="bottom"/>
            <w:tcBorders>
              <w:left w:val="single" w:sz="8" w:color="CCEEFF"/>
            </w:tcBorders>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3,006,282</w:t>
            </w:r>
          </w:p>
        </w:tc>
        <w:tc>
          <w:tcPr>
            <w:tcW w:w="0" w:type="dxa"/>
            <w:vAlign w:val="bottom"/>
          </w:tcPr>
          <w:p>
            <w:pPr>
              <w:spacing w:after="0"/>
              <w:rPr>
                <w:sz w:val="1"/>
                <w:szCs w:val="1"/>
                <w:color w:val="auto"/>
              </w:rPr>
            </w:pPr>
          </w:p>
        </w:tc>
      </w:tr>
      <w:tr>
        <w:trPr>
          <w:trHeight w:val="130"/>
        </w:trPr>
        <w:tc>
          <w:tcPr>
            <w:tcW w:w="1560" w:type="dxa"/>
            <w:vAlign w:val="bottom"/>
            <w:gridSpan w:val="3"/>
          </w:tcPr>
          <w:p>
            <w:pPr>
              <w:ind w:left="20"/>
              <w:spacing w:after="0" w:line="130" w:lineRule="exact"/>
              <w:rPr>
                <w:sz w:val="20"/>
                <w:szCs w:val="20"/>
                <w:color w:val="auto"/>
              </w:rPr>
            </w:pPr>
            <w:r>
              <w:rPr>
                <w:rFonts w:ascii="Arial" w:cs="Arial" w:eastAsia="Arial" w:hAnsi="Arial"/>
                <w:sz w:val="14"/>
                <w:szCs w:val="14"/>
                <w:color w:val="auto"/>
              </w:rPr>
              <w:t>GSV Sustainability</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40" w:type="dxa"/>
            <w:vAlign w:val="bottom"/>
            <w:gridSpan w:val="2"/>
          </w:tcPr>
          <w:p>
            <w:pPr>
              <w:ind w:left="180"/>
              <w:spacing w:after="0"/>
              <w:rPr>
                <w:sz w:val="20"/>
                <w:szCs w:val="20"/>
                <w:color w:val="auto"/>
              </w:rPr>
            </w:pPr>
            <w:r>
              <w:rPr>
                <w:rFonts w:ascii="Arial" w:cs="Arial" w:eastAsia="Arial" w:hAnsi="Arial"/>
                <w:sz w:val="14"/>
                <w:szCs w:val="14"/>
                <w:color w:val="auto"/>
              </w:rPr>
              <w:t>Partners</w:t>
            </w: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(1,245,000)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7,161,412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5,005,000</w:t>
            </w:r>
          </w:p>
        </w:tc>
        <w:tc>
          <w:tcPr>
            <w:tcW w:w="1040" w:type="dxa"/>
            <w:vAlign w:val="bottom"/>
            <w:gridSpan w:val="3"/>
          </w:tcPr>
          <w:p>
            <w:pPr>
              <w:jc w:val="right"/>
              <w:ind w:right="60"/>
              <w:spacing w:after="0"/>
              <w:rPr>
                <w:sz w:val="20"/>
                <w:szCs w:val="20"/>
                <w:color w:val="auto"/>
              </w:rPr>
            </w:pPr>
            <w:r>
              <w:rPr>
                <w:rFonts w:ascii="Arial" w:cs="Arial" w:eastAsia="Arial" w:hAnsi="Arial"/>
                <w:sz w:val="14"/>
                <w:szCs w:val="14"/>
                <w:color w:val="auto"/>
              </w:rPr>
              <w:t>(2,156,412)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7,161,412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6,250,000</w:t>
            </w:r>
          </w:p>
        </w:tc>
        <w:tc>
          <w:tcPr>
            <w:tcW w:w="1060" w:type="dxa"/>
            <w:vAlign w:val="bottom"/>
            <w:gridSpan w:val="3"/>
          </w:tcPr>
          <w:p>
            <w:pPr>
              <w:jc w:val="right"/>
              <w:ind w:right="60"/>
              <w:spacing w:after="0"/>
              <w:rPr>
                <w:sz w:val="20"/>
                <w:szCs w:val="20"/>
                <w:color w:val="auto"/>
              </w:rPr>
            </w:pPr>
            <w:r>
              <w:rPr>
                <w:rFonts w:ascii="Arial" w:cs="Arial" w:eastAsia="Arial" w:hAnsi="Arial"/>
                <w:sz w:val="14"/>
                <w:szCs w:val="14"/>
                <w:color w:val="auto"/>
              </w:rPr>
              <w:t>(911,412)</w:t>
            </w:r>
          </w:p>
        </w:tc>
        <w:tc>
          <w:tcPr>
            <w:tcW w:w="0" w:type="dxa"/>
            <w:vAlign w:val="bottom"/>
          </w:tcPr>
          <w:p>
            <w:pPr>
              <w:spacing w:after="0"/>
              <w:rPr>
                <w:sz w:val="1"/>
                <w:szCs w:val="1"/>
                <w:color w:val="auto"/>
              </w:rPr>
            </w:pPr>
          </w:p>
        </w:tc>
      </w:tr>
      <w:tr>
        <w:trPr>
          <w:trHeight w:val="189"/>
        </w:trPr>
        <w:tc>
          <w:tcPr>
            <w:tcW w:w="1560" w:type="dxa"/>
            <w:vAlign w:val="bottom"/>
            <w:tcBorders>
              <w:right w:val="single" w:sz="8" w:color="CCEEFF"/>
            </w:tcBorders>
            <w:gridSpan w:val="3"/>
            <w:shd w:val="clear" w:color="auto" w:fill="CCEEFF"/>
          </w:tcPr>
          <w:p>
            <w:pPr>
              <w:ind w:left="20"/>
              <w:spacing w:after="0" w:line="189" w:lineRule="exact"/>
              <w:rPr>
                <w:sz w:val="20"/>
                <w:szCs w:val="20"/>
                <w:color w:val="auto"/>
              </w:rPr>
            </w:pPr>
            <w:r>
              <w:rPr>
                <w:rFonts w:ascii="Arial" w:cs="Arial" w:eastAsia="Arial" w:hAnsi="Arial"/>
                <w:sz w:val="13"/>
                <w:szCs w:val="13"/>
                <w:color w:val="auto"/>
              </w:rPr>
              <w:t>Other</w:t>
            </w:r>
            <w:r>
              <w:rPr>
                <w:rFonts w:ascii="Arial" w:cs="Arial" w:eastAsia="Arial" w:hAnsi="Arial"/>
                <w:sz w:val="21"/>
                <w:szCs w:val="21"/>
                <w:color w:val="auto"/>
                <w:vertAlign w:val="superscript"/>
              </w:rPr>
              <w:t>(1)</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(54,548)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237,512,703</w:t>
            </w:r>
          </w:p>
        </w:tc>
        <w:tc>
          <w:tcPr>
            <w:tcW w:w="14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240,113,240</w:t>
            </w:r>
          </w:p>
        </w:tc>
        <w:tc>
          <w:tcPr>
            <w:tcW w:w="1040" w:type="dxa"/>
            <w:vAlign w:val="bottom"/>
            <w:tcBorders>
              <w:lef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2,600,537</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237,846,837</w:t>
            </w:r>
          </w:p>
        </w:tc>
        <w:tc>
          <w:tcPr>
            <w:tcW w:w="14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2"/>
              </w:rPr>
              <w:t>240,501,922</w:t>
            </w:r>
          </w:p>
        </w:tc>
        <w:tc>
          <w:tcPr>
            <w:tcW w:w="1060" w:type="dxa"/>
            <w:vAlign w:val="bottom"/>
            <w:tcBorders>
              <w:lef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2,655,085</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560" w:type="dxa"/>
            <w:vAlign w:val="bottom"/>
            <w:gridSpan w:val="3"/>
          </w:tcPr>
          <w:p>
            <w:pPr>
              <w:ind w:left="20"/>
              <w:spacing w:after="0" w:line="142" w:lineRule="exact"/>
              <w:rPr>
                <w:sz w:val="20"/>
                <w:szCs w:val="20"/>
                <w:color w:val="auto"/>
              </w:rPr>
            </w:pPr>
            <w:r>
              <w:rPr>
                <w:rFonts w:ascii="Arial" w:cs="Arial" w:eastAsia="Arial" w:hAnsi="Arial"/>
                <w:sz w:val="14"/>
                <w:szCs w:val="14"/>
                <w:color w:val="auto"/>
              </w:rPr>
              <w:t>Totals</w:t>
            </w:r>
          </w:p>
        </w:tc>
        <w:tc>
          <w:tcPr>
            <w:tcW w:w="900" w:type="dxa"/>
            <w:vAlign w:val="bottom"/>
            <w:gridSpan w:val="2"/>
          </w:tcPr>
          <w:p>
            <w:pPr>
              <w:jc w:val="right"/>
              <w:ind w:right="60"/>
              <w:spacing w:after="0" w:line="142" w:lineRule="exact"/>
              <w:rPr>
                <w:sz w:val="20"/>
                <w:szCs w:val="20"/>
                <w:color w:val="auto"/>
              </w:rPr>
            </w:pPr>
            <w:r>
              <w:rPr>
                <w:rFonts w:ascii="Arial" w:cs="Arial" w:eastAsia="Arial" w:hAnsi="Arial"/>
                <w:sz w:val="14"/>
                <w:szCs w:val="14"/>
                <w:u w:val="single" w:color="auto"/>
                <w:color w:val="auto"/>
                <w:w w:val="90"/>
              </w:rPr>
              <w:t>$</w:t>
            </w:r>
            <w:r>
              <w:rPr>
                <w:rFonts w:ascii="Arial" w:cs="Arial" w:eastAsia="Arial" w:hAnsi="Arial"/>
                <w:sz w:val="14"/>
                <w:szCs w:val="14"/>
                <w:color w:val="auto"/>
                <w:w w:val="90"/>
              </w:rPr>
              <w:t xml:space="preserve"> (19,421,001)</w:t>
            </w:r>
          </w:p>
        </w:tc>
        <w:tc>
          <w:tcPr>
            <w:tcW w:w="8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w w:val="89"/>
              </w:rPr>
              <w:t>320,096,436</w:t>
            </w:r>
          </w:p>
        </w:tc>
        <w:tc>
          <w:tcPr>
            <w:tcW w:w="2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w w:val="89"/>
              </w:rPr>
              <w:t>357,135,892</w:t>
            </w:r>
          </w:p>
        </w:tc>
        <w:tc>
          <w:tcPr>
            <w:tcW w:w="1040" w:type="dxa"/>
            <w:vAlign w:val="bottom"/>
            <w:gridSpan w:val="3"/>
          </w:tcPr>
          <w:p>
            <w:pPr>
              <w:jc w:val="right"/>
              <w:ind w:right="120"/>
              <w:spacing w:after="0" w:line="142" w:lineRule="exact"/>
              <w:rPr>
                <w:sz w:val="20"/>
                <w:szCs w:val="20"/>
                <w:color w:val="auto"/>
              </w:rPr>
            </w:pPr>
            <w:r>
              <w:rPr>
                <w:rFonts w:ascii="Arial" w:cs="Arial" w:eastAsia="Arial" w:hAnsi="Arial"/>
                <w:sz w:val="14"/>
                <w:szCs w:val="14"/>
                <w:color w:val="auto"/>
              </w:rPr>
              <w:t>$ 37,039,456</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w w:val="89"/>
              </w:rPr>
              <w:t>327,025,003</w:t>
            </w:r>
          </w:p>
        </w:tc>
        <w:tc>
          <w:tcPr>
            <w:tcW w:w="94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$ 383,485,460</w:t>
            </w:r>
          </w:p>
        </w:tc>
        <w:tc>
          <w:tcPr>
            <w:tcW w:w="1060" w:type="dxa"/>
            <w:vAlign w:val="bottom"/>
            <w:gridSpan w:val="3"/>
          </w:tcPr>
          <w:p>
            <w:pPr>
              <w:jc w:val="right"/>
              <w:ind w:right="120"/>
              <w:spacing w:after="0" w:line="142" w:lineRule="exact"/>
              <w:rPr>
                <w:sz w:val="20"/>
                <w:szCs w:val="20"/>
                <w:color w:val="auto"/>
              </w:rPr>
            </w:pPr>
            <w:r>
              <w:rPr>
                <w:rFonts w:ascii="Arial" w:cs="Arial" w:eastAsia="Arial" w:hAnsi="Arial"/>
                <w:sz w:val="14"/>
                <w:szCs w:val="14"/>
                <w:color w:val="auto"/>
              </w:rPr>
              <w:t>$ 56,460,457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Change in</w:t>
            </w:r>
          </w:p>
        </w:tc>
        <w:tc>
          <w:tcPr>
            <w:tcW w:w="100" w:type="dxa"/>
            <w:vAlign w:val="bottom"/>
          </w:tcPr>
          <w:p>
            <w:pPr>
              <w:spacing w:after="0"/>
              <w:rPr>
                <w:sz w:val="20"/>
                <w:szCs w:val="20"/>
                <w:color w:val="auto"/>
              </w:rPr>
            </w:pPr>
          </w:p>
        </w:tc>
        <w:tc>
          <w:tcPr>
            <w:tcW w:w="2780" w:type="dxa"/>
            <w:vAlign w:val="bottom"/>
            <w:gridSpan w:val="8"/>
          </w:tcPr>
          <w:p>
            <w:pPr>
              <w:jc w:val="center"/>
              <w:ind w:right="160"/>
              <w:spacing w:after="0"/>
              <w:rPr>
                <w:sz w:val="20"/>
                <w:szCs w:val="20"/>
                <w:color w:val="auto"/>
              </w:rPr>
            </w:pPr>
            <w:r>
              <w:rPr>
                <w:rFonts w:ascii="Arial" w:cs="Arial" w:eastAsia="Arial" w:hAnsi="Arial"/>
                <w:sz w:val="14"/>
                <w:szCs w:val="14"/>
                <w:b w:val="1"/>
                <w:bCs w:val="1"/>
                <w:color w:val="auto"/>
                <w:w w:val="95"/>
              </w:rPr>
              <w:t>March 31, 2015 (Unaudited)</w:t>
            </w: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w w:val="91"/>
              </w:rPr>
              <w:t>December 31, 2014</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gridSpan w:val="3"/>
          </w:tcPr>
          <w:p>
            <w:pPr>
              <w:jc w:val="center"/>
              <w:ind w:right="80"/>
              <w:spacing w:after="0" w:line="119" w:lineRule="exact"/>
              <w:rPr>
                <w:sz w:val="20"/>
                <w:szCs w:val="20"/>
                <w:color w:val="auto"/>
              </w:rPr>
            </w:pPr>
            <w:r>
              <w:rPr>
                <w:rFonts w:ascii="Arial" w:cs="Arial" w:eastAsia="Arial" w:hAnsi="Arial"/>
                <w:sz w:val="13"/>
                <w:szCs w:val="13"/>
                <w:b w:val="1"/>
                <w:bCs w:val="1"/>
                <w:color w:val="auto"/>
              </w:rPr>
              <w:t>Unrealized</w:t>
            </w: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Unrealized</w:t>
            </w: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Unrealized</w:t>
            </w:r>
          </w:p>
        </w:tc>
        <w:tc>
          <w:tcPr>
            <w:tcW w:w="0" w:type="dxa"/>
            <w:vAlign w:val="bottom"/>
          </w:tcPr>
          <w:p>
            <w:pPr>
              <w:spacing w:after="0"/>
              <w:rPr>
                <w:sz w:val="1"/>
                <w:szCs w:val="1"/>
                <w:color w:val="auto"/>
              </w:rPr>
            </w:pPr>
          </w:p>
        </w:tc>
      </w:tr>
      <w:tr>
        <w:trPr>
          <w:trHeight w:val="149"/>
        </w:trPr>
        <w:tc>
          <w:tcPr>
            <w:tcW w:w="15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9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00" w:type="dxa"/>
            <w:vAlign w:val="bottom"/>
          </w:tcPr>
          <w:p>
            <w:pPr>
              <w:spacing w:after="0"/>
              <w:rPr>
                <w:sz w:val="12"/>
                <w:szCs w:val="12"/>
                <w:color w:val="auto"/>
              </w:rPr>
            </w:pPr>
          </w:p>
        </w:tc>
        <w:tc>
          <w:tcPr>
            <w:tcW w:w="7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Fair Value</w:t>
            </w:r>
          </w:p>
        </w:tc>
        <w:tc>
          <w:tcPr>
            <w:tcW w:w="140" w:type="dxa"/>
            <w:vAlign w:val="bottom"/>
          </w:tcPr>
          <w:p>
            <w:pPr>
              <w:spacing w:after="0"/>
              <w:rPr>
                <w:sz w:val="12"/>
                <w:szCs w:val="12"/>
                <w:color w:val="auto"/>
              </w:rPr>
            </w:pPr>
          </w:p>
        </w:tc>
        <w:tc>
          <w:tcPr>
            <w:tcW w:w="9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Appreciation/</w:t>
            </w:r>
          </w:p>
        </w:tc>
        <w:tc>
          <w:tcPr>
            <w:tcW w:w="80" w:type="dxa"/>
            <w:vAlign w:val="bottom"/>
          </w:tcPr>
          <w:p>
            <w:pPr>
              <w:spacing w:after="0"/>
              <w:rPr>
                <w:sz w:val="12"/>
                <w:szCs w:val="12"/>
                <w:color w:val="auto"/>
              </w:rPr>
            </w:pPr>
          </w:p>
        </w:tc>
        <w:tc>
          <w:tcPr>
            <w:tcW w:w="7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0" w:type="dxa"/>
            <w:vAlign w:val="bottom"/>
          </w:tcPr>
          <w:p>
            <w:pPr>
              <w:spacing w:after="0"/>
              <w:rPr>
                <w:sz w:val="1"/>
                <w:szCs w:val="1"/>
                <w:color w:val="auto"/>
              </w:rPr>
            </w:pPr>
          </w:p>
        </w:tc>
      </w:tr>
      <w:tr>
        <w:trPr>
          <w:trHeight w:val="171"/>
        </w:trPr>
        <w:tc>
          <w:tcPr>
            <w:tcW w:w="1560" w:type="dxa"/>
            <w:vAlign w:val="bottom"/>
            <w:gridSpan w:val="3"/>
            <w:vMerge w:val="continue"/>
          </w:tcPr>
          <w:p>
            <w:pPr>
              <w:spacing w:after="0"/>
              <w:rPr>
                <w:sz w:val="14"/>
                <w:szCs w:val="14"/>
                <w:color w:val="auto"/>
              </w:rPr>
            </w:pPr>
          </w:p>
        </w:tc>
        <w:tc>
          <w:tcPr>
            <w:tcW w:w="9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(Depreciation)</w:t>
            </w: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(Depreciation)</w:t>
            </w: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(Depreciation)</w:t>
            </w:r>
          </w:p>
        </w:tc>
        <w:tc>
          <w:tcPr>
            <w:tcW w:w="0" w:type="dxa"/>
            <w:vAlign w:val="bottom"/>
          </w:tcPr>
          <w:p>
            <w:pPr>
              <w:spacing w:after="0"/>
              <w:rPr>
                <w:sz w:val="1"/>
                <w:szCs w:val="1"/>
                <w:color w:val="auto"/>
              </w:rPr>
            </w:pPr>
          </w:p>
        </w:tc>
      </w:tr>
      <w:tr>
        <w:trPr>
          <w:trHeight w:val="142"/>
        </w:trPr>
        <w:tc>
          <w:tcPr>
            <w:tcW w:w="156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color w:val="auto"/>
              </w:rPr>
              <w:t>Twitter, Inc.</w:t>
            </w:r>
          </w:p>
        </w:tc>
        <w:tc>
          <w:tcPr>
            <w:tcW w:w="900" w:type="dxa"/>
            <w:vAlign w:val="bottom"/>
            <w:tcBorders>
              <w:top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color w:val="auto"/>
              </w:rPr>
              <w:t>$  9,050,631</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21,213,458</w:t>
            </w:r>
          </w:p>
        </w:tc>
        <w:tc>
          <w:tcPr>
            <w:tcW w:w="140" w:type="dxa"/>
            <w:vAlign w:val="bottom"/>
          </w:tcPr>
          <w:p>
            <w:pPr>
              <w:spacing w:after="0"/>
              <w:rPr>
                <w:sz w:val="12"/>
                <w:szCs w:val="12"/>
                <w:color w:val="auto"/>
              </w:rPr>
            </w:pPr>
          </w:p>
        </w:tc>
        <w:tc>
          <w:tcPr>
            <w:tcW w:w="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60,126,048</w:t>
            </w:r>
          </w:p>
        </w:tc>
        <w:tc>
          <w:tcPr>
            <w:tcW w:w="140" w:type="dxa"/>
            <w:vAlign w:val="bottom"/>
          </w:tcPr>
          <w:p>
            <w:pPr>
              <w:spacing w:after="0"/>
              <w:rPr>
                <w:sz w:val="12"/>
                <w:szCs w:val="12"/>
                <w:color w:val="auto"/>
              </w:rPr>
            </w:pPr>
          </w:p>
        </w:tc>
        <w:tc>
          <w:tcPr>
            <w:tcW w:w="90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color w:val="auto"/>
                <w:w w:val="92"/>
              </w:rPr>
              <w:t>$ 38,912,590</w:t>
            </w: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27,551,563</w:t>
            </w:r>
          </w:p>
        </w:tc>
        <w:tc>
          <w:tcPr>
            <w:tcW w:w="140" w:type="dxa"/>
            <w:vAlign w:val="bottom"/>
          </w:tcPr>
          <w:p>
            <w:pPr>
              <w:spacing w:after="0"/>
              <w:rPr>
                <w:sz w:val="12"/>
                <w:szCs w:val="12"/>
                <w:color w:val="auto"/>
              </w:rPr>
            </w:pPr>
          </w:p>
        </w:tc>
        <w:tc>
          <w:tcPr>
            <w:tcW w:w="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57,413,522</w:t>
            </w:r>
          </w:p>
        </w:tc>
        <w:tc>
          <w:tcPr>
            <w:tcW w:w="160" w:type="dxa"/>
            <w:vAlign w:val="bottom"/>
          </w:tcPr>
          <w:p>
            <w:pPr>
              <w:spacing w:after="0"/>
              <w:rPr>
                <w:sz w:val="12"/>
                <w:szCs w:val="12"/>
                <w:color w:val="auto"/>
              </w:rPr>
            </w:pPr>
          </w:p>
        </w:tc>
        <w:tc>
          <w:tcPr>
            <w:tcW w:w="90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color w:val="auto"/>
                <w:w w:val="92"/>
              </w:rPr>
              <w:t>$ 29,861,959</w:t>
            </w:r>
          </w:p>
        </w:tc>
        <w:tc>
          <w:tcPr>
            <w:tcW w:w="0" w:type="dxa"/>
            <w:vAlign w:val="bottom"/>
          </w:tcPr>
          <w:p>
            <w:pPr>
              <w:spacing w:after="0"/>
              <w:rPr>
                <w:sz w:val="1"/>
                <w:szCs w:val="1"/>
                <w:color w:val="auto"/>
              </w:rPr>
            </w:pPr>
          </w:p>
        </w:tc>
      </w:tr>
      <w:tr>
        <w:trPr>
          <w:trHeight w:val="149"/>
        </w:trPr>
        <w:tc>
          <w:tcPr>
            <w:tcW w:w="1560" w:type="dxa"/>
            <w:vAlign w:val="bottom"/>
            <w:tcBorders>
              <w:right w:val="single" w:sz="8" w:color="CCEEFF"/>
            </w:tcBorders>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Dataminr, Inc.</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7,973,954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3,164,265</w:t>
            </w:r>
          </w:p>
        </w:tc>
        <w:tc>
          <w:tcPr>
            <w:tcW w:w="14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11,918,699</w:t>
            </w:r>
          </w:p>
        </w:tc>
        <w:tc>
          <w:tcPr>
            <w:tcW w:w="1040" w:type="dxa"/>
            <w:vAlign w:val="bottom"/>
            <w:tcBorders>
              <w:left w:val="single" w:sz="8" w:color="CCEEFF"/>
            </w:tcBorders>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8,754,434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3,164,265</w:t>
            </w:r>
          </w:p>
        </w:tc>
        <w:tc>
          <w:tcPr>
            <w:tcW w:w="14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3,944,745</w:t>
            </w:r>
          </w:p>
        </w:tc>
        <w:tc>
          <w:tcPr>
            <w:tcW w:w="1060" w:type="dxa"/>
            <w:vAlign w:val="bottom"/>
            <w:tcBorders>
              <w:left w:val="single" w:sz="8" w:color="CCEEFF"/>
            </w:tcBorders>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780,480</w:t>
            </w:r>
          </w:p>
        </w:tc>
        <w:tc>
          <w:tcPr>
            <w:tcW w:w="0" w:type="dxa"/>
            <w:vAlign w:val="bottom"/>
          </w:tcPr>
          <w:p>
            <w:pPr>
              <w:spacing w:after="0"/>
              <w:rPr>
                <w:sz w:val="1"/>
                <w:szCs w:val="1"/>
                <w:color w:val="auto"/>
              </w:rPr>
            </w:pPr>
          </w:p>
        </w:tc>
      </w:tr>
      <w:tr>
        <w:trPr>
          <w:trHeight w:val="149"/>
        </w:trPr>
        <w:tc>
          <w:tcPr>
            <w:tcW w:w="15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2U, Inc. (f/k/a 2tor, Inc.)</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7,028,873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9"/>
              </w:rPr>
              <w:t>10,032,117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9"/>
              </w:rPr>
              <w:t>30,371,382</w:t>
            </w:r>
          </w:p>
        </w:tc>
        <w:tc>
          <w:tcPr>
            <w:tcW w:w="10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20,339,265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9"/>
              </w:rPr>
              <w:t>10,032,117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23,342,509</w:t>
            </w:r>
          </w:p>
        </w:tc>
        <w:tc>
          <w:tcPr>
            <w:tcW w:w="10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13,310,392</w:t>
            </w:r>
          </w:p>
        </w:tc>
        <w:tc>
          <w:tcPr>
            <w:tcW w:w="0" w:type="dxa"/>
            <w:vAlign w:val="bottom"/>
          </w:tcPr>
          <w:p>
            <w:pPr>
              <w:spacing w:after="0"/>
              <w:rPr>
                <w:sz w:val="1"/>
                <w:szCs w:val="1"/>
                <w:color w:val="auto"/>
              </w:rPr>
            </w:pPr>
          </w:p>
        </w:tc>
      </w:tr>
      <w:tr>
        <w:trPr>
          <w:trHeight w:val="149"/>
        </w:trPr>
        <w:tc>
          <w:tcPr>
            <w:tcW w:w="1560" w:type="dxa"/>
            <w:vAlign w:val="bottom"/>
            <w:tcBorders>
              <w:right w:val="single" w:sz="8" w:color="CCEEFF"/>
            </w:tcBorders>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Lyft, Inc.</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3,658,099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7,507,216</w:t>
            </w:r>
          </w:p>
        </w:tc>
        <w:tc>
          <w:tcPr>
            <w:tcW w:w="14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11,160,735</w:t>
            </w:r>
          </w:p>
        </w:tc>
        <w:tc>
          <w:tcPr>
            <w:tcW w:w="1040" w:type="dxa"/>
            <w:vAlign w:val="bottom"/>
            <w:tcBorders>
              <w:left w:val="single" w:sz="8" w:color="CCEEFF"/>
            </w:tcBorders>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3,653,519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5,003,634</w:t>
            </w:r>
          </w:p>
        </w:tc>
        <w:tc>
          <w:tcPr>
            <w:tcW w:w="14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4,999,054</w:t>
            </w:r>
          </w:p>
        </w:tc>
        <w:tc>
          <w:tcPr>
            <w:tcW w:w="106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(4,580)</w:t>
            </w:r>
          </w:p>
        </w:tc>
        <w:tc>
          <w:tcPr>
            <w:tcW w:w="0" w:type="dxa"/>
            <w:vAlign w:val="bottom"/>
          </w:tcPr>
          <w:p>
            <w:pPr>
              <w:spacing w:after="0"/>
              <w:rPr>
                <w:sz w:val="1"/>
                <w:szCs w:val="1"/>
                <w:color w:val="auto"/>
              </w:rPr>
            </w:pPr>
          </w:p>
        </w:tc>
      </w:tr>
      <w:tr>
        <w:trPr>
          <w:trHeight w:val="149"/>
        </w:trPr>
        <w:tc>
          <w:tcPr>
            <w:tcW w:w="15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Chegg, Inc.</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1,230,103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9"/>
              </w:rPr>
              <w:t>14,022,863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9,403,196</w:t>
            </w:r>
          </w:p>
        </w:tc>
        <w:tc>
          <w:tcPr>
            <w:tcW w:w="10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(4,619,667)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9"/>
              </w:rPr>
              <w:t>14,022,863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8,173,093</w:t>
            </w:r>
          </w:p>
        </w:tc>
        <w:tc>
          <w:tcPr>
            <w:tcW w:w="10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(5,849,770)</w:t>
            </w:r>
          </w:p>
        </w:tc>
        <w:tc>
          <w:tcPr>
            <w:tcW w:w="0" w:type="dxa"/>
            <w:vAlign w:val="bottom"/>
          </w:tcPr>
          <w:p>
            <w:pPr>
              <w:spacing w:after="0"/>
              <w:rPr>
                <w:sz w:val="1"/>
                <w:szCs w:val="1"/>
                <w:color w:val="auto"/>
              </w:rPr>
            </w:pPr>
          </w:p>
        </w:tc>
      </w:tr>
      <w:tr>
        <w:trPr>
          <w:trHeight w:val="130"/>
        </w:trPr>
        <w:tc>
          <w:tcPr>
            <w:tcW w:w="1560" w:type="dxa"/>
            <w:vAlign w:val="bottom"/>
            <w:tcBorders>
              <w:right w:val="single" w:sz="8" w:color="CCEEFF"/>
            </w:tcBorders>
            <w:gridSpan w:val="3"/>
            <w:shd w:val="clear" w:color="auto" w:fill="CCEEFF"/>
          </w:tcPr>
          <w:p>
            <w:pPr>
              <w:ind w:left="20"/>
              <w:spacing w:after="0" w:line="130" w:lineRule="exact"/>
              <w:rPr>
                <w:sz w:val="20"/>
                <w:szCs w:val="20"/>
                <w:color w:val="auto"/>
              </w:rPr>
            </w:pPr>
            <w:r>
              <w:rPr>
                <w:rFonts w:ascii="Arial" w:cs="Arial" w:eastAsia="Arial" w:hAnsi="Arial"/>
                <w:sz w:val="14"/>
                <w:szCs w:val="14"/>
                <w:color w:val="auto"/>
              </w:rPr>
              <w:t>Gilt Groupe Holdings,</w:t>
            </w: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15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Inc.</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(2,039,464)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6,594,433</w:t>
            </w:r>
          </w:p>
        </w:tc>
        <w:tc>
          <w:tcPr>
            <w:tcW w:w="14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1,128,644</w:t>
            </w:r>
          </w:p>
        </w:tc>
        <w:tc>
          <w:tcPr>
            <w:tcW w:w="10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(5,465,789)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6,594,433</w:t>
            </w:r>
          </w:p>
        </w:tc>
        <w:tc>
          <w:tcPr>
            <w:tcW w:w="14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3,168,108</w:t>
            </w:r>
          </w:p>
        </w:tc>
        <w:tc>
          <w:tcPr>
            <w:tcW w:w="106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(3,426,325)</w:t>
            </w:r>
          </w:p>
        </w:tc>
        <w:tc>
          <w:tcPr>
            <w:tcW w:w="0" w:type="dxa"/>
            <w:vAlign w:val="bottom"/>
          </w:tcPr>
          <w:p>
            <w:pPr>
              <w:spacing w:after="0"/>
              <w:rPr>
                <w:sz w:val="1"/>
                <w:szCs w:val="1"/>
                <w:color w:val="auto"/>
              </w:rPr>
            </w:pPr>
          </w:p>
        </w:tc>
      </w:tr>
      <w:tr>
        <w:trPr>
          <w:trHeight w:val="189"/>
        </w:trPr>
        <w:tc>
          <w:tcPr>
            <w:tcW w:w="1560" w:type="dxa"/>
            <w:vAlign w:val="bottom"/>
            <w:gridSpan w:val="3"/>
          </w:tcPr>
          <w:p>
            <w:pPr>
              <w:ind w:left="20"/>
              <w:spacing w:after="0" w:line="189" w:lineRule="exact"/>
              <w:rPr>
                <w:sz w:val="20"/>
                <w:szCs w:val="20"/>
                <w:color w:val="auto"/>
              </w:rPr>
            </w:pPr>
            <w:r>
              <w:rPr>
                <w:rFonts w:ascii="Arial" w:cs="Arial" w:eastAsia="Arial" w:hAnsi="Arial"/>
                <w:sz w:val="13"/>
                <w:szCs w:val="13"/>
                <w:color w:val="auto"/>
              </w:rPr>
              <w:t>Other</w:t>
            </w:r>
            <w:r>
              <w:rPr>
                <w:rFonts w:ascii="Arial" w:cs="Arial" w:eastAsia="Arial" w:hAnsi="Arial"/>
                <w:sz w:val="21"/>
                <w:szCs w:val="21"/>
                <w:color w:val="auto"/>
                <w:vertAlign w:val="superscript"/>
              </w:rPr>
              <w:t>(1)</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881,885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89"/>
              </w:rPr>
              <w:t>346,728,463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89"/>
              </w:rPr>
              <w:t>382,820,894</w:t>
            </w:r>
          </w:p>
        </w:tc>
        <w:tc>
          <w:tcPr>
            <w:tcW w:w="1040" w:type="dxa"/>
            <w:vAlign w:val="bottom"/>
            <w:gridSpan w:val="3"/>
          </w:tcPr>
          <w:p>
            <w:pPr>
              <w:jc w:val="right"/>
              <w:ind w:right="120"/>
              <w:spacing w:after="0"/>
              <w:rPr>
                <w:sz w:val="20"/>
                <w:szCs w:val="20"/>
                <w:color w:val="auto"/>
              </w:rPr>
            </w:pPr>
            <w:r>
              <w:rPr>
                <w:rFonts w:ascii="Arial" w:cs="Arial" w:eastAsia="Arial" w:hAnsi="Arial"/>
                <w:sz w:val="14"/>
                <w:szCs w:val="14"/>
                <w:color w:val="auto"/>
              </w:rPr>
              <w:t>36,092,431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89"/>
              </w:rPr>
              <w:t>342,030,838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2"/>
              </w:rPr>
              <w:t>377,241,384</w:t>
            </w:r>
          </w:p>
        </w:tc>
        <w:tc>
          <w:tcPr>
            <w:tcW w:w="1060" w:type="dxa"/>
            <w:vAlign w:val="bottom"/>
            <w:gridSpan w:val="3"/>
          </w:tcPr>
          <w:p>
            <w:pPr>
              <w:jc w:val="right"/>
              <w:ind w:right="120"/>
              <w:spacing w:after="0"/>
              <w:rPr>
                <w:sz w:val="20"/>
                <w:szCs w:val="20"/>
                <w:color w:val="auto"/>
              </w:rPr>
            </w:pPr>
            <w:r>
              <w:rPr>
                <w:rFonts w:ascii="Arial" w:cs="Arial" w:eastAsia="Arial" w:hAnsi="Arial"/>
                <w:sz w:val="14"/>
                <w:szCs w:val="14"/>
                <w:color w:val="auto"/>
              </w:rPr>
              <w:t>35,210,546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560" w:type="dxa"/>
            <w:vAlign w:val="bottom"/>
            <w:tcBorders>
              <w:right w:val="single" w:sz="8" w:color="CCEEFF"/>
            </w:tcBorders>
            <w:gridSpan w:val="3"/>
            <w:shd w:val="clear" w:color="auto" w:fill="CCEEFF"/>
          </w:tcPr>
          <w:p>
            <w:pPr>
              <w:ind w:left="20"/>
              <w:spacing w:after="0" w:line="142" w:lineRule="exact"/>
              <w:rPr>
                <w:sz w:val="20"/>
                <w:szCs w:val="20"/>
                <w:color w:val="auto"/>
              </w:rPr>
            </w:pPr>
            <w:r>
              <w:rPr>
                <w:rFonts w:ascii="Arial" w:cs="Arial" w:eastAsia="Arial" w:hAnsi="Arial"/>
                <w:sz w:val="14"/>
                <w:szCs w:val="14"/>
                <w:color w:val="auto"/>
              </w:rPr>
              <w:t>Totals</w:t>
            </w:r>
          </w:p>
        </w:tc>
        <w:tc>
          <w:tcPr>
            <w:tcW w:w="9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w w:val="95"/>
              </w:rPr>
              <w:t>$ 27,784,081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409,262,815</w:t>
            </w:r>
          </w:p>
        </w:tc>
        <w:tc>
          <w:tcPr>
            <w:tcW w:w="220" w:type="dxa"/>
            <w:vAlign w:val="bottom"/>
            <w:tcBorders>
              <w:left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506,929,598</w:t>
            </w:r>
          </w:p>
        </w:tc>
        <w:tc>
          <w:tcPr>
            <w:tcW w:w="1040" w:type="dxa"/>
            <w:vAlign w:val="bottom"/>
            <w:tcBorders>
              <w:left w:val="single" w:sz="8" w:color="CCEEFF"/>
            </w:tcBorders>
            <w:gridSpan w:val="3"/>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$ 97,666,783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408,399,713</w:t>
            </w:r>
          </w:p>
        </w:tc>
        <w:tc>
          <w:tcPr>
            <w:tcW w:w="940" w:type="dxa"/>
            <w:vAlign w:val="bottom"/>
            <w:tcBorders>
              <w:left w:val="single" w:sz="8" w:color="CCEEFF"/>
            </w:tcBorders>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rPr>
              <w:t>$ 478,282,415</w:t>
            </w:r>
          </w:p>
        </w:tc>
        <w:tc>
          <w:tcPr>
            <w:tcW w:w="1060" w:type="dxa"/>
            <w:vAlign w:val="bottom"/>
            <w:tcBorders>
              <w:left w:val="single" w:sz="8" w:color="CCEEFF"/>
            </w:tcBorders>
            <w:gridSpan w:val="3"/>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$ 69,882,702</w:t>
            </w:r>
          </w:p>
        </w:tc>
        <w:tc>
          <w:tcPr>
            <w:tcW w:w="0" w:type="dxa"/>
            <w:vAlign w:val="bottom"/>
          </w:tcPr>
          <w:p>
            <w:pPr>
              <w:spacing w:after="0"/>
              <w:rPr>
                <w:sz w:val="1"/>
                <w:szCs w:val="1"/>
                <w:color w:val="auto"/>
              </w:rPr>
            </w:pPr>
          </w:p>
        </w:tc>
      </w:tr>
      <w:tr>
        <w:trPr>
          <w:trHeight w:val="264"/>
        </w:trPr>
        <w:tc>
          <w:tcPr>
            <w:tcW w:w="20" w:type="dxa"/>
            <w:vAlign w:val="bottom"/>
            <w:tcBorders>
              <w:top w:val="single" w:sz="8" w:color="CCEEFF"/>
            </w:tcBorders>
          </w:tcPr>
          <w:p>
            <w:pPr>
              <w:spacing w:after="0"/>
              <w:rPr>
                <w:sz w:val="22"/>
                <w:szCs w:val="22"/>
                <w:color w:val="auto"/>
              </w:rPr>
            </w:pPr>
          </w:p>
        </w:tc>
        <w:tc>
          <w:tcPr>
            <w:tcW w:w="980" w:type="dxa"/>
            <w:vAlign w:val="bottom"/>
            <w:tcBorders>
              <w:top w:val="single" w:sz="8" w:color="CCEEFF"/>
              <w:bottom w:val="single" w:sz="8" w:color="auto"/>
            </w:tcBorders>
          </w:tcPr>
          <w:p>
            <w:pPr>
              <w:spacing w:after="0"/>
              <w:rPr>
                <w:sz w:val="22"/>
                <w:szCs w:val="22"/>
                <w:color w:val="auto"/>
              </w:rPr>
            </w:pPr>
          </w:p>
        </w:tc>
        <w:tc>
          <w:tcPr>
            <w:tcW w:w="560" w:type="dxa"/>
            <w:vAlign w:val="bottom"/>
            <w:tcBorders>
              <w:top w:val="single" w:sz="8" w:color="CCEEFF"/>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-1689100</wp:posOffset>
            </wp:positionV>
            <wp:extent cx="5213985" cy="15093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213985" cy="1509395"/>
                    </a:xfrm>
                    <a:prstGeom prst="rect">
                      <a:avLst/>
                    </a:prstGeom>
                    <a:noFill/>
                  </pic:spPr>
                </pic:pic>
              </a:graphicData>
            </a:graphic>
          </wp:anchor>
        </w:drawing>
      </w:r>
    </w:p>
    <w:p>
      <w:pPr>
        <w:spacing w:after="0" w:line="236" w:lineRule="exact"/>
        <w:rPr>
          <w:sz w:val="20"/>
          <w:szCs w:val="20"/>
          <w:color w:val="auto"/>
        </w:rPr>
      </w:pPr>
    </w:p>
    <w:p>
      <w:pPr>
        <w:ind w:left="300" w:right="1139" w:hanging="272"/>
        <w:spacing w:after="0" w:line="342" w:lineRule="auto"/>
        <w:tabs>
          <w:tab w:leader="none" w:pos="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Other represents all investments (including U.S. Treasury Bills and U.S. Treasury Strips) for which individual change in unrealized appreciation/(depreciation) was less than $1,000,000 for the three months ended March 31, 2016 and 2015.</w:t>
      </w:r>
    </w:p>
    <w:p>
      <w:pPr>
        <w:spacing w:after="0" w:line="200" w:lineRule="exact"/>
        <w:rPr>
          <w:sz w:val="20"/>
          <w:szCs w:val="20"/>
          <w:color w:val="auto"/>
        </w:rPr>
      </w:pPr>
    </w:p>
    <w:p>
      <w:pPr>
        <w:spacing w:after="0" w:line="27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46" w:name="page47"/>
    <w:bookmarkEnd w:id="46"/>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60" w:right="919" w:firstLine="270"/>
        <w:spacing w:after="0" w:line="277" w:lineRule="auto"/>
        <w:rPr>
          <w:sz w:val="20"/>
          <w:szCs w:val="20"/>
          <w:color w:val="auto"/>
        </w:rPr>
      </w:pPr>
      <w:r>
        <w:rPr>
          <w:rFonts w:ascii="Arial" w:cs="Arial" w:eastAsia="Arial" w:hAnsi="Arial"/>
          <w:sz w:val="18"/>
          <w:szCs w:val="18"/>
          <w:color w:val="auto"/>
        </w:rPr>
        <w:t>Our liquidity and capital resources are generated primarily from the net proceeds of public offerings of our equity and debt securities, advances from our Credit Facility, as well as the sales of our investments.</w:t>
      </w:r>
    </w:p>
    <w:p>
      <w:pPr>
        <w:spacing w:after="0" w:line="62" w:lineRule="exact"/>
        <w:rPr>
          <w:sz w:val="20"/>
          <w:szCs w:val="20"/>
          <w:color w:val="auto"/>
        </w:rPr>
      </w:pPr>
    </w:p>
    <w:p>
      <w:pPr>
        <w:ind w:left="60" w:right="639" w:firstLine="270"/>
        <w:spacing w:after="0" w:line="279" w:lineRule="auto"/>
        <w:rPr>
          <w:sz w:val="20"/>
          <w:szCs w:val="20"/>
          <w:color w:val="auto"/>
        </w:rPr>
      </w:pPr>
      <w:r>
        <w:rPr>
          <w:rFonts w:ascii="Arial" w:cs="Arial" w:eastAsia="Arial" w:hAnsi="Arial"/>
          <w:sz w:val="17"/>
          <w:szCs w:val="17"/>
          <w:color w:val="auto"/>
        </w:rPr>
        <w:t>Our primary use of cash is to make investments and to pay our operating expenses. Our current policy is to maintain cash reserves and liquid securities in an amount sufficient to pay our operating expenses, including investment management fees and costs incurred under the Administration Agreement, for approximately two years. For the three months ended March 31, 2016 and 2015 our operating expenses were $(444,355), and $12,852,430,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519684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As of</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9"/>
        </w:trPr>
        <w:tc>
          <w:tcPr>
            <w:tcW w:w="5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Cash Reserves and Liquid Securities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March 31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71"/>
        </w:trPr>
        <w:tc>
          <w:tcPr>
            <w:tcW w:w="5820" w:type="dxa"/>
            <w:vAlign w:val="bottom"/>
            <w:tcBorders>
              <w:bottom w:val="single" w:sz="8" w:color="auto"/>
            </w:tcBorders>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4,381,411</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8,060,624</w:t>
            </w:r>
          </w:p>
        </w:tc>
        <w:tc>
          <w:tcPr>
            <w:tcW w:w="0" w:type="dxa"/>
            <w:vAlign w:val="bottom"/>
          </w:tcPr>
          <w:p>
            <w:pPr>
              <w:spacing w:after="0"/>
              <w:rPr>
                <w:sz w:val="1"/>
                <w:szCs w:val="1"/>
                <w:color w:val="auto"/>
              </w:rPr>
            </w:pPr>
          </w:p>
        </w:tc>
      </w:tr>
      <w:tr>
        <w:trPr>
          <w:trHeight w:val="257"/>
        </w:trPr>
        <w:tc>
          <w:tcPr>
            <w:tcW w:w="582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Amounts available for borrowing under the Credit Facility</w:t>
            </w:r>
            <w:r>
              <w:rPr>
                <w:rFonts w:ascii="Arial" w:cs="Arial" w:eastAsia="Arial" w:hAnsi="Arial"/>
                <w:sz w:val="29"/>
                <w:szCs w:val="29"/>
                <w:color w:val="auto"/>
                <w:vertAlign w:val="superscript"/>
              </w:rPr>
              <w:t>(1)</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18,000,000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2,000,000</w:t>
            </w:r>
          </w:p>
        </w:tc>
        <w:tc>
          <w:tcPr>
            <w:tcW w:w="0" w:type="dxa"/>
            <w:vAlign w:val="bottom"/>
          </w:tcPr>
          <w:p>
            <w:pPr>
              <w:spacing w:after="0"/>
              <w:rPr>
                <w:sz w:val="1"/>
                <w:szCs w:val="1"/>
                <w:color w:val="auto"/>
              </w:rPr>
            </w:pPr>
          </w:p>
        </w:tc>
      </w:tr>
      <w:tr>
        <w:trPr>
          <w:trHeight w:val="216"/>
        </w:trPr>
        <w:tc>
          <w:tcPr>
            <w:tcW w:w="58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Securities of Publicly Traded</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82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Portfolio Companies</w:t>
            </w:r>
            <w:r>
              <w:rPr>
                <w:rFonts w:ascii="Arial" w:cs="Arial" w:eastAsia="Arial" w:hAnsi="Arial"/>
                <w:sz w:val="29"/>
                <w:szCs w:val="29"/>
                <w:color w:val="auto"/>
                <w:vertAlign w:val="superscript"/>
              </w:rPr>
              <w:t>(2)</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5800" w:type="dxa"/>
            <w:vAlign w:val="bottom"/>
            <w:gridSpan w:val="2"/>
            <w:shd w:val="clear" w:color="auto" w:fill="CCEEFF"/>
          </w:tcPr>
          <w:p>
            <w:pPr>
              <w:ind w:left="180"/>
              <w:spacing w:after="0" w:line="256" w:lineRule="exact"/>
              <w:rPr>
                <w:sz w:val="20"/>
                <w:szCs w:val="20"/>
                <w:color w:val="auto"/>
              </w:rPr>
            </w:pPr>
            <w:r>
              <w:rPr>
                <w:rFonts w:ascii="Arial" w:cs="Arial" w:eastAsia="Arial" w:hAnsi="Arial"/>
                <w:sz w:val="18"/>
                <w:szCs w:val="18"/>
                <w:color w:val="auto"/>
              </w:rPr>
              <w:t>Unrestricted securities</w:t>
            </w:r>
            <w:r>
              <w:rPr>
                <w:rFonts w:ascii="Arial" w:cs="Arial" w:eastAsia="Arial" w:hAnsi="Arial"/>
                <w:sz w:val="29"/>
                <w:szCs w:val="29"/>
                <w:color w:val="auto"/>
                <w:vertAlign w:val="superscript"/>
              </w:rPr>
              <w:t>(3)</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18,525,182</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69,529,244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80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Subject to other Sales Restrictions</w:t>
            </w:r>
            <w:r>
              <w:rPr>
                <w:rFonts w:ascii="Arial" w:cs="Arial" w:eastAsia="Arial" w:hAnsi="Arial"/>
                <w:sz w:val="29"/>
                <w:szCs w:val="29"/>
                <w:color w:val="auto"/>
                <w:vertAlign w:val="superscript"/>
              </w:rPr>
              <w:t>(4)(5)</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133,678</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30,687,788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18,658,860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100,217,032</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48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gridSpan w:val="3"/>
          </w:tcPr>
          <w:p>
            <w:pPr>
              <w:ind w:left="20"/>
              <w:spacing w:after="0"/>
              <w:rPr>
                <w:sz w:val="20"/>
                <w:szCs w:val="20"/>
                <w:color w:val="auto"/>
              </w:rPr>
            </w:pPr>
            <w:r>
              <w:rPr>
                <w:rFonts w:ascii="Arial" w:cs="Arial" w:eastAsia="Arial" w:hAnsi="Arial"/>
                <w:sz w:val="18"/>
                <w:szCs w:val="18"/>
                <w:color w:val="auto"/>
              </w:rPr>
              <w:t>Total Cash reserves and Liquid securities</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41,040,271</w:t>
            </w:r>
          </w:p>
        </w:tc>
        <w:tc>
          <w:tcPr>
            <w:tcW w:w="8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110,277,656</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4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-342265</wp:posOffset>
            </wp:positionV>
            <wp:extent cx="5213985" cy="1543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213985" cy="154305"/>
                    </a:xfrm>
                    <a:prstGeom prst="rect">
                      <a:avLst/>
                    </a:prstGeom>
                    <a:noFill/>
                  </pic:spPr>
                </pic:pic>
              </a:graphicData>
            </a:graphic>
          </wp:anchor>
        </w:drawing>
      </w:r>
    </w:p>
    <w:p>
      <w:pPr>
        <w:spacing w:after="0" w:line="236" w:lineRule="exact"/>
        <w:rPr>
          <w:sz w:val="20"/>
          <w:szCs w:val="20"/>
          <w:color w:val="auto"/>
        </w:rPr>
      </w:pPr>
    </w:p>
    <w:p>
      <w:pPr>
        <w:ind w:left="300" w:right="639" w:hanging="272"/>
        <w:spacing w:after="0" w:line="308" w:lineRule="auto"/>
        <w:tabs>
          <w:tab w:leader="none" w:pos="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Subject to leverage and borrowing base restrictions under the Credit Facility. Refer to “Note 9 — Long Term Liabilities” to our condensed consolidated financial statements as of March 31, 2016 for details regarding the Credit Facility.</w:t>
      </w:r>
    </w:p>
    <w:p>
      <w:pPr>
        <w:spacing w:after="0" w:line="38" w:lineRule="exact"/>
        <w:rPr>
          <w:rFonts w:ascii="Arial" w:cs="Arial" w:eastAsia="Arial" w:hAnsi="Arial"/>
          <w:sz w:val="17"/>
          <w:szCs w:val="17"/>
          <w:color w:val="auto"/>
        </w:rPr>
      </w:pPr>
    </w:p>
    <w:p>
      <w:pPr>
        <w:ind w:left="300" w:right="779" w:hanging="272"/>
        <w:spacing w:after="0" w:line="277" w:lineRule="auto"/>
        <w:tabs>
          <w:tab w:leader="none" w:pos="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portfolio investments are pledged as collateral to secure any borrowings under the Credit Facility. We may incur losses if we liquidate these positions to pay operating expenses or fund new investments.</w:t>
      </w:r>
    </w:p>
    <w:p>
      <w:pPr>
        <w:spacing w:after="0" w:line="62" w:lineRule="exact"/>
        <w:rPr>
          <w:rFonts w:ascii="Arial" w:cs="Arial" w:eastAsia="Arial" w:hAnsi="Arial"/>
          <w:sz w:val="18"/>
          <w:szCs w:val="18"/>
          <w:color w:val="auto"/>
        </w:rPr>
      </w:pPr>
    </w:p>
    <w:p>
      <w:pPr>
        <w:ind w:left="300" w:right="559" w:hanging="272"/>
        <w:spacing w:after="0" w:line="277" w:lineRule="auto"/>
        <w:tabs>
          <w:tab w:leader="none" w:pos="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“Unrestricted Securities” represents common stock of our publicly traded companies that are not subject to any restrictions upon sale.</w:t>
      </w:r>
    </w:p>
    <w:p>
      <w:pPr>
        <w:spacing w:after="0" w:line="62" w:lineRule="exact"/>
        <w:rPr>
          <w:rFonts w:ascii="Arial" w:cs="Arial" w:eastAsia="Arial" w:hAnsi="Arial"/>
          <w:sz w:val="18"/>
          <w:szCs w:val="18"/>
          <w:color w:val="auto"/>
        </w:rPr>
      </w:pPr>
    </w:p>
    <w:p>
      <w:pPr>
        <w:ind w:left="300" w:right="619" w:hanging="272"/>
        <w:spacing w:after="0" w:line="259" w:lineRule="auto"/>
        <w:tabs>
          <w:tab w:leader="none" w:pos="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of March 31, 2016, this balance represents our shares of common stock of Cricket Media (f/k/a ePals Inc.). These shares are freely tradable, however at certain times during the year, these shares may be subject to black-out periods as a result of Michael Moe’s position as a director of Cricket Media. During these blackout periods, we may be unable to sell these securities under Canadian securities law.</w:t>
      </w:r>
    </w:p>
    <w:p>
      <w:pPr>
        <w:spacing w:after="0" w:line="78" w:lineRule="exact"/>
        <w:rPr>
          <w:rFonts w:ascii="Arial" w:cs="Arial" w:eastAsia="Arial" w:hAnsi="Arial"/>
          <w:sz w:val="18"/>
          <w:szCs w:val="18"/>
          <w:color w:val="auto"/>
        </w:rPr>
      </w:pPr>
    </w:p>
    <w:p>
      <w:pPr>
        <w:ind w:left="300" w:right="639" w:hanging="272"/>
        <w:spacing w:after="0" w:line="302" w:lineRule="auto"/>
        <w:tabs>
          <w:tab w:leader="none" w:pos="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As of March 31, 2015, this balance represents our common shares of Cricket Media (f/k/a ePals Inc.) and 2U, Inc. (f/k/a 2tor, Inc.). During the majority of the year, these shares are freely tradable, however at certain times during the year, these shares are subject to black-out periods as a result of Michael Moe’s seats on the boards of directors of these portfolio companies. During these blackout periods, we are unable to sell these securities under Canadian and U.S. securities law.</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During the three months ended March 31, 2016, cash and cash equivalents decreased to $4,381,411 at the end of the period,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from $13,349,877 at the beginning of the period. The decline in cash and cash equivalents was primarily due to $4,993,660 and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$1,985,511 in payments to GSV Asset Management for earned incentive and management fees, respectively, as well as $1,811,250</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 interest payments on the Convertible Senior Notes. These payments were partially offset by net proceeds of $867,798 from the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purchase and sales of investments. During the three months ended March 31, 2016, there were no financing activities that impacted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cash and cash equivalents.</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Equity Issuances &amp; Debt Capital Activities</w:t>
      </w:r>
    </w:p>
    <w:p>
      <w:pPr>
        <w:spacing w:after="0" w:line="117" w:lineRule="exact"/>
        <w:rPr>
          <w:sz w:val="20"/>
          <w:szCs w:val="20"/>
          <w:color w:val="auto"/>
        </w:rPr>
      </w:pPr>
    </w:p>
    <w:p>
      <w:pPr>
        <w:ind w:left="60" w:right="579" w:firstLine="270"/>
        <w:spacing w:after="0" w:line="277" w:lineRule="auto"/>
        <w:rPr>
          <w:sz w:val="20"/>
          <w:szCs w:val="20"/>
          <w:color w:val="auto"/>
        </w:rPr>
      </w:pPr>
      <w:r>
        <w:rPr>
          <w:rFonts w:ascii="Arial" w:cs="Arial" w:eastAsia="Arial" w:hAnsi="Arial"/>
          <w:sz w:val="18"/>
          <w:szCs w:val="18"/>
          <w:color w:val="auto"/>
        </w:rPr>
        <w:t>There were no sales of our equity or debt securities during the three months ended March 31, 2016 or the year ended December 31, 2015.</w:t>
      </w:r>
    </w:p>
    <w:p>
      <w:pPr>
        <w:spacing w:after="0" w:line="62" w:lineRule="exact"/>
        <w:rPr>
          <w:sz w:val="20"/>
          <w:szCs w:val="20"/>
          <w:color w:val="auto"/>
        </w:rPr>
      </w:pPr>
    </w:p>
    <w:p>
      <w:pPr>
        <w:ind w:left="60" w:right="719" w:firstLine="270"/>
        <w:spacing w:after="0" w:line="277" w:lineRule="auto"/>
        <w:rPr>
          <w:sz w:val="20"/>
          <w:szCs w:val="20"/>
          <w:color w:val="auto"/>
        </w:rPr>
      </w:pPr>
      <w:r>
        <w:rPr>
          <w:rFonts w:ascii="Arial" w:cs="Arial" w:eastAsia="Arial" w:hAnsi="Arial"/>
          <w:sz w:val="18"/>
          <w:szCs w:val="18"/>
          <w:color w:val="auto"/>
        </w:rPr>
        <w:t>As a result of our distribution, which was paid on December 31, 2015, we issued 2,860,903 shares of common stock. Refer to “— Distributions” below for details of the distribution paid.</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2016, we had no borrowings under the Credit Facility.</w:t>
      </w:r>
    </w:p>
    <w:p>
      <w:pPr>
        <w:spacing w:after="0" w:line="200" w:lineRule="exact"/>
        <w:rPr>
          <w:sz w:val="20"/>
          <w:szCs w:val="20"/>
          <w:color w:val="auto"/>
        </w:rPr>
      </w:pPr>
    </w:p>
    <w:p>
      <w:pPr>
        <w:spacing w:after="0" w:line="37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47" w:name="page48"/>
    <w:bookmarkEnd w:id="47"/>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521398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14"/>
          </w:tcPr>
          <w:p>
            <w:pPr>
              <w:jc w:val="right"/>
              <w:ind w:right="53"/>
              <w:spacing w:after="0"/>
              <w:rPr>
                <w:sz w:val="20"/>
                <w:szCs w:val="20"/>
                <w:color w:val="auto"/>
              </w:rPr>
            </w:pPr>
            <w:r>
              <w:rPr>
                <w:rFonts w:ascii="Arial" w:cs="Arial" w:eastAsia="Arial" w:hAnsi="Arial"/>
                <w:sz w:val="14"/>
                <w:szCs w:val="14"/>
                <w:b w:val="1"/>
                <w:bCs w:val="1"/>
                <w:color w:val="auto"/>
                <w:w w:val="95"/>
              </w:rPr>
              <w:t>Payments Due By Period (dollars in millions)</w:t>
            </w: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0"/>
                <w:szCs w:val="10"/>
                <w:color w:val="auto"/>
              </w:rPr>
            </w:pPr>
          </w:p>
        </w:tc>
        <w:tc>
          <w:tcPr>
            <w:tcW w:w="740" w:type="dxa"/>
            <w:vAlign w:val="bottom"/>
            <w:gridSpan w:val="3"/>
          </w:tcPr>
          <w:p>
            <w:pPr>
              <w:jc w:val="right"/>
              <w:ind w:right="80"/>
              <w:spacing w:after="0" w:line="119" w:lineRule="exact"/>
              <w:rPr>
                <w:sz w:val="20"/>
                <w:szCs w:val="20"/>
                <w:color w:val="auto"/>
              </w:rPr>
            </w:pPr>
            <w:r>
              <w:rPr>
                <w:rFonts w:ascii="Arial" w:cs="Arial" w:eastAsia="Arial" w:hAnsi="Arial"/>
                <w:sz w:val="13"/>
                <w:szCs w:val="13"/>
                <w:b w:val="1"/>
                <w:bCs w:val="1"/>
                <w:color w:val="auto"/>
              </w:rPr>
              <w:t>Less than</w:t>
            </w:r>
          </w:p>
        </w:tc>
        <w:tc>
          <w:tcPr>
            <w:tcW w:w="160" w:type="dxa"/>
            <w:vAlign w:val="bottom"/>
          </w:tcPr>
          <w:p>
            <w:pPr>
              <w:spacing w:after="0"/>
              <w:rPr>
                <w:sz w:val="10"/>
                <w:szCs w:val="10"/>
                <w:color w:val="auto"/>
              </w:rPr>
            </w:pPr>
          </w:p>
        </w:tc>
        <w:tc>
          <w:tcPr>
            <w:tcW w:w="74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w w:val="94"/>
              </w:rPr>
              <w:t>1 – 3 years</w:t>
            </w:r>
          </w:p>
        </w:tc>
        <w:tc>
          <w:tcPr>
            <w:tcW w:w="160" w:type="dxa"/>
            <w:vAlign w:val="bottom"/>
          </w:tcPr>
          <w:p>
            <w:pPr>
              <w:spacing w:after="0"/>
              <w:rPr>
                <w:sz w:val="10"/>
                <w:szCs w:val="10"/>
                <w:color w:val="auto"/>
              </w:rPr>
            </w:pPr>
          </w:p>
        </w:tc>
        <w:tc>
          <w:tcPr>
            <w:tcW w:w="7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2"/>
              </w:rPr>
              <w:t>3 – 5 years</w:t>
            </w:r>
          </w:p>
        </w:tc>
        <w:tc>
          <w:tcPr>
            <w:tcW w:w="160" w:type="dxa"/>
            <w:vAlign w:val="bottom"/>
          </w:tcPr>
          <w:p>
            <w:pPr>
              <w:spacing w:after="0"/>
              <w:rPr>
                <w:sz w:val="10"/>
                <w:szCs w:val="10"/>
                <w:color w:val="auto"/>
              </w:rPr>
            </w:pPr>
          </w:p>
        </w:tc>
        <w:tc>
          <w:tcPr>
            <w:tcW w:w="820" w:type="dxa"/>
            <w:vAlign w:val="bottom"/>
            <w:gridSpan w:val="3"/>
          </w:tcPr>
          <w:p>
            <w:pPr>
              <w:ind w:left="80"/>
              <w:spacing w:after="0" w:line="119" w:lineRule="exact"/>
              <w:rPr>
                <w:sz w:val="20"/>
                <w:szCs w:val="20"/>
                <w:color w:val="auto"/>
              </w:rPr>
            </w:pPr>
            <w:r>
              <w:rPr>
                <w:rFonts w:ascii="Arial" w:cs="Arial" w:eastAsia="Arial" w:hAnsi="Arial"/>
                <w:sz w:val="13"/>
                <w:szCs w:val="13"/>
                <w:b w:val="1"/>
                <w:bCs w:val="1"/>
                <w:color w:val="auto"/>
              </w:rPr>
              <w:t>More than</w:t>
            </w:r>
          </w:p>
        </w:tc>
        <w:tc>
          <w:tcPr>
            <w:tcW w:w="0" w:type="dxa"/>
            <w:vAlign w:val="bottom"/>
          </w:tcPr>
          <w:p>
            <w:pPr>
              <w:spacing w:after="0"/>
              <w:rPr>
                <w:sz w:val="1"/>
                <w:szCs w:val="1"/>
                <w:color w:val="auto"/>
              </w:rPr>
            </w:pPr>
          </w:p>
        </w:tc>
      </w:tr>
      <w:tr>
        <w:trPr>
          <w:trHeight w:val="171"/>
        </w:trPr>
        <w:tc>
          <w:tcPr>
            <w:tcW w:w="3840" w:type="dxa"/>
            <w:vAlign w:val="bottom"/>
            <w:gridSpan w:val="3"/>
            <w:vMerge w:val="restart"/>
          </w:tcPr>
          <w:p>
            <w:pPr>
              <w:ind w:left="20"/>
              <w:spacing w:after="0"/>
              <w:rPr>
                <w:sz w:val="20"/>
                <w:szCs w:val="20"/>
                <w:color w:val="auto"/>
              </w:rPr>
            </w:pPr>
            <w:r>
              <w:rPr>
                <w:rFonts w:ascii="Arial" w:cs="Arial" w:eastAsia="Arial" w:hAnsi="Arial"/>
                <w:sz w:val="18"/>
                <w:szCs w:val="18"/>
                <w:color w:val="auto"/>
              </w:rPr>
              <w:t>Payable for securities purchased</w:t>
            </w:r>
            <w:r>
              <w:rPr>
                <w:rFonts w:ascii="Arial" w:cs="Arial" w:eastAsia="Arial" w:hAnsi="Arial"/>
                <w:sz w:val="30"/>
                <w:szCs w:val="30"/>
                <w:color w:val="auto"/>
                <w:vertAlign w:val="superscript"/>
              </w:rPr>
              <w:t>(1)</w:t>
            </w: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98"/>
              </w:rPr>
              <w:t>1 year</w:t>
            </w:r>
          </w:p>
        </w:tc>
        <w:tc>
          <w:tcPr>
            <w:tcW w:w="160" w:type="dxa"/>
            <w:vAlign w:val="bottom"/>
          </w:tcPr>
          <w:p>
            <w:pPr>
              <w:spacing w:after="0"/>
              <w:rPr>
                <w:sz w:val="14"/>
                <w:szCs w:val="14"/>
                <w:color w:val="auto"/>
              </w:rPr>
            </w:pPr>
          </w:p>
        </w:tc>
        <w:tc>
          <w:tcPr>
            <w:tcW w:w="740" w:type="dxa"/>
            <w:vAlign w:val="bottom"/>
            <w:tcBorders>
              <w:bottom w:val="single" w:sz="8" w:color="auto"/>
            </w:tcBorders>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Borders>
              <w:bottom w:val="single" w:sz="8" w:color="auto"/>
            </w:tcBorders>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0"/>
        </w:trPr>
        <w:tc>
          <w:tcPr>
            <w:tcW w:w="3840" w:type="dxa"/>
            <w:vAlign w:val="bottom"/>
            <w:gridSpan w:val="3"/>
            <w:vMerge w:val="continue"/>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26.5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26.5</w:t>
            </w:r>
          </w:p>
        </w:tc>
        <w:tc>
          <w:tcPr>
            <w:tcW w:w="3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84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Convertible Senior Notes</w:t>
            </w:r>
            <w:r>
              <w:rPr>
                <w:rFonts w:ascii="Arial" w:cs="Arial" w:eastAsia="Arial" w:hAnsi="Arial"/>
                <w:sz w:val="29"/>
                <w:szCs w:val="29"/>
                <w:color w:val="auto"/>
                <w:vertAlign w:val="superscript"/>
              </w:rPr>
              <w:t>(2)</w:t>
            </w:r>
          </w:p>
        </w:tc>
        <w:tc>
          <w:tcPr>
            <w:tcW w:w="16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69.0</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w:t>
            </w:r>
          </w:p>
        </w:tc>
        <w:tc>
          <w:tcPr>
            <w:tcW w:w="1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84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Credit Facility</w:t>
            </w:r>
            <w:r>
              <w:rPr>
                <w:rFonts w:ascii="Arial" w:cs="Arial" w:eastAsia="Arial" w:hAnsi="Arial"/>
                <w:sz w:val="29"/>
                <w:szCs w:val="29"/>
                <w:color w:val="auto"/>
                <w:vertAlign w:val="superscript"/>
              </w:rPr>
              <w:t>(3)(4)</w:t>
            </w:r>
          </w:p>
        </w:tc>
        <w:tc>
          <w:tcPr>
            <w:tcW w:w="160" w:type="dxa"/>
            <w:vAlign w:val="bottom"/>
          </w:tcPr>
          <w:p>
            <w:pPr>
              <w:spacing w:after="0"/>
              <w:rPr>
                <w:sz w:val="22"/>
                <w:szCs w:val="2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26.5</w:t>
            </w:r>
          </w:p>
        </w:tc>
        <w:tc>
          <w:tcPr>
            <w:tcW w:w="3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w:t>
            </w:r>
          </w:p>
        </w:tc>
        <w:tc>
          <w:tcPr>
            <w:tcW w:w="4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1"/>
        </w:trPr>
        <w:tc>
          <w:tcPr>
            <w:tcW w:w="20" w:type="dxa"/>
            <w:vAlign w:val="bottom"/>
            <w:tcBorders>
              <w:top w:val="single" w:sz="8" w:color="CCEEFF"/>
            </w:tcBorders>
          </w:tcPr>
          <w:p>
            <w:pPr>
              <w:spacing w:after="0"/>
              <w:rPr>
                <w:sz w:val="23"/>
                <w:szCs w:val="23"/>
                <w:color w:val="auto"/>
              </w:rPr>
            </w:pPr>
          </w:p>
        </w:tc>
        <w:tc>
          <w:tcPr>
            <w:tcW w:w="980" w:type="dxa"/>
            <w:vAlign w:val="bottom"/>
            <w:tcBorders>
              <w:top w:val="single" w:sz="8" w:color="CCEEFF"/>
              <w:bottom w:val="single" w:sz="8" w:color="auto"/>
            </w:tcBorders>
          </w:tcPr>
          <w:p>
            <w:pPr>
              <w:spacing w:after="0"/>
              <w:rPr>
                <w:sz w:val="23"/>
                <w:szCs w:val="23"/>
                <w:color w:val="auto"/>
              </w:rPr>
            </w:pPr>
          </w:p>
        </w:tc>
        <w:tc>
          <w:tcPr>
            <w:tcW w:w="2840" w:type="dxa"/>
            <w:vAlign w:val="bottom"/>
            <w:tcBorders>
              <w:top w:val="single" w:sz="8" w:color="CCEEFF"/>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-222250</wp:posOffset>
            </wp:positionV>
            <wp:extent cx="5213985" cy="342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36" w:lineRule="exact"/>
        <w:rPr>
          <w:sz w:val="20"/>
          <w:szCs w:val="20"/>
          <w:color w:val="auto"/>
        </w:rPr>
      </w:pPr>
    </w:p>
    <w:p>
      <w:pPr>
        <w:ind w:left="300" w:right="999" w:hanging="272"/>
        <w:spacing w:after="0" w:line="264" w:lineRule="auto"/>
        <w:tabs>
          <w:tab w:leader="none" w:pos="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“Payable for securities purchased” relates to the purchase of the United States Treasury Bill on margin. The payable for securities purchased was subsequently repaid on April 7, 2016, when the United States Treasury Bill matured and the $3.5 million margin deposit that was posted as collateral was returned.</w:t>
      </w:r>
    </w:p>
    <w:p>
      <w:pPr>
        <w:spacing w:after="0" w:line="73" w:lineRule="exact"/>
        <w:rPr>
          <w:rFonts w:ascii="Arial" w:cs="Arial" w:eastAsia="Arial" w:hAnsi="Arial"/>
          <w:sz w:val="18"/>
          <w:szCs w:val="18"/>
          <w:color w:val="auto"/>
        </w:rPr>
      </w:pPr>
    </w:p>
    <w:p>
      <w:pPr>
        <w:ind w:left="300" w:hanging="272"/>
        <w:spacing w:after="0"/>
        <w:tabs>
          <w:tab w:leader="none" w:pos="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balance reflected for the Convertible Senior Notes reflects the principal balance payable to investors. Refer to “Note</w:t>
      </w:r>
    </w:p>
    <w:p>
      <w:pPr>
        <w:spacing w:after="0" w:line="34" w:lineRule="exact"/>
        <w:rPr>
          <w:rFonts w:ascii="Arial" w:cs="Arial" w:eastAsia="Arial" w:hAnsi="Arial"/>
          <w:sz w:val="17"/>
          <w:szCs w:val="17"/>
          <w:color w:val="auto"/>
        </w:rPr>
      </w:pPr>
    </w:p>
    <w:p>
      <w:pPr>
        <w:ind w:left="300"/>
        <w:spacing w:after="0"/>
        <w:rPr>
          <w:rFonts w:ascii="Arial" w:cs="Arial" w:eastAsia="Arial" w:hAnsi="Arial"/>
          <w:sz w:val="17"/>
          <w:szCs w:val="17"/>
          <w:color w:val="auto"/>
        </w:rPr>
      </w:pPr>
      <w:r>
        <w:rPr>
          <w:rFonts w:ascii="Arial" w:cs="Arial" w:eastAsia="Arial" w:hAnsi="Arial"/>
          <w:sz w:val="17"/>
          <w:szCs w:val="17"/>
          <w:color w:val="auto"/>
        </w:rPr>
        <w:t>9 — Long Term Liabilities” to our condensed consolidated financial statements as of March 31, 2016 for more information.</w:t>
      </w:r>
    </w:p>
    <w:p>
      <w:pPr>
        <w:spacing w:after="0" w:line="114" w:lineRule="exact"/>
        <w:rPr>
          <w:rFonts w:ascii="Arial" w:cs="Arial" w:eastAsia="Arial" w:hAnsi="Arial"/>
          <w:sz w:val="17"/>
          <w:szCs w:val="17"/>
          <w:color w:val="auto"/>
        </w:rPr>
      </w:pPr>
    </w:p>
    <w:p>
      <w:pPr>
        <w:ind w:left="300" w:hanging="272"/>
        <w:spacing w:after="0"/>
        <w:tabs>
          <w:tab w:leader="none" w:pos="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total unused amount of the Credit Facility as of March 31, 2016 was $18 million.</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weighted-average interest rate incurred under the Credit Facility was 0.00% for the three months ended March 31, 2016.</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left="60" w:right="899" w:firstLine="270"/>
        <w:spacing w:after="0" w:line="342" w:lineRule="auto"/>
        <w:rPr>
          <w:sz w:val="20"/>
          <w:szCs w:val="20"/>
          <w:color w:val="auto"/>
        </w:rPr>
      </w:pPr>
      <w:r>
        <w:rPr>
          <w:rFonts w:ascii="Arial" w:cs="Arial" w:eastAsia="Arial" w:hAnsi="Arial"/>
          <w:sz w:val="16"/>
          <w:szCs w:val="16"/>
          <w:color w:val="auto"/>
        </w:rPr>
        <w:t>As of March 31, 2016, we had no off-balance sheet arrangements, including any risk management of commodity pricing or other hedging practices. However, we may employ hedging and other risk management techniques in the future.</w:t>
      </w:r>
    </w:p>
    <w:p>
      <w:pPr>
        <w:spacing w:after="0" w:line="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Distributions</w:t>
      </w:r>
    </w:p>
    <w:p>
      <w:pPr>
        <w:spacing w:after="0" w:line="117" w:lineRule="exact"/>
        <w:rPr>
          <w:sz w:val="20"/>
          <w:szCs w:val="20"/>
          <w:color w:val="auto"/>
        </w:rPr>
      </w:pPr>
    </w:p>
    <w:p>
      <w:pPr>
        <w:ind w:left="60" w:right="539" w:firstLine="270"/>
        <w:spacing w:after="0" w:line="312" w:lineRule="auto"/>
        <w:rPr>
          <w:sz w:val="20"/>
          <w:szCs w:val="20"/>
          <w:color w:val="auto"/>
        </w:rPr>
      </w:pPr>
      <w:r>
        <w:rPr>
          <w:rFonts w:ascii="Arial" w:cs="Arial" w:eastAsia="Arial" w:hAnsi="Arial"/>
          <w:sz w:val="16"/>
          <w:szCs w:val="16"/>
          <w:color w:val="auto"/>
        </w:rPr>
        <w:t>The timing and amount of our dividends, if any, will be determined by our board of directors and will be declared out of assets legally available for distribution. The following table lists the cash distributions, including dividends and returns of capital, if any, per share that we have declared since our formation on January 6, 2011. The table is divided by fiscal year according to 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-8255</wp:posOffset>
            </wp:positionV>
            <wp:extent cx="475107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Date Declared</w:t>
            </w:r>
          </w:p>
        </w:tc>
        <w:tc>
          <w:tcPr>
            <w:tcW w:w="160" w:type="dxa"/>
            <w:vAlign w:val="bottom"/>
          </w:tcPr>
          <w:p>
            <w:pPr>
              <w:spacing w:after="0"/>
              <w:rPr>
                <w:sz w:val="14"/>
                <w:szCs w:val="14"/>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Record Date</w:t>
            </w:r>
          </w:p>
        </w:tc>
        <w:tc>
          <w:tcPr>
            <w:tcW w:w="180" w:type="dxa"/>
            <w:vAlign w:val="bottom"/>
          </w:tcPr>
          <w:p>
            <w:pPr>
              <w:spacing w:after="0"/>
              <w:rPr>
                <w:sz w:val="14"/>
                <w:szCs w:val="14"/>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Payment Date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1"/>
        </w:trPr>
        <w:tc>
          <w:tcPr>
            <w:tcW w:w="2880" w:type="dxa"/>
            <w:vAlign w:val="bottom"/>
            <w:tcBorders>
              <w:bottom w:val="single" w:sz="8" w:color="auto"/>
            </w:tcBorders>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10"/>
        </w:trPr>
        <w:tc>
          <w:tcPr>
            <w:tcW w:w="288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Fiscal 2015:</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6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November 4, 2015</w:t>
            </w:r>
            <w:r>
              <w:rPr>
                <w:rFonts w:ascii="Arial" w:cs="Arial" w:eastAsia="Arial" w:hAnsi="Arial"/>
                <w:sz w:val="29"/>
                <w:szCs w:val="29"/>
                <w:color w:val="auto"/>
                <w:vertAlign w:val="superscript"/>
              </w:rPr>
              <w:t>(1)</w:t>
            </w:r>
          </w:p>
        </w:tc>
        <w:tc>
          <w:tcPr>
            <w:tcW w:w="160" w:type="dxa"/>
            <w:vAlign w:val="bottom"/>
          </w:tcPr>
          <w:p>
            <w:pPr>
              <w:spacing w:after="0"/>
              <w:rPr>
                <w:sz w:val="22"/>
                <w:szCs w:val="22"/>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November 16, 2015</w:t>
            </w:r>
          </w:p>
        </w:tc>
        <w:tc>
          <w:tcPr>
            <w:tcW w:w="180" w:type="dxa"/>
            <w:vAlign w:val="bottom"/>
          </w:tcPr>
          <w:p>
            <w:pPr>
              <w:spacing w:after="0"/>
              <w:rPr>
                <w:sz w:val="22"/>
                <w:szCs w:val="22"/>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8"/>
              </w:rPr>
              <w:t>December 31, 2015</w:t>
            </w:r>
          </w:p>
        </w:tc>
        <w:tc>
          <w:tcPr>
            <w:tcW w:w="16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286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Total</w:t>
            </w:r>
          </w:p>
        </w:tc>
        <w:tc>
          <w:tcPr>
            <w:tcW w:w="16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64"/>
        </w:trPr>
        <w:tc>
          <w:tcPr>
            <w:tcW w:w="20" w:type="dxa"/>
            <w:vAlign w:val="bottom"/>
            <w:tcBorders>
              <w:top w:val="single" w:sz="8" w:color="CCEEFF"/>
            </w:tcBorders>
          </w:tcPr>
          <w:p>
            <w:pPr>
              <w:spacing w:after="0"/>
              <w:rPr>
                <w:sz w:val="22"/>
                <w:szCs w:val="22"/>
                <w:color w:val="auto"/>
              </w:rPr>
            </w:pPr>
          </w:p>
        </w:tc>
        <w:tc>
          <w:tcPr>
            <w:tcW w:w="980" w:type="dxa"/>
            <w:vAlign w:val="bottom"/>
            <w:tcBorders>
              <w:top w:val="single" w:sz="8" w:color="CCEEFF"/>
              <w:bottom w:val="single" w:sz="8" w:color="auto"/>
            </w:tcBorders>
          </w:tcPr>
          <w:p>
            <w:pPr>
              <w:spacing w:after="0"/>
              <w:rPr>
                <w:sz w:val="22"/>
                <w:szCs w:val="22"/>
                <w:color w:val="auto"/>
              </w:rPr>
            </w:pPr>
          </w:p>
        </w:tc>
        <w:tc>
          <w:tcPr>
            <w:tcW w:w="188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620" w:type="dxa"/>
            <w:vAlign w:val="bottom"/>
            <w:tcBorders>
              <w:top w:val="single" w:sz="8" w:color="CCEEFF"/>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162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-213995</wp:posOffset>
            </wp:positionV>
            <wp:extent cx="4751070" cy="342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751070" cy="34290"/>
                    </a:xfrm>
                    <a:prstGeom prst="rect">
                      <a:avLst/>
                    </a:prstGeom>
                    <a:noFill/>
                  </pic:spPr>
                </pic:pic>
              </a:graphicData>
            </a:graphic>
          </wp:anchor>
        </w:drawing>
      </w:r>
    </w:p>
    <w:p>
      <w:pPr>
        <w:spacing w:after="0" w:line="236" w:lineRule="exact"/>
        <w:rPr>
          <w:sz w:val="20"/>
          <w:szCs w:val="20"/>
          <w:color w:val="auto"/>
        </w:rPr>
      </w:pPr>
    </w:p>
    <w:p>
      <w:pPr>
        <w:ind w:left="300" w:right="559" w:hanging="272"/>
        <w:spacing w:after="0" w:line="272" w:lineRule="auto"/>
        <w:tabs>
          <w:tab w:leader="none" w:pos="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dividend was paid in cash or shares of our common stock at the election of stockholders, although the total amount of cash distributed to all stockholders was limited to approximately 50% of the total dividend to be paid to all stockholders. As a result of stockholder elections, the dividend consisted of approximately 2,860,903 shares of common stock issued in lieu of cash, or approximately 14.8% of our outstanding shares prior to the dividend, as well as cash of $26,358,885. The number of shares of common stock comprising the stock portion was calculated based on a price of $9.425 per share, which equaled the average of the volume weighted-average trading price per share of our common stock on December 28, 29 and 30, 2015. None of the $2.76 per share dividend represented a return of capital.</w:t>
      </w:r>
    </w:p>
    <w:p>
      <w:pPr>
        <w:spacing w:after="0" w:line="70" w:lineRule="exact"/>
        <w:rPr>
          <w:sz w:val="20"/>
          <w:szCs w:val="20"/>
          <w:color w:val="auto"/>
        </w:rPr>
      </w:pPr>
    </w:p>
    <w:p>
      <w:pPr>
        <w:ind w:left="60" w:right="559" w:firstLine="270"/>
        <w:spacing w:after="0" w:line="255" w:lineRule="auto"/>
        <w:rPr>
          <w:sz w:val="20"/>
          <w:szCs w:val="20"/>
          <w:color w:val="auto"/>
        </w:rPr>
      </w:pPr>
      <w:r>
        <w:rPr>
          <w:rFonts w:ascii="Arial" w:cs="Arial" w:eastAsia="Arial" w:hAnsi="Arial"/>
          <w:sz w:val="18"/>
          <w:szCs w:val="18"/>
          <w:color w:val="auto"/>
        </w:rPr>
        <w:t>We intend to focus on making capital gains-based investments from which we will derive primarily capital gains. As a consequence, we do not anticipate that we will pay dividends on a quarterly basis or become a predictable distributor of dividends, and we expect that our dividends, if any, will be much less consistent than the dividends of other business development companies that primarily make debt investments. If there are earnings or realized capital gains to be distributed, we intend to declare and pay a dividend at least annually. The amount of realized capital gains available for distribution to stockholders will be impacted by our tax status.</w:t>
      </w:r>
    </w:p>
    <w:p>
      <w:pPr>
        <w:spacing w:after="0" w:line="85" w:lineRule="exact"/>
        <w:rPr>
          <w:sz w:val="20"/>
          <w:szCs w:val="20"/>
          <w:color w:val="auto"/>
        </w:rPr>
      </w:pPr>
    </w:p>
    <w:p>
      <w:pPr>
        <w:ind w:left="60" w:right="879" w:firstLine="270"/>
        <w:spacing w:after="0" w:line="277" w:lineRule="auto"/>
        <w:rPr>
          <w:sz w:val="20"/>
          <w:szCs w:val="20"/>
          <w:color w:val="auto"/>
        </w:rPr>
      </w:pPr>
      <w:r>
        <w:rPr>
          <w:rFonts w:ascii="Arial" w:cs="Arial" w:eastAsia="Arial" w:hAnsi="Arial"/>
          <w:sz w:val="18"/>
          <w:szCs w:val="18"/>
          <w:color w:val="auto"/>
        </w:rPr>
        <w:t>Our current intention is to make any future distributions out of assets legally available therefrom in additional shares of our common stock under our dividend reinvestment plan, unless a stockholder elects to</w:t>
      </w:r>
    </w:p>
    <w:p>
      <w:pPr>
        <w:spacing w:after="0" w:line="200" w:lineRule="exact"/>
        <w:rPr>
          <w:sz w:val="20"/>
          <w:szCs w:val="20"/>
          <w:color w:val="auto"/>
        </w:rPr>
      </w:pPr>
    </w:p>
    <w:p>
      <w:pPr>
        <w:spacing w:after="0" w:line="32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59"/>
        <w:spacing w:after="0" w:line="269" w:lineRule="auto"/>
        <w:rPr>
          <w:sz w:val="20"/>
          <w:szCs w:val="20"/>
          <w:color w:val="auto"/>
        </w:rPr>
      </w:pPr>
      <w:r>
        <w:rPr>
          <w:rFonts w:ascii="Arial" w:cs="Arial" w:eastAsia="Arial" w:hAnsi="Arial"/>
          <w:sz w:val="17"/>
          <w:szCs w:val="17"/>
          <w:color w:val="auto"/>
        </w:rPr>
        <w:t>receive dividends and/or long-term capital gains distributions in cash. Under the dividend reinvestment plan, if a stockholder owns shares of common stock registered in its own name, the stockholder will have all cash distributions (net of any withholding) automatically reinvested in additional shares of common stock unless the stockholder opts out of our dividend reinvestment plan by delivering a written notice to our dividend paying agent prior to the record date of the next dividend or distribution. Any distributions reinvested under the plan will nevertheless remain taxable to the U.S. stockholder, although no cash distribution has been made. As a result, if a stockholder does not elect to opt out of the dividend reinvestment plan, it will be required to pay applicable federal, state and local taxes on any reinvested dividends even though such stockholder will not receive a corresponding cash distribution. In addition, reinvested dividends have the effect of increasing our gross assets, which may correspondingly increase the management fee payable to our investment adviser, GSV Asset Management. Stockholders who hold shares in the name of a broker or financial intermediary should contact the broker or financial intermediary regarding any election to receive distributions in cash.</w:t>
      </w:r>
    </w:p>
    <w:p>
      <w:pPr>
        <w:spacing w:after="0" w:line="75" w:lineRule="exact"/>
        <w:rPr>
          <w:sz w:val="20"/>
          <w:szCs w:val="20"/>
          <w:color w:val="auto"/>
        </w:rPr>
      </w:pPr>
    </w:p>
    <w:p>
      <w:pPr>
        <w:ind w:left="40" w:right="539" w:firstLine="270"/>
        <w:spacing w:after="0" w:line="270" w:lineRule="auto"/>
        <w:rPr>
          <w:sz w:val="20"/>
          <w:szCs w:val="20"/>
          <w:color w:val="auto"/>
        </w:rPr>
      </w:pPr>
      <w:r>
        <w:rPr>
          <w:rFonts w:ascii="Arial" w:cs="Arial" w:eastAsia="Arial" w:hAnsi="Arial"/>
          <w:sz w:val="17"/>
          <w:szCs w:val="17"/>
          <w:color w:val="auto"/>
        </w:rPr>
        <w:t>Although we elected to be treated as a RIC under Subchapter M of the Code for the 2014 taxable year and continue to qualify to be treated as a RIC, we were taxed as a C Corporation under the Code for our 2013 taxable year. So long as we qualify and maintain our status as a RIC, we generally will not pay corporate-level U.S. federal and state income taxes on any ordinary income or capital gains that we distribute at least annually to our stockholders as dividends. Rather, any tax liability related to income earned by the RIC will represent obligations of our investors and will not be reflected in our condensed consolidated financial statements. Included in our condensed consolidated financial statements, the GSVC Holdings are taxable subsidiaries, regardless of whether we are a RIC. These taxable subsidiaries are not consolidated for income tax purposes and may generate income tax expenses as a result of their ownership of the portfolio companies. Such income tax expenses and deferred taxes, if any, will be reflected in our condensed consolidated financial statements.</w:t>
      </w:r>
    </w:p>
    <w:p>
      <w:pPr>
        <w:spacing w:after="0" w:line="74" w:lineRule="exact"/>
        <w:rPr>
          <w:sz w:val="20"/>
          <w:szCs w:val="20"/>
          <w:color w:val="auto"/>
        </w:rPr>
      </w:pPr>
    </w:p>
    <w:p>
      <w:pPr>
        <w:ind w:left="40" w:right="659" w:firstLine="270"/>
        <w:spacing w:after="0" w:line="273" w:lineRule="auto"/>
        <w:rPr>
          <w:sz w:val="20"/>
          <w:szCs w:val="20"/>
          <w:color w:val="auto"/>
        </w:rPr>
      </w:pPr>
      <w:r>
        <w:rPr>
          <w:rFonts w:ascii="Arial" w:cs="Arial" w:eastAsia="Arial" w:hAnsi="Arial"/>
          <w:sz w:val="17"/>
          <w:szCs w:val="17"/>
          <w:color w:val="auto"/>
        </w:rPr>
        <w:t>We have also qualified to be treated as a RIC for the 2015 taxable year and continue to operate in a manner so as to qualify for the tax treatment applicable to RICs. In order to qualify as a RIC and to avoid corporate-level tax on the income we distribute to our stockholders, we are required, under Subchapter M of the Code, to distribute at least 90% of our ordinary income and short-term capital gains to our stockholders on an annual basis. See “Note 1 — Nature of Operations and Significant Accounting Policies — Summary of Significant Accounting Policies — U.S. Federal and State Income Taxes” and “Note 8 — Income Taxes” to our condensed consolidated financial statements as of March 31, 2016 for more information.</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Borrowings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Convertible Senior Notes payable</w:t>
      </w:r>
    </w:p>
    <w:p>
      <w:pPr>
        <w:spacing w:after="0" w:line="117" w:lineRule="exact"/>
        <w:rPr>
          <w:sz w:val="20"/>
          <w:szCs w:val="20"/>
          <w:color w:val="auto"/>
        </w:rPr>
      </w:pPr>
    </w:p>
    <w:p>
      <w:pPr>
        <w:ind w:left="40" w:right="639" w:firstLine="270"/>
        <w:spacing w:after="0" w:line="270" w:lineRule="auto"/>
        <w:rPr>
          <w:sz w:val="20"/>
          <w:szCs w:val="20"/>
          <w:color w:val="auto"/>
        </w:rPr>
      </w:pPr>
      <w:r>
        <w:rPr>
          <w:rFonts w:ascii="Arial" w:cs="Arial" w:eastAsia="Arial" w:hAnsi="Arial"/>
          <w:sz w:val="17"/>
          <w:szCs w:val="17"/>
          <w:color w:val="auto"/>
        </w:rPr>
        <w:t>On September 17, 2013, we issued $69 million aggregate principal amount of Convertible Senior Notes (including $9 million aggregate principal amount issued pursuant to the exercise of the initial purchasers’ option to purchase additional Convertible Senior Notes), which bear interest at a fixed rate of 5.25% per year, are payable semi-annually and mature on September 15, 2018, unless previously repurchased or converted in accordance with their terms. We do not have the right to redeem the Convertible Senior Notes prior to maturity. As of March 31, 2016, the Convertible Senior Notes were convertible into shares of our common stock based on a conversion rate of 82.7567 shares of our common stock per $1,000 principal amount of the Convertible Senior Notes, which is equivalent to a conversion price of approximately $12.08 per share of common stock. Refer to “Note 1 — Nature of Operations and Significant Accounting Policies — Summary of Significant Accounting Policies” and “Note 9 — Long Term Liabilities” to our condensed consolidated financial statements as of March 31, 2016 for more information regarding the Convertible Senior Notes.</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ind w:left="40" w:right="539" w:firstLine="270"/>
        <w:spacing w:after="0" w:line="257" w:lineRule="auto"/>
        <w:rPr>
          <w:sz w:val="20"/>
          <w:szCs w:val="20"/>
          <w:color w:val="auto"/>
        </w:rPr>
      </w:pPr>
      <w:r>
        <w:rPr>
          <w:rFonts w:ascii="Arial" w:cs="Arial" w:eastAsia="Arial" w:hAnsi="Arial"/>
          <w:sz w:val="18"/>
          <w:szCs w:val="18"/>
          <w:color w:val="auto"/>
        </w:rPr>
        <w:t>We entered into the Loan Agreement, effective December 31, 2013, with Silicon Valley Bank to provide us with an $18 million Credit Facility, which matures on December 31, 2016 and bears interest at a per annum rate equal to the greater of (i) the prime rate plus 4.75% and (ii) 8.0% on amounts drawn. As of March 31, 2016, we had no borrowings under the Credit Facility. Refer to “Note 9 — Long Term Liabilities” to our condensed consolidated financial statements as of March 31, 2016 for a detailed discussion of the Credit Facility.</w:t>
      </w:r>
    </w:p>
    <w:p>
      <w:pPr>
        <w:spacing w:after="0" w:line="200" w:lineRule="exact"/>
        <w:rPr>
          <w:sz w:val="20"/>
          <w:szCs w:val="20"/>
          <w:color w:val="auto"/>
        </w:rPr>
      </w:pPr>
    </w:p>
    <w:p>
      <w:pPr>
        <w:spacing w:after="0" w:line="32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Related-Party Transactions</w:t>
      </w:r>
    </w:p>
    <w:p>
      <w:pPr>
        <w:spacing w:after="0" w:line="121" w:lineRule="exact"/>
        <w:rPr>
          <w:sz w:val="20"/>
          <w:szCs w:val="20"/>
          <w:color w:val="auto"/>
        </w:rPr>
      </w:pPr>
    </w:p>
    <w:p>
      <w:pPr>
        <w:ind w:left="40" w:right="539" w:firstLine="270"/>
        <w:spacing w:after="0" w:line="271" w:lineRule="auto"/>
        <w:rPr>
          <w:sz w:val="20"/>
          <w:szCs w:val="20"/>
          <w:color w:val="auto"/>
        </w:rPr>
      </w:pPr>
      <w:r>
        <w:rPr>
          <w:rFonts w:ascii="Arial" w:cs="Arial" w:eastAsia="Arial" w:hAnsi="Arial"/>
          <w:sz w:val="17"/>
          <w:szCs w:val="17"/>
          <w:color w:val="auto"/>
        </w:rPr>
        <w:t>We have entered into the Advisory Agreement with GSV Asset Management. GSV Asset Management is controlled by Michael T. Moe, our Chief Executive Officer and Chair of our board of directors. Mr. Moe, through his ownership interest in GSV Asset Management, is entitled to a portion of any profits earned by GSV Asset Management in performing its services under the Advisory Agreement. Mr. Moe, William Tanona, our Chief Financial Officer, Treasurer and Secretary, and Mark Flynn, our President, as principals of GSV Asset Management, collectively manage the business and internal affairs of GSV Asset Management. Mark Klein, a member of our board of directors, or entities with which he is affiliated, may receive fees from GSV Asset Management in connection with any offering of our securities and, from time to time, for consulting or non-investment advisory services he may provide to GSV Asset Management.</w:t>
      </w:r>
    </w:p>
    <w:p>
      <w:pPr>
        <w:spacing w:after="0" w:line="71" w:lineRule="exact"/>
        <w:rPr>
          <w:sz w:val="20"/>
          <w:szCs w:val="20"/>
          <w:color w:val="auto"/>
        </w:rPr>
      </w:pPr>
    </w:p>
    <w:p>
      <w:pPr>
        <w:ind w:left="40" w:right="599" w:firstLine="270"/>
        <w:spacing w:after="0" w:line="272" w:lineRule="auto"/>
        <w:rPr>
          <w:sz w:val="20"/>
          <w:szCs w:val="20"/>
          <w:color w:val="auto"/>
        </w:rPr>
      </w:pPr>
      <w:r>
        <w:rPr>
          <w:rFonts w:ascii="Arial" w:cs="Arial" w:eastAsia="Arial" w:hAnsi="Arial"/>
          <w:sz w:val="17"/>
          <w:szCs w:val="17"/>
          <w:color w:val="auto"/>
        </w:rPr>
        <w:t>Pursuant to the Advisory Agreement, GSV Asset Management is paid a base annual fee of 2.00% of gross assets, which is our total assets as reflected on our Statement of Assets and Liabilities (with no deduction for liabilities) reduced by any non-portfolio investments, and an annual incentive fee equal to the lesser of (i) 20% of our realized capital gains during each calendar year, if any, calculated on an investment-by-investment basis, subject to a non-compounded preferred return, or “hurdle,” and a “catch-up” feature, and (ii) 20% of our realized capital gains, if any, on a cumulative basis from inception through the end of each calendar year, computed net of all realized capital losses and unrealized capital depreciation on a cumulative basis, less the aggregate amount of any previously paid incentive fees.</w:t>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Incentive Fees</w:t>
      </w:r>
    </w:p>
    <w:p>
      <w:pPr>
        <w:spacing w:after="0" w:line="117" w:lineRule="exact"/>
        <w:rPr>
          <w:sz w:val="20"/>
          <w:szCs w:val="20"/>
          <w:color w:val="auto"/>
        </w:rPr>
      </w:pPr>
    </w:p>
    <w:p>
      <w:pPr>
        <w:ind w:left="40" w:right="699" w:firstLine="270"/>
        <w:spacing w:after="0" w:line="257" w:lineRule="auto"/>
        <w:rPr>
          <w:sz w:val="20"/>
          <w:szCs w:val="20"/>
          <w:color w:val="auto"/>
        </w:rPr>
      </w:pPr>
      <w:r>
        <w:rPr>
          <w:rFonts w:ascii="Arial" w:cs="Arial" w:eastAsia="Arial" w:hAnsi="Arial"/>
          <w:sz w:val="18"/>
          <w:szCs w:val="18"/>
          <w:color w:val="auto"/>
        </w:rPr>
        <w:t>For GAAP purposes, in accordance with the AICPA’s TPA (TIS 6910.2), we are required to accrue incentive fees as if we had fully liquidated our entire investment portfolio at the fair value stated on the Condensed Consolidated Statements of Assets and Liabilities as of March 31, 2016 and December 31, 2015. This accrual considers both the hypothetical liquidation of our portfolio described previously, as well as our actual cumulative realized gains and losses since inception and any previously paid incentive fees.</w:t>
      </w:r>
    </w:p>
    <w:p>
      <w:pPr>
        <w:spacing w:after="0" w:line="80" w:lineRule="exact"/>
        <w:rPr>
          <w:sz w:val="20"/>
          <w:szCs w:val="20"/>
          <w:color w:val="auto"/>
        </w:rPr>
      </w:pPr>
    </w:p>
    <w:p>
      <w:pPr>
        <w:ind w:left="40" w:right="879" w:firstLine="270"/>
        <w:spacing w:after="0" w:line="277" w:lineRule="auto"/>
        <w:rPr>
          <w:sz w:val="20"/>
          <w:szCs w:val="20"/>
          <w:color w:val="auto"/>
        </w:rPr>
      </w:pPr>
      <w:r>
        <w:rPr>
          <w:rFonts w:ascii="Arial" w:cs="Arial" w:eastAsia="Arial" w:hAnsi="Arial"/>
          <w:sz w:val="18"/>
          <w:szCs w:val="18"/>
          <w:color w:val="auto"/>
        </w:rPr>
        <w:t>For the three months ended March 31, 2016, we reversed previously accrued incentive fees of $5,118,584, and for the three months ended March 31, 2015 we accrued incentive fees of $8,211,728.</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Management Fees</w:t>
      </w:r>
    </w:p>
    <w:p>
      <w:pPr>
        <w:spacing w:after="0" w:line="117" w:lineRule="exact"/>
        <w:rPr>
          <w:sz w:val="20"/>
          <w:szCs w:val="20"/>
          <w:color w:val="auto"/>
        </w:rPr>
      </w:pPr>
    </w:p>
    <w:p>
      <w:pPr>
        <w:ind w:left="40" w:right="779" w:firstLine="270"/>
        <w:spacing w:after="0" w:line="277" w:lineRule="auto"/>
        <w:rPr>
          <w:sz w:val="20"/>
          <w:szCs w:val="20"/>
          <w:color w:val="auto"/>
        </w:rPr>
      </w:pPr>
      <w:r>
        <w:rPr>
          <w:rFonts w:ascii="Arial" w:cs="Arial" w:eastAsia="Arial" w:hAnsi="Arial"/>
          <w:sz w:val="18"/>
          <w:szCs w:val="18"/>
          <w:color w:val="auto"/>
        </w:rPr>
        <w:t>GSV Asset Management earned $1,958,000 and $1,921,128 in management fees for the three months ended March 31, 2016 and 2015, respectively.</w:t>
      </w:r>
    </w:p>
    <w:p>
      <w:pPr>
        <w:spacing w:after="0" w:line="62" w:lineRule="exact"/>
        <w:rPr>
          <w:sz w:val="20"/>
          <w:szCs w:val="20"/>
          <w:color w:val="auto"/>
        </w:rPr>
      </w:pPr>
    </w:p>
    <w:p>
      <w:pPr>
        <w:ind w:left="40" w:right="679" w:firstLine="270"/>
        <w:spacing w:after="0" w:line="264" w:lineRule="auto"/>
        <w:rPr>
          <w:sz w:val="20"/>
          <w:szCs w:val="20"/>
          <w:color w:val="auto"/>
        </w:rPr>
      </w:pPr>
      <w:r>
        <w:rPr>
          <w:rFonts w:ascii="Arial" w:cs="Arial" w:eastAsia="Arial" w:hAnsi="Arial"/>
          <w:sz w:val="18"/>
          <w:szCs w:val="18"/>
          <w:color w:val="auto"/>
        </w:rPr>
        <w:t>As of March 31, 2016, we were owed $1,623 from GSV Asset Management for reimbursement of expenses we paid that were the responsibility of GSV Asset Management. In addition, as of March 31, 2016, we owed GSV Asset Management $25,690 for earned incentive fees and, to a lesser extent, for the reimbursement of other expenses.</w:t>
      </w:r>
    </w:p>
    <w:p>
      <w:pPr>
        <w:spacing w:after="0" w:line="73" w:lineRule="exact"/>
        <w:rPr>
          <w:sz w:val="20"/>
          <w:szCs w:val="20"/>
          <w:color w:val="auto"/>
        </w:rPr>
      </w:pPr>
    </w:p>
    <w:p>
      <w:pPr>
        <w:ind w:left="40" w:right="639" w:firstLine="270"/>
        <w:spacing w:after="0" w:line="286" w:lineRule="auto"/>
        <w:rPr>
          <w:sz w:val="20"/>
          <w:szCs w:val="20"/>
          <w:color w:val="auto"/>
        </w:rPr>
      </w:pPr>
      <w:r>
        <w:rPr>
          <w:rFonts w:ascii="Arial" w:cs="Arial" w:eastAsia="Arial" w:hAnsi="Arial"/>
          <w:sz w:val="17"/>
          <w:szCs w:val="17"/>
          <w:color w:val="auto"/>
        </w:rPr>
        <w:t>As of December 31, 2015, we were owed $220,770 from GSV Asset Management for reimbursement of expenses we paid that were the responsibility of GSV Asset Management. In addition, as of December 31, 2015, we owed GSV Asset Management $5,047,429 for earned incentive fees and, to a lesser extent, for the reimbursement of other expenses.</w:t>
      </w:r>
    </w:p>
    <w:p>
      <w:pPr>
        <w:spacing w:after="0" w:line="57" w:lineRule="exact"/>
        <w:rPr>
          <w:sz w:val="20"/>
          <w:szCs w:val="20"/>
          <w:color w:val="auto"/>
        </w:rPr>
      </w:pPr>
    </w:p>
    <w:p>
      <w:pPr>
        <w:ind w:left="40" w:right="599" w:firstLine="270"/>
        <w:spacing w:after="0" w:line="270" w:lineRule="auto"/>
        <w:rPr>
          <w:sz w:val="20"/>
          <w:szCs w:val="20"/>
          <w:color w:val="auto"/>
        </w:rPr>
      </w:pPr>
      <w:r>
        <w:rPr>
          <w:rFonts w:ascii="Arial" w:cs="Arial" w:eastAsia="Arial" w:hAnsi="Arial"/>
          <w:sz w:val="17"/>
          <w:szCs w:val="17"/>
          <w:color w:val="auto"/>
        </w:rPr>
        <w:t>We have entered into the Administration Agreement with GSV Capital Service Company to provide administrative services, including furnishing us with office facilities, equipment, clerical, bookkeeping services and other administrative services. GSV Asset Management controls GSV Capital Service Company. We reimburse GSV Capital Service Company an allocable portion of overhead and other expenses in performing its obligations under the Administration Agreement, including a portion of the rent and the compensation of our President, Chief Financial Officer, Chief Compliance Officer and other staff providing administrative services, which creates a conflict that our board of directors must monitor. While there is no limit on the total amount of expenses we may be required to reimburse GSV Capital Service Company, our administrator will only charge us for the actual expenses it incurs on our behalf, or our allocable portion thereof, without any profit to GSV Capital Service Company. There were $599,950 and $802,396 in such costs incurred under the Administration Agreement for the three months ended March 31, 2016 and 2015, respectively.</w:t>
      </w:r>
    </w:p>
    <w:p>
      <w:pPr>
        <w:spacing w:after="0" w:line="200" w:lineRule="exact"/>
        <w:rPr>
          <w:sz w:val="20"/>
          <w:szCs w:val="20"/>
          <w:color w:val="auto"/>
        </w:rPr>
      </w:pPr>
    </w:p>
    <w:p>
      <w:pPr>
        <w:spacing w:after="0" w:line="32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39" w:firstLine="270"/>
        <w:spacing w:after="0" w:line="291" w:lineRule="auto"/>
        <w:rPr>
          <w:sz w:val="20"/>
          <w:szCs w:val="20"/>
          <w:color w:val="auto"/>
        </w:rPr>
      </w:pPr>
      <w:r>
        <w:rPr>
          <w:rFonts w:ascii="Arial" w:cs="Arial" w:eastAsia="Arial" w:hAnsi="Arial"/>
          <w:sz w:val="16"/>
          <w:szCs w:val="16"/>
          <w:color w:val="auto"/>
        </w:rPr>
        <w:t>Mark Moe, who is the brother of our Chief Executive Officer, Michael Moe, serves as Vice President of Business Development, Global Expansion for NestGSV, Inc. (d/b/a GSV Labs, Inc.), one of our portfolio companies. Diane Flynn, who is the spouse of our President, Mark Flynn, serves as Chief Marketing Officer of NestGSV, Inc. Ron Johnson, the Chief Executive Officer of Enjoy Technology, Inc., one of our portfolio companies, is the brother-in-law of our President, Mark Flynn. As of March 31, 2016, the fair value of our investments in NestGSV, Inc. and Enjoy Technology, Inc. was $7,316,469 and $5,439,400, respectively. Another one of our portfolio companies, GSV Sustainability Partners, utilizes office space paid for by GSV Asset Management without paying GSV Asset Management or us any consideration for rent. We do not consider this an arms-length transaction.</w:t>
      </w:r>
    </w:p>
    <w:p>
      <w:pPr>
        <w:spacing w:after="0" w:line="59" w:lineRule="exact"/>
        <w:rPr>
          <w:sz w:val="20"/>
          <w:szCs w:val="20"/>
          <w:color w:val="auto"/>
        </w:rPr>
      </w:pPr>
    </w:p>
    <w:p>
      <w:pPr>
        <w:ind w:left="40" w:right="559" w:firstLine="270"/>
        <w:spacing w:after="0" w:line="290" w:lineRule="auto"/>
        <w:rPr>
          <w:sz w:val="20"/>
          <w:szCs w:val="20"/>
          <w:color w:val="auto"/>
        </w:rPr>
      </w:pPr>
      <w:r>
        <w:rPr>
          <w:rFonts w:ascii="Arial" w:cs="Arial" w:eastAsia="Arial" w:hAnsi="Arial"/>
          <w:sz w:val="16"/>
          <w:szCs w:val="16"/>
          <w:color w:val="auto"/>
        </w:rPr>
        <w:t>In addition, our executive officers and directors, and the principals of our investment adviser, GSV Asset Management, serve or may serve as officers and directors of entities that operate in a line of business similar to our own, including new entities that may be formed in the future. Accordingly, they may have obligations to investors in those entities, the fulfillment of which might not be in the best interests of us or our stockholders. For example, as of March 31, 2016, GSV Asset Management also managed GSV X Fund, a global long/short absolute return fund (“GSV X Fund”), and Coursera@GSV Fund, LP and Coursera@GSV-EDBI Fund, LP, special purpose vehicles each comprised of an underlying investment in Coursera stock (the “Coursera Funds”), and serves as sub-adviser for GSV Ventures I LLC, GSV Ventures II LLC and GSV Ventures III LLC, each a venture capital and growth equity fund (collectively, the “GSV Ventures Funds”), and will likely manage one or more private funds in the future.</w:t>
      </w:r>
    </w:p>
    <w:p>
      <w:pPr>
        <w:spacing w:after="0" w:line="58" w:lineRule="exact"/>
        <w:rPr>
          <w:sz w:val="20"/>
          <w:szCs w:val="20"/>
          <w:color w:val="auto"/>
        </w:rPr>
      </w:pPr>
    </w:p>
    <w:p>
      <w:pPr>
        <w:ind w:left="40" w:right="579" w:firstLine="270"/>
        <w:spacing w:after="0" w:line="269" w:lineRule="auto"/>
        <w:rPr>
          <w:sz w:val="20"/>
          <w:szCs w:val="20"/>
          <w:color w:val="auto"/>
        </w:rPr>
      </w:pPr>
      <w:r>
        <w:rPr>
          <w:rFonts w:ascii="Arial" w:cs="Arial" w:eastAsia="Arial" w:hAnsi="Arial"/>
          <w:sz w:val="17"/>
          <w:szCs w:val="17"/>
          <w:color w:val="auto"/>
        </w:rPr>
        <w:t>While the investment focus of each of these entities, including the GSV X Fund, the Coursera Funds and the GSV Ventures Funds, may be different from our investment objective, it is likely that new investment opportunities that meet our investment objective will come to the attention of one of these entities, or new entities that will likely be formed in the future in connection with another investment advisory client or program, and, if so, such opportunity might not be offered, or otherwise made available, to us. However, our executive officers, directors and investment adviser, GSV Asset Management, intend to treat us in a fair and equitable manner consistent with their applicable duties under law so that we will not be disadvantaged in relation to any other particular client. In addition, while GSV Asset Management anticipates that it will from time to time identify investment opportunities that are appropriate for both us and the other funds that are currently, or in the future may be, managed by GSV Asset Management, to the extent it does identify such opportunities, GSV Asset Management has established an allocation policy to ensure that we have priority over such other funds. Our board of directors will monitor on a quarterly basis any such allocation of investment opportunities between us and any such other funds.</w:t>
      </w:r>
    </w:p>
    <w:p>
      <w:pPr>
        <w:spacing w:after="0" w:line="75" w:lineRule="exact"/>
        <w:rPr>
          <w:sz w:val="20"/>
          <w:szCs w:val="20"/>
          <w:color w:val="auto"/>
        </w:rPr>
      </w:pPr>
    </w:p>
    <w:p>
      <w:pPr>
        <w:ind w:left="40" w:right="579" w:firstLine="270"/>
        <w:spacing w:after="0" w:line="276" w:lineRule="auto"/>
        <w:rPr>
          <w:sz w:val="20"/>
          <w:szCs w:val="20"/>
          <w:color w:val="auto"/>
        </w:rPr>
      </w:pPr>
      <w:r>
        <w:rPr>
          <w:rFonts w:ascii="Arial" w:cs="Arial" w:eastAsia="Arial" w:hAnsi="Arial"/>
          <w:sz w:val="17"/>
          <w:szCs w:val="17"/>
          <w:color w:val="auto"/>
        </w:rPr>
        <w:t>GSV Asset Management is the owner of the “GSV” name and marks, which we are permitted to use pursuant to a non-exclusive license agreement between us and GSV Asset Management. GSV Asset Management and its principals also use and may permit other entities to use the “GSV” name and marks in connection with businesses and activities unrelated to our operations. The use of the “GSV” name and marks in connection with businesses and activities unrelated to our operations may not be in the best interests of us or our stockholders and may result in actual or perceived conflicts of interest.</w:t>
      </w:r>
    </w:p>
    <w:p>
      <w:pPr>
        <w:spacing w:after="0" w:line="64" w:lineRule="exact"/>
        <w:rPr>
          <w:sz w:val="20"/>
          <w:szCs w:val="20"/>
          <w:color w:val="auto"/>
        </w:rPr>
      </w:pPr>
    </w:p>
    <w:p>
      <w:pPr>
        <w:ind w:left="40" w:right="519" w:firstLine="270"/>
        <w:spacing w:after="0" w:line="302" w:lineRule="auto"/>
        <w:rPr>
          <w:sz w:val="20"/>
          <w:szCs w:val="20"/>
          <w:color w:val="auto"/>
        </w:rPr>
      </w:pPr>
      <w:r>
        <w:rPr>
          <w:rFonts w:ascii="Arial" w:cs="Arial" w:eastAsia="Arial" w:hAnsi="Arial"/>
          <w:sz w:val="16"/>
          <w:szCs w:val="16"/>
          <w:color w:val="auto"/>
        </w:rPr>
        <w:t>In the ordinary course of business, we may enter into transactions with portfolio companies that may be considered related-party transactions. To ensure that we do not engage in any prohibited transactions with any persons affiliated with us, we have implemented certain written policies and procedures whereby our executive officers screen each of our transactions for any possible affiliations between the proposed portfolio investment, us, companies controlled by us and our executive officers and directors.</w:t>
      </w:r>
    </w:p>
    <w:p>
      <w:pPr>
        <w:spacing w:after="0" w:line="46" w:lineRule="exact"/>
        <w:rPr>
          <w:sz w:val="20"/>
          <w:szCs w:val="20"/>
          <w:color w:val="auto"/>
        </w:rPr>
      </w:pPr>
    </w:p>
    <w:p>
      <w:pPr>
        <w:ind w:left="40" w:right="739" w:firstLine="270"/>
        <w:spacing w:after="0" w:line="255" w:lineRule="auto"/>
        <w:rPr>
          <w:sz w:val="20"/>
          <w:szCs w:val="20"/>
          <w:color w:val="auto"/>
        </w:rPr>
      </w:pPr>
      <w:r>
        <w:rPr>
          <w:rFonts w:ascii="Arial" w:cs="Arial" w:eastAsia="Arial" w:hAnsi="Arial"/>
          <w:sz w:val="18"/>
          <w:szCs w:val="18"/>
          <w:color w:val="auto"/>
        </w:rPr>
        <w:t>We also adopted a code of ethics which applies to, among others, our senior officers, including our Chief Executive Officer, President and Chief Financial Officer, as well as all of our officers, directors and employees. Our code of ethics requires that all employees and directors avoid any conflict, or the appearance of a conflict, between an individual’s personal interests and our interests. Pursuant to our code of ethics, each employee and director must disclose any conflicts of interest, or actions or relationships that might give rise to a conflict, to our Chief Compliance Officer. Our board of directors is charged with approving any waivers under our code of ethics. As required by the Nasdaq corporate governance listing standards, the Audit Committee of our board</w:t>
      </w:r>
    </w:p>
    <w:p>
      <w:pPr>
        <w:spacing w:after="0" w:line="200" w:lineRule="exact"/>
        <w:rPr>
          <w:sz w:val="20"/>
          <w:szCs w:val="20"/>
          <w:color w:val="auto"/>
        </w:rPr>
      </w:pPr>
    </w:p>
    <w:p>
      <w:pPr>
        <w:spacing w:after="0" w:line="32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959"/>
        <w:spacing w:after="0" w:line="277" w:lineRule="auto"/>
        <w:rPr>
          <w:sz w:val="20"/>
          <w:szCs w:val="20"/>
          <w:color w:val="auto"/>
        </w:rPr>
      </w:pPr>
      <w:r>
        <w:rPr>
          <w:rFonts w:ascii="Arial" w:cs="Arial" w:eastAsia="Arial" w:hAnsi="Arial"/>
          <w:sz w:val="18"/>
          <w:szCs w:val="18"/>
          <w:color w:val="auto"/>
        </w:rPr>
        <w:t>of directors is also required to review and approve any transactions with related parties (as such term is defined in Item 404 of Regulation S-K).</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40" w:right="539" w:firstLine="270"/>
        <w:spacing w:after="0" w:line="270" w:lineRule="auto"/>
        <w:rPr>
          <w:sz w:val="20"/>
          <w:szCs w:val="20"/>
          <w:color w:val="auto"/>
        </w:rPr>
      </w:pPr>
      <w:r>
        <w:rPr>
          <w:rFonts w:ascii="Arial" w:cs="Arial" w:eastAsia="Arial" w:hAnsi="Arial"/>
          <w:sz w:val="17"/>
          <w:szCs w:val="17"/>
          <w:color w:val="auto"/>
        </w:rPr>
        <w:t>Critical accounting policies and practices are the policies that are both most important to the portrayal of our financial condition and results, and require management's most difficult, subjective, or complex judgments, often as a result of the need to make estimates about the effects of matters that are inherently uncertain. These include estimates of the fair value of our level 3 investments and other estimates that affect the reported amounts of assets and liabilities as of the date of the condensed consolidated financial statements and the reported amounts of certain revenues and expenses during the reporting period. It is likely that changes in these estimates will occur in the near term. Our estimates are inherently subjective in nature and actual results could differ materially from such estimates. We believe that the following discussion addresses our most critical accounting policies, which are those that are most important to the portrayal of our financial condition and results of operations and require management's most difficult, subjective and complex judgments.</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Investments at fair value</w:t>
      </w:r>
    </w:p>
    <w:p>
      <w:pPr>
        <w:spacing w:after="0" w:line="117" w:lineRule="exact"/>
        <w:rPr>
          <w:sz w:val="20"/>
          <w:szCs w:val="20"/>
          <w:color w:val="auto"/>
        </w:rPr>
      </w:pPr>
    </w:p>
    <w:p>
      <w:pPr>
        <w:ind w:left="40" w:right="1099" w:firstLine="270"/>
        <w:spacing w:after="0" w:line="308" w:lineRule="auto"/>
        <w:rPr>
          <w:sz w:val="20"/>
          <w:szCs w:val="20"/>
          <w:color w:val="auto"/>
        </w:rPr>
      </w:pPr>
      <w:r>
        <w:rPr>
          <w:rFonts w:ascii="Arial" w:cs="Arial" w:eastAsia="Arial" w:hAnsi="Arial"/>
          <w:sz w:val="17"/>
          <w:szCs w:val="17"/>
          <w:color w:val="auto"/>
        </w:rPr>
        <w:t>We apply fair value accounting in accordance with GAAP and the AICPA's Audit and Accounting Guide for Investment Companies. We value our assets on a quarterly basis, or more frequently if required under the 1940 Act.</w:t>
      </w:r>
    </w:p>
    <w:p>
      <w:pPr>
        <w:spacing w:after="0" w:line="38" w:lineRule="exact"/>
        <w:rPr>
          <w:sz w:val="20"/>
          <w:szCs w:val="20"/>
          <w:color w:val="auto"/>
        </w:rPr>
      </w:pPr>
    </w:p>
    <w:p>
      <w:pPr>
        <w:ind w:left="40" w:right="659" w:firstLine="270"/>
        <w:spacing w:after="0" w:line="255"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GAAP establishes a framework for measuring fair value that includes a hierarchy used to classify the inputs used in measuring fair value. The hierarchy prioritizes the inputs to valuation techniques used to measure fair value into three levels. The level in the fair value hierarchy within which the fair value measurement falls is determined based on the lowest level input that is significant to the fair value measurement. The levels of the fair value hierarchy are as follows:</w:t>
      </w:r>
    </w:p>
    <w:p>
      <w:pPr>
        <w:spacing w:after="0" w:line="81" w:lineRule="exact"/>
        <w:rPr>
          <w:sz w:val="20"/>
          <w:szCs w:val="20"/>
          <w:color w:val="auto"/>
        </w:rPr>
      </w:pPr>
    </w:p>
    <w:p>
      <w:pPr>
        <w:ind w:left="40" w:right="739" w:firstLine="270"/>
        <w:spacing w:after="0" w:line="282" w:lineRule="auto"/>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Valuations based on unadjusted quoted prices for identical assets or liabilities in an active market that we have the</w:t>
      </w:r>
      <w:r>
        <w:rPr>
          <w:rFonts w:ascii="Arial" w:cs="Arial" w:eastAsia="Arial" w:hAnsi="Arial"/>
          <w:sz w:val="18"/>
          <w:szCs w:val="18"/>
          <w:b w:val="1"/>
          <w:bCs w:val="1"/>
          <w:color w:val="auto"/>
        </w:rPr>
        <w:t xml:space="preserve"> </w:t>
      </w:r>
      <w:r>
        <w:rPr>
          <w:rFonts w:ascii="Arial" w:cs="Arial" w:eastAsia="Arial" w:hAnsi="Arial"/>
          <w:sz w:val="18"/>
          <w:szCs w:val="18"/>
          <w:color w:val="auto"/>
        </w:rPr>
        <w:t>ability to access at the measurement date.</w:t>
      </w:r>
    </w:p>
    <w:p>
      <w:pPr>
        <w:spacing w:after="0" w:line="54" w:lineRule="exact"/>
        <w:rPr>
          <w:sz w:val="20"/>
          <w:szCs w:val="20"/>
          <w:color w:val="auto"/>
        </w:rPr>
      </w:pPr>
    </w:p>
    <w:p>
      <w:pPr>
        <w:ind w:left="40" w:right="899" w:firstLine="270"/>
        <w:spacing w:after="0" w:line="289" w:lineRule="auto"/>
        <w:rPr>
          <w:sz w:val="20"/>
          <w:szCs w:val="20"/>
          <w:color w:val="auto"/>
        </w:rPr>
      </w:pPr>
      <w:r>
        <w:rPr>
          <w:rFonts w:ascii="Arial" w:cs="Arial" w:eastAsia="Arial" w:hAnsi="Arial"/>
          <w:sz w:val="17"/>
          <w:szCs w:val="17"/>
          <w:b w:val="1"/>
          <w:bCs w:val="1"/>
          <w:color w:val="auto"/>
        </w:rPr>
        <w:t xml:space="preserve">Level 2 </w:t>
      </w:r>
      <w:r>
        <w:rPr>
          <w:rFonts w:ascii="Arial" w:cs="Arial" w:eastAsia="Arial" w:hAnsi="Arial"/>
          <w:sz w:val="17"/>
          <w:szCs w:val="17"/>
          <w:color w:val="auto"/>
        </w:rPr>
        <w:t>— Valuations based on observable inputs other than Level 1 prices, such as quoted prices for similar assets or</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liabilities; quoted prices in markets that are not active; or other inputs that are observable or can be corroborated by observable market data at the measurement date for substantially the full term of the assets or liabilities.</w:t>
      </w:r>
    </w:p>
    <w:p>
      <w:pPr>
        <w:spacing w:after="0" w:line="50" w:lineRule="exact"/>
        <w:rPr>
          <w:sz w:val="20"/>
          <w:szCs w:val="20"/>
          <w:color w:val="auto"/>
        </w:rPr>
      </w:pPr>
    </w:p>
    <w:p>
      <w:pPr>
        <w:ind w:left="40" w:right="639" w:firstLine="270"/>
        <w:spacing w:after="0" w:line="266"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Valuations based on unobservable inputs that reflect management's best estimate of what market participants would</w:t>
      </w:r>
      <w:r>
        <w:rPr>
          <w:rFonts w:ascii="Arial" w:cs="Arial" w:eastAsia="Arial" w:hAnsi="Arial"/>
          <w:sz w:val="18"/>
          <w:szCs w:val="18"/>
          <w:b w:val="1"/>
          <w:bCs w:val="1"/>
          <w:color w:val="auto"/>
        </w:rPr>
        <w:t xml:space="preserve"> </w:t>
      </w:r>
      <w:r>
        <w:rPr>
          <w:rFonts w:ascii="Arial" w:cs="Arial" w:eastAsia="Arial" w:hAnsi="Arial"/>
          <w:sz w:val="18"/>
          <w:szCs w:val="18"/>
          <w:color w:val="auto"/>
        </w:rPr>
        <w:t>use in pricing the asset or liability at the measurement date. Consideration is given to the risk inherent in the valuation technique and the risk inherent in the inputs to the model.</w:t>
      </w:r>
    </w:p>
    <w:p>
      <w:pPr>
        <w:spacing w:after="0" w:line="72" w:lineRule="exact"/>
        <w:rPr>
          <w:sz w:val="20"/>
          <w:szCs w:val="20"/>
          <w:color w:val="auto"/>
        </w:rPr>
      </w:pPr>
    </w:p>
    <w:p>
      <w:pPr>
        <w:jc w:val="both"/>
        <w:ind w:left="40" w:right="799" w:firstLine="270"/>
        <w:spacing w:after="0" w:line="288" w:lineRule="auto"/>
        <w:rPr>
          <w:sz w:val="20"/>
          <w:szCs w:val="20"/>
          <w:color w:val="auto"/>
        </w:rPr>
      </w:pPr>
      <w:r>
        <w:rPr>
          <w:rFonts w:ascii="Arial" w:cs="Arial" w:eastAsia="Arial" w:hAnsi="Arial"/>
          <w:sz w:val="16"/>
          <w:szCs w:val="16"/>
          <w:color w:val="auto"/>
        </w:rPr>
        <w:t>When the inputs used to measure fair value fall within different levels of the hierarchy, the level within which the fair value measurement is categorized is based on the lowest level input that is significant to the fair value measurement in its entirety. For example, a Level 3 fair value measurement may include inputs that are observable (Levels 1 and 2) and unobservable (Level 3).</w:t>
      </w:r>
    </w:p>
    <w:p>
      <w:pPr>
        <w:ind w:left="40" w:right="579"/>
        <w:spacing w:after="0" w:line="277" w:lineRule="auto"/>
        <w:rPr>
          <w:sz w:val="20"/>
          <w:szCs w:val="20"/>
          <w:color w:val="auto"/>
        </w:rPr>
      </w:pPr>
      <w:r>
        <w:rPr>
          <w:rFonts w:ascii="Arial" w:cs="Arial" w:eastAsia="Arial" w:hAnsi="Arial"/>
          <w:sz w:val="17"/>
          <w:szCs w:val="17"/>
          <w:color w:val="auto"/>
        </w:rPr>
        <w:t>Therefore, gains and losses for such assets and liabilities categorized within the Level 3 table set forth in “Note 3 — Investments at Fair Value” to the condensed consolidated financial statements as of March 31, 2016 may include changes in fair value that are attributable to both observable inputs (Levels 1 and 2) and unobservable inputs (Level 3).</w:t>
      </w:r>
    </w:p>
    <w:p>
      <w:pPr>
        <w:spacing w:after="0" w:line="65" w:lineRule="exact"/>
        <w:rPr>
          <w:sz w:val="20"/>
          <w:szCs w:val="20"/>
          <w:color w:val="auto"/>
        </w:rPr>
      </w:pPr>
    </w:p>
    <w:p>
      <w:pPr>
        <w:ind w:left="40" w:right="659" w:firstLine="270"/>
        <w:spacing w:after="0" w:line="286" w:lineRule="auto"/>
        <w:rPr>
          <w:sz w:val="20"/>
          <w:szCs w:val="20"/>
          <w:color w:val="auto"/>
        </w:rPr>
      </w:pPr>
      <w:r>
        <w:rPr>
          <w:rFonts w:ascii="Arial" w:cs="Arial" w:eastAsia="Arial" w:hAnsi="Arial"/>
          <w:sz w:val="16"/>
          <w:szCs w:val="16"/>
          <w:color w:val="auto"/>
        </w:rPr>
        <w:t>A review of fair value hierarchy classifications is conducted on a quarterly basis. Changes in the observability of valuation inputs may result in a reclassification for certain financial assets or liabilities. Reclassifications impacting Level 3 of the fair value hierarchy are reported as transfers in/out of the Level 3 category as of the end of the quarter in which the reclassifications occur. Refer to “Note 1 — Nature of Operations and Significant Accounting Policies — Summary of Significant Accounting</w:t>
      </w:r>
    </w:p>
    <w:p>
      <w:pPr>
        <w:spacing w:after="0" w:line="2" w:lineRule="exact"/>
        <w:rPr>
          <w:sz w:val="20"/>
          <w:szCs w:val="20"/>
          <w:color w:val="auto"/>
        </w:rPr>
      </w:pPr>
    </w:p>
    <w:p>
      <w:pPr>
        <w:ind w:left="40" w:right="659"/>
        <w:spacing w:after="0" w:line="323" w:lineRule="auto"/>
        <w:rPr>
          <w:sz w:val="20"/>
          <w:szCs w:val="20"/>
          <w:color w:val="auto"/>
        </w:rPr>
      </w:pPr>
      <w:r>
        <w:rPr>
          <w:rFonts w:ascii="Arial" w:cs="Arial" w:eastAsia="Arial" w:hAnsi="Arial"/>
          <w:sz w:val="16"/>
          <w:szCs w:val="16"/>
          <w:color w:val="auto"/>
        </w:rPr>
        <w:t>Policies — Levelling Policy” to the condensed consolidated financial statements as of March 31, 2016 for a detailed discussion of the levelling of our financial assets or liabilities and events that may cause a reclassification within the fair value hierarchy.</w:t>
      </w:r>
    </w:p>
    <w:p>
      <w:pPr>
        <w:spacing w:after="0" w:line="200" w:lineRule="exact"/>
        <w:rPr>
          <w:sz w:val="20"/>
          <w:szCs w:val="20"/>
          <w:color w:val="auto"/>
        </w:rPr>
      </w:pPr>
    </w:p>
    <w:p>
      <w:pPr>
        <w:spacing w:after="0" w:line="27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2" w:name="page53"/>
    <w:bookmarkEnd w:id="52"/>
    <w:p>
      <w:pPr>
        <w:ind w:left="14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180" w:right="579" w:firstLine="270"/>
        <w:spacing w:after="0" w:line="276" w:lineRule="auto"/>
        <w:rPr>
          <w:sz w:val="20"/>
          <w:szCs w:val="20"/>
          <w:color w:val="auto"/>
        </w:rPr>
      </w:pPr>
      <w:r>
        <w:rPr>
          <w:rFonts w:ascii="Arial" w:cs="Arial" w:eastAsia="Arial" w:hAnsi="Arial"/>
          <w:sz w:val="17"/>
          <w:szCs w:val="17"/>
          <w:color w:val="auto"/>
        </w:rPr>
        <w:t>Securities for which market quotations are readily available on an exchange are valued at the closing price of such security on the valuation date; however, if they are subject to restrictions upon sale (such as lock-up restrictions), they may be discounted accordingly. We may also obtain quotes with respect to certain of our investments from pricing services, brokers or dealers in order to value assets. When doing so, we determine whether the quote obtained is sufficient according to GAAP to determine the fair value of the security. If determined to be adequate, we use the quote obtained.</w:t>
      </w:r>
    </w:p>
    <w:p>
      <w:pPr>
        <w:spacing w:after="0" w:line="64" w:lineRule="exact"/>
        <w:rPr>
          <w:sz w:val="20"/>
          <w:szCs w:val="20"/>
          <w:color w:val="auto"/>
        </w:rPr>
      </w:pPr>
    </w:p>
    <w:p>
      <w:pPr>
        <w:ind w:left="180" w:right="739" w:firstLine="270"/>
        <w:spacing w:after="0" w:line="286" w:lineRule="auto"/>
        <w:rPr>
          <w:sz w:val="20"/>
          <w:szCs w:val="20"/>
          <w:color w:val="auto"/>
        </w:rPr>
      </w:pPr>
      <w:r>
        <w:rPr>
          <w:rFonts w:ascii="Arial" w:cs="Arial" w:eastAsia="Arial" w:hAnsi="Arial"/>
          <w:sz w:val="17"/>
          <w:szCs w:val="17"/>
          <w:color w:val="auto"/>
        </w:rPr>
        <w:t>Securities for which reliable market quotations are not readily available or for which the pricing source does not provide a valuation or methodology or provides a valuation or methodology that, in the judgment of GSV Asset Management, our board of directors or the Valuation Committee, does not represent fair value, shall each be valued as follows:</w:t>
      </w:r>
    </w:p>
    <w:p>
      <w:pPr>
        <w:spacing w:after="0" w:line="57" w:lineRule="exact"/>
        <w:rPr>
          <w:sz w:val="20"/>
          <w:szCs w:val="20"/>
          <w:color w:val="auto"/>
        </w:rPr>
      </w:pPr>
    </w:p>
    <w:p>
      <w:pPr>
        <w:ind w:left="680" w:right="699" w:hanging="262"/>
        <w:spacing w:after="0" w:line="277"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quarterly valuation process begins with each portfolio company or investment being initially valued by the investment professionals of GSV Asset Management responsible for the portfolio investment;</w:t>
      </w:r>
    </w:p>
    <w:p>
      <w:pPr>
        <w:spacing w:after="0" w:line="62" w:lineRule="exact"/>
        <w:rPr>
          <w:rFonts w:ascii="Arial" w:cs="Arial" w:eastAsia="Arial" w:hAnsi="Arial"/>
          <w:sz w:val="18"/>
          <w:szCs w:val="18"/>
          <w:color w:val="auto"/>
        </w:rPr>
      </w:pPr>
    </w:p>
    <w:p>
      <w:pPr>
        <w:ind w:left="680" w:hanging="262"/>
        <w:spacing w:after="0"/>
        <w:tabs>
          <w:tab w:leader="none" w:pos="6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Preliminary valuation conclusions are then documented and discussed with GSV Asset Management senior management;</w:t>
      </w:r>
    </w:p>
    <w:p>
      <w:pPr>
        <w:spacing w:after="0" w:line="140" w:lineRule="exact"/>
        <w:rPr>
          <w:rFonts w:ascii="Arial" w:cs="Arial" w:eastAsia="Arial" w:hAnsi="Arial"/>
          <w:sz w:val="16"/>
          <w:szCs w:val="16"/>
          <w:color w:val="auto"/>
        </w:rPr>
      </w:pPr>
    </w:p>
    <w:p>
      <w:pPr>
        <w:ind w:left="680" w:right="559" w:hanging="262"/>
        <w:spacing w:after="0" w:line="264"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independent third-party valuation firm is engaged by, or on behalf of, the Valuation Committee to conduct independent appraisals and review management's preliminary valuations and make their own independent assessment, for all investments for which there are no readily available market quotations;</w:t>
      </w:r>
    </w:p>
    <w:p>
      <w:pPr>
        <w:spacing w:after="0" w:line="73" w:lineRule="exact"/>
        <w:rPr>
          <w:rFonts w:ascii="Arial" w:cs="Arial" w:eastAsia="Arial" w:hAnsi="Arial"/>
          <w:sz w:val="18"/>
          <w:szCs w:val="18"/>
          <w:color w:val="auto"/>
        </w:rPr>
      </w:pPr>
    </w:p>
    <w:p>
      <w:pPr>
        <w:ind w:left="680" w:right="519" w:hanging="262"/>
        <w:spacing w:after="0" w:line="264"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Valuation Committee discusses the valuations and recommends to our board of directors a fair value for each investment in the portfolio in good faith based on the input of GSV Asset Management and the independent third-party valuation firm; and,</w:t>
      </w:r>
    </w:p>
    <w:p>
      <w:pPr>
        <w:spacing w:after="0" w:line="73" w:lineRule="exact"/>
        <w:rPr>
          <w:rFonts w:ascii="Arial" w:cs="Arial" w:eastAsia="Arial" w:hAnsi="Arial"/>
          <w:sz w:val="18"/>
          <w:szCs w:val="18"/>
          <w:color w:val="auto"/>
        </w:rPr>
      </w:pPr>
    </w:p>
    <w:p>
      <w:pPr>
        <w:ind w:left="680" w:right="559" w:hanging="262"/>
        <w:spacing w:after="0" w:line="277"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board of directors then discusses the valuations recommended by the Valuation Committee and determines in good faith the fair value of each investment in the portfolio.</w:t>
      </w:r>
    </w:p>
    <w:p>
      <w:pPr>
        <w:spacing w:after="0" w:line="62" w:lineRule="exact"/>
        <w:rPr>
          <w:sz w:val="20"/>
          <w:szCs w:val="20"/>
          <w:color w:val="auto"/>
        </w:rPr>
      </w:pPr>
    </w:p>
    <w:p>
      <w:pPr>
        <w:ind w:left="180" w:right="579" w:firstLine="270"/>
        <w:spacing w:after="0" w:line="255" w:lineRule="auto"/>
        <w:rPr>
          <w:sz w:val="20"/>
          <w:szCs w:val="20"/>
          <w:color w:val="auto"/>
        </w:rPr>
      </w:pPr>
      <w:r>
        <w:rPr>
          <w:rFonts w:ascii="Arial" w:cs="Arial" w:eastAsia="Arial" w:hAnsi="Arial"/>
          <w:sz w:val="18"/>
          <w:szCs w:val="18"/>
          <w:color w:val="auto"/>
        </w:rPr>
        <w:t>In making a good faith determination of the fair value of investments, we consider valuation methodologies consistent with industry practice. Valuation methods utilized include, but are not limited to the following: comparisons to prices from secondary market transactions; venture capital financings; public offerings; purchase or sales transactions; as well as analysis of financial ratios and valuation metrics of the portfolio companies that issued such private equity securities to peer companies that are public, analysis of the portfolio companies' most recent financial statements and forecasts, and the markets in which the portfolio company does business, and other relevant factors. We assign a weighting based upon the relevance of each method to determine the fair value of each investment.</w:t>
      </w:r>
    </w:p>
    <w:p>
      <w:pPr>
        <w:spacing w:after="0" w:line="81" w:lineRule="exact"/>
        <w:rPr>
          <w:sz w:val="20"/>
          <w:szCs w:val="20"/>
          <w:color w:val="auto"/>
        </w:rPr>
      </w:pPr>
    </w:p>
    <w:p>
      <w:pPr>
        <w:ind w:left="180" w:right="619" w:firstLine="270"/>
        <w:spacing w:after="0" w:line="257" w:lineRule="auto"/>
        <w:rPr>
          <w:sz w:val="20"/>
          <w:szCs w:val="20"/>
          <w:color w:val="auto"/>
        </w:rPr>
      </w:pPr>
      <w:r>
        <w:rPr>
          <w:rFonts w:ascii="Arial" w:cs="Arial" w:eastAsia="Arial" w:hAnsi="Arial"/>
          <w:sz w:val="18"/>
          <w:szCs w:val="18"/>
          <w:color w:val="auto"/>
        </w:rPr>
        <w:t>We engage at least one independent valuation firm to perform valuations of our investments that are not publicly traded or for which there are no readily available market quotations. We consider the independent valuations provided by the valuation firm(s), among other factors, in making our fair value determinations. The table below shows the percentages of our investments for which there are no readily available market quotations, for which an independent valuation firm was engaged to perform valuations, during the current and prior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17145</wp:posOffset>
            </wp:positionV>
            <wp:extent cx="521398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0" w:type="dxa"/>
            <w:vAlign w:val="bottom"/>
          </w:tcPr>
          <w:p>
            <w:pPr>
              <w:spacing w:after="0"/>
              <w:rPr>
                <w:sz w:val="20"/>
                <w:szCs w:val="20"/>
                <w:color w:val="auto"/>
              </w:rPr>
            </w:pPr>
          </w:p>
        </w:tc>
        <w:tc>
          <w:tcPr>
            <w:tcW w:w="3820" w:type="dxa"/>
            <w:vAlign w:val="bottom"/>
          </w:tcPr>
          <w:p>
            <w:pPr>
              <w:ind w:left="20"/>
              <w:spacing w:after="0"/>
              <w:rPr>
                <w:sz w:val="20"/>
                <w:szCs w:val="20"/>
                <w:color w:val="auto"/>
              </w:rPr>
            </w:pPr>
            <w:r>
              <w:rPr>
                <w:rFonts w:ascii="Arial" w:cs="Arial" w:eastAsia="Arial" w:hAnsi="Arial"/>
                <w:sz w:val="18"/>
                <w:szCs w:val="18"/>
                <w:color w:val="auto"/>
              </w:rPr>
              <w:t>For the quarter ended March 31, 2015</w:t>
            </w:r>
          </w:p>
        </w:tc>
        <w:tc>
          <w:tcPr>
            <w:tcW w:w="4400" w:type="dxa"/>
            <w:vAlign w:val="bottom"/>
          </w:tcPr>
          <w:p>
            <w:pPr>
              <w:jc w:val="right"/>
              <w:ind w:right="150"/>
              <w:spacing w:after="0"/>
              <w:rPr>
                <w:sz w:val="20"/>
                <w:szCs w:val="20"/>
                <w:color w:val="auto"/>
              </w:rPr>
            </w:pPr>
            <w:r>
              <w:rPr>
                <w:rFonts w:ascii="Arial" w:cs="Arial" w:eastAsia="Arial" w:hAnsi="Arial"/>
                <w:sz w:val="18"/>
                <w:szCs w:val="18"/>
                <w:color w:val="auto"/>
              </w:rPr>
              <w:t>100%</w:t>
            </w:r>
          </w:p>
        </w:tc>
        <w:tc>
          <w:tcPr>
            <w:tcW w:w="1260" w:type="dxa"/>
            <w:vAlign w:val="bottom"/>
          </w:tcPr>
          <w:p>
            <w:pPr>
              <w:spacing w:after="0"/>
              <w:rPr>
                <w:sz w:val="20"/>
                <w:szCs w:val="20"/>
                <w:color w:val="auto"/>
              </w:rPr>
            </w:pPr>
          </w:p>
        </w:tc>
      </w:tr>
      <w:tr>
        <w:trPr>
          <w:trHeight w:val="216"/>
        </w:trPr>
        <w:tc>
          <w:tcPr>
            <w:tcW w:w="120" w:type="dxa"/>
            <w:vAlign w:val="bottom"/>
          </w:tcPr>
          <w:p>
            <w:pPr>
              <w:spacing w:after="0"/>
              <w:rPr>
                <w:sz w:val="18"/>
                <w:szCs w:val="18"/>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 the quarter ended June 30, 2015</w:t>
            </w:r>
          </w:p>
        </w:tc>
        <w:tc>
          <w:tcPr>
            <w:tcW w:w="4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100%</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Arial" w:cs="Arial" w:eastAsia="Arial" w:hAnsi="Arial"/>
                <w:sz w:val="18"/>
                <w:szCs w:val="18"/>
                <w:color w:val="auto"/>
              </w:rPr>
              <w:t>For the quarter ended September 30, 2015</w:t>
            </w:r>
          </w:p>
        </w:tc>
        <w:tc>
          <w:tcPr>
            <w:tcW w:w="4400" w:type="dxa"/>
            <w:vAlign w:val="bottom"/>
          </w:tcPr>
          <w:p>
            <w:pPr>
              <w:jc w:val="right"/>
              <w:ind w:right="150"/>
              <w:spacing w:after="0"/>
              <w:rPr>
                <w:sz w:val="20"/>
                <w:szCs w:val="20"/>
                <w:color w:val="auto"/>
              </w:rPr>
            </w:pPr>
            <w:r>
              <w:rPr>
                <w:rFonts w:ascii="Arial" w:cs="Arial" w:eastAsia="Arial" w:hAnsi="Arial"/>
                <w:sz w:val="18"/>
                <w:szCs w:val="18"/>
                <w:color w:val="auto"/>
              </w:rPr>
              <w:t>100%</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 the quarter ended December 31, 2015</w:t>
            </w:r>
          </w:p>
        </w:tc>
        <w:tc>
          <w:tcPr>
            <w:tcW w:w="4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100%</w:t>
            </w:r>
          </w:p>
        </w:tc>
        <w:tc>
          <w:tcPr>
            <w:tcW w:w="1260" w:type="dxa"/>
            <w:vAlign w:val="bottom"/>
          </w:tcPr>
          <w:p>
            <w:pPr>
              <w:spacing w:after="0"/>
              <w:rPr>
                <w:sz w:val="18"/>
                <w:szCs w:val="18"/>
                <w:color w:val="auto"/>
              </w:rPr>
            </w:pPr>
          </w:p>
        </w:tc>
      </w:tr>
      <w:tr>
        <w:trPr>
          <w:trHeight w:val="230"/>
        </w:trPr>
        <w:tc>
          <w:tcPr>
            <w:tcW w:w="120" w:type="dxa"/>
            <w:vAlign w:val="bottom"/>
          </w:tcPr>
          <w:p>
            <w:pPr>
              <w:spacing w:after="0"/>
              <w:rPr>
                <w:sz w:val="20"/>
                <w:szCs w:val="20"/>
                <w:color w:val="auto"/>
              </w:rPr>
            </w:pPr>
          </w:p>
        </w:tc>
        <w:tc>
          <w:tcPr>
            <w:tcW w:w="3820" w:type="dxa"/>
            <w:vAlign w:val="bottom"/>
          </w:tcPr>
          <w:p>
            <w:pPr>
              <w:ind w:left="20"/>
              <w:spacing w:after="0"/>
              <w:rPr>
                <w:sz w:val="20"/>
                <w:szCs w:val="20"/>
                <w:color w:val="auto"/>
              </w:rPr>
            </w:pPr>
            <w:r>
              <w:rPr>
                <w:rFonts w:ascii="Arial" w:cs="Arial" w:eastAsia="Arial" w:hAnsi="Arial"/>
                <w:sz w:val="18"/>
                <w:szCs w:val="18"/>
                <w:color w:val="auto"/>
              </w:rPr>
              <w:t>For the quarter ended March 31, 2016</w:t>
            </w:r>
          </w:p>
        </w:tc>
        <w:tc>
          <w:tcPr>
            <w:tcW w:w="4400" w:type="dxa"/>
            <w:vAlign w:val="bottom"/>
          </w:tcPr>
          <w:p>
            <w:pPr>
              <w:jc w:val="right"/>
              <w:ind w:right="150"/>
              <w:spacing w:after="0"/>
              <w:rPr>
                <w:sz w:val="20"/>
                <w:szCs w:val="20"/>
                <w:color w:val="auto"/>
              </w:rPr>
            </w:pPr>
            <w:r>
              <w:rPr>
                <w:rFonts w:ascii="Arial" w:cs="Arial" w:eastAsia="Arial" w:hAnsi="Arial"/>
                <w:sz w:val="18"/>
                <w:szCs w:val="18"/>
                <w:color w:val="auto"/>
              </w:rPr>
              <w:t>100%</w:t>
            </w:r>
          </w:p>
        </w:tc>
        <w:tc>
          <w:tcPr>
            <w:tcW w:w="1260" w:type="dxa"/>
            <w:vAlign w:val="bottom"/>
          </w:tcPr>
          <w:p>
            <w:pPr>
              <w:spacing w:after="0"/>
              <w:rPr>
                <w:sz w:val="20"/>
                <w:szCs w:val="20"/>
                <w:color w:val="auto"/>
              </w:rPr>
            </w:pPr>
          </w:p>
        </w:tc>
      </w:tr>
      <w:tr>
        <w:trPr>
          <w:trHeight w:val="755"/>
        </w:trPr>
        <w:tc>
          <w:tcPr>
            <w:tcW w:w="1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4400" w:type="dxa"/>
            <w:vAlign w:val="bottom"/>
          </w:tcPr>
          <w:p>
            <w:pPr>
              <w:jc w:val="right"/>
              <w:ind w:right="3370"/>
              <w:spacing w:after="0"/>
              <w:rPr>
                <w:sz w:val="20"/>
                <w:szCs w:val="20"/>
                <w:color w:val="auto"/>
              </w:rPr>
            </w:pPr>
            <w:r>
              <w:rPr>
                <w:rFonts w:ascii="Arial" w:cs="Arial" w:eastAsia="Arial" w:hAnsi="Arial"/>
                <w:sz w:val="18"/>
                <w:szCs w:val="18"/>
                <w:color w:val="auto"/>
              </w:rPr>
              <w:t>50</w:t>
            </w:r>
          </w:p>
        </w:tc>
        <w:tc>
          <w:tcPr>
            <w:tcW w:w="1260" w:type="dxa"/>
            <w:vAlign w:val="bottom"/>
          </w:tcPr>
          <w:p>
            <w:pPr>
              <w:spacing w:after="0"/>
              <w:rPr>
                <w:sz w:val="24"/>
                <w:szCs w:val="24"/>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820" w:type="dxa"/>
            <w:vAlign w:val="bottom"/>
            <w:tcBorders>
              <w:bottom w:val="single" w:sz="8" w:color="9A9A9A"/>
            </w:tcBorders>
          </w:tcPr>
          <w:p>
            <w:pPr>
              <w:spacing w:after="0"/>
              <w:rPr>
                <w:sz w:val="14"/>
                <w:szCs w:val="14"/>
                <w:color w:val="auto"/>
              </w:rPr>
            </w:pPr>
          </w:p>
        </w:tc>
        <w:tc>
          <w:tcPr>
            <w:tcW w:w="440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820" w:type="dxa"/>
            <w:vAlign w:val="bottom"/>
            <w:tcBorders>
              <w:bottom w:val="single" w:sz="8" w:color="EEEEEE"/>
            </w:tcBorders>
          </w:tcPr>
          <w:p>
            <w:pPr>
              <w:spacing w:after="0" w:line="20" w:lineRule="exact"/>
              <w:rPr>
                <w:sz w:val="1"/>
                <w:szCs w:val="1"/>
                <w:color w:val="auto"/>
              </w:rPr>
            </w:pPr>
          </w:p>
        </w:tc>
        <w:tc>
          <w:tcPr>
            <w:tcW w:w="440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53" w:name="page54"/>
    <w:bookmarkEnd w:id="53"/>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Portfolio Activity</w:t>
      </w:r>
    </w:p>
    <w:p>
      <w:pPr>
        <w:spacing w:after="0" w:line="117" w:lineRule="exact"/>
        <w:rPr>
          <w:sz w:val="20"/>
          <w:szCs w:val="20"/>
          <w:color w:val="auto"/>
        </w:rPr>
      </w:pPr>
    </w:p>
    <w:p>
      <w:pPr>
        <w:ind w:left="60" w:right="559" w:firstLine="270"/>
        <w:spacing w:after="0" w:line="279" w:lineRule="auto"/>
        <w:rPr>
          <w:sz w:val="20"/>
          <w:szCs w:val="20"/>
          <w:color w:val="auto"/>
        </w:rPr>
      </w:pPr>
      <w:r>
        <w:rPr>
          <w:rFonts w:ascii="Arial" w:cs="Arial" w:eastAsia="Arial" w:hAnsi="Arial"/>
          <w:sz w:val="17"/>
          <w:szCs w:val="17"/>
          <w:color w:val="auto"/>
        </w:rPr>
        <w:t>From March 31, 2016 through May 10, 2016, we closed on investment purchases of $3,999,990 plus transaction costs as shown in the following table. “Total Gross Payments” include both the actual cost of an investment, as well as capitalized costs (such as legal and other fees) associated with entering into a portfolio company investment. Refer to “Note 1 — Nature of Operations and Significant Accounting Policies” to our condensed consolidated financial statements as of March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512826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28260" cy="8890"/>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Portfolio Company</w:t>
            </w:r>
          </w:p>
        </w:tc>
        <w:tc>
          <w:tcPr>
            <w:tcW w:w="160" w:type="dxa"/>
            <w:vAlign w:val="bottom"/>
          </w:tcPr>
          <w:p>
            <w:pPr>
              <w:spacing w:after="0"/>
              <w:rPr>
                <w:sz w:val="14"/>
                <w:szCs w:val="14"/>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Industry</w:t>
            </w:r>
          </w:p>
        </w:tc>
        <w:tc>
          <w:tcPr>
            <w:tcW w:w="16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Transaction Date</w:t>
            </w:r>
          </w:p>
        </w:tc>
        <w:tc>
          <w:tcPr>
            <w:tcW w:w="160" w:type="dxa"/>
            <w:vAlign w:val="bottom"/>
          </w:tcPr>
          <w:p>
            <w:pPr>
              <w:spacing w:after="0"/>
              <w:rPr>
                <w:sz w:val="14"/>
                <w:szCs w:val="14"/>
                <w:color w:val="auto"/>
              </w:rPr>
            </w:pPr>
          </w:p>
        </w:tc>
        <w:tc>
          <w:tcPr>
            <w:tcW w:w="10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88"/>
              </w:rPr>
              <w:t>Gross Payments</w:t>
            </w:r>
          </w:p>
        </w:tc>
      </w:tr>
      <w:tr>
        <w:trPr>
          <w:trHeight w:val="195"/>
        </w:trPr>
        <w:tc>
          <w:tcPr>
            <w:tcW w:w="3520" w:type="dxa"/>
            <w:vAlign w:val="bottom"/>
          </w:tcPr>
          <w:p>
            <w:pPr>
              <w:ind w:left="20"/>
              <w:spacing w:after="0" w:line="195" w:lineRule="exact"/>
              <w:rPr>
                <w:sz w:val="20"/>
                <w:szCs w:val="20"/>
                <w:color w:val="auto"/>
              </w:rPr>
            </w:pPr>
            <w:r>
              <w:rPr>
                <w:rFonts w:ascii="Arial" w:cs="Arial" w:eastAsia="Arial" w:hAnsi="Arial"/>
                <w:sz w:val="18"/>
                <w:szCs w:val="18"/>
                <w:color w:val="auto"/>
              </w:rPr>
              <w:t>Snapchat Inc.</w:t>
            </w:r>
          </w:p>
        </w:tc>
        <w:tc>
          <w:tcPr>
            <w:tcW w:w="160" w:type="dxa"/>
            <w:vAlign w:val="bottom"/>
          </w:tcPr>
          <w:p>
            <w:pPr>
              <w:spacing w:after="0"/>
              <w:rPr>
                <w:sz w:val="16"/>
                <w:szCs w:val="16"/>
                <w:color w:val="auto"/>
              </w:rPr>
            </w:pPr>
          </w:p>
        </w:tc>
        <w:tc>
          <w:tcPr>
            <w:tcW w:w="1960" w:type="dxa"/>
            <w:vAlign w:val="bottom"/>
          </w:tcPr>
          <w:p>
            <w:pPr>
              <w:jc w:val="center"/>
              <w:spacing w:after="0" w:line="195" w:lineRule="exact"/>
              <w:rPr>
                <w:sz w:val="20"/>
                <w:szCs w:val="20"/>
                <w:color w:val="auto"/>
              </w:rPr>
            </w:pPr>
            <w:r>
              <w:rPr>
                <w:rFonts w:ascii="Arial" w:cs="Arial" w:eastAsia="Arial" w:hAnsi="Arial"/>
                <w:sz w:val="18"/>
                <w:szCs w:val="18"/>
                <w:color w:val="auto"/>
                <w:w w:val="91"/>
              </w:rPr>
              <w:t>Communication and</w:t>
            </w: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0"/>
        </w:trPr>
        <w:tc>
          <w:tcPr>
            <w:tcW w:w="3520" w:type="dxa"/>
            <w:vAlign w:val="bottom"/>
          </w:tcPr>
          <w:p>
            <w:pPr>
              <w:ind w:left="200"/>
              <w:spacing w:after="0"/>
              <w:rPr>
                <w:sz w:val="20"/>
                <w:szCs w:val="20"/>
                <w:color w:val="auto"/>
              </w:rPr>
            </w:pPr>
            <w:r>
              <w:rPr>
                <w:rFonts w:ascii="Arial" w:cs="Arial" w:eastAsia="Arial" w:hAnsi="Arial"/>
                <w:sz w:val="18"/>
                <w:szCs w:val="18"/>
                <w:color w:val="auto"/>
              </w:rPr>
              <w:t>Preferred Shares</w:t>
            </w:r>
          </w:p>
        </w:tc>
        <w:tc>
          <w:tcPr>
            <w:tcW w:w="16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2"/>
              </w:rPr>
              <w:t>entertainment platform</w:t>
            </w:r>
          </w:p>
        </w:tc>
        <w:tc>
          <w:tcPr>
            <w:tcW w:w="16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May 6, 2016</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3,999,990</w:t>
            </w:r>
          </w:p>
        </w:tc>
        <w:tc>
          <w:tcPr>
            <w:tcW w:w="80" w:type="dxa"/>
            <w:vAlign w:val="bottom"/>
          </w:tcPr>
          <w:p>
            <w:pPr>
              <w:spacing w:after="0"/>
              <w:rPr>
                <w:sz w:val="20"/>
                <w:szCs w:val="20"/>
                <w:color w:val="auto"/>
              </w:rPr>
            </w:pPr>
          </w:p>
        </w:tc>
      </w:tr>
      <w:tr>
        <w:trPr>
          <w:trHeight w:val="210"/>
        </w:trPr>
        <w:tc>
          <w:tcPr>
            <w:tcW w:w="3520" w:type="dxa"/>
            <w:vAlign w:val="bottom"/>
          </w:tcPr>
          <w:p>
            <w:pPr>
              <w:ind w:left="20"/>
              <w:spacing w:after="0"/>
              <w:rPr>
                <w:sz w:val="20"/>
                <w:szCs w:val="20"/>
                <w:color w:val="auto"/>
              </w:rPr>
            </w:pPr>
            <w:r>
              <w:rPr>
                <w:rFonts w:ascii="Arial" w:cs="Arial" w:eastAsia="Arial" w:hAnsi="Arial"/>
                <w:sz w:val="18"/>
                <w:szCs w:val="18"/>
                <w:color w:val="auto"/>
              </w:rPr>
              <w:t>Total Gross Payments</w:t>
            </w:r>
          </w:p>
        </w:tc>
        <w:tc>
          <w:tcPr>
            <w:tcW w:w="1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3,999,990</w:t>
            </w:r>
          </w:p>
        </w:tc>
        <w:tc>
          <w:tcPr>
            <w:tcW w:w="80" w:type="dxa"/>
            <w:vAlign w:val="bottom"/>
          </w:tcPr>
          <w:p>
            <w:pPr>
              <w:spacing w:after="0"/>
              <w:rPr>
                <w:sz w:val="18"/>
                <w:szCs w:val="18"/>
                <w:color w:val="auto"/>
              </w:rPr>
            </w:pPr>
          </w:p>
        </w:tc>
      </w:tr>
    </w:tbl>
    <w:p>
      <w:pPr>
        <w:spacing w:after="0" w:line="94" w:lineRule="exact"/>
        <w:rPr>
          <w:sz w:val="20"/>
          <w:szCs w:val="20"/>
          <w:color w:val="auto"/>
        </w:rPr>
      </w:pPr>
    </w:p>
    <w:p>
      <w:pPr>
        <w:ind w:left="60" w:right="1199" w:firstLine="270"/>
        <w:spacing w:after="0" w:line="277" w:lineRule="auto"/>
        <w:rPr>
          <w:sz w:val="20"/>
          <w:szCs w:val="20"/>
          <w:color w:val="auto"/>
        </w:rPr>
      </w:pPr>
      <w:r>
        <w:rPr>
          <w:rFonts w:ascii="Arial" w:cs="Arial" w:eastAsia="Arial" w:hAnsi="Arial"/>
          <w:sz w:val="18"/>
          <w:szCs w:val="18"/>
          <w:color w:val="auto"/>
        </w:rPr>
        <w:t>From March 31, 2016 through May 10, 2016, we sold investments of $661,968 net of transaction costs as shown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20573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Sales by Portfolio Company</w:t>
            </w:r>
          </w:p>
        </w:tc>
        <w:tc>
          <w:tcPr>
            <w:tcW w:w="1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0"/>
              </w:rPr>
              <w:t>Transaction</w:t>
            </w:r>
          </w:p>
        </w:tc>
        <w:tc>
          <w:tcPr>
            <w:tcW w:w="160" w:type="dxa"/>
            <w:vAlign w:val="bottom"/>
          </w:tcPr>
          <w:p>
            <w:pPr>
              <w:spacing w:after="0"/>
              <w:rPr>
                <w:sz w:val="16"/>
                <w:szCs w:val="16"/>
                <w:color w:val="auto"/>
              </w:rPr>
            </w:pP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98"/>
              </w:rPr>
              <w:t>Shares Sold</w:t>
            </w:r>
          </w:p>
        </w:tc>
        <w:tc>
          <w:tcPr>
            <w:tcW w:w="16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w w:val="95"/>
              </w:rPr>
              <w:t>Average Net</w:t>
            </w:r>
          </w:p>
        </w:tc>
        <w:tc>
          <w:tcPr>
            <w:tcW w:w="160" w:type="dxa"/>
            <w:vAlign w:val="bottom"/>
          </w:tcPr>
          <w:p>
            <w:pPr>
              <w:spacing w:after="0"/>
              <w:rPr>
                <w:sz w:val="16"/>
                <w:szCs w:val="16"/>
                <w:color w:val="auto"/>
              </w:rPr>
            </w:pPr>
          </w:p>
        </w:tc>
        <w:tc>
          <w:tcPr>
            <w:tcW w:w="9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w w:val="91"/>
              </w:rPr>
              <w:t>Net Proceeds</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Realized</w:t>
            </w:r>
          </w:p>
        </w:tc>
        <w:tc>
          <w:tcPr>
            <w:tcW w:w="0" w:type="dxa"/>
            <w:vAlign w:val="bottom"/>
          </w:tcPr>
          <w:p>
            <w:pPr>
              <w:spacing w:after="0"/>
              <w:rPr>
                <w:sz w:val="1"/>
                <w:szCs w:val="1"/>
                <w:color w:val="auto"/>
              </w:rPr>
            </w:pPr>
          </w:p>
        </w:tc>
      </w:tr>
      <w:tr>
        <w:trPr>
          <w:trHeight w:val="176"/>
        </w:trPr>
        <w:tc>
          <w:tcPr>
            <w:tcW w:w="2540" w:type="dxa"/>
            <w:vAlign w:val="bottom"/>
            <w:tcBorders>
              <w:bottom w:val="single" w:sz="8" w:color="auto"/>
            </w:tcBorders>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6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Borders>
              <w:bottom w:val="single" w:sz="8" w:color="auto"/>
            </w:tcBorders>
            <w:gridSpan w:val="2"/>
          </w:tcPr>
          <w:p>
            <w:pPr>
              <w:spacing w:after="0" w:line="176" w:lineRule="exact"/>
              <w:rPr>
                <w:sz w:val="20"/>
                <w:szCs w:val="20"/>
                <w:color w:val="auto"/>
              </w:rPr>
            </w:pPr>
            <w:r>
              <w:rPr>
                <w:rFonts w:ascii="Arial" w:cs="Arial" w:eastAsia="Arial" w:hAnsi="Arial"/>
                <w:sz w:val="13"/>
                <w:szCs w:val="13"/>
                <w:b w:val="1"/>
                <w:bCs w:val="1"/>
                <w:color w:val="auto"/>
                <w:w w:val="95"/>
              </w:rPr>
              <w:t>Share Price</w:t>
            </w:r>
            <w:r>
              <w:rPr>
                <w:rFonts w:ascii="Arial" w:cs="Arial" w:eastAsia="Arial" w:hAnsi="Arial"/>
                <w:sz w:val="20"/>
                <w:szCs w:val="20"/>
                <w:b w:val="1"/>
                <w:bCs w:val="1"/>
                <w:color w:val="auto"/>
                <w:w w:val="95"/>
                <w:vertAlign w:val="superscript"/>
              </w:rPr>
              <w:t>(1)</w:t>
            </w:r>
          </w:p>
        </w:tc>
        <w:tc>
          <w:tcPr>
            <w:tcW w:w="160" w:type="dxa"/>
            <w:vAlign w:val="bottom"/>
          </w:tcPr>
          <w:p>
            <w:pPr>
              <w:spacing w:after="0"/>
              <w:rPr>
                <w:sz w:val="15"/>
                <w:szCs w:val="15"/>
                <w:color w:val="auto"/>
              </w:rPr>
            </w:pPr>
          </w:p>
        </w:tc>
        <w:tc>
          <w:tcPr>
            <w:tcW w:w="900" w:type="dxa"/>
            <w:vAlign w:val="bottom"/>
            <w:tcBorders>
              <w:bottom w:val="single" w:sz="8" w:color="auto"/>
            </w:tcBorders>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Gain</w:t>
            </w:r>
          </w:p>
        </w:tc>
        <w:tc>
          <w:tcPr>
            <w:tcW w:w="0" w:type="dxa"/>
            <w:vAlign w:val="bottom"/>
          </w:tcPr>
          <w:p>
            <w:pPr>
              <w:spacing w:after="0"/>
              <w:rPr>
                <w:sz w:val="1"/>
                <w:szCs w:val="1"/>
                <w:color w:val="auto"/>
              </w:rPr>
            </w:pPr>
          </w:p>
        </w:tc>
      </w:tr>
      <w:tr>
        <w:trPr>
          <w:trHeight w:val="210"/>
        </w:trPr>
        <w:tc>
          <w:tcPr>
            <w:tcW w:w="25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Lyft, Inc.</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April 15, 2016</w:t>
            </w:r>
          </w:p>
        </w:tc>
        <w:tc>
          <w:tcPr>
            <w:tcW w:w="10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27,582</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661,968</w:t>
            </w: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382,078</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40" w:type="dxa"/>
            <w:vAlign w:val="bottom"/>
            <w:gridSpan w:val="3"/>
          </w:tcPr>
          <w:p>
            <w:pPr>
              <w:ind w:left="20"/>
              <w:spacing w:after="0"/>
              <w:rPr>
                <w:sz w:val="20"/>
                <w:szCs w:val="20"/>
                <w:color w:val="auto"/>
              </w:rPr>
            </w:pPr>
            <w:r>
              <w:rPr>
                <w:rFonts w:ascii="Arial" w:cs="Arial" w:eastAsia="Arial" w:hAnsi="Arial"/>
                <w:sz w:val="18"/>
                <w:szCs w:val="18"/>
                <w:color w:val="auto"/>
              </w:rPr>
              <w:t>Totals</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661,968</w:t>
            </w:r>
          </w:p>
        </w:tc>
        <w:tc>
          <w:tcPr>
            <w:tcW w:w="80" w:type="dxa"/>
            <w:vAlign w:val="bottom"/>
          </w:tcPr>
          <w:p>
            <w:pPr>
              <w:spacing w:after="0"/>
              <w:rPr>
                <w:sz w:val="18"/>
                <w:szCs w:val="18"/>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382,078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-368300</wp:posOffset>
            </wp:positionV>
            <wp:extent cx="5213985" cy="1803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2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 The average net share price is the net share price realized after deducting all commissions and fees on the sale(s).</w:t>
      </w:r>
    </w:p>
    <w:p>
      <w:pPr>
        <w:spacing w:after="0" w:line="117" w:lineRule="exact"/>
        <w:rPr>
          <w:sz w:val="20"/>
          <w:szCs w:val="20"/>
          <w:color w:val="auto"/>
        </w:rPr>
      </w:pPr>
    </w:p>
    <w:p>
      <w:pPr>
        <w:ind w:left="60" w:right="519" w:firstLine="270"/>
        <w:spacing w:after="0" w:line="255" w:lineRule="auto"/>
        <w:rPr>
          <w:sz w:val="20"/>
          <w:szCs w:val="20"/>
          <w:color w:val="auto"/>
        </w:rPr>
      </w:pPr>
      <w:r>
        <w:rPr>
          <w:rFonts w:ascii="Arial" w:cs="Arial" w:eastAsia="Arial" w:hAnsi="Arial"/>
          <w:sz w:val="18"/>
          <w:szCs w:val="18"/>
          <w:color w:val="auto"/>
        </w:rPr>
        <w:t>We are frequently in negotiations with various private companies with respect to investments in such companies. Investments in private companies are generally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us. Equity investments made through the secondary market may involve making deposits in escrow accounts until the applicable closing conditions are satisfied, at which time the escrow accounts will close and such equity investments will be effectuated. From March 31, 2016 through May 10, 2016, we made no such escrow deposits.</w:t>
      </w:r>
    </w:p>
    <w:p>
      <w:pPr>
        <w:spacing w:after="0" w:line="104" w:lineRule="exact"/>
        <w:rPr>
          <w:sz w:val="20"/>
          <w:szCs w:val="20"/>
          <w:color w:val="auto"/>
        </w:rPr>
      </w:pPr>
    </w:p>
    <w:p>
      <w:pPr>
        <w:ind w:left="60" w:right="4819"/>
        <w:spacing w:after="0" w:line="401"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b w:val="1"/>
          <w:bCs w:val="1"/>
          <w:i w:val="1"/>
          <w:iCs w:val="1"/>
          <w:color w:val="auto"/>
        </w:rPr>
        <w:t>Market Risk</w:t>
      </w:r>
    </w:p>
    <w:p>
      <w:pPr>
        <w:spacing w:after="0" w:line="1" w:lineRule="exact"/>
        <w:rPr>
          <w:sz w:val="20"/>
          <w:szCs w:val="20"/>
          <w:color w:val="auto"/>
        </w:rPr>
      </w:pPr>
    </w:p>
    <w:p>
      <w:pPr>
        <w:ind w:left="60" w:right="579" w:firstLine="270"/>
        <w:spacing w:after="0" w:line="255" w:lineRule="auto"/>
        <w:rPr>
          <w:sz w:val="20"/>
          <w:szCs w:val="20"/>
          <w:color w:val="auto"/>
        </w:rPr>
      </w:pPr>
      <w:r>
        <w:rPr>
          <w:rFonts w:ascii="Arial" w:cs="Arial" w:eastAsia="Arial" w:hAnsi="Arial"/>
          <w:sz w:val="18"/>
          <w:szCs w:val="18"/>
          <w:color w:val="auto"/>
        </w:rPr>
        <w:t>Our equity investments are primarily in growth companies that in many cases have short operating histories and are generally illiquid. In addition to the risks that these companies may fail to achieve their objectives, the price we may receive for these companies in private transactions may be significantly impacted by periods of disruption and instability in the capital markets such as the recent market volatility in China and geopolitical unrest in the Middle East. While these periods of disruption generally have little actual impact on the operating results of our equity investments, these events may significantly impact the prices that market participants will pay for our equity investments in private transactions. This may have a significant impact on the valuation of our equity investments.</w:t>
      </w:r>
    </w:p>
    <w:p>
      <w:pPr>
        <w:spacing w:after="0" w:line="12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60" w:right="599" w:firstLine="270"/>
        <w:spacing w:after="0" w:line="257" w:lineRule="auto"/>
        <w:rPr>
          <w:sz w:val="20"/>
          <w:szCs w:val="20"/>
          <w:color w:val="auto"/>
        </w:rPr>
      </w:pPr>
      <w:r>
        <w:rPr>
          <w:rFonts w:ascii="Arial" w:cs="Arial" w:eastAsia="Arial" w:hAnsi="Arial"/>
          <w:sz w:val="18"/>
          <w:szCs w:val="18"/>
          <w:color w:val="auto"/>
        </w:rPr>
        <w:t>We are subject to financial market risks, which could include, to the extent we utilize leverage with variable rate structures, changes in interest rates. As we invest primarily in equity rather than debt instruments, we would not expect fluctuations in interest rates to directly impact the return on our portfolio investments, although any significant change in market interest rates could potentially have an indirect effect on the business, financial condition and results of operations of the portfolio companies in which we invest.</w:t>
      </w:r>
    </w:p>
    <w:p>
      <w:pPr>
        <w:spacing w:after="0" w:line="80" w:lineRule="exact"/>
        <w:rPr>
          <w:sz w:val="20"/>
          <w:szCs w:val="20"/>
          <w:color w:val="auto"/>
        </w:rPr>
      </w:pPr>
    </w:p>
    <w:p>
      <w:pPr>
        <w:ind w:left="60" w:right="539" w:firstLine="270"/>
        <w:spacing w:after="0" w:line="277" w:lineRule="auto"/>
        <w:rPr>
          <w:sz w:val="20"/>
          <w:szCs w:val="20"/>
          <w:color w:val="auto"/>
        </w:rPr>
      </w:pPr>
      <w:r>
        <w:rPr>
          <w:rFonts w:ascii="Arial" w:cs="Arial" w:eastAsia="Arial" w:hAnsi="Arial"/>
          <w:sz w:val="18"/>
          <w:szCs w:val="18"/>
          <w:color w:val="auto"/>
        </w:rPr>
        <w:t>As of March 31, 2016, all of our debt investments bore a fixed rate of interest. As of March 31, 2016, all of our borrowings bear a fixed rate of interest with the exception of the Credit Facility which is indexed to the</w:t>
      </w:r>
    </w:p>
    <w:p>
      <w:pPr>
        <w:spacing w:after="0" w:line="200" w:lineRule="exact"/>
        <w:rPr>
          <w:sz w:val="20"/>
          <w:szCs w:val="20"/>
          <w:color w:val="auto"/>
        </w:rPr>
      </w:pPr>
    </w:p>
    <w:p>
      <w:pPr>
        <w:spacing w:after="0" w:line="30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4" w:name="page55"/>
    <w:bookmarkEnd w:id="54"/>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 w:right="599"/>
        <w:spacing w:after="0" w:line="308" w:lineRule="auto"/>
        <w:rPr>
          <w:sz w:val="20"/>
          <w:szCs w:val="20"/>
          <w:color w:val="auto"/>
        </w:rPr>
      </w:pPr>
      <w:r>
        <w:rPr>
          <w:rFonts w:ascii="Arial" w:cs="Arial" w:eastAsia="Arial" w:hAnsi="Arial"/>
          <w:sz w:val="17"/>
          <w:szCs w:val="17"/>
          <w:color w:val="auto"/>
        </w:rPr>
        <w:t>prime rate. We do not expect a significant impact on net investment income due to changes in the prime rate, based on its historical stability. The table below, however, indicates the impact on our net investment income should the prime rate rise.</w:t>
      </w:r>
    </w:p>
    <w:p>
      <w:pPr>
        <w:spacing w:after="0" w:line="38" w:lineRule="exact"/>
        <w:rPr>
          <w:sz w:val="20"/>
          <w:szCs w:val="20"/>
          <w:color w:val="auto"/>
        </w:rPr>
      </w:pPr>
    </w:p>
    <w:p>
      <w:pPr>
        <w:ind w:left="60" w:right="699" w:firstLine="270"/>
        <w:spacing w:after="0" w:line="277" w:lineRule="auto"/>
        <w:rPr>
          <w:sz w:val="20"/>
          <w:szCs w:val="20"/>
          <w:color w:val="auto"/>
        </w:rPr>
      </w:pPr>
      <w:r>
        <w:rPr>
          <w:rFonts w:ascii="Arial" w:cs="Arial" w:eastAsia="Arial" w:hAnsi="Arial"/>
          <w:sz w:val="18"/>
          <w:szCs w:val="18"/>
          <w:color w:val="auto"/>
        </w:rPr>
        <w:t>Based on our March 31, 2016 balance sheet, the following table shows the annual impact on net income of changes in interest rates assuming no changes in our investment and borrowing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475107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Basis Point Change</w:t>
            </w:r>
          </w:p>
        </w:tc>
        <w:tc>
          <w:tcPr>
            <w:tcW w:w="160" w:type="dxa"/>
            <w:vAlign w:val="bottom"/>
          </w:tcPr>
          <w:p>
            <w:pPr>
              <w:spacing w:after="0"/>
              <w:rPr>
                <w:sz w:val="14"/>
                <w:szCs w:val="14"/>
                <w:color w:val="auto"/>
              </w:rPr>
            </w:pPr>
          </w:p>
        </w:tc>
        <w:tc>
          <w:tcPr>
            <w:tcW w:w="66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Interest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74"/>
              <w:spacing w:after="0"/>
              <w:rPr>
                <w:sz w:val="20"/>
                <w:szCs w:val="20"/>
                <w:color w:val="auto"/>
              </w:rPr>
            </w:pPr>
            <w:r>
              <w:rPr>
                <w:rFonts w:ascii="Arial" w:cs="Arial" w:eastAsia="Arial" w:hAnsi="Arial"/>
                <w:sz w:val="14"/>
                <w:szCs w:val="14"/>
                <w:b w:val="1"/>
                <w:bCs w:val="1"/>
                <w:color w:val="auto"/>
                <w:w w:val="98"/>
              </w:rPr>
              <w:t>Interest</w:t>
            </w:r>
          </w:p>
        </w:tc>
        <w:tc>
          <w:tcPr>
            <w:tcW w:w="16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Net Income/</w:t>
            </w:r>
          </w:p>
        </w:tc>
        <w:tc>
          <w:tcPr>
            <w:tcW w:w="0" w:type="dxa"/>
            <w:vAlign w:val="bottom"/>
          </w:tcPr>
          <w:p>
            <w:pPr>
              <w:spacing w:after="0"/>
              <w:rPr>
                <w:sz w:val="1"/>
                <w:szCs w:val="1"/>
                <w:color w:val="auto"/>
              </w:rPr>
            </w:pPr>
          </w:p>
        </w:tc>
      </w:tr>
      <w:tr>
        <w:trPr>
          <w:trHeight w:val="171"/>
        </w:trPr>
        <w:tc>
          <w:tcPr>
            <w:tcW w:w="468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Income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0"/>
              </w:rPr>
              <w:t>Expense</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 300 Basis points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330,000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(330,000)</w:t>
            </w:r>
          </w:p>
        </w:tc>
        <w:tc>
          <w:tcPr>
            <w:tcW w:w="0" w:type="dxa"/>
            <w:vAlign w:val="bottom"/>
          </w:tcPr>
          <w:p>
            <w:pPr>
              <w:spacing w:after="0"/>
              <w:rPr>
                <w:sz w:val="1"/>
                <w:szCs w:val="1"/>
                <w:color w:val="auto"/>
              </w:rPr>
            </w:pPr>
          </w:p>
        </w:tc>
      </w:tr>
      <w:tr>
        <w:trPr>
          <w:trHeight w:val="216"/>
        </w:trPr>
        <w:tc>
          <w:tcPr>
            <w:tcW w:w="4680" w:type="dxa"/>
            <w:vAlign w:val="bottom"/>
          </w:tcPr>
          <w:p>
            <w:pPr>
              <w:ind w:left="20"/>
              <w:spacing w:after="0"/>
              <w:rPr>
                <w:sz w:val="20"/>
                <w:szCs w:val="20"/>
                <w:color w:val="auto"/>
              </w:rPr>
            </w:pPr>
            <w:r>
              <w:rPr>
                <w:rFonts w:ascii="Arial" w:cs="Arial" w:eastAsia="Arial" w:hAnsi="Arial"/>
                <w:sz w:val="18"/>
                <w:szCs w:val="18"/>
                <w:color w:val="auto"/>
              </w:rPr>
              <w:t>Up 200 Basis points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ind w:left="2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300,000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0"/>
              </w:rPr>
              <w:t>(300,000)</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 100 Basis points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270,000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(270,000)</w:t>
            </w:r>
          </w:p>
        </w:tc>
        <w:tc>
          <w:tcPr>
            <w:tcW w:w="0" w:type="dxa"/>
            <w:vAlign w:val="bottom"/>
          </w:tcPr>
          <w:p>
            <w:pPr>
              <w:spacing w:after="0"/>
              <w:rPr>
                <w:sz w:val="1"/>
                <w:szCs w:val="1"/>
                <w:color w:val="auto"/>
              </w:rPr>
            </w:pPr>
          </w:p>
        </w:tc>
      </w:tr>
      <w:tr>
        <w:trPr>
          <w:trHeight w:val="216"/>
        </w:trPr>
        <w:tc>
          <w:tcPr>
            <w:tcW w:w="4680" w:type="dxa"/>
            <w:vAlign w:val="bottom"/>
          </w:tcPr>
          <w:p>
            <w:pPr>
              <w:ind w:left="20"/>
              <w:spacing w:after="0"/>
              <w:rPr>
                <w:sz w:val="20"/>
                <w:szCs w:val="20"/>
                <w:color w:val="auto"/>
              </w:rPr>
            </w:pPr>
            <w:r>
              <w:rPr>
                <w:rFonts w:ascii="Arial" w:cs="Arial" w:eastAsia="Arial" w:hAnsi="Arial"/>
                <w:sz w:val="18"/>
                <w:szCs w:val="18"/>
                <w:color w:val="auto"/>
              </w:rPr>
              <w:t>Down 100 Basis points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ind w:left="2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Down 200 Basis points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Down 300 Basis points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ind w:left="2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60" w:right="539" w:firstLine="270"/>
        <w:spacing w:after="0" w:line="312" w:lineRule="auto"/>
        <w:rPr>
          <w:sz w:val="20"/>
          <w:szCs w:val="20"/>
          <w:color w:val="auto"/>
        </w:rPr>
      </w:pPr>
      <w:r>
        <w:rPr>
          <w:rFonts w:ascii="Arial" w:cs="Arial" w:eastAsia="Arial" w:hAnsi="Arial"/>
          <w:sz w:val="16"/>
          <w:szCs w:val="16"/>
          <w:color w:val="auto"/>
        </w:rPr>
        <w:t>Although we believe that this measure is indicative of our sensitivity to interest rate changes, it does not adjust for potential changes in credit quality, size and composition of the assets on the Condensed Consolidated Statements of Assets and Liabilties and other business developments that could affect net increase in net assets resulting from operations, or net income.</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left="60" w:right="519" w:firstLine="270"/>
        <w:spacing w:after="0" w:line="269" w:lineRule="auto"/>
        <w:rPr>
          <w:sz w:val="20"/>
          <w:szCs w:val="20"/>
          <w:color w:val="auto"/>
        </w:rPr>
      </w:pPr>
      <w:r>
        <w:rPr>
          <w:rFonts w:ascii="Arial" w:cs="Arial" w:eastAsia="Arial" w:hAnsi="Arial"/>
          <w:sz w:val="17"/>
          <w:szCs w:val="17"/>
          <w:color w:val="auto"/>
        </w:rPr>
        <w:t>As of March 31, 2016, we, including our Chief Executive Officer and Chief Financial Officer, evaluated the effectiveness of the design and operation of our disclosure controls and procedures (as defined in Rules 13a-15(e) and 15d-15(e) under the Securities Exchange Act of 1934, as amended (the “Exchange Act”)). Based on that evaluation,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recognizes that any controls and procedures, no matter how well designed and operated, can provide only reasonable assurance of achieving the desired control objectives, and management necessarily is required to apply its judgment in evaluating the cost-benefit relationship of such possible controls and procedures.</w:t>
      </w:r>
    </w:p>
    <w:p>
      <w:pPr>
        <w:spacing w:after="0" w:line="75" w:lineRule="exact"/>
        <w:rPr>
          <w:sz w:val="20"/>
          <w:szCs w:val="20"/>
          <w:color w:val="auto"/>
        </w:rPr>
      </w:pPr>
    </w:p>
    <w:p>
      <w:pPr>
        <w:jc w:val="both"/>
        <w:ind w:left="60" w:right="639" w:firstLine="270"/>
        <w:spacing w:after="0" w:line="264"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under the Exchange Act) that occurred during the quarter ended March 31, 2016 that have materially affected, or are reasonably likely to materially affect, our internal control over financial reporting.</w:t>
      </w:r>
    </w:p>
    <w:p>
      <w:pPr>
        <w:spacing w:after="0" w:line="200" w:lineRule="exact"/>
        <w:rPr>
          <w:sz w:val="20"/>
          <w:szCs w:val="20"/>
          <w:color w:val="auto"/>
        </w:rPr>
      </w:pPr>
    </w:p>
    <w:p>
      <w:pPr>
        <w:spacing w:after="0" w:line="33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PART II. OTHER INFORMATION</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40" w:right="559" w:firstLine="270"/>
        <w:spacing w:after="0" w:line="255" w:lineRule="auto"/>
        <w:rPr>
          <w:sz w:val="20"/>
          <w:szCs w:val="20"/>
          <w:color w:val="auto"/>
        </w:rPr>
      </w:pPr>
      <w:r>
        <w:rPr>
          <w:rFonts w:ascii="Arial" w:cs="Arial" w:eastAsia="Arial" w:hAnsi="Arial"/>
          <w:sz w:val="18"/>
          <w:szCs w:val="18"/>
          <w:color w:val="auto"/>
        </w:rPr>
        <w:t>Although we and GSV Asset Management may, from time to time, be involved in litigation arising out of our and GSV Asset Management’s operations in the normal course of business or otherwise, except as set forth in “Item 3. Legal Proceedings” of our annual report on Form 10-K for the year ended December 31, 2015, filed with the SEC on March 15, 2016, neither we nor GSV Asset Management is currently a party to any pending material legal proceedings. There have been no material developments in the legal proceedings described in “Item. 3 Legal Proceedings” of our annual report on Form 10-K for the year ended December 31, 2015 since the date such report was filed with the SEC.</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40" w:right="519" w:firstLine="270"/>
        <w:spacing w:after="0" w:line="272" w:lineRule="auto"/>
        <w:rPr>
          <w:sz w:val="20"/>
          <w:szCs w:val="20"/>
          <w:color w:val="auto"/>
        </w:rPr>
      </w:pPr>
      <w:r>
        <w:rPr>
          <w:rFonts w:ascii="Arial" w:cs="Arial" w:eastAsia="Arial" w:hAnsi="Arial"/>
          <w:sz w:val="17"/>
          <w:szCs w:val="17"/>
          <w:color w:val="auto"/>
        </w:rPr>
        <w:t>In addition to the other information set forth in this report, you should carefully consider the factors discussed in “Item 1A. Risk Factors” in our annual report on Form 10-K for the fiscal year ended December 31, 2015, filed with the SEC on March 15, 2016, which could materially affect our business, financial condition and/or operating results. The risks described in our annual report on Form 10-K are not the only risks facing our company. Additional risks and uncertainties not currently known to us, or that we currently deem to be immaterial, also may materially and adversely affect our business, financial condition and/or operating results. During the three months ended March 31, 2016, there have been no material changes to the risk factors discussed in “Item 1A. Risk Factors” of our annual report on Form 10-K for the fiscal year ended December 31, 2015.</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Mine Safety Disclosure</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7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exhibits are filed as part of this report or hereby incorporated by reference to exhibits previously filed with the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wp:posOffset>
            </wp:positionV>
            <wp:extent cx="517969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spacing w:after="0" w:line="48" w:lineRule="exact"/>
        <w:rPr>
          <w:sz w:val="20"/>
          <w:szCs w:val="20"/>
          <w:color w:val="auto"/>
        </w:rPr>
      </w:pPr>
    </w:p>
    <w:tbl>
      <w:tblPr>
        <w:tblLayout w:type="fixed"/>
        <w:tblInd w:w="220" w:type="dxa"/>
        <w:tblCellMar>
          <w:top w:w="0" w:type="dxa"/>
          <w:left w:w="0" w:type="dxa"/>
          <w:bottom w:w="0" w:type="dxa"/>
          <w:right w:w="0" w:type="dxa"/>
        </w:tblCellMar>
      </w:tblPr>
      <w:tr>
        <w:trPr>
          <w:trHeight w:val="345"/>
        </w:trPr>
        <w:tc>
          <w:tcPr>
            <w:tcW w:w="500" w:type="dxa"/>
            <w:vAlign w:val="bottom"/>
          </w:tcPr>
          <w:p>
            <w:pPr>
              <w:jc w:val="center"/>
              <w:ind w:right="70"/>
              <w:spacing w:after="0"/>
              <w:rPr>
                <w:sz w:val="20"/>
                <w:szCs w:val="20"/>
                <w:color w:val="auto"/>
              </w:rPr>
            </w:pPr>
            <w:r>
              <w:rPr>
                <w:rFonts w:ascii="Arial" w:cs="Arial" w:eastAsia="Arial" w:hAnsi="Arial"/>
                <w:sz w:val="18"/>
                <w:szCs w:val="18"/>
                <w:color w:val="auto"/>
                <w:w w:val="87"/>
              </w:rPr>
              <w:t>3.1</w:t>
            </w:r>
          </w:p>
        </w:tc>
        <w:tc>
          <w:tcPr>
            <w:tcW w:w="7460" w:type="dxa"/>
            <w:vAlign w:val="bottom"/>
          </w:tcPr>
          <w:p>
            <w:pPr>
              <w:ind w:left="200"/>
              <w:spacing w:after="0"/>
              <w:rPr>
                <w:sz w:val="20"/>
                <w:szCs w:val="20"/>
                <w:color w:val="auto"/>
              </w:rPr>
            </w:pPr>
            <w:r>
              <w:rPr>
                <w:rFonts w:ascii="Arial" w:cs="Arial" w:eastAsia="Arial" w:hAnsi="Arial"/>
                <w:sz w:val="18"/>
                <w:szCs w:val="18"/>
                <w:color w:val="auto"/>
              </w:rPr>
              <w:t>Articles of Amendment and Restatement</w:t>
            </w:r>
            <w:r>
              <w:rPr>
                <w:rFonts w:ascii="Arial" w:cs="Arial" w:eastAsia="Arial" w:hAnsi="Arial"/>
                <w:sz w:val="30"/>
                <w:szCs w:val="30"/>
                <w:color w:val="auto"/>
                <w:vertAlign w:val="superscript"/>
              </w:rPr>
              <w:t>(1)</w:t>
            </w:r>
          </w:p>
        </w:tc>
      </w:tr>
      <w:tr>
        <w:trPr>
          <w:trHeight w:val="257"/>
        </w:trPr>
        <w:tc>
          <w:tcPr>
            <w:tcW w:w="500" w:type="dxa"/>
            <w:vAlign w:val="bottom"/>
          </w:tcPr>
          <w:p>
            <w:pPr>
              <w:jc w:val="center"/>
              <w:ind w:right="70"/>
              <w:spacing w:after="0"/>
              <w:rPr>
                <w:sz w:val="20"/>
                <w:szCs w:val="20"/>
                <w:color w:val="auto"/>
              </w:rPr>
            </w:pPr>
            <w:r>
              <w:rPr>
                <w:rFonts w:ascii="Arial" w:cs="Arial" w:eastAsia="Arial" w:hAnsi="Arial"/>
                <w:sz w:val="18"/>
                <w:szCs w:val="18"/>
                <w:color w:val="auto"/>
                <w:w w:val="87"/>
              </w:rPr>
              <w:t>3.2</w:t>
            </w:r>
          </w:p>
        </w:tc>
        <w:tc>
          <w:tcPr>
            <w:tcW w:w="7460" w:type="dxa"/>
            <w:vAlign w:val="bottom"/>
          </w:tcPr>
          <w:p>
            <w:pPr>
              <w:ind w:left="200"/>
              <w:spacing w:after="0" w:line="256" w:lineRule="exact"/>
              <w:rPr>
                <w:sz w:val="20"/>
                <w:szCs w:val="20"/>
                <w:color w:val="auto"/>
              </w:rPr>
            </w:pPr>
            <w:r>
              <w:rPr>
                <w:rFonts w:ascii="Arial" w:cs="Arial" w:eastAsia="Arial" w:hAnsi="Arial"/>
                <w:sz w:val="18"/>
                <w:szCs w:val="18"/>
                <w:color w:val="auto"/>
              </w:rPr>
              <w:t>Articles of Amendment</w:t>
            </w:r>
            <w:r>
              <w:rPr>
                <w:rFonts w:ascii="Arial" w:cs="Arial" w:eastAsia="Arial" w:hAnsi="Arial"/>
                <w:sz w:val="29"/>
                <w:szCs w:val="29"/>
                <w:color w:val="auto"/>
                <w:vertAlign w:val="superscript"/>
              </w:rPr>
              <w:t>(2)</w:t>
            </w:r>
          </w:p>
        </w:tc>
      </w:tr>
      <w:tr>
        <w:trPr>
          <w:trHeight w:val="257"/>
        </w:trPr>
        <w:tc>
          <w:tcPr>
            <w:tcW w:w="500" w:type="dxa"/>
            <w:vAlign w:val="bottom"/>
          </w:tcPr>
          <w:p>
            <w:pPr>
              <w:jc w:val="center"/>
              <w:ind w:right="70"/>
              <w:spacing w:after="0"/>
              <w:rPr>
                <w:sz w:val="20"/>
                <w:szCs w:val="20"/>
                <w:color w:val="auto"/>
              </w:rPr>
            </w:pPr>
            <w:r>
              <w:rPr>
                <w:rFonts w:ascii="Arial" w:cs="Arial" w:eastAsia="Arial" w:hAnsi="Arial"/>
                <w:sz w:val="18"/>
                <w:szCs w:val="18"/>
                <w:color w:val="auto"/>
                <w:w w:val="87"/>
              </w:rPr>
              <w:t>3.3</w:t>
            </w:r>
          </w:p>
        </w:tc>
        <w:tc>
          <w:tcPr>
            <w:tcW w:w="7460" w:type="dxa"/>
            <w:vAlign w:val="bottom"/>
          </w:tcPr>
          <w:p>
            <w:pPr>
              <w:ind w:left="200"/>
              <w:spacing w:after="0" w:line="256" w:lineRule="exact"/>
              <w:rPr>
                <w:sz w:val="20"/>
                <w:szCs w:val="20"/>
                <w:color w:val="auto"/>
              </w:rPr>
            </w:pPr>
            <w:r>
              <w:rPr>
                <w:rFonts w:ascii="Arial" w:cs="Arial" w:eastAsia="Arial" w:hAnsi="Arial"/>
                <w:sz w:val="18"/>
                <w:szCs w:val="18"/>
                <w:color w:val="auto"/>
              </w:rPr>
              <w:t>Bylaws</w:t>
            </w:r>
            <w:r>
              <w:rPr>
                <w:rFonts w:ascii="Arial" w:cs="Arial" w:eastAsia="Arial" w:hAnsi="Arial"/>
                <w:sz w:val="29"/>
                <w:szCs w:val="29"/>
                <w:color w:val="auto"/>
                <w:vertAlign w:val="superscript"/>
              </w:rPr>
              <w:t>(1)</w:t>
            </w:r>
          </w:p>
        </w:tc>
      </w:tr>
      <w:tr>
        <w:trPr>
          <w:trHeight w:val="216"/>
        </w:trPr>
        <w:tc>
          <w:tcPr>
            <w:tcW w:w="500" w:type="dxa"/>
            <w:vAlign w:val="bottom"/>
          </w:tcPr>
          <w:p>
            <w:pPr>
              <w:jc w:val="center"/>
              <w:ind w:right="110"/>
              <w:spacing w:after="0"/>
              <w:rPr>
                <w:sz w:val="20"/>
                <w:szCs w:val="20"/>
                <w:color w:val="auto"/>
              </w:rPr>
            </w:pPr>
            <w:r>
              <w:rPr>
                <w:rFonts w:ascii="Arial" w:cs="Arial" w:eastAsia="Arial" w:hAnsi="Arial"/>
                <w:sz w:val="18"/>
                <w:szCs w:val="18"/>
                <w:color w:val="auto"/>
                <w:w w:val="85"/>
              </w:rPr>
              <w:t>11.1</w:t>
            </w:r>
          </w:p>
        </w:tc>
        <w:tc>
          <w:tcPr>
            <w:tcW w:w="7460" w:type="dxa"/>
            <w:vAlign w:val="bottom"/>
          </w:tcPr>
          <w:p>
            <w:pPr>
              <w:ind w:left="200"/>
              <w:spacing w:after="0"/>
              <w:rPr>
                <w:sz w:val="20"/>
                <w:szCs w:val="20"/>
                <w:color w:val="auto"/>
              </w:rPr>
            </w:pPr>
            <w:r>
              <w:rPr>
                <w:rFonts w:ascii="Arial" w:cs="Arial" w:eastAsia="Arial" w:hAnsi="Arial"/>
                <w:sz w:val="18"/>
                <w:szCs w:val="18"/>
                <w:color w:val="auto"/>
                <w:w w:val="92"/>
              </w:rPr>
              <w:t>Computation of Per Share Earnings (Included in “Note 5 — Net Increase/(Decrease) in Net Assets</w:t>
            </w:r>
          </w:p>
        </w:tc>
      </w:tr>
      <w:tr>
        <w:trPr>
          <w:trHeight w:val="216"/>
        </w:trPr>
        <w:tc>
          <w:tcPr>
            <w:tcW w:w="500" w:type="dxa"/>
            <w:vAlign w:val="bottom"/>
          </w:tcPr>
          <w:p>
            <w:pPr>
              <w:spacing w:after="0"/>
              <w:rPr>
                <w:sz w:val="18"/>
                <w:szCs w:val="18"/>
                <w:color w:val="auto"/>
              </w:rPr>
            </w:pPr>
          </w:p>
        </w:tc>
        <w:tc>
          <w:tcPr>
            <w:tcW w:w="7460" w:type="dxa"/>
            <w:vAlign w:val="bottom"/>
          </w:tcPr>
          <w:p>
            <w:pPr>
              <w:ind w:left="200"/>
              <w:spacing w:after="0"/>
              <w:rPr>
                <w:sz w:val="20"/>
                <w:szCs w:val="20"/>
                <w:color w:val="auto"/>
              </w:rPr>
            </w:pPr>
            <w:r>
              <w:rPr>
                <w:rFonts w:ascii="Arial" w:cs="Arial" w:eastAsia="Arial" w:hAnsi="Arial"/>
                <w:sz w:val="18"/>
                <w:szCs w:val="18"/>
                <w:color w:val="auto"/>
                <w:w w:val="91"/>
              </w:rPr>
              <w:t>Resulting from Operations per Common Share – Basic and Diluted” to our Condensed Consolidated</w:t>
            </w:r>
          </w:p>
        </w:tc>
      </w:tr>
      <w:tr>
        <w:trPr>
          <w:trHeight w:val="216"/>
        </w:trPr>
        <w:tc>
          <w:tcPr>
            <w:tcW w:w="500" w:type="dxa"/>
            <w:vAlign w:val="bottom"/>
          </w:tcPr>
          <w:p>
            <w:pPr>
              <w:spacing w:after="0"/>
              <w:rPr>
                <w:sz w:val="18"/>
                <w:szCs w:val="18"/>
                <w:color w:val="auto"/>
              </w:rPr>
            </w:pPr>
          </w:p>
        </w:tc>
        <w:tc>
          <w:tcPr>
            <w:tcW w:w="7460" w:type="dxa"/>
            <w:vAlign w:val="bottom"/>
          </w:tcPr>
          <w:p>
            <w:pPr>
              <w:ind w:left="200"/>
              <w:spacing w:after="0"/>
              <w:rPr>
                <w:sz w:val="20"/>
                <w:szCs w:val="20"/>
                <w:color w:val="auto"/>
              </w:rPr>
            </w:pPr>
            <w:r>
              <w:rPr>
                <w:rFonts w:ascii="Arial" w:cs="Arial" w:eastAsia="Arial" w:hAnsi="Arial"/>
                <w:sz w:val="18"/>
                <w:szCs w:val="18"/>
                <w:color w:val="auto"/>
              </w:rPr>
              <w:t>Financial Statements contained in this report)</w:t>
            </w:r>
          </w:p>
        </w:tc>
      </w:tr>
      <w:tr>
        <w:trPr>
          <w:trHeight w:val="216"/>
        </w:trPr>
        <w:tc>
          <w:tcPr>
            <w:tcW w:w="500" w:type="dxa"/>
            <w:vAlign w:val="bottom"/>
          </w:tcPr>
          <w:p>
            <w:pPr>
              <w:jc w:val="center"/>
              <w:ind w:right="110"/>
              <w:spacing w:after="0"/>
              <w:rPr>
                <w:sz w:val="20"/>
                <w:szCs w:val="20"/>
                <w:color w:val="auto"/>
              </w:rPr>
            </w:pPr>
            <w:r>
              <w:rPr>
                <w:rFonts w:ascii="Arial" w:cs="Arial" w:eastAsia="Arial" w:hAnsi="Arial"/>
                <w:sz w:val="18"/>
                <w:szCs w:val="18"/>
                <w:color w:val="auto"/>
                <w:w w:val="85"/>
              </w:rPr>
              <w:t>31.1</w:t>
            </w:r>
          </w:p>
        </w:tc>
        <w:tc>
          <w:tcPr>
            <w:tcW w:w="7460" w:type="dxa"/>
            <w:vAlign w:val="bottom"/>
          </w:tcPr>
          <w:p>
            <w:pPr>
              <w:ind w:left="200"/>
              <w:spacing w:after="0"/>
              <w:rPr>
                <w:sz w:val="20"/>
                <w:szCs w:val="20"/>
                <w:color w:val="auto"/>
              </w:rPr>
            </w:pPr>
            <w:r>
              <w:rPr>
                <w:rFonts w:ascii="Arial" w:cs="Arial" w:eastAsia="Arial" w:hAnsi="Arial"/>
                <w:sz w:val="18"/>
                <w:szCs w:val="18"/>
                <w:color w:val="auto"/>
                <w:w w:val="93"/>
              </w:rPr>
              <w:t>Certification of Chief Executive Officer pursuant to Rule 13a-14 of the Securities Exchange Act of</w:t>
            </w:r>
          </w:p>
        </w:tc>
      </w:tr>
      <w:tr>
        <w:trPr>
          <w:trHeight w:val="216"/>
        </w:trPr>
        <w:tc>
          <w:tcPr>
            <w:tcW w:w="500" w:type="dxa"/>
            <w:vAlign w:val="bottom"/>
          </w:tcPr>
          <w:p>
            <w:pPr>
              <w:spacing w:after="0"/>
              <w:rPr>
                <w:sz w:val="18"/>
                <w:szCs w:val="18"/>
                <w:color w:val="auto"/>
              </w:rPr>
            </w:pPr>
          </w:p>
        </w:tc>
        <w:tc>
          <w:tcPr>
            <w:tcW w:w="7460" w:type="dxa"/>
            <w:vAlign w:val="bottom"/>
          </w:tcPr>
          <w:p>
            <w:pPr>
              <w:ind w:left="200"/>
              <w:spacing w:after="0"/>
              <w:rPr>
                <w:sz w:val="20"/>
                <w:szCs w:val="20"/>
                <w:color w:val="auto"/>
              </w:rPr>
            </w:pPr>
            <w:r>
              <w:rPr>
                <w:rFonts w:ascii="Arial" w:cs="Arial" w:eastAsia="Arial" w:hAnsi="Arial"/>
                <w:sz w:val="18"/>
                <w:szCs w:val="18"/>
                <w:color w:val="auto"/>
              </w:rPr>
              <w:t>1934, as amended*</w:t>
            </w:r>
          </w:p>
        </w:tc>
      </w:tr>
      <w:tr>
        <w:trPr>
          <w:trHeight w:val="216"/>
        </w:trPr>
        <w:tc>
          <w:tcPr>
            <w:tcW w:w="500" w:type="dxa"/>
            <w:vAlign w:val="bottom"/>
          </w:tcPr>
          <w:p>
            <w:pPr>
              <w:jc w:val="center"/>
              <w:ind w:right="110"/>
              <w:spacing w:after="0"/>
              <w:rPr>
                <w:sz w:val="20"/>
                <w:szCs w:val="20"/>
                <w:color w:val="auto"/>
              </w:rPr>
            </w:pPr>
            <w:r>
              <w:rPr>
                <w:rFonts w:ascii="Arial" w:cs="Arial" w:eastAsia="Arial" w:hAnsi="Arial"/>
                <w:sz w:val="18"/>
                <w:szCs w:val="18"/>
                <w:color w:val="auto"/>
                <w:w w:val="85"/>
              </w:rPr>
              <w:t>31.2</w:t>
            </w:r>
          </w:p>
        </w:tc>
        <w:tc>
          <w:tcPr>
            <w:tcW w:w="7460" w:type="dxa"/>
            <w:vAlign w:val="bottom"/>
          </w:tcPr>
          <w:p>
            <w:pPr>
              <w:ind w:left="200"/>
              <w:spacing w:after="0"/>
              <w:rPr>
                <w:sz w:val="20"/>
                <w:szCs w:val="20"/>
                <w:color w:val="auto"/>
              </w:rPr>
            </w:pPr>
            <w:r>
              <w:rPr>
                <w:rFonts w:ascii="Arial" w:cs="Arial" w:eastAsia="Arial" w:hAnsi="Arial"/>
                <w:sz w:val="18"/>
                <w:szCs w:val="18"/>
                <w:color w:val="auto"/>
                <w:w w:val="94"/>
              </w:rPr>
              <w:t>Certification of Chief Financial Officer pursuant to Rule 13a-14 of the Securities Exchange Act of</w:t>
            </w:r>
          </w:p>
        </w:tc>
      </w:tr>
      <w:tr>
        <w:trPr>
          <w:trHeight w:val="216"/>
        </w:trPr>
        <w:tc>
          <w:tcPr>
            <w:tcW w:w="500" w:type="dxa"/>
            <w:vAlign w:val="bottom"/>
          </w:tcPr>
          <w:p>
            <w:pPr>
              <w:spacing w:after="0"/>
              <w:rPr>
                <w:sz w:val="18"/>
                <w:szCs w:val="18"/>
                <w:color w:val="auto"/>
              </w:rPr>
            </w:pPr>
          </w:p>
        </w:tc>
        <w:tc>
          <w:tcPr>
            <w:tcW w:w="7460" w:type="dxa"/>
            <w:vAlign w:val="bottom"/>
          </w:tcPr>
          <w:p>
            <w:pPr>
              <w:ind w:left="200"/>
              <w:spacing w:after="0"/>
              <w:rPr>
                <w:sz w:val="20"/>
                <w:szCs w:val="20"/>
                <w:color w:val="auto"/>
              </w:rPr>
            </w:pPr>
            <w:r>
              <w:rPr>
                <w:rFonts w:ascii="Arial" w:cs="Arial" w:eastAsia="Arial" w:hAnsi="Arial"/>
                <w:sz w:val="18"/>
                <w:szCs w:val="18"/>
                <w:color w:val="auto"/>
              </w:rPr>
              <w:t>1934, as amended*</w:t>
            </w:r>
          </w:p>
        </w:tc>
      </w:tr>
      <w:tr>
        <w:trPr>
          <w:trHeight w:val="216"/>
        </w:trPr>
        <w:tc>
          <w:tcPr>
            <w:tcW w:w="500" w:type="dxa"/>
            <w:vAlign w:val="bottom"/>
          </w:tcPr>
          <w:p>
            <w:pPr>
              <w:jc w:val="center"/>
              <w:ind w:right="110"/>
              <w:spacing w:after="0"/>
              <w:rPr>
                <w:sz w:val="20"/>
                <w:szCs w:val="20"/>
                <w:color w:val="auto"/>
              </w:rPr>
            </w:pPr>
            <w:r>
              <w:rPr>
                <w:rFonts w:ascii="Arial" w:cs="Arial" w:eastAsia="Arial" w:hAnsi="Arial"/>
                <w:sz w:val="18"/>
                <w:szCs w:val="18"/>
                <w:color w:val="auto"/>
                <w:w w:val="85"/>
              </w:rPr>
              <w:t>32.1</w:t>
            </w:r>
          </w:p>
        </w:tc>
        <w:tc>
          <w:tcPr>
            <w:tcW w:w="7460" w:type="dxa"/>
            <w:vAlign w:val="bottom"/>
          </w:tcPr>
          <w:p>
            <w:pPr>
              <w:ind w:left="200"/>
              <w:spacing w:after="0"/>
              <w:rPr>
                <w:sz w:val="20"/>
                <w:szCs w:val="20"/>
                <w:color w:val="auto"/>
              </w:rPr>
            </w:pPr>
            <w:r>
              <w:rPr>
                <w:rFonts w:ascii="Arial" w:cs="Arial" w:eastAsia="Arial" w:hAnsi="Arial"/>
                <w:sz w:val="18"/>
                <w:szCs w:val="18"/>
                <w:color w:val="auto"/>
                <w:w w:val="92"/>
              </w:rPr>
              <w:t>Certification of Chief Executive Officer pursuant to Section 906 of the Sarbanes-Oxley Act of 2002*</w:t>
            </w:r>
          </w:p>
        </w:tc>
      </w:tr>
      <w:tr>
        <w:trPr>
          <w:trHeight w:val="230"/>
        </w:trPr>
        <w:tc>
          <w:tcPr>
            <w:tcW w:w="500" w:type="dxa"/>
            <w:vAlign w:val="bottom"/>
          </w:tcPr>
          <w:p>
            <w:pPr>
              <w:jc w:val="center"/>
              <w:ind w:right="110"/>
              <w:spacing w:after="0"/>
              <w:rPr>
                <w:sz w:val="20"/>
                <w:szCs w:val="20"/>
                <w:color w:val="auto"/>
              </w:rPr>
            </w:pPr>
            <w:r>
              <w:rPr>
                <w:rFonts w:ascii="Arial" w:cs="Arial" w:eastAsia="Arial" w:hAnsi="Arial"/>
                <w:sz w:val="18"/>
                <w:szCs w:val="18"/>
                <w:color w:val="auto"/>
                <w:w w:val="85"/>
              </w:rPr>
              <w:t>32.2</w:t>
            </w:r>
          </w:p>
        </w:tc>
        <w:tc>
          <w:tcPr>
            <w:tcW w:w="7460" w:type="dxa"/>
            <w:vAlign w:val="bottom"/>
          </w:tcPr>
          <w:p>
            <w:pPr>
              <w:ind w:left="200"/>
              <w:spacing w:after="0"/>
              <w:rPr>
                <w:sz w:val="20"/>
                <w:szCs w:val="20"/>
                <w:color w:val="auto"/>
              </w:rPr>
            </w:pPr>
            <w:r>
              <w:rPr>
                <w:rFonts w:ascii="Arial" w:cs="Arial" w:eastAsia="Arial" w:hAnsi="Arial"/>
                <w:sz w:val="18"/>
                <w:szCs w:val="18"/>
                <w:color w:val="auto"/>
                <w:w w:val="92"/>
              </w:rPr>
              <w:t>Certification of Chief Financial Officer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6172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280" w:right="859" w:hanging="272"/>
        <w:spacing w:after="0" w:line="277" w:lineRule="auto"/>
        <w:tabs>
          <w:tab w:leader="none" w:pos="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2 to the Registrant’s Registration Statement on Form N-2 (File No. 333-171578) filed on March 30, 2011, and incorporated by reference herein.</w:t>
      </w:r>
    </w:p>
    <w:p>
      <w:pPr>
        <w:spacing w:after="0" w:line="62" w:lineRule="exact"/>
        <w:rPr>
          <w:rFonts w:ascii="Arial" w:cs="Arial" w:eastAsia="Arial" w:hAnsi="Arial"/>
          <w:sz w:val="18"/>
          <w:szCs w:val="18"/>
          <w:color w:val="auto"/>
        </w:rPr>
      </w:pPr>
    </w:p>
    <w:p>
      <w:pPr>
        <w:ind w:left="280" w:right="819" w:hanging="272"/>
        <w:spacing w:after="0" w:line="277" w:lineRule="auto"/>
        <w:tabs>
          <w:tab w:leader="none" w:pos="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Previously filed in connection with the Registrant’s Current Report on Form 8-K (File No. 814-00852) filed on June 1, 2011, and incorporated by reference herein.</w:t>
      </w:r>
    </w:p>
    <w:p>
      <w:pPr>
        <w:spacing w:after="0" w:line="62"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7" w:name="page58"/>
    <w:bookmarkEnd w:id="57"/>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1560"/>
        <w:spacing w:after="0"/>
        <w:rPr>
          <w:sz w:val="20"/>
          <w:szCs w:val="20"/>
          <w:color w:val="auto"/>
        </w:rPr>
      </w:pPr>
      <w:r>
        <w:rPr>
          <w:rFonts w:ascii="Arial" w:cs="Arial" w:eastAsia="Arial" w:hAnsi="Arial"/>
          <w:sz w:val="16"/>
          <w:szCs w:val="16"/>
          <w:b w:val="1"/>
          <w:bCs w:val="1"/>
          <w:color w:val="auto"/>
        </w:rPr>
        <w:t>Schedule 12-14 — Schedule of Investments in and Advances to Affiliates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521398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8"/>
              </w:rPr>
              <w:t>Transfer</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9"/>
              </w:rPr>
              <w:t>Amount of</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8"/>
              </w:rPr>
              <w:t>from Control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5"/>
              </w:rPr>
              <w:t>Interest, Fees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8"/>
              </w:rPr>
              <w:t>Investment To</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8"/>
              </w:rPr>
              <w:t>or Dividends</w:t>
            </w:r>
          </w:p>
        </w:tc>
        <w:tc>
          <w:tcPr>
            <w:tcW w:w="80" w:type="dxa"/>
            <w:vAlign w:val="bottom"/>
          </w:tcPr>
          <w:p>
            <w:pPr>
              <w:spacing w:after="0"/>
              <w:rPr>
                <w:sz w:val="11"/>
                <w:szCs w:val="11"/>
                <w:color w:val="auto"/>
              </w:rPr>
            </w:pPr>
          </w:p>
        </w:tc>
        <w:tc>
          <w:tcPr>
            <w:tcW w:w="780" w:type="dxa"/>
            <w:vAlign w:val="bottom"/>
            <w:gridSpan w:val="2"/>
          </w:tcPr>
          <w:p>
            <w:pPr>
              <w:jc w:val="center"/>
              <w:ind w:left="14"/>
              <w:spacing w:after="0" w:line="135" w:lineRule="exact"/>
              <w:rPr>
                <w:sz w:val="20"/>
                <w:szCs w:val="20"/>
                <w:color w:val="auto"/>
              </w:rPr>
            </w:pPr>
            <w:r>
              <w:rPr>
                <w:rFonts w:ascii="Arial" w:cs="Arial" w:eastAsia="Arial" w:hAnsi="Arial"/>
                <w:sz w:val="13"/>
                <w:szCs w:val="13"/>
                <w:b w:val="1"/>
                <w:bCs w:val="1"/>
                <w:color w:val="auto"/>
                <w:w w:val="90"/>
              </w:rPr>
              <w:t>Fair Value at</w:t>
            </w:r>
          </w:p>
        </w:tc>
        <w:tc>
          <w:tcPr>
            <w:tcW w:w="140" w:type="dxa"/>
            <w:vAlign w:val="bottom"/>
          </w:tcPr>
          <w:p>
            <w:pPr>
              <w:spacing w:after="0"/>
              <w:rPr>
                <w:sz w:val="11"/>
                <w:szCs w:val="11"/>
                <w:color w:val="auto"/>
              </w:rPr>
            </w:pPr>
          </w:p>
        </w:tc>
        <w:tc>
          <w:tcPr>
            <w:tcW w:w="8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90"/>
              </w:rPr>
              <w:t>Non-Control/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Realized and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3"/>
              </w:rPr>
              <w:t>Fair Value at</w:t>
            </w:r>
          </w:p>
        </w:tc>
      </w:tr>
      <w:tr>
        <w:trPr>
          <w:trHeight w:val="135"/>
        </w:trPr>
        <w:tc>
          <w:tcPr>
            <w:tcW w:w="1880" w:type="dxa"/>
            <w:vAlign w:val="bottom"/>
            <w:gridSpan w:val="8"/>
          </w:tcPr>
          <w:p>
            <w:pPr>
              <w:ind w:left="20"/>
              <w:spacing w:after="0" w:line="135" w:lineRule="exact"/>
              <w:rPr>
                <w:sz w:val="20"/>
                <w:szCs w:val="20"/>
                <w:color w:val="auto"/>
              </w:rPr>
            </w:pPr>
            <w:r>
              <w:rPr>
                <w:rFonts w:ascii="Arial" w:cs="Arial" w:eastAsia="Arial" w:hAnsi="Arial"/>
                <w:sz w:val="13"/>
                <w:szCs w:val="13"/>
                <w:b w:val="1"/>
                <w:bCs w:val="1"/>
                <w:color w:val="auto"/>
              </w:rPr>
              <w:t>Portfolio Company/Type of</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1"/>
              </w:rPr>
              <w:t>Credited in</w:t>
            </w:r>
          </w:p>
        </w:tc>
        <w:tc>
          <w:tcPr>
            <w:tcW w:w="80" w:type="dxa"/>
            <w:vAlign w:val="bottom"/>
          </w:tcPr>
          <w:p>
            <w:pPr>
              <w:spacing w:after="0"/>
              <w:rPr>
                <w:sz w:val="11"/>
                <w:szCs w:val="11"/>
                <w:color w:val="auto"/>
              </w:rPr>
            </w:pPr>
          </w:p>
        </w:tc>
        <w:tc>
          <w:tcPr>
            <w:tcW w:w="7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7"/>
              </w:rPr>
              <w:t>December 31,</w:t>
            </w:r>
          </w:p>
        </w:tc>
        <w:tc>
          <w:tcPr>
            <w:tcW w:w="140" w:type="dxa"/>
            <w:vAlign w:val="bottom"/>
          </w:tcPr>
          <w:p>
            <w:pPr>
              <w:spacing w:after="0"/>
              <w:rPr>
                <w:sz w:val="11"/>
                <w:szCs w:val="11"/>
                <w:color w:val="auto"/>
              </w:rPr>
            </w:pPr>
          </w:p>
        </w:tc>
        <w:tc>
          <w:tcPr>
            <w:tcW w:w="8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90"/>
              </w:rPr>
              <w:t>Non-Affiliate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Unrealized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3"/>
              </w:rPr>
              <w:t>March 31,</w:t>
            </w:r>
          </w:p>
        </w:tc>
      </w:tr>
      <w:tr>
        <w:trPr>
          <w:trHeight w:val="153"/>
        </w:trPr>
        <w:tc>
          <w:tcPr>
            <w:tcW w:w="1880" w:type="dxa"/>
            <w:vAlign w:val="bottom"/>
            <w:tcBorders>
              <w:bottom w:val="single" w:sz="8" w:color="auto"/>
            </w:tcBorders>
            <w:gridSpan w:val="8"/>
          </w:tcPr>
          <w:p>
            <w:pPr>
              <w:ind w:left="20"/>
              <w:spacing w:after="0"/>
              <w:rPr>
                <w:sz w:val="20"/>
                <w:szCs w:val="20"/>
                <w:color w:val="auto"/>
              </w:rPr>
            </w:pPr>
            <w:r>
              <w:rPr>
                <w:rFonts w:ascii="Arial" w:cs="Arial" w:eastAsia="Arial" w:hAnsi="Arial"/>
                <w:sz w:val="13"/>
                <w:szCs w:val="13"/>
                <w:b w:val="1"/>
                <w:bCs w:val="1"/>
                <w:color w:val="auto"/>
              </w:rPr>
              <w:t>Investment*</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3"/>
                <w:szCs w:val="13"/>
                <w:b w:val="1"/>
                <w:bCs w:val="1"/>
                <w:color w:val="auto"/>
                <w:w w:val="87"/>
              </w:rPr>
              <w:t>Income</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2015</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87"/>
              </w:rPr>
              <w:t>Investment</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Purchases</w:t>
            </w: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Sales</w:t>
            </w:r>
          </w:p>
        </w:tc>
        <w:tc>
          <w:tcPr>
            <w:tcW w:w="100" w:type="dxa"/>
            <w:vAlign w:val="bottom"/>
          </w:tcPr>
          <w:p>
            <w:pPr>
              <w:spacing w:after="0"/>
              <w:rPr>
                <w:sz w:val="13"/>
                <w:szCs w:val="13"/>
                <w:color w:val="auto"/>
              </w:rPr>
            </w:pPr>
          </w:p>
        </w:tc>
        <w:tc>
          <w:tcPr>
            <w:tcW w:w="9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3"/>
              </w:rPr>
              <w:t>Gains/(Losses)</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2016</w:t>
            </w:r>
          </w:p>
        </w:tc>
        <w:tc>
          <w:tcPr>
            <w:tcW w:w="60" w:type="dxa"/>
            <w:vAlign w:val="bottom"/>
            <w:tcBorders>
              <w:bottom w:val="single" w:sz="8" w:color="auto"/>
            </w:tcBorders>
          </w:tcPr>
          <w:p>
            <w:pPr>
              <w:spacing w:after="0"/>
              <w:rPr>
                <w:sz w:val="13"/>
                <w:szCs w:val="13"/>
                <w:color w:val="auto"/>
              </w:rPr>
            </w:pPr>
          </w:p>
        </w:tc>
      </w:tr>
      <w:tr>
        <w:trPr>
          <w:trHeight w:val="129"/>
        </w:trPr>
        <w:tc>
          <w:tcPr>
            <w:tcW w:w="1880" w:type="dxa"/>
            <w:vAlign w:val="bottom"/>
            <w:tcBorders>
              <w:right w:val="single" w:sz="8" w:color="CCEEFF"/>
            </w:tcBorders>
            <w:gridSpan w:val="8"/>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Control Investments</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tcBorders>
              <w:lef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169"/>
        </w:trPr>
        <w:tc>
          <w:tcPr>
            <w:tcW w:w="1880" w:type="dxa"/>
            <w:vAlign w:val="bottom"/>
            <w:gridSpan w:val="8"/>
          </w:tcPr>
          <w:p>
            <w:pPr>
              <w:ind w:left="20"/>
              <w:spacing w:after="0" w:line="169" w:lineRule="exact"/>
              <w:rPr>
                <w:sz w:val="20"/>
                <w:szCs w:val="20"/>
                <w:color w:val="auto"/>
              </w:rPr>
            </w:pPr>
            <w:r>
              <w:rPr>
                <w:rFonts w:ascii="Arial" w:cs="Arial" w:eastAsia="Arial" w:hAnsi="Arial"/>
                <w:sz w:val="12"/>
                <w:szCs w:val="12"/>
                <w:b w:val="1"/>
                <w:bCs w:val="1"/>
                <w:color w:val="auto"/>
              </w:rPr>
              <w:t>StormWind, LLC</w:t>
            </w:r>
            <w:r>
              <w:rPr>
                <w:rFonts w:ascii="Arial" w:cs="Arial" w:eastAsia="Arial" w:hAnsi="Arial"/>
                <w:sz w:val="19"/>
                <w:szCs w:val="19"/>
                <w:b w:val="1"/>
                <w:bCs w:val="1"/>
                <w:color w:val="auto"/>
                <w:vertAlign w:val="superscript"/>
              </w:rPr>
              <w:t>(1)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2"/>
        </w:trPr>
        <w:tc>
          <w:tcPr>
            <w:tcW w:w="1880" w:type="dxa"/>
            <w:vAlign w:val="bottom"/>
            <w:tcBorders>
              <w:right w:val="single" w:sz="8" w:color="CCEEFF"/>
            </w:tcBorders>
            <w:gridSpan w:val="8"/>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C</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4,599,718</w:t>
            </w:r>
          </w:p>
        </w:tc>
        <w:tc>
          <w:tcPr>
            <w:tcW w:w="240" w:type="dxa"/>
            <w:vAlign w:val="bottom"/>
            <w:tcBorders>
              <w:left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440"/>
              <w:spacing w:after="0" w:line="142"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left w:val="single" w:sz="8" w:color="CCEEFF"/>
            </w:tcBorders>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280"/>
              <w:spacing w:after="0" w:line="142"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613,102</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5,212,820</w:t>
            </w:r>
          </w:p>
        </w:tc>
      </w:tr>
      <w:tr>
        <w:trPr>
          <w:trHeight w:val="149"/>
        </w:trPr>
        <w:tc>
          <w:tcPr>
            <w:tcW w:w="1880" w:type="dxa"/>
            <w:vAlign w:val="bottom"/>
            <w:gridSpan w:val="8"/>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4,633,228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377,356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5,010,584</w:t>
            </w:r>
          </w:p>
        </w:tc>
      </w:tr>
      <w:tr>
        <w:trPr>
          <w:trHeight w:val="149"/>
        </w:trPr>
        <w:tc>
          <w:tcPr>
            <w:tcW w:w="1880" w:type="dxa"/>
            <w:vAlign w:val="bottom"/>
            <w:tcBorders>
              <w:right w:val="single" w:sz="8" w:color="CCEEFF"/>
            </w:tcBorders>
            <w:gridSpan w:val="8"/>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518,000</w:t>
            </w:r>
          </w:p>
        </w:tc>
        <w:tc>
          <w:tcPr>
            <w:tcW w:w="14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42,189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560,189</w:t>
            </w:r>
          </w:p>
        </w:tc>
      </w:tr>
      <w:tr>
        <w:trPr>
          <w:trHeight w:val="135"/>
        </w:trPr>
        <w:tc>
          <w:tcPr>
            <w:tcW w:w="1880" w:type="dxa"/>
            <w:vAlign w:val="bottom"/>
            <w:gridSpan w:val="8"/>
          </w:tcPr>
          <w:p>
            <w:pPr>
              <w:ind w:left="20"/>
              <w:spacing w:after="0" w:line="135" w:lineRule="exact"/>
              <w:rPr>
                <w:sz w:val="20"/>
                <w:szCs w:val="20"/>
                <w:color w:val="auto"/>
              </w:rPr>
            </w:pPr>
            <w:r>
              <w:rPr>
                <w:rFonts w:ascii="Arial" w:cs="Arial" w:eastAsia="Arial" w:hAnsi="Arial"/>
                <w:sz w:val="14"/>
                <w:szCs w:val="14"/>
                <w:b w:val="1"/>
                <w:bCs w:val="1"/>
                <w:color w:val="auto"/>
              </w:rPr>
              <w:t>NestGSV, Inc. (d/b/a GSV</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1600" w:type="dxa"/>
            <w:vAlign w:val="bottom"/>
            <w:tcBorders>
              <w:top w:val="single" w:sz="8" w:color="auto"/>
            </w:tcBorders>
            <w:gridSpan w:val="6"/>
          </w:tcPr>
          <w:p>
            <w:pPr>
              <w:ind w:left="180"/>
              <w:spacing w:after="0" w:line="129" w:lineRule="exact"/>
              <w:rPr>
                <w:sz w:val="20"/>
                <w:szCs w:val="20"/>
                <w:color w:val="auto"/>
              </w:rPr>
            </w:pPr>
            <w:r>
              <w:rPr>
                <w:rFonts w:ascii="Arial" w:cs="Arial" w:eastAsia="Arial" w:hAnsi="Arial"/>
                <w:sz w:val="14"/>
                <w:szCs w:val="14"/>
                <w:b w:val="1"/>
                <w:bCs w:val="1"/>
                <w:color w:val="auto"/>
              </w:rPr>
              <w:t>Labs, Inc.)</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3"/>
        </w:trPr>
        <w:tc>
          <w:tcPr>
            <w:tcW w:w="1880" w:type="dxa"/>
            <w:vAlign w:val="bottom"/>
            <w:tcBorders>
              <w:right w:val="single" w:sz="8" w:color="CCEEFF"/>
            </w:tcBorders>
            <w:gridSpan w:val="8"/>
            <w:shd w:val="clear" w:color="auto" w:fill="CCEEFF"/>
          </w:tcPr>
          <w:p>
            <w:pPr>
              <w:ind w:left="20"/>
              <w:spacing w:after="0" w:line="123" w:lineRule="exact"/>
              <w:rPr>
                <w:sz w:val="20"/>
                <w:szCs w:val="20"/>
                <w:color w:val="auto"/>
              </w:rPr>
            </w:pPr>
            <w:r>
              <w:rPr>
                <w:rFonts w:ascii="Arial" w:cs="Arial" w:eastAsia="Arial" w:hAnsi="Arial"/>
                <w:sz w:val="14"/>
                <w:szCs w:val="14"/>
                <w:color w:val="auto"/>
              </w:rPr>
              <w:t>Convertible Promissory Note</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tcBorders>
              <w:lef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tcBorders>
              <w:left w:val="single" w:sz="8" w:color="CCEEFF"/>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67"/>
        </w:trPr>
        <w:tc>
          <w:tcPr>
            <w:tcW w:w="20" w:type="dxa"/>
            <w:vAlign w:val="bottom"/>
            <w:shd w:val="clear" w:color="auto" w:fill="CCEEFF"/>
          </w:tcPr>
          <w:p>
            <w:pPr>
              <w:spacing w:after="0"/>
              <w:rPr>
                <w:sz w:val="14"/>
                <w:szCs w:val="14"/>
                <w:color w:val="auto"/>
              </w:rPr>
            </w:pPr>
          </w:p>
        </w:tc>
        <w:tc>
          <w:tcPr>
            <w:tcW w:w="1860" w:type="dxa"/>
            <w:vAlign w:val="bottom"/>
            <w:tcBorders>
              <w:right w:val="single" w:sz="8" w:color="CCEEFF"/>
            </w:tcBorders>
            <w:gridSpan w:val="7"/>
            <w:shd w:val="clear" w:color="auto" w:fill="CCEEFF"/>
          </w:tcPr>
          <w:p>
            <w:pPr>
              <w:ind w:left="180"/>
              <w:spacing w:after="0"/>
              <w:rPr>
                <w:sz w:val="20"/>
                <w:szCs w:val="20"/>
                <w:color w:val="auto"/>
              </w:rPr>
            </w:pPr>
            <w:r>
              <w:rPr>
                <w:rFonts w:ascii="Arial" w:cs="Arial" w:eastAsia="Arial" w:hAnsi="Arial"/>
                <w:sz w:val="14"/>
                <w:szCs w:val="14"/>
                <w:color w:val="auto"/>
              </w:rPr>
              <w:t>8% Due 06/30/16***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4,889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120" w:type="dxa"/>
            <w:vAlign w:val="bottom"/>
            <w:tcBorders>
              <w:lef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500,000</w:t>
            </w:r>
          </w:p>
        </w:tc>
      </w:tr>
      <w:tr>
        <w:trPr>
          <w:trHeight w:val="149"/>
        </w:trPr>
        <w:tc>
          <w:tcPr>
            <w:tcW w:w="1880" w:type="dxa"/>
            <w:vAlign w:val="bottom"/>
            <w:gridSpan w:val="8"/>
          </w:tcPr>
          <w:p>
            <w:pPr>
              <w:ind w:left="20"/>
              <w:spacing w:after="0" w:line="149" w:lineRule="exact"/>
              <w:rPr>
                <w:sz w:val="20"/>
                <w:szCs w:val="20"/>
                <w:color w:val="auto"/>
              </w:rPr>
            </w:pPr>
            <w:r>
              <w:rPr>
                <w:rFonts w:ascii="Arial" w:cs="Arial" w:eastAsia="Arial" w:hAnsi="Arial"/>
                <w:sz w:val="14"/>
                <w:szCs w:val="14"/>
                <w:color w:val="auto"/>
              </w:rPr>
              <w:t>Preferred shares, Series 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4,960,565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4,960,565</w:t>
            </w:r>
          </w:p>
        </w:tc>
      </w:tr>
      <w:tr>
        <w:trPr>
          <w:trHeight w:val="149"/>
        </w:trPr>
        <w:tc>
          <w:tcPr>
            <w:tcW w:w="1880" w:type="dxa"/>
            <w:vAlign w:val="bottom"/>
            <w:tcBorders>
              <w:right w:val="single" w:sz="8" w:color="CCEEFF"/>
            </w:tcBorders>
            <w:gridSpan w:val="8"/>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C</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1,733,404</w:t>
            </w:r>
          </w:p>
        </w:tc>
        <w:tc>
          <w:tcPr>
            <w:tcW w:w="14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1,733,404</w:t>
            </w:r>
          </w:p>
        </w:tc>
      </w:tr>
      <w:tr>
        <w:trPr>
          <w:trHeight w:val="149"/>
        </w:trPr>
        <w:tc>
          <w:tcPr>
            <w:tcW w:w="1880" w:type="dxa"/>
            <w:vAlign w:val="bottom"/>
            <w:gridSpan w:val="8"/>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r>
      <w:tr>
        <w:trPr>
          <w:trHeight w:val="149"/>
        </w:trPr>
        <w:tc>
          <w:tcPr>
            <w:tcW w:w="1880" w:type="dxa"/>
            <w:vAlign w:val="bottom"/>
            <w:tcBorders>
              <w:right w:val="single" w:sz="8" w:color="CCEEFF"/>
            </w:tcBorders>
            <w:gridSpan w:val="8"/>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r>
      <w:tr>
        <w:trPr>
          <w:trHeight w:val="149"/>
        </w:trPr>
        <w:tc>
          <w:tcPr>
            <w:tcW w:w="1880" w:type="dxa"/>
            <w:vAlign w:val="bottom"/>
            <w:gridSpan w:val="8"/>
          </w:tcPr>
          <w:p>
            <w:pPr>
              <w:ind w:left="20"/>
              <w:spacing w:after="0" w:line="149" w:lineRule="exact"/>
              <w:rPr>
                <w:sz w:val="20"/>
                <w:szCs w:val="20"/>
                <w:color w:val="auto"/>
              </w:rPr>
            </w:pPr>
            <w:r>
              <w:rPr>
                <w:rFonts w:ascii="Arial" w:cs="Arial" w:eastAsia="Arial" w:hAnsi="Arial"/>
                <w:sz w:val="14"/>
                <w:szCs w:val="14"/>
                <w:color w:val="auto"/>
              </w:rPr>
              <w:t>Common shares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r>
      <w:tr>
        <w:trPr>
          <w:trHeight w:val="130"/>
        </w:trPr>
        <w:tc>
          <w:tcPr>
            <w:tcW w:w="1880" w:type="dxa"/>
            <w:vAlign w:val="bottom"/>
            <w:tcBorders>
              <w:right w:val="single" w:sz="8" w:color="CCEEFF"/>
            </w:tcBorders>
            <w:gridSpan w:val="8"/>
            <w:shd w:val="clear" w:color="auto" w:fill="CCEEFF"/>
          </w:tcPr>
          <w:p>
            <w:pPr>
              <w:ind w:left="20"/>
              <w:spacing w:after="0" w:line="130" w:lineRule="exact"/>
              <w:rPr>
                <w:sz w:val="20"/>
                <w:szCs w:val="20"/>
                <w:color w:val="auto"/>
              </w:rPr>
            </w:pPr>
            <w:r>
              <w:rPr>
                <w:rFonts w:ascii="Arial" w:cs="Arial" w:eastAsia="Arial" w:hAnsi="Arial"/>
                <w:sz w:val="14"/>
                <w:szCs w:val="14"/>
                <w:color w:val="auto"/>
              </w:rPr>
              <w:t>Preferred Warrant Series D –</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tcBorders>
              <w:lef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9"/>
        </w:trPr>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80" w:type="dxa"/>
            <w:vAlign w:val="bottom"/>
            <w:tcBorders>
              <w:right w:val="single" w:sz="8" w:color="CCEEFF"/>
            </w:tcBorders>
            <w:gridSpan w:val="6"/>
            <w:shd w:val="clear" w:color="auto" w:fill="CCEEFF"/>
          </w:tcPr>
          <w:p>
            <w:pPr>
              <w:ind w:left="40"/>
              <w:spacing w:after="0" w:line="149" w:lineRule="exact"/>
              <w:rPr>
                <w:sz w:val="20"/>
                <w:szCs w:val="20"/>
                <w:color w:val="auto"/>
              </w:rPr>
            </w:pPr>
            <w:r>
              <w:rPr>
                <w:rFonts w:ascii="Arial" w:cs="Arial" w:eastAsia="Arial" w:hAnsi="Arial"/>
                <w:sz w:val="14"/>
                <w:szCs w:val="14"/>
                <w:color w:val="auto"/>
              </w:rPr>
              <w:t>$1.33 Strike Price,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shd w:val="clear" w:color="auto" w:fill="CCEEFF"/>
          </w:tcPr>
          <w:p>
            <w:pPr>
              <w:spacing w:after="0"/>
              <w:rPr>
                <w:sz w:val="12"/>
                <w:szCs w:val="12"/>
                <w:color w:val="auto"/>
              </w:rPr>
            </w:pPr>
          </w:p>
        </w:tc>
        <w:tc>
          <w:tcPr>
            <w:tcW w:w="1860" w:type="dxa"/>
            <w:vAlign w:val="bottom"/>
            <w:tcBorders>
              <w:right w:val="single" w:sz="8" w:color="CCEEFF"/>
            </w:tcBorders>
            <w:gridSpan w:val="7"/>
            <w:shd w:val="clear" w:color="auto" w:fill="CCEEFF"/>
          </w:tcPr>
          <w:p>
            <w:pPr>
              <w:ind w:left="180"/>
              <w:spacing w:after="0" w:line="149" w:lineRule="exact"/>
              <w:rPr>
                <w:sz w:val="20"/>
                <w:szCs w:val="20"/>
                <w:color w:val="auto"/>
              </w:rPr>
            </w:pPr>
            <w:r>
              <w:rPr>
                <w:rFonts w:ascii="Arial" w:cs="Arial" w:eastAsia="Arial" w:hAnsi="Arial"/>
                <w:sz w:val="14"/>
                <w:szCs w:val="14"/>
                <w:color w:val="auto"/>
              </w:rPr>
              <w:t>Expiration Date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67"/>
        </w:trPr>
        <w:tc>
          <w:tcPr>
            <w:tcW w:w="86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10/6/2019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145,000</w:t>
            </w: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(45,000)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100,000</w:t>
            </w:r>
          </w:p>
        </w:tc>
      </w:tr>
      <w:tr>
        <w:trPr>
          <w:trHeight w:val="130"/>
        </w:trPr>
        <w:tc>
          <w:tcPr>
            <w:tcW w:w="1880" w:type="dxa"/>
            <w:vAlign w:val="bottom"/>
            <w:gridSpan w:val="8"/>
          </w:tcPr>
          <w:p>
            <w:pPr>
              <w:ind w:left="20"/>
              <w:spacing w:after="0" w:line="130" w:lineRule="exact"/>
              <w:rPr>
                <w:sz w:val="20"/>
                <w:szCs w:val="20"/>
                <w:color w:val="auto"/>
              </w:rPr>
            </w:pPr>
            <w:r>
              <w:rPr>
                <w:rFonts w:ascii="Arial" w:cs="Arial" w:eastAsia="Arial" w:hAnsi="Arial"/>
                <w:sz w:val="14"/>
                <w:szCs w:val="14"/>
                <w:color w:val="auto"/>
                <w:w w:val="96"/>
              </w:rPr>
              <w:t>Preferred warrants, Series C –</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6"/>
          </w:tcPr>
          <w:p>
            <w:pPr>
              <w:ind w:left="40"/>
              <w:spacing w:after="0" w:line="149" w:lineRule="exact"/>
              <w:rPr>
                <w:sz w:val="20"/>
                <w:szCs w:val="20"/>
                <w:color w:val="auto"/>
              </w:rPr>
            </w:pPr>
            <w:r>
              <w:rPr>
                <w:rFonts w:ascii="Arial" w:cs="Arial" w:eastAsia="Arial" w:hAnsi="Arial"/>
                <w:sz w:val="14"/>
                <w:szCs w:val="14"/>
                <w:color w:val="auto"/>
              </w:rPr>
              <w:t>$1.33 Strike Price,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860" w:type="dxa"/>
            <w:vAlign w:val="bottom"/>
            <w:gridSpan w:val="7"/>
          </w:tcPr>
          <w:p>
            <w:pPr>
              <w:ind w:left="180"/>
              <w:spacing w:after="0" w:line="149" w:lineRule="exact"/>
              <w:rPr>
                <w:sz w:val="20"/>
                <w:szCs w:val="20"/>
                <w:color w:val="auto"/>
              </w:rPr>
            </w:pPr>
            <w:r>
              <w:rPr>
                <w:rFonts w:ascii="Arial" w:cs="Arial" w:eastAsia="Arial" w:hAnsi="Arial"/>
                <w:sz w:val="14"/>
                <w:szCs w:val="14"/>
                <w:color w:val="auto"/>
              </w:rPr>
              <w:t>Expiration Date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7"/>
        </w:trPr>
        <w:tc>
          <w:tcPr>
            <w:tcW w:w="860" w:type="dxa"/>
            <w:vAlign w:val="bottom"/>
            <w:gridSpan w:val="3"/>
          </w:tcPr>
          <w:p>
            <w:pPr>
              <w:ind w:left="200"/>
              <w:spacing w:after="0"/>
              <w:rPr>
                <w:sz w:val="20"/>
                <w:szCs w:val="20"/>
                <w:color w:val="auto"/>
              </w:rPr>
            </w:pPr>
            <w:r>
              <w:rPr>
                <w:rFonts w:ascii="Arial" w:cs="Arial" w:eastAsia="Arial" w:hAnsi="Arial"/>
                <w:sz w:val="14"/>
                <w:szCs w:val="14"/>
                <w:color w:val="auto"/>
              </w:rPr>
              <w:t>4/9/2019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31,875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(9,375)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22,500</w:t>
            </w:r>
          </w:p>
        </w:tc>
      </w:tr>
      <w:tr>
        <w:trPr>
          <w:trHeight w:val="135"/>
        </w:trPr>
        <w:tc>
          <w:tcPr>
            <w:tcW w:w="1880" w:type="dxa"/>
            <w:vAlign w:val="bottom"/>
            <w:tcBorders>
              <w:right w:val="single" w:sz="8" w:color="CCEEFF"/>
            </w:tcBorders>
            <w:gridSpan w:val="8"/>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w w:val="98"/>
              </w:rPr>
              <w:t>GSV Sustainability Partners</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tcBorders>
              <w:lef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142"/>
        </w:trPr>
        <w:tc>
          <w:tcPr>
            <w:tcW w:w="1880" w:type="dxa"/>
            <w:vAlign w:val="bottom"/>
            <w:gridSpan w:val="8"/>
          </w:tcPr>
          <w:p>
            <w:pPr>
              <w:ind w:left="20"/>
              <w:spacing w:after="0" w:line="142" w:lineRule="exact"/>
              <w:rPr>
                <w:sz w:val="20"/>
                <w:szCs w:val="20"/>
                <w:color w:val="auto"/>
              </w:rPr>
            </w:pPr>
            <w:r>
              <w:rPr>
                <w:rFonts w:ascii="Arial" w:cs="Arial" w:eastAsia="Arial" w:hAnsi="Arial"/>
                <w:sz w:val="14"/>
                <w:szCs w:val="14"/>
                <w:color w:val="auto"/>
              </w:rPr>
              <w:t>Preferred shares, Class A</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6,250,000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ind w:left="44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ind w:left="280"/>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(1,245,000)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5,005,000</w:t>
            </w:r>
          </w:p>
        </w:tc>
      </w:tr>
      <w:tr>
        <w:trPr>
          <w:trHeight w:val="149"/>
        </w:trPr>
        <w:tc>
          <w:tcPr>
            <w:tcW w:w="1880" w:type="dxa"/>
            <w:vAlign w:val="bottom"/>
            <w:tcBorders>
              <w:right w:val="single" w:sz="8" w:color="CCEEFF"/>
            </w:tcBorders>
            <w:gridSpan w:val="8"/>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129"/>
        </w:trPr>
        <w:tc>
          <w:tcPr>
            <w:tcW w:w="1880" w:type="dxa"/>
            <w:vAlign w:val="bottom"/>
            <w:gridSpan w:val="8"/>
          </w:tcPr>
          <w:p>
            <w:pPr>
              <w:ind w:left="20"/>
              <w:spacing w:after="0" w:line="129" w:lineRule="exact"/>
              <w:rPr>
                <w:sz w:val="20"/>
                <w:szCs w:val="20"/>
                <w:color w:val="auto"/>
              </w:rPr>
            </w:pPr>
            <w:r>
              <w:rPr>
                <w:rFonts w:ascii="Arial" w:cs="Arial" w:eastAsia="Arial" w:hAnsi="Arial"/>
                <w:sz w:val="14"/>
                <w:szCs w:val="14"/>
                <w:b w:val="1"/>
                <w:bCs w:val="1"/>
                <w:color w:val="auto"/>
              </w:rPr>
              <w:t>Total Control Investments</w:t>
            </w:r>
          </w:p>
        </w:tc>
        <w:tc>
          <w:tcPr>
            <w:tcW w:w="80" w:type="dxa"/>
            <w:vAlign w:val="bottom"/>
          </w:tcPr>
          <w:p>
            <w:pPr>
              <w:spacing w:after="0"/>
              <w:rPr>
                <w:sz w:val="11"/>
                <w:szCs w:val="11"/>
                <w:color w:val="auto"/>
              </w:rPr>
            </w:pPr>
          </w:p>
        </w:tc>
        <w:tc>
          <w:tcPr>
            <w:tcW w:w="80" w:type="dxa"/>
            <w:vAlign w:val="bottom"/>
          </w:tcPr>
          <w:p>
            <w:pPr>
              <w:jc w:val="right"/>
              <w:spacing w:after="0" w:line="129"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29" w:lineRule="exact"/>
              <w:rPr>
                <w:sz w:val="20"/>
                <w:szCs w:val="20"/>
                <w:color w:val="auto"/>
              </w:rPr>
            </w:pPr>
            <w:r>
              <w:rPr>
                <w:rFonts w:ascii="Arial" w:cs="Arial" w:eastAsia="Arial" w:hAnsi="Arial"/>
                <w:sz w:val="14"/>
                <w:szCs w:val="14"/>
                <w:color w:val="auto"/>
              </w:rPr>
              <w:t>4,889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jc w:val="right"/>
              <w:spacing w:after="0" w:line="129"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29" w:lineRule="exact"/>
              <w:rPr>
                <w:sz w:val="20"/>
                <w:szCs w:val="20"/>
                <w:color w:val="auto"/>
              </w:rPr>
            </w:pPr>
            <w:r>
              <w:rPr>
                <w:rFonts w:ascii="Arial" w:cs="Arial" w:eastAsia="Arial" w:hAnsi="Arial"/>
                <w:sz w:val="14"/>
                <w:szCs w:val="14"/>
                <w:color w:val="auto"/>
                <w:w w:val="94"/>
              </w:rPr>
              <w:t>22,871,790</w:t>
            </w:r>
          </w:p>
        </w:tc>
        <w:tc>
          <w:tcPr>
            <w:tcW w:w="240" w:type="dxa"/>
            <w:vAlign w:val="bottom"/>
            <w:gridSpan w:val="2"/>
          </w:tcPr>
          <w:p>
            <w:pPr>
              <w:jc w:val="right"/>
              <w:spacing w:after="0" w:line="12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440"/>
              <w:spacing w:after="0" w:line="129" w:lineRule="exact"/>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line="12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29" w:lineRule="exact"/>
              <w:rPr>
                <w:sz w:val="20"/>
                <w:szCs w:val="20"/>
                <w:color w:val="auto"/>
              </w:rPr>
            </w:pPr>
            <w:r>
              <w:rPr>
                <w:rFonts w:ascii="Arial" w:cs="Arial" w:eastAsia="Arial" w:hAnsi="Arial"/>
                <w:sz w:val="14"/>
                <w:szCs w:val="14"/>
                <w:color w:val="auto"/>
              </w:rPr>
              <w:t>500,000</w:t>
            </w:r>
          </w:p>
        </w:tc>
        <w:tc>
          <w:tcPr>
            <w:tcW w:w="300" w:type="dxa"/>
            <w:vAlign w:val="bottom"/>
            <w:gridSpan w:val="2"/>
          </w:tcPr>
          <w:p>
            <w:pPr>
              <w:jc w:val="right"/>
              <w:ind w:right="100"/>
              <w:spacing w:after="0" w:line="129"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280"/>
              <w:spacing w:after="0" w:line="129"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2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60"/>
              <w:spacing w:after="0" w:line="129" w:lineRule="exact"/>
              <w:rPr>
                <w:sz w:val="20"/>
                <w:szCs w:val="20"/>
                <w:color w:val="auto"/>
              </w:rPr>
            </w:pPr>
            <w:r>
              <w:rPr>
                <w:rFonts w:ascii="Arial" w:cs="Arial" w:eastAsia="Arial" w:hAnsi="Arial"/>
                <w:sz w:val="14"/>
                <w:szCs w:val="14"/>
                <w:color w:val="auto"/>
              </w:rPr>
              <w:t>(266,728)</w:t>
            </w:r>
          </w:p>
        </w:tc>
        <w:tc>
          <w:tcPr>
            <w:tcW w:w="160" w:type="dxa"/>
            <w:vAlign w:val="bottom"/>
            <w:gridSpan w:val="2"/>
          </w:tcPr>
          <w:p>
            <w:pPr>
              <w:jc w:val="right"/>
              <w:spacing w:after="0" w:line="12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0"/>
              <w:spacing w:after="0" w:line="129" w:lineRule="exact"/>
              <w:rPr>
                <w:sz w:val="20"/>
                <w:szCs w:val="20"/>
                <w:color w:val="auto"/>
              </w:rPr>
            </w:pPr>
            <w:r>
              <w:rPr>
                <w:rFonts w:ascii="Arial" w:cs="Arial" w:eastAsia="Arial" w:hAnsi="Arial"/>
                <w:sz w:val="14"/>
                <w:szCs w:val="14"/>
                <w:color w:val="auto"/>
              </w:rPr>
              <w:t>23,105,062</w:t>
            </w:r>
          </w:p>
        </w:tc>
      </w:tr>
      <w:tr>
        <w:trPr>
          <w:trHeight w:val="27"/>
        </w:trPr>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280" w:type="dxa"/>
            <w:vAlign w:val="bottom"/>
            <w:tcBorders>
              <w:righ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35"/>
        </w:trPr>
        <w:tc>
          <w:tcPr>
            <w:tcW w:w="1880" w:type="dxa"/>
            <w:vAlign w:val="bottom"/>
            <w:tcBorders>
              <w:right w:val="single" w:sz="8" w:color="CCEEFF"/>
            </w:tcBorders>
            <w:gridSpan w:val="8"/>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Affiliate Investments</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tcBorders>
              <w:lef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129"/>
        </w:trPr>
        <w:tc>
          <w:tcPr>
            <w:tcW w:w="1880" w:type="dxa"/>
            <w:vAlign w:val="bottom"/>
            <w:gridSpan w:val="8"/>
          </w:tcPr>
          <w:p>
            <w:pPr>
              <w:ind w:left="20"/>
              <w:spacing w:after="0" w:line="129" w:lineRule="exact"/>
              <w:rPr>
                <w:sz w:val="20"/>
                <w:szCs w:val="20"/>
                <w:color w:val="auto"/>
              </w:rPr>
            </w:pPr>
            <w:r>
              <w:rPr>
                <w:rFonts w:ascii="Arial" w:cs="Arial" w:eastAsia="Arial" w:hAnsi="Arial"/>
                <w:sz w:val="14"/>
                <w:szCs w:val="14"/>
                <w:b w:val="1"/>
                <w:bCs w:val="1"/>
                <w:color w:val="auto"/>
              </w:rPr>
              <w:t>AlwaysOn, Inc.</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2"/>
        </w:trPr>
        <w:tc>
          <w:tcPr>
            <w:tcW w:w="1880" w:type="dxa"/>
            <w:vAlign w:val="bottom"/>
            <w:tcBorders>
              <w:right w:val="single" w:sz="8" w:color="CCEEFF"/>
            </w:tcBorders>
            <w:gridSpan w:val="8"/>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A-1</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133,978</w:t>
            </w:r>
          </w:p>
        </w:tc>
        <w:tc>
          <w:tcPr>
            <w:tcW w:w="240" w:type="dxa"/>
            <w:vAlign w:val="bottom"/>
            <w:tcBorders>
              <w:left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440"/>
              <w:spacing w:after="0" w:line="142"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left w:val="single" w:sz="8" w:color="CCEEFF"/>
            </w:tcBorders>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280"/>
              <w:spacing w:after="0" w:line="142"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(44,659)</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89,319</w:t>
            </w:r>
          </w:p>
        </w:tc>
      </w:tr>
      <w:tr>
        <w:trPr>
          <w:trHeight w:val="149"/>
        </w:trPr>
        <w:tc>
          <w:tcPr>
            <w:tcW w:w="1880" w:type="dxa"/>
            <w:vAlign w:val="bottom"/>
            <w:gridSpan w:val="8"/>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191,993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(63,998)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127,995</w:t>
            </w:r>
          </w:p>
        </w:tc>
      </w:tr>
      <w:tr>
        <w:trPr>
          <w:trHeight w:val="130"/>
        </w:trPr>
        <w:tc>
          <w:tcPr>
            <w:tcW w:w="1880" w:type="dxa"/>
            <w:vAlign w:val="bottom"/>
            <w:tcBorders>
              <w:right w:val="single" w:sz="8" w:color="CCEEFF"/>
            </w:tcBorders>
            <w:gridSpan w:val="8"/>
            <w:shd w:val="clear" w:color="auto" w:fill="CCEEFF"/>
          </w:tcPr>
          <w:p>
            <w:pPr>
              <w:ind w:left="20"/>
              <w:spacing w:after="0" w:line="130" w:lineRule="exact"/>
              <w:rPr>
                <w:sz w:val="20"/>
                <w:szCs w:val="20"/>
                <w:color w:val="auto"/>
              </w:rPr>
            </w:pPr>
            <w:r>
              <w:rPr>
                <w:rFonts w:ascii="Arial" w:cs="Arial" w:eastAsia="Arial" w:hAnsi="Arial"/>
                <w:sz w:val="14"/>
                <w:szCs w:val="14"/>
                <w:color w:val="auto"/>
              </w:rPr>
              <w:t>Preferred warrants Series A,</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tcBorders>
              <w:lef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9"/>
        </w:trPr>
        <w:tc>
          <w:tcPr>
            <w:tcW w:w="20" w:type="dxa"/>
            <w:vAlign w:val="bottom"/>
            <w:shd w:val="clear" w:color="auto" w:fill="CCEEFF"/>
          </w:tcPr>
          <w:p>
            <w:pPr>
              <w:spacing w:after="0"/>
              <w:rPr>
                <w:sz w:val="12"/>
                <w:szCs w:val="12"/>
                <w:color w:val="auto"/>
              </w:rPr>
            </w:pPr>
          </w:p>
        </w:tc>
        <w:tc>
          <w:tcPr>
            <w:tcW w:w="1860" w:type="dxa"/>
            <w:vAlign w:val="bottom"/>
            <w:tcBorders>
              <w:right w:val="single" w:sz="8" w:color="CCEEFF"/>
            </w:tcBorders>
            <w:gridSpan w:val="7"/>
            <w:shd w:val="clear" w:color="auto" w:fill="CCEEFF"/>
          </w:tcPr>
          <w:p>
            <w:pPr>
              <w:ind w:left="180"/>
              <w:spacing w:after="0" w:line="149" w:lineRule="exact"/>
              <w:rPr>
                <w:sz w:val="20"/>
                <w:szCs w:val="20"/>
                <w:color w:val="auto"/>
              </w:rPr>
            </w:pPr>
            <w:r>
              <w:rPr>
                <w:rFonts w:ascii="Arial" w:cs="Arial" w:eastAsia="Arial" w:hAnsi="Arial"/>
                <w:sz w:val="14"/>
                <w:szCs w:val="14"/>
                <w:color w:val="auto"/>
              </w:rPr>
              <w:t>$1.00 strike price, expire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67"/>
        </w:trPr>
        <w:tc>
          <w:tcPr>
            <w:tcW w:w="86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1/9/2017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r>
      <w:tr>
        <w:trPr>
          <w:trHeight w:val="176"/>
        </w:trPr>
        <w:tc>
          <w:tcPr>
            <w:tcW w:w="1880" w:type="dxa"/>
            <w:vAlign w:val="bottom"/>
            <w:gridSpan w:val="8"/>
          </w:tcPr>
          <w:p>
            <w:pPr>
              <w:ind w:left="20"/>
              <w:spacing w:after="0" w:line="176" w:lineRule="exact"/>
              <w:rPr>
                <w:sz w:val="20"/>
                <w:szCs w:val="20"/>
                <w:color w:val="auto"/>
              </w:rPr>
            </w:pPr>
            <w:r>
              <w:rPr>
                <w:rFonts w:ascii="Arial" w:cs="Arial" w:eastAsia="Arial" w:hAnsi="Arial"/>
                <w:sz w:val="13"/>
                <w:szCs w:val="13"/>
                <w:b w:val="1"/>
                <w:bCs w:val="1"/>
                <w:color w:val="auto"/>
              </w:rPr>
              <w:t>Whittle Schools, LLC</w:t>
            </w:r>
            <w:r>
              <w:rPr>
                <w:rFonts w:ascii="Arial" w:cs="Arial" w:eastAsia="Arial" w:hAnsi="Arial"/>
                <w:sz w:val="20"/>
                <w:szCs w:val="20"/>
                <w:b w:val="1"/>
                <w:bCs w:val="1"/>
                <w:color w:val="auto"/>
                <w:vertAlign w:val="superscript"/>
              </w:rPr>
              <w:t>(2)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2"/>
        </w:trPr>
        <w:tc>
          <w:tcPr>
            <w:tcW w:w="1880" w:type="dxa"/>
            <w:vAlign w:val="bottom"/>
            <w:tcBorders>
              <w:right w:val="single" w:sz="8" w:color="CCEEFF"/>
            </w:tcBorders>
            <w:gridSpan w:val="8"/>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3,000,000</w:t>
            </w:r>
          </w:p>
        </w:tc>
        <w:tc>
          <w:tcPr>
            <w:tcW w:w="14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4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80"/>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3,000,000</w:t>
            </w:r>
          </w:p>
        </w:tc>
      </w:tr>
      <w:tr>
        <w:trPr>
          <w:trHeight w:val="149"/>
        </w:trPr>
        <w:tc>
          <w:tcPr>
            <w:tcW w:w="1880" w:type="dxa"/>
            <w:vAlign w:val="bottom"/>
            <w:gridSpan w:val="8"/>
          </w:tcPr>
          <w:p>
            <w:pPr>
              <w:ind w:left="20"/>
              <w:spacing w:after="0" w:line="149" w:lineRule="exact"/>
              <w:rPr>
                <w:sz w:val="20"/>
                <w:szCs w:val="20"/>
                <w:color w:val="auto"/>
              </w:rPr>
            </w:pPr>
            <w:r>
              <w:rPr>
                <w:rFonts w:ascii="Arial" w:cs="Arial" w:eastAsia="Arial" w:hAnsi="Arial"/>
                <w:sz w:val="14"/>
                <w:szCs w:val="14"/>
                <w:color w:val="auto"/>
              </w:rPr>
              <w:t>Common shares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1,500,000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1,500,000</w:t>
            </w:r>
          </w:p>
        </w:tc>
      </w:tr>
      <w:tr>
        <w:trPr>
          <w:trHeight w:val="135"/>
        </w:trPr>
        <w:tc>
          <w:tcPr>
            <w:tcW w:w="1880" w:type="dxa"/>
            <w:vAlign w:val="bottom"/>
            <w:tcBorders>
              <w:right w:val="single" w:sz="8" w:color="CCEEFF"/>
            </w:tcBorders>
            <w:gridSpan w:val="8"/>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w w:val="97"/>
              </w:rPr>
              <w:t>Circle Media (f/k/a S3 Digital</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tcBorders>
              <w:lef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29"/>
        </w:trPr>
        <w:tc>
          <w:tcPr>
            <w:tcW w:w="20" w:type="dxa"/>
            <w:vAlign w:val="bottom"/>
            <w:tcBorders>
              <w:top w:val="single" w:sz="8" w:color="CCEEFF"/>
            </w:tcBorders>
            <w:shd w:val="clear" w:color="auto" w:fill="CCEEFF"/>
          </w:tcPr>
          <w:p>
            <w:pPr>
              <w:spacing w:after="0"/>
              <w:rPr>
                <w:sz w:val="11"/>
                <w:szCs w:val="11"/>
                <w:color w:val="auto"/>
              </w:rPr>
            </w:pPr>
          </w:p>
        </w:tc>
        <w:tc>
          <w:tcPr>
            <w:tcW w:w="1860" w:type="dxa"/>
            <w:vAlign w:val="bottom"/>
            <w:tcBorders>
              <w:top w:val="single" w:sz="8" w:color="auto"/>
              <w:right w:val="single" w:sz="8" w:color="CCEEFF"/>
            </w:tcBorders>
            <w:gridSpan w:val="7"/>
            <w:shd w:val="clear" w:color="auto" w:fill="CCEEFF"/>
          </w:tcPr>
          <w:p>
            <w:pPr>
              <w:ind w:left="180"/>
              <w:spacing w:after="0" w:line="129" w:lineRule="exact"/>
              <w:rPr>
                <w:sz w:val="20"/>
                <w:szCs w:val="20"/>
                <w:color w:val="auto"/>
              </w:rPr>
            </w:pPr>
            <w:r>
              <w:rPr>
                <w:rFonts w:ascii="Arial" w:cs="Arial" w:eastAsia="Arial" w:hAnsi="Arial"/>
                <w:sz w:val="14"/>
                <w:szCs w:val="14"/>
                <w:b w:val="1"/>
                <w:bCs w:val="1"/>
                <w:color w:val="auto"/>
              </w:rPr>
              <w:t>Corp. (d/b/a S3i))</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left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left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123"/>
        </w:trPr>
        <w:tc>
          <w:tcPr>
            <w:tcW w:w="1880" w:type="dxa"/>
            <w:vAlign w:val="bottom"/>
            <w:gridSpan w:val="8"/>
          </w:tcPr>
          <w:p>
            <w:pPr>
              <w:ind w:left="20"/>
              <w:spacing w:after="0" w:line="123" w:lineRule="exact"/>
              <w:rPr>
                <w:sz w:val="20"/>
                <w:szCs w:val="20"/>
                <w:color w:val="auto"/>
              </w:rPr>
            </w:pPr>
            <w:r>
              <w:rPr>
                <w:rFonts w:ascii="Arial" w:cs="Arial" w:eastAsia="Arial" w:hAnsi="Arial"/>
                <w:sz w:val="14"/>
                <w:szCs w:val="14"/>
                <w:color w:val="auto"/>
              </w:rPr>
              <w:t>Promissory Note, 12%,</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67"/>
        </w:trPr>
        <w:tc>
          <w:tcPr>
            <w:tcW w:w="960" w:type="dxa"/>
            <w:vAlign w:val="bottom"/>
            <w:gridSpan w:val="4"/>
          </w:tcPr>
          <w:p>
            <w:pPr>
              <w:ind w:left="200"/>
              <w:spacing w:after="0"/>
              <w:rPr>
                <w:sz w:val="20"/>
                <w:szCs w:val="20"/>
                <w:color w:val="auto"/>
              </w:rPr>
            </w:pPr>
            <w:r>
              <w:rPr>
                <w:rFonts w:ascii="Arial" w:cs="Arial" w:eastAsia="Arial" w:hAnsi="Arial"/>
                <w:sz w:val="14"/>
                <w:szCs w:val="14"/>
                <w:color w:val="auto"/>
              </w:rPr>
              <w:t>09/30/15***</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440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(440)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130"/>
        </w:trPr>
        <w:tc>
          <w:tcPr>
            <w:tcW w:w="1880" w:type="dxa"/>
            <w:vAlign w:val="bottom"/>
            <w:tcBorders>
              <w:right w:val="single" w:sz="8" w:color="CCEEFF"/>
            </w:tcBorders>
            <w:gridSpan w:val="8"/>
            <w:shd w:val="clear" w:color="auto" w:fill="CCEEFF"/>
          </w:tcPr>
          <w:p>
            <w:pPr>
              <w:ind w:left="20"/>
              <w:spacing w:after="0" w:line="130" w:lineRule="exact"/>
              <w:rPr>
                <w:sz w:val="20"/>
                <w:szCs w:val="20"/>
                <w:color w:val="auto"/>
              </w:rPr>
            </w:pPr>
            <w:r>
              <w:rPr>
                <w:rFonts w:ascii="Arial" w:cs="Arial" w:eastAsia="Arial" w:hAnsi="Arial"/>
                <w:sz w:val="14"/>
                <w:szCs w:val="14"/>
                <w:color w:val="auto"/>
              </w:rPr>
              <w:t>Promissory Note, 12%,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tcBorders>
              <w:lef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67"/>
        </w:trPr>
        <w:tc>
          <w:tcPr>
            <w:tcW w:w="960" w:type="dxa"/>
            <w:vAlign w:val="bottom"/>
            <w:gridSpan w:val="4"/>
            <w:shd w:val="clear" w:color="auto" w:fill="CCEEFF"/>
          </w:tcPr>
          <w:p>
            <w:pPr>
              <w:ind w:left="200"/>
              <w:spacing w:after="0"/>
              <w:rPr>
                <w:sz w:val="20"/>
                <w:szCs w:val="20"/>
                <w:color w:val="auto"/>
              </w:rPr>
            </w:pPr>
            <w:r>
              <w:rPr>
                <w:rFonts w:ascii="Arial" w:cs="Arial" w:eastAsia="Arial" w:hAnsi="Arial"/>
                <w:sz w:val="14"/>
                <w:szCs w:val="14"/>
                <w:color w:val="auto"/>
              </w:rPr>
              <w:t>11/18/16***</w:t>
            </w:r>
          </w:p>
        </w:tc>
        <w:tc>
          <w:tcPr>
            <w:tcW w:w="14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748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25,000</w:t>
            </w:r>
          </w:p>
        </w:tc>
      </w:tr>
      <w:tr>
        <w:trPr>
          <w:trHeight w:val="149"/>
        </w:trPr>
        <w:tc>
          <w:tcPr>
            <w:tcW w:w="1880" w:type="dxa"/>
            <w:vAlign w:val="bottom"/>
            <w:gridSpan w:val="8"/>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1,156,175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(107,218)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1,048,957</w:t>
            </w:r>
          </w:p>
        </w:tc>
      </w:tr>
      <w:tr>
        <w:trPr>
          <w:trHeight w:val="130"/>
        </w:trPr>
        <w:tc>
          <w:tcPr>
            <w:tcW w:w="1880" w:type="dxa"/>
            <w:vAlign w:val="bottom"/>
            <w:tcBorders>
              <w:right w:val="single" w:sz="8" w:color="CCEEFF"/>
            </w:tcBorders>
            <w:gridSpan w:val="8"/>
            <w:shd w:val="clear" w:color="auto" w:fill="CCEEFF"/>
          </w:tcPr>
          <w:p>
            <w:pPr>
              <w:ind w:left="20"/>
              <w:spacing w:after="0" w:line="130" w:lineRule="exact"/>
              <w:rPr>
                <w:sz w:val="20"/>
                <w:szCs w:val="20"/>
                <w:color w:val="auto"/>
              </w:rPr>
            </w:pPr>
            <w:r>
              <w:rPr>
                <w:rFonts w:ascii="Arial" w:cs="Arial" w:eastAsia="Arial" w:hAnsi="Arial"/>
                <w:sz w:val="14"/>
                <w:szCs w:val="14"/>
                <w:color w:val="auto"/>
                <w:w w:val="97"/>
              </w:rPr>
              <w:t>Preferred Warrants Series A –</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tcBorders>
              <w:lef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9"/>
        </w:trPr>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80" w:type="dxa"/>
            <w:vAlign w:val="bottom"/>
            <w:tcBorders>
              <w:right w:val="single" w:sz="8" w:color="CCEEFF"/>
            </w:tcBorders>
            <w:gridSpan w:val="6"/>
            <w:shd w:val="clear" w:color="auto" w:fill="CCEEFF"/>
          </w:tcPr>
          <w:p>
            <w:pPr>
              <w:ind w:left="40"/>
              <w:spacing w:after="0" w:line="149" w:lineRule="exact"/>
              <w:rPr>
                <w:sz w:val="20"/>
                <w:szCs w:val="20"/>
                <w:color w:val="auto"/>
              </w:rPr>
            </w:pPr>
            <w:r>
              <w:rPr>
                <w:rFonts w:ascii="Arial" w:cs="Arial" w:eastAsia="Arial" w:hAnsi="Arial"/>
                <w:sz w:val="14"/>
                <w:szCs w:val="14"/>
                <w:color w:val="auto"/>
              </w:rPr>
              <w:t>Strike Price $1.17,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shd w:val="clear" w:color="auto" w:fill="CCEEFF"/>
          </w:tcPr>
          <w:p>
            <w:pPr>
              <w:spacing w:after="0"/>
              <w:rPr>
                <w:sz w:val="12"/>
                <w:szCs w:val="12"/>
                <w:color w:val="auto"/>
              </w:rPr>
            </w:pPr>
          </w:p>
        </w:tc>
        <w:tc>
          <w:tcPr>
            <w:tcW w:w="1860" w:type="dxa"/>
            <w:vAlign w:val="bottom"/>
            <w:tcBorders>
              <w:right w:val="single" w:sz="8" w:color="CCEEFF"/>
            </w:tcBorders>
            <w:gridSpan w:val="7"/>
            <w:shd w:val="clear" w:color="auto" w:fill="CCEEFF"/>
          </w:tcPr>
          <w:p>
            <w:pPr>
              <w:ind w:left="180"/>
              <w:spacing w:after="0" w:line="149" w:lineRule="exact"/>
              <w:rPr>
                <w:sz w:val="20"/>
                <w:szCs w:val="20"/>
                <w:color w:val="auto"/>
              </w:rPr>
            </w:pPr>
            <w:r>
              <w:rPr>
                <w:rFonts w:ascii="Arial" w:cs="Arial" w:eastAsia="Arial" w:hAnsi="Arial"/>
                <w:sz w:val="14"/>
                <w:szCs w:val="14"/>
                <w:color w:val="auto"/>
              </w:rPr>
              <w:t>Expiration Date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67"/>
        </w:trPr>
        <w:tc>
          <w:tcPr>
            <w:tcW w:w="86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w w:val="91"/>
              </w:rPr>
              <w:t>11/18/2022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w:t>
            </w: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(322)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107</w:t>
            </w:r>
          </w:p>
        </w:tc>
      </w:tr>
      <w:tr>
        <w:trPr>
          <w:trHeight w:val="130"/>
        </w:trPr>
        <w:tc>
          <w:tcPr>
            <w:tcW w:w="1880" w:type="dxa"/>
            <w:vAlign w:val="bottom"/>
            <w:gridSpan w:val="8"/>
          </w:tcPr>
          <w:p>
            <w:pPr>
              <w:ind w:left="20"/>
              <w:spacing w:after="0" w:line="130" w:lineRule="exact"/>
              <w:rPr>
                <w:sz w:val="20"/>
                <w:szCs w:val="20"/>
                <w:color w:val="auto"/>
              </w:rPr>
            </w:pPr>
            <w:r>
              <w:rPr>
                <w:rFonts w:ascii="Arial" w:cs="Arial" w:eastAsia="Arial" w:hAnsi="Arial"/>
                <w:sz w:val="14"/>
                <w:szCs w:val="14"/>
                <w:color w:val="auto"/>
                <w:w w:val="91"/>
              </w:rPr>
              <w:t>Preferred warrants, $1.17 Strike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860" w:type="dxa"/>
            <w:vAlign w:val="bottom"/>
            <w:gridSpan w:val="7"/>
          </w:tcPr>
          <w:p>
            <w:pPr>
              <w:ind w:left="180"/>
              <w:spacing w:after="0" w:line="149" w:lineRule="exact"/>
              <w:rPr>
                <w:sz w:val="20"/>
                <w:szCs w:val="20"/>
                <w:color w:val="auto"/>
              </w:rPr>
            </w:pPr>
            <w:r>
              <w:rPr>
                <w:rFonts w:ascii="Arial" w:cs="Arial" w:eastAsia="Arial" w:hAnsi="Arial"/>
                <w:sz w:val="14"/>
                <w:szCs w:val="14"/>
                <w:color w:val="auto"/>
              </w:rPr>
              <w:t>Price, Expiration Date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7"/>
        </w:trPr>
        <w:tc>
          <w:tcPr>
            <w:tcW w:w="860" w:type="dxa"/>
            <w:vAlign w:val="bottom"/>
            <w:gridSpan w:val="3"/>
          </w:tcPr>
          <w:p>
            <w:pPr>
              <w:ind w:left="200"/>
              <w:spacing w:after="0"/>
              <w:rPr>
                <w:sz w:val="20"/>
                <w:szCs w:val="20"/>
                <w:color w:val="auto"/>
              </w:rPr>
            </w:pPr>
            <w:r>
              <w:rPr>
                <w:rFonts w:ascii="Arial" w:cs="Arial" w:eastAsia="Arial" w:hAnsi="Arial"/>
                <w:sz w:val="14"/>
                <w:szCs w:val="14"/>
                <w:color w:val="auto"/>
                <w:w w:val="91"/>
              </w:rPr>
              <w:t>08/29/2021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14,065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(10,549)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3,516</w:t>
            </w:r>
          </w:p>
        </w:tc>
      </w:tr>
      <w:tr>
        <w:trPr>
          <w:trHeight w:val="130"/>
        </w:trPr>
        <w:tc>
          <w:tcPr>
            <w:tcW w:w="1880" w:type="dxa"/>
            <w:vAlign w:val="bottom"/>
            <w:tcBorders>
              <w:right w:val="single" w:sz="8" w:color="CCEEFF"/>
            </w:tcBorders>
            <w:gridSpan w:val="8"/>
            <w:shd w:val="clear" w:color="auto" w:fill="CCEEFF"/>
          </w:tcPr>
          <w:p>
            <w:pPr>
              <w:ind w:left="20"/>
              <w:spacing w:after="0" w:line="130" w:lineRule="exact"/>
              <w:rPr>
                <w:sz w:val="20"/>
                <w:szCs w:val="20"/>
                <w:color w:val="auto"/>
              </w:rPr>
            </w:pPr>
            <w:r>
              <w:rPr>
                <w:rFonts w:ascii="Arial" w:cs="Arial" w:eastAsia="Arial" w:hAnsi="Arial"/>
                <w:sz w:val="14"/>
                <w:szCs w:val="14"/>
                <w:color w:val="auto"/>
                <w:w w:val="91"/>
              </w:rPr>
              <w:t>Preferred warrants, $1.16 Strike</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tcBorders>
              <w:lef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9"/>
        </w:trPr>
        <w:tc>
          <w:tcPr>
            <w:tcW w:w="20" w:type="dxa"/>
            <w:vAlign w:val="bottom"/>
            <w:shd w:val="clear" w:color="auto" w:fill="CCEEFF"/>
          </w:tcPr>
          <w:p>
            <w:pPr>
              <w:spacing w:after="0"/>
              <w:rPr>
                <w:sz w:val="12"/>
                <w:szCs w:val="12"/>
                <w:color w:val="auto"/>
              </w:rPr>
            </w:pPr>
          </w:p>
        </w:tc>
        <w:tc>
          <w:tcPr>
            <w:tcW w:w="1860" w:type="dxa"/>
            <w:vAlign w:val="bottom"/>
            <w:tcBorders>
              <w:right w:val="single" w:sz="8" w:color="CCEEFF"/>
            </w:tcBorders>
            <w:gridSpan w:val="7"/>
            <w:shd w:val="clear" w:color="auto" w:fill="CCEEFF"/>
          </w:tcPr>
          <w:p>
            <w:pPr>
              <w:ind w:left="180"/>
              <w:spacing w:after="0" w:line="149" w:lineRule="exact"/>
              <w:rPr>
                <w:sz w:val="20"/>
                <w:szCs w:val="20"/>
                <w:color w:val="auto"/>
              </w:rPr>
            </w:pPr>
            <w:r>
              <w:rPr>
                <w:rFonts w:ascii="Arial" w:cs="Arial" w:eastAsia="Arial" w:hAnsi="Arial"/>
                <w:sz w:val="14"/>
                <w:szCs w:val="14"/>
                <w:color w:val="auto"/>
              </w:rPr>
              <w:t>Price, Expiration Date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67"/>
        </w:trPr>
        <w:tc>
          <w:tcPr>
            <w:tcW w:w="86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6/26/2021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3,088</w:t>
            </w: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(2,316)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-2683510</wp:posOffset>
            </wp:positionV>
            <wp:extent cx="5213985" cy="1117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213985" cy="11176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8" w:name="page59"/>
    <w:bookmarkEnd w:id="58"/>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right"/>
        <w:ind w:right="1539"/>
        <w:spacing w:after="0"/>
        <w:rPr>
          <w:sz w:val="20"/>
          <w:szCs w:val="20"/>
          <w:color w:val="auto"/>
        </w:rPr>
      </w:pPr>
      <w:r>
        <w:rPr>
          <w:rFonts w:ascii="Arial" w:cs="Arial" w:eastAsia="Arial" w:hAnsi="Arial"/>
          <w:sz w:val="18"/>
          <w:szCs w:val="18"/>
          <w:b w:val="1"/>
          <w:bCs w:val="1"/>
          <w:color w:val="auto"/>
        </w:rPr>
        <w:t>Schedule 12-14 — Schedule of Investments in and Advances to Affiliates (unaudited)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26035</wp:posOffset>
            </wp:positionV>
            <wp:extent cx="521398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center"/>
              <w:ind w:right="9"/>
              <w:spacing w:after="0"/>
              <w:rPr>
                <w:sz w:val="20"/>
                <w:szCs w:val="20"/>
                <w:color w:val="auto"/>
              </w:rPr>
            </w:pPr>
            <w:r>
              <w:rPr>
                <w:rFonts w:ascii="Arial" w:cs="Arial" w:eastAsia="Arial" w:hAnsi="Arial"/>
                <w:sz w:val="13"/>
                <w:szCs w:val="13"/>
                <w:b w:val="1"/>
                <w:bCs w:val="1"/>
                <w:color w:val="auto"/>
                <w:w w:val="88"/>
              </w:rPr>
              <w:t>Transfer</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Amount of</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8"/>
              </w:rPr>
              <w:t>from Control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5"/>
              </w:rPr>
              <w:t>Interest, Fees</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8"/>
              </w:rPr>
              <w:t>Investment To</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or Dividends</w:t>
            </w:r>
          </w:p>
        </w:tc>
        <w:tc>
          <w:tcPr>
            <w:tcW w:w="80" w:type="dxa"/>
            <w:vAlign w:val="bottom"/>
          </w:tcPr>
          <w:p>
            <w:pPr>
              <w:spacing w:after="0"/>
              <w:rPr>
                <w:sz w:val="11"/>
                <w:szCs w:val="11"/>
                <w:color w:val="auto"/>
              </w:rPr>
            </w:pPr>
          </w:p>
        </w:tc>
        <w:tc>
          <w:tcPr>
            <w:tcW w:w="8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0"/>
              </w:rPr>
              <w:t>Fair Value at</w:t>
            </w:r>
          </w:p>
        </w:tc>
        <w:tc>
          <w:tcPr>
            <w:tcW w:w="80" w:type="dxa"/>
            <w:vAlign w:val="bottom"/>
          </w:tcPr>
          <w:p>
            <w:pPr>
              <w:spacing w:after="0"/>
              <w:rPr>
                <w:sz w:val="11"/>
                <w:szCs w:val="11"/>
                <w:color w:val="auto"/>
              </w:rPr>
            </w:pPr>
          </w:p>
        </w:tc>
        <w:tc>
          <w:tcPr>
            <w:tcW w:w="8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0"/>
              </w:rPr>
              <w:t>Non-Control/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29"/>
              <w:spacing w:after="0" w:line="135" w:lineRule="exact"/>
              <w:rPr>
                <w:sz w:val="20"/>
                <w:szCs w:val="20"/>
                <w:color w:val="auto"/>
              </w:rPr>
            </w:pPr>
            <w:r>
              <w:rPr>
                <w:rFonts w:ascii="Arial" w:cs="Arial" w:eastAsia="Arial" w:hAnsi="Arial"/>
                <w:sz w:val="13"/>
                <w:szCs w:val="13"/>
                <w:b w:val="1"/>
                <w:bCs w:val="1"/>
                <w:color w:val="auto"/>
                <w:w w:val="88"/>
              </w:rPr>
              <w:t>Realized and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Fair Value at</w:t>
            </w:r>
          </w:p>
        </w:tc>
      </w:tr>
      <w:tr>
        <w:trPr>
          <w:trHeight w:val="135"/>
        </w:trPr>
        <w:tc>
          <w:tcPr>
            <w:tcW w:w="1880" w:type="dxa"/>
            <w:vAlign w:val="bottom"/>
            <w:gridSpan w:val="6"/>
          </w:tcPr>
          <w:p>
            <w:pPr>
              <w:ind w:left="20"/>
              <w:spacing w:after="0" w:line="135" w:lineRule="exact"/>
              <w:rPr>
                <w:sz w:val="20"/>
                <w:szCs w:val="20"/>
                <w:color w:val="auto"/>
              </w:rPr>
            </w:pPr>
            <w:r>
              <w:rPr>
                <w:rFonts w:ascii="Arial" w:cs="Arial" w:eastAsia="Arial" w:hAnsi="Arial"/>
                <w:sz w:val="13"/>
                <w:szCs w:val="13"/>
                <w:b w:val="1"/>
                <w:bCs w:val="1"/>
                <w:color w:val="auto"/>
              </w:rPr>
              <w:t>Portfolio Company/Type of</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Credited in</w:t>
            </w:r>
          </w:p>
        </w:tc>
        <w:tc>
          <w:tcPr>
            <w:tcW w:w="80" w:type="dxa"/>
            <w:vAlign w:val="bottom"/>
          </w:tcPr>
          <w:p>
            <w:pPr>
              <w:spacing w:after="0"/>
              <w:rPr>
                <w:sz w:val="11"/>
                <w:szCs w:val="11"/>
                <w:color w:val="auto"/>
              </w:rPr>
            </w:pPr>
          </w:p>
        </w:tc>
        <w:tc>
          <w:tcPr>
            <w:tcW w:w="8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7"/>
              </w:rPr>
              <w:t>December 31,</w:t>
            </w:r>
          </w:p>
        </w:tc>
        <w:tc>
          <w:tcPr>
            <w:tcW w:w="80" w:type="dxa"/>
            <w:vAlign w:val="bottom"/>
          </w:tcPr>
          <w:p>
            <w:pPr>
              <w:spacing w:after="0"/>
              <w:rPr>
                <w:sz w:val="11"/>
                <w:szCs w:val="11"/>
                <w:color w:val="auto"/>
              </w:rPr>
            </w:pPr>
          </w:p>
        </w:tc>
        <w:tc>
          <w:tcPr>
            <w:tcW w:w="8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0"/>
              </w:rPr>
              <w:t>Non-Affiliate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29"/>
              <w:spacing w:after="0" w:line="135" w:lineRule="exact"/>
              <w:rPr>
                <w:sz w:val="20"/>
                <w:szCs w:val="20"/>
                <w:color w:val="auto"/>
              </w:rPr>
            </w:pPr>
            <w:r>
              <w:rPr>
                <w:rFonts w:ascii="Arial" w:cs="Arial" w:eastAsia="Arial" w:hAnsi="Arial"/>
                <w:sz w:val="13"/>
                <w:szCs w:val="13"/>
                <w:b w:val="1"/>
                <w:bCs w:val="1"/>
                <w:color w:val="auto"/>
                <w:w w:val="88"/>
              </w:rPr>
              <w:t>Unrealized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March 31,</w:t>
            </w:r>
          </w:p>
        </w:tc>
      </w:tr>
      <w:tr>
        <w:trPr>
          <w:trHeight w:val="153"/>
        </w:trPr>
        <w:tc>
          <w:tcPr>
            <w:tcW w:w="1880" w:type="dxa"/>
            <w:vAlign w:val="bottom"/>
            <w:gridSpan w:val="6"/>
          </w:tcPr>
          <w:p>
            <w:pPr>
              <w:ind w:left="20"/>
              <w:spacing w:after="0"/>
              <w:rPr>
                <w:sz w:val="20"/>
                <w:szCs w:val="20"/>
                <w:color w:val="auto"/>
              </w:rPr>
            </w:pPr>
            <w:r>
              <w:rPr>
                <w:rFonts w:ascii="Arial" w:cs="Arial" w:eastAsia="Arial" w:hAnsi="Arial"/>
                <w:sz w:val="13"/>
                <w:szCs w:val="13"/>
                <w:b w:val="1"/>
                <w:bCs w:val="1"/>
                <w:color w:val="auto"/>
              </w:rPr>
              <w:t>Investment*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7"/>
              </w:rPr>
              <w:t>Income</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center"/>
              <w:ind w:right="48"/>
              <w:spacing w:after="0"/>
              <w:rPr>
                <w:sz w:val="20"/>
                <w:szCs w:val="20"/>
                <w:color w:val="auto"/>
              </w:rPr>
            </w:pPr>
            <w:r>
              <w:rPr>
                <w:rFonts w:ascii="Arial" w:cs="Arial" w:eastAsia="Arial" w:hAnsi="Arial"/>
                <w:sz w:val="13"/>
                <w:szCs w:val="13"/>
                <w:b w:val="1"/>
                <w:bCs w:val="1"/>
                <w:color w:val="auto"/>
                <w:w w:val="89"/>
              </w:rPr>
              <w:t>2015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center"/>
              <w:ind w:right="29"/>
              <w:spacing w:after="0"/>
              <w:rPr>
                <w:sz w:val="20"/>
                <w:szCs w:val="20"/>
                <w:color w:val="auto"/>
              </w:rPr>
            </w:pPr>
            <w:r>
              <w:rPr>
                <w:rFonts w:ascii="Arial" w:cs="Arial" w:eastAsia="Arial" w:hAnsi="Arial"/>
                <w:sz w:val="13"/>
                <w:szCs w:val="13"/>
                <w:b w:val="1"/>
                <w:bCs w:val="1"/>
                <w:color w:val="auto"/>
                <w:w w:val="87"/>
              </w:rPr>
              <w:t>Investment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3"/>
          </w:tcPr>
          <w:p>
            <w:pPr>
              <w:spacing w:after="0"/>
              <w:rPr>
                <w:sz w:val="20"/>
                <w:szCs w:val="20"/>
                <w:color w:val="auto"/>
              </w:rPr>
            </w:pPr>
            <w:r>
              <w:rPr>
                <w:rFonts w:ascii="Arial" w:cs="Arial" w:eastAsia="Arial" w:hAnsi="Arial"/>
                <w:sz w:val="13"/>
                <w:szCs w:val="13"/>
                <w:b w:val="1"/>
                <w:bCs w:val="1"/>
                <w:color w:val="auto"/>
              </w:rPr>
              <w:t>Purchases</w:t>
            </w:r>
          </w:p>
        </w:tc>
        <w:tc>
          <w:tcPr>
            <w:tcW w:w="600" w:type="dxa"/>
            <w:vAlign w:val="bottom"/>
          </w:tcPr>
          <w:p>
            <w:pPr>
              <w:ind w:left="80"/>
              <w:spacing w:after="0"/>
              <w:rPr>
                <w:sz w:val="20"/>
                <w:szCs w:val="20"/>
                <w:color w:val="auto"/>
              </w:rPr>
            </w:pPr>
            <w:r>
              <w:rPr>
                <w:rFonts w:ascii="Arial" w:cs="Arial" w:eastAsia="Arial" w:hAnsi="Arial"/>
                <w:sz w:val="13"/>
                <w:szCs w:val="13"/>
                <w:b w:val="1"/>
                <w:bCs w:val="1"/>
                <w:color w:val="auto"/>
              </w:rPr>
              <w:t>Sales</w:t>
            </w:r>
          </w:p>
        </w:tc>
        <w:tc>
          <w:tcPr>
            <w:tcW w:w="100" w:type="dxa"/>
            <w:vAlign w:val="bottom"/>
          </w:tcPr>
          <w:p>
            <w:pPr>
              <w:spacing w:after="0"/>
              <w:rPr>
                <w:sz w:val="13"/>
                <w:szCs w:val="13"/>
                <w:color w:val="auto"/>
              </w:rPr>
            </w:pPr>
          </w:p>
        </w:tc>
        <w:tc>
          <w:tcPr>
            <w:tcW w:w="900" w:type="dxa"/>
            <w:vAlign w:val="bottom"/>
            <w:gridSpan w:val="2"/>
          </w:tcPr>
          <w:p>
            <w:pPr>
              <w:jc w:val="center"/>
              <w:spacing w:after="0"/>
              <w:rPr>
                <w:sz w:val="20"/>
                <w:szCs w:val="20"/>
                <w:color w:val="auto"/>
              </w:rPr>
            </w:pPr>
            <w:r>
              <w:rPr>
                <w:rFonts w:ascii="Arial" w:cs="Arial" w:eastAsia="Arial" w:hAnsi="Arial"/>
                <w:sz w:val="13"/>
                <w:szCs w:val="13"/>
                <w:b w:val="1"/>
                <w:bCs w:val="1"/>
                <w:color w:val="auto"/>
                <w:w w:val="83"/>
              </w:rPr>
              <w:t>Gains/(Losses)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2"/>
              </w:rPr>
              <w:t>2016</w:t>
            </w:r>
          </w:p>
        </w:tc>
      </w:tr>
      <w:tr>
        <w:trPr>
          <w:trHeight w:val="123"/>
        </w:trPr>
        <w:tc>
          <w:tcPr>
            <w:tcW w:w="1880" w:type="dxa"/>
            <w:vAlign w:val="bottom"/>
            <w:tcBorders>
              <w:top w:val="single" w:sz="8" w:color="auto"/>
            </w:tcBorders>
            <w:gridSpan w:val="6"/>
            <w:shd w:val="clear" w:color="auto" w:fill="CCEEFF"/>
          </w:tcPr>
          <w:p>
            <w:pPr>
              <w:ind w:left="20"/>
              <w:spacing w:after="0" w:line="123" w:lineRule="exact"/>
              <w:rPr>
                <w:sz w:val="20"/>
                <w:szCs w:val="20"/>
                <w:color w:val="auto"/>
              </w:rPr>
            </w:pPr>
            <w:r>
              <w:rPr>
                <w:rFonts w:ascii="Arial" w:cs="Arial" w:eastAsia="Arial" w:hAnsi="Arial"/>
                <w:sz w:val="14"/>
                <w:szCs w:val="14"/>
                <w:color w:val="auto"/>
                <w:w w:val="92"/>
              </w:rPr>
              <w:t>Preferred warrants, $1.17 Strike</w:t>
            </w:r>
          </w:p>
        </w:tc>
        <w:tc>
          <w:tcPr>
            <w:tcW w:w="8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r>
      <w:tr>
        <w:trPr>
          <w:trHeight w:val="149"/>
        </w:trPr>
        <w:tc>
          <w:tcPr>
            <w:tcW w:w="20" w:type="dxa"/>
            <w:vAlign w:val="bottom"/>
            <w:shd w:val="clear" w:color="auto" w:fill="CCEEFF"/>
          </w:tcPr>
          <w:p>
            <w:pPr>
              <w:spacing w:after="0"/>
              <w:rPr>
                <w:sz w:val="12"/>
                <w:szCs w:val="12"/>
                <w:color w:val="auto"/>
              </w:rPr>
            </w:pPr>
          </w:p>
        </w:tc>
        <w:tc>
          <w:tcPr>
            <w:tcW w:w="1860" w:type="dxa"/>
            <w:vAlign w:val="bottom"/>
            <w:gridSpan w:val="5"/>
            <w:shd w:val="clear" w:color="auto" w:fill="CCEEFF"/>
          </w:tcPr>
          <w:p>
            <w:pPr>
              <w:ind w:left="180"/>
              <w:spacing w:after="0" w:line="149" w:lineRule="exact"/>
              <w:rPr>
                <w:sz w:val="20"/>
                <w:szCs w:val="20"/>
                <w:color w:val="auto"/>
              </w:rPr>
            </w:pPr>
            <w:r>
              <w:rPr>
                <w:rFonts w:ascii="Arial" w:cs="Arial" w:eastAsia="Arial" w:hAnsi="Arial"/>
                <w:sz w:val="14"/>
                <w:szCs w:val="14"/>
                <w:color w:val="auto"/>
              </w:rPr>
              <w:t>Price, Expiration Date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67"/>
        </w:trPr>
        <w:tc>
          <w:tcPr>
            <w:tcW w:w="8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w w:val="79"/>
              </w:rPr>
              <w:t>09/30/2020</w:t>
            </w:r>
          </w:p>
        </w:tc>
        <w:tc>
          <w:tcPr>
            <w:tcW w:w="16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12,864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ind w:left="440"/>
              <w:spacing w:after="0"/>
              <w:rPr>
                <w:sz w:val="20"/>
                <w:szCs w:val="20"/>
                <w:color w:val="auto"/>
              </w:rPr>
            </w:pPr>
            <w:r>
              <w:rPr>
                <w:rFonts w:ascii="Arial" w:cs="Arial" w:eastAsia="Arial" w:hAnsi="Arial"/>
                <w:sz w:val="14"/>
                <w:szCs w:val="14"/>
                <w:color w:val="auto"/>
              </w:rPr>
              <w:t>—  $</w:t>
            </w:r>
          </w:p>
        </w:tc>
        <w:tc>
          <w:tcPr>
            <w:tcW w:w="6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(9,648)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3,216</w:t>
            </w:r>
          </w:p>
        </w:tc>
      </w:tr>
      <w:tr>
        <w:trPr>
          <w:trHeight w:val="130"/>
        </w:trPr>
        <w:tc>
          <w:tcPr>
            <w:tcW w:w="1880" w:type="dxa"/>
            <w:vAlign w:val="bottom"/>
            <w:gridSpan w:val="6"/>
          </w:tcPr>
          <w:p>
            <w:pPr>
              <w:ind w:left="20"/>
              <w:spacing w:after="0" w:line="130" w:lineRule="exact"/>
              <w:rPr>
                <w:sz w:val="20"/>
                <w:szCs w:val="20"/>
                <w:color w:val="auto"/>
              </w:rPr>
            </w:pPr>
            <w:r>
              <w:rPr>
                <w:rFonts w:ascii="Arial" w:cs="Arial" w:eastAsia="Arial" w:hAnsi="Arial"/>
                <w:sz w:val="14"/>
                <w:szCs w:val="14"/>
                <w:color w:val="auto"/>
                <w:w w:val="92"/>
              </w:rPr>
              <w:t>Preferred warrants, $1.00 Strike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860" w:type="dxa"/>
            <w:vAlign w:val="bottom"/>
            <w:gridSpan w:val="5"/>
          </w:tcPr>
          <w:p>
            <w:pPr>
              <w:ind w:left="180"/>
              <w:spacing w:after="0" w:line="149" w:lineRule="exact"/>
              <w:rPr>
                <w:sz w:val="20"/>
                <w:szCs w:val="20"/>
                <w:color w:val="auto"/>
              </w:rPr>
            </w:pPr>
            <w:r>
              <w:rPr>
                <w:rFonts w:ascii="Arial" w:cs="Arial" w:eastAsia="Arial" w:hAnsi="Arial"/>
                <w:sz w:val="14"/>
                <w:szCs w:val="14"/>
                <w:color w:val="auto"/>
              </w:rPr>
              <w:t>Price, Expiration Date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7"/>
        </w:trPr>
        <w:tc>
          <w:tcPr>
            <w:tcW w:w="800" w:type="dxa"/>
            <w:vAlign w:val="bottom"/>
            <w:gridSpan w:val="2"/>
          </w:tcPr>
          <w:p>
            <w:pPr>
              <w:ind w:left="200"/>
              <w:spacing w:after="0"/>
              <w:rPr>
                <w:sz w:val="20"/>
                <w:szCs w:val="20"/>
                <w:color w:val="auto"/>
              </w:rPr>
            </w:pPr>
            <w:r>
              <w:rPr>
                <w:rFonts w:ascii="Arial" w:cs="Arial" w:eastAsia="Arial" w:hAnsi="Arial"/>
                <w:sz w:val="14"/>
                <w:szCs w:val="14"/>
                <w:color w:val="auto"/>
                <w:w w:val="79"/>
              </w:rPr>
              <w:t>11/21/2017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55,000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ind w:lef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(40,000)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15,000</w:t>
            </w:r>
          </w:p>
        </w:tc>
      </w:tr>
      <w:tr>
        <w:trPr>
          <w:trHeight w:val="135"/>
        </w:trPr>
        <w:tc>
          <w:tcPr>
            <w:tcW w:w="1880" w:type="dxa"/>
            <w:vAlign w:val="bottom"/>
            <w:gridSpan w:val="6"/>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CUX, Inc. (d/b/a CorpU)</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r>
      <w:tr>
        <w:trPr>
          <w:trHeight w:val="123"/>
        </w:trPr>
        <w:tc>
          <w:tcPr>
            <w:tcW w:w="1880" w:type="dxa"/>
            <w:vAlign w:val="bottom"/>
            <w:gridSpan w:val="6"/>
          </w:tcPr>
          <w:p>
            <w:pPr>
              <w:ind w:left="20"/>
              <w:spacing w:after="0" w:line="123" w:lineRule="exact"/>
              <w:rPr>
                <w:sz w:val="20"/>
                <w:szCs w:val="20"/>
                <w:color w:val="auto"/>
              </w:rPr>
            </w:pPr>
            <w:r>
              <w:rPr>
                <w:rFonts w:ascii="Arial" w:cs="Arial" w:eastAsia="Arial" w:hAnsi="Arial"/>
                <w:sz w:val="14"/>
                <w:szCs w:val="14"/>
                <w:color w:val="auto"/>
              </w:rPr>
              <w:t>Senior Subordinated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58"/>
        </w:trPr>
        <w:tc>
          <w:tcPr>
            <w:tcW w:w="20" w:type="dxa"/>
            <w:vAlign w:val="bottom"/>
          </w:tcPr>
          <w:p>
            <w:pPr>
              <w:spacing w:after="0"/>
              <w:rPr>
                <w:sz w:val="13"/>
                <w:szCs w:val="13"/>
                <w:color w:val="auto"/>
              </w:rPr>
            </w:pPr>
          </w:p>
        </w:tc>
        <w:tc>
          <w:tcPr>
            <w:tcW w:w="1860" w:type="dxa"/>
            <w:vAlign w:val="bottom"/>
            <w:gridSpan w:val="5"/>
          </w:tcPr>
          <w:p>
            <w:pPr>
              <w:ind w:left="180"/>
              <w:spacing w:after="0" w:line="159" w:lineRule="exact"/>
              <w:rPr>
                <w:sz w:val="20"/>
                <w:szCs w:val="20"/>
                <w:color w:val="auto"/>
              </w:rPr>
            </w:pPr>
            <w:r>
              <w:rPr>
                <w:rFonts w:ascii="Arial" w:cs="Arial" w:eastAsia="Arial" w:hAnsi="Arial"/>
                <w:sz w:val="14"/>
                <w:szCs w:val="14"/>
                <w:color w:val="auto"/>
                <w:w w:val="93"/>
              </w:rPr>
              <w:t>Convertible Promissory Note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98"/>
        </w:trPr>
        <w:tc>
          <w:tcPr>
            <w:tcW w:w="20" w:type="dxa"/>
            <w:vAlign w:val="bottom"/>
          </w:tcPr>
          <w:p>
            <w:pPr>
              <w:spacing w:after="0"/>
              <w:rPr>
                <w:sz w:val="17"/>
                <w:szCs w:val="17"/>
                <w:color w:val="auto"/>
              </w:rPr>
            </w:pPr>
          </w:p>
        </w:tc>
        <w:tc>
          <w:tcPr>
            <w:tcW w:w="1860" w:type="dxa"/>
            <w:vAlign w:val="bottom"/>
            <w:gridSpan w:val="5"/>
          </w:tcPr>
          <w:p>
            <w:pPr>
              <w:ind w:left="180"/>
              <w:spacing w:after="0" w:line="198" w:lineRule="exact"/>
              <w:rPr>
                <w:sz w:val="20"/>
                <w:szCs w:val="20"/>
                <w:color w:val="auto"/>
              </w:rPr>
            </w:pPr>
            <w:r>
              <w:rPr>
                <w:rFonts w:ascii="Arial" w:cs="Arial" w:eastAsia="Arial" w:hAnsi="Arial"/>
                <w:sz w:val="14"/>
                <w:szCs w:val="14"/>
                <w:color w:val="auto"/>
              </w:rPr>
              <w:t>8% Due 11/26/2018 ***</w:t>
            </w:r>
            <w:r>
              <w:rPr>
                <w:rFonts w:ascii="Arial" w:cs="Arial" w:eastAsia="Arial" w:hAnsi="Arial"/>
                <w:sz w:val="22"/>
                <w:szCs w:val="22"/>
                <w:color w:val="auto"/>
                <w:vertAlign w:val="superscript"/>
              </w:rPr>
              <w:t>(4)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21,541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9"/>
              </w:rPr>
              <w:t>1,080,000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ind w:lef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1,080,000</w:t>
            </w:r>
          </w:p>
        </w:tc>
      </w:tr>
      <w:tr>
        <w:trPr>
          <w:trHeight w:val="130"/>
        </w:trPr>
        <w:tc>
          <w:tcPr>
            <w:tcW w:w="1880" w:type="dxa"/>
            <w:vAlign w:val="bottom"/>
            <w:gridSpan w:val="6"/>
            <w:shd w:val="clear" w:color="auto" w:fill="CCEEFF"/>
          </w:tcPr>
          <w:p>
            <w:pPr>
              <w:ind w:left="20"/>
              <w:spacing w:after="0" w:line="130" w:lineRule="exact"/>
              <w:rPr>
                <w:sz w:val="20"/>
                <w:szCs w:val="20"/>
                <w:color w:val="auto"/>
              </w:rPr>
            </w:pPr>
            <w:r>
              <w:rPr>
                <w:rFonts w:ascii="Arial" w:cs="Arial" w:eastAsia="Arial" w:hAnsi="Arial"/>
                <w:sz w:val="14"/>
                <w:szCs w:val="14"/>
                <w:color w:val="auto"/>
              </w:rPr>
              <w:t>Convertible preferred shares,</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67"/>
        </w:trPr>
        <w:tc>
          <w:tcPr>
            <w:tcW w:w="20" w:type="dxa"/>
            <w:vAlign w:val="bottom"/>
            <w:shd w:val="clear" w:color="auto" w:fill="CCEEFF"/>
          </w:tcPr>
          <w:p>
            <w:pPr>
              <w:spacing w:after="0"/>
              <w:rPr>
                <w:sz w:val="14"/>
                <w:szCs w:val="14"/>
                <w:color w:val="auto"/>
              </w:rPr>
            </w:pPr>
          </w:p>
        </w:tc>
        <w:tc>
          <w:tcPr>
            <w:tcW w:w="1860" w:type="dxa"/>
            <w:vAlign w:val="bottom"/>
            <w:gridSpan w:val="5"/>
            <w:shd w:val="clear" w:color="auto" w:fill="CCEEFF"/>
          </w:tcPr>
          <w:p>
            <w:pPr>
              <w:ind w:left="180"/>
              <w:spacing w:after="0"/>
              <w:rPr>
                <w:sz w:val="20"/>
                <w:szCs w:val="20"/>
                <w:color w:val="auto"/>
              </w:rPr>
            </w:pPr>
            <w:r>
              <w:rPr>
                <w:rFonts w:ascii="Arial" w:cs="Arial" w:eastAsia="Arial" w:hAnsi="Arial"/>
                <w:sz w:val="14"/>
                <w:szCs w:val="14"/>
                <w:color w:val="auto"/>
              </w:rPr>
              <w:t>Series D</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775,861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775,861</w:t>
            </w:r>
          </w:p>
        </w:tc>
      </w:tr>
      <w:tr>
        <w:trPr>
          <w:trHeight w:val="130"/>
        </w:trPr>
        <w:tc>
          <w:tcPr>
            <w:tcW w:w="1880" w:type="dxa"/>
            <w:vAlign w:val="bottom"/>
            <w:gridSpan w:val="6"/>
          </w:tcPr>
          <w:p>
            <w:pPr>
              <w:ind w:left="20"/>
              <w:spacing w:after="0" w:line="130" w:lineRule="exact"/>
              <w:rPr>
                <w:sz w:val="20"/>
                <w:szCs w:val="20"/>
                <w:color w:val="auto"/>
              </w:rPr>
            </w:pPr>
            <w:r>
              <w:rPr>
                <w:rFonts w:ascii="Arial" w:cs="Arial" w:eastAsia="Arial" w:hAnsi="Arial"/>
                <w:sz w:val="14"/>
                <w:szCs w:val="14"/>
                <w:color w:val="auto"/>
              </w:rPr>
              <w:t>Convertible preferred shares,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1860" w:type="dxa"/>
            <w:vAlign w:val="bottom"/>
            <w:gridSpan w:val="5"/>
          </w:tcPr>
          <w:p>
            <w:pPr>
              <w:ind w:left="180"/>
              <w:spacing w:after="0"/>
              <w:rPr>
                <w:sz w:val="20"/>
                <w:szCs w:val="20"/>
                <w:color w:val="auto"/>
              </w:rPr>
            </w:pPr>
            <w:r>
              <w:rPr>
                <w:rFonts w:ascii="Arial" w:cs="Arial" w:eastAsia="Arial" w:hAnsi="Arial"/>
                <w:sz w:val="14"/>
                <w:szCs w:val="14"/>
                <w:color w:val="auto"/>
              </w:rPr>
              <w:t>Series C</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9"/>
              </w:rPr>
              <w:t>1,959,127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ind w:lef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(45,643)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1,913,484</w:t>
            </w:r>
          </w:p>
        </w:tc>
      </w:tr>
      <w:tr>
        <w:trPr>
          <w:trHeight w:val="130"/>
        </w:trPr>
        <w:tc>
          <w:tcPr>
            <w:tcW w:w="1880" w:type="dxa"/>
            <w:vAlign w:val="bottom"/>
            <w:gridSpan w:val="6"/>
            <w:shd w:val="clear" w:color="auto" w:fill="CCEEFF"/>
          </w:tcPr>
          <w:p>
            <w:pPr>
              <w:ind w:left="20"/>
              <w:spacing w:after="0" w:line="130" w:lineRule="exact"/>
              <w:rPr>
                <w:sz w:val="20"/>
                <w:szCs w:val="20"/>
                <w:color w:val="auto"/>
              </w:rPr>
            </w:pPr>
            <w:r>
              <w:rPr>
                <w:rFonts w:ascii="Arial" w:cs="Arial" w:eastAsia="Arial" w:hAnsi="Arial"/>
                <w:sz w:val="14"/>
                <w:szCs w:val="14"/>
                <w:color w:val="auto"/>
                <w:w w:val="92"/>
              </w:rPr>
              <w:t>Preferred warrants, $4.59 Strike</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49"/>
        </w:trPr>
        <w:tc>
          <w:tcPr>
            <w:tcW w:w="20" w:type="dxa"/>
            <w:vAlign w:val="bottom"/>
            <w:shd w:val="clear" w:color="auto" w:fill="CCEEFF"/>
          </w:tcPr>
          <w:p>
            <w:pPr>
              <w:spacing w:after="0"/>
              <w:rPr>
                <w:sz w:val="12"/>
                <w:szCs w:val="12"/>
                <w:color w:val="auto"/>
              </w:rPr>
            </w:pPr>
          </w:p>
        </w:tc>
        <w:tc>
          <w:tcPr>
            <w:tcW w:w="1860" w:type="dxa"/>
            <w:vAlign w:val="bottom"/>
            <w:gridSpan w:val="5"/>
            <w:shd w:val="clear" w:color="auto" w:fill="CCEEFF"/>
          </w:tcPr>
          <w:p>
            <w:pPr>
              <w:ind w:left="180"/>
              <w:spacing w:after="0" w:line="149" w:lineRule="exact"/>
              <w:rPr>
                <w:sz w:val="20"/>
                <w:szCs w:val="20"/>
                <w:color w:val="auto"/>
              </w:rPr>
            </w:pPr>
            <w:r>
              <w:rPr>
                <w:rFonts w:ascii="Arial" w:cs="Arial" w:eastAsia="Arial" w:hAnsi="Arial"/>
                <w:sz w:val="14"/>
                <w:szCs w:val="14"/>
                <w:color w:val="auto"/>
              </w:rPr>
              <w:t>Price, Expiration Date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67"/>
        </w:trPr>
        <w:tc>
          <w:tcPr>
            <w:tcW w:w="8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w w:val="79"/>
              </w:rPr>
              <w:t>02/25/2018</w:t>
            </w:r>
          </w:p>
        </w:tc>
        <w:tc>
          <w:tcPr>
            <w:tcW w:w="16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10,142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(7,099)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3,043</w:t>
            </w:r>
          </w:p>
        </w:tc>
      </w:tr>
      <w:tr>
        <w:trPr>
          <w:trHeight w:val="135"/>
        </w:trPr>
        <w:tc>
          <w:tcPr>
            <w:tcW w:w="1880" w:type="dxa"/>
            <w:vAlign w:val="bottom"/>
            <w:gridSpan w:val="6"/>
          </w:tcPr>
          <w:p>
            <w:pPr>
              <w:ind w:left="20"/>
              <w:spacing w:after="0" w:line="135" w:lineRule="exact"/>
              <w:rPr>
                <w:sz w:val="20"/>
                <w:szCs w:val="20"/>
                <w:color w:val="auto"/>
              </w:rPr>
            </w:pPr>
            <w:r>
              <w:rPr>
                <w:rFonts w:ascii="Arial" w:cs="Arial" w:eastAsia="Arial" w:hAnsi="Arial"/>
                <w:sz w:val="14"/>
                <w:szCs w:val="14"/>
                <w:b w:val="1"/>
                <w:bCs w:val="1"/>
                <w:color w:val="auto"/>
              </w:rPr>
              <w:t>Curious.com Inc.</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42"/>
        </w:trPr>
        <w:tc>
          <w:tcPr>
            <w:tcW w:w="1880" w:type="dxa"/>
            <w:vAlign w:val="bottom"/>
            <w:gridSpan w:val="6"/>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9,996,311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ind w:left="44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2,000,003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ind w:left="280"/>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29"/>
              <w:spacing w:after="0" w:line="142" w:lineRule="exact"/>
              <w:rPr>
                <w:sz w:val="20"/>
                <w:szCs w:val="20"/>
                <w:color w:val="auto"/>
              </w:rPr>
            </w:pPr>
            <w:r>
              <w:rPr>
                <w:rFonts w:ascii="Arial" w:cs="Arial" w:eastAsia="Arial" w:hAnsi="Arial"/>
                <w:sz w:val="14"/>
                <w:szCs w:val="14"/>
                <w:color w:val="auto"/>
              </w:rPr>
              <w:t>(738)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11,995,576</w:t>
            </w:r>
          </w:p>
        </w:tc>
      </w:tr>
      <w:tr>
        <w:trPr>
          <w:trHeight w:val="135"/>
        </w:trPr>
        <w:tc>
          <w:tcPr>
            <w:tcW w:w="1880" w:type="dxa"/>
            <w:vAlign w:val="bottom"/>
            <w:gridSpan w:val="6"/>
          </w:tcPr>
          <w:p>
            <w:pPr>
              <w:ind w:left="20"/>
              <w:spacing w:after="0" w:line="135" w:lineRule="exact"/>
              <w:rPr>
                <w:sz w:val="20"/>
                <w:szCs w:val="20"/>
                <w:color w:val="auto"/>
              </w:rPr>
            </w:pPr>
            <w:r>
              <w:rPr>
                <w:rFonts w:ascii="Arial" w:cs="Arial" w:eastAsia="Arial" w:hAnsi="Arial"/>
                <w:sz w:val="14"/>
                <w:szCs w:val="14"/>
                <w:b w:val="1"/>
                <w:bCs w:val="1"/>
                <w:color w:val="auto"/>
              </w:rPr>
              <w:t>Declara, Inc.</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23"/>
        </w:trPr>
        <w:tc>
          <w:tcPr>
            <w:tcW w:w="1880" w:type="dxa"/>
            <w:vAlign w:val="bottom"/>
            <w:gridSpan w:val="6"/>
            <w:shd w:val="clear" w:color="auto" w:fill="CCEEFF"/>
          </w:tcPr>
          <w:p>
            <w:pPr>
              <w:ind w:left="20"/>
              <w:spacing w:after="0" w:line="123" w:lineRule="exact"/>
              <w:rPr>
                <w:sz w:val="20"/>
                <w:szCs w:val="20"/>
                <w:color w:val="auto"/>
              </w:rPr>
            </w:pPr>
            <w:r>
              <w:rPr>
                <w:rFonts w:ascii="Arial" w:cs="Arial" w:eastAsia="Arial" w:hAnsi="Arial"/>
                <w:sz w:val="14"/>
                <w:szCs w:val="14"/>
                <w:color w:val="auto"/>
              </w:rPr>
              <w:t>Convertible Promissory Note</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r>
      <w:tr>
        <w:trPr>
          <w:trHeight w:val="167"/>
        </w:trPr>
        <w:tc>
          <w:tcPr>
            <w:tcW w:w="20" w:type="dxa"/>
            <w:vAlign w:val="bottom"/>
            <w:shd w:val="clear" w:color="auto" w:fill="CCEEFF"/>
          </w:tcPr>
          <w:p>
            <w:pPr>
              <w:spacing w:after="0"/>
              <w:rPr>
                <w:sz w:val="14"/>
                <w:szCs w:val="14"/>
                <w:color w:val="auto"/>
              </w:rPr>
            </w:pPr>
          </w:p>
        </w:tc>
        <w:tc>
          <w:tcPr>
            <w:tcW w:w="1860" w:type="dxa"/>
            <w:vAlign w:val="bottom"/>
            <w:gridSpan w:val="5"/>
            <w:shd w:val="clear" w:color="auto" w:fill="CCEEFF"/>
          </w:tcPr>
          <w:p>
            <w:pPr>
              <w:ind w:left="180"/>
              <w:spacing w:after="0"/>
              <w:rPr>
                <w:sz w:val="20"/>
                <w:szCs w:val="20"/>
                <w:color w:val="auto"/>
              </w:rPr>
            </w:pPr>
            <w:r>
              <w:rPr>
                <w:rFonts w:ascii="Arial" w:cs="Arial" w:eastAsia="Arial" w:hAnsi="Arial"/>
                <w:sz w:val="14"/>
                <w:szCs w:val="14"/>
                <w:color w:val="auto"/>
              </w:rPr>
              <w:t>6% Due 12/30/16***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29,918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2,000,000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2,000,000</w:t>
            </w:r>
          </w:p>
        </w:tc>
      </w:tr>
      <w:tr>
        <w:trPr>
          <w:trHeight w:val="149"/>
        </w:trPr>
        <w:tc>
          <w:tcPr>
            <w:tcW w:w="1880" w:type="dxa"/>
            <w:vAlign w:val="bottom"/>
            <w:gridSpan w:val="6"/>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9"/>
              </w:rPr>
              <w:t>9,999,999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9,999,999</w:t>
            </w:r>
          </w:p>
        </w:tc>
      </w:tr>
      <w:tr>
        <w:trPr>
          <w:trHeight w:val="135"/>
        </w:trPr>
        <w:tc>
          <w:tcPr>
            <w:tcW w:w="1880" w:type="dxa"/>
            <w:vAlign w:val="bottom"/>
            <w:gridSpan w:val="6"/>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EdSurge, Inc.</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r>
      <w:tr>
        <w:trPr>
          <w:trHeight w:val="142"/>
        </w:trPr>
        <w:tc>
          <w:tcPr>
            <w:tcW w:w="1880" w:type="dxa"/>
            <w:vAlign w:val="bottom"/>
            <w:gridSpan w:val="6"/>
          </w:tcPr>
          <w:p>
            <w:pPr>
              <w:ind w:left="20"/>
              <w:spacing w:after="0" w:line="142" w:lineRule="exact"/>
              <w:rPr>
                <w:sz w:val="20"/>
                <w:szCs w:val="20"/>
                <w:color w:val="auto"/>
              </w:rPr>
            </w:pPr>
            <w:r>
              <w:rPr>
                <w:rFonts w:ascii="Arial" w:cs="Arial" w:eastAsia="Arial" w:hAnsi="Arial"/>
                <w:sz w:val="14"/>
                <w:szCs w:val="14"/>
                <w:color w:val="auto"/>
              </w:rPr>
              <w:t>Preferred shares, Series A-1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9"/>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500,000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ind w:left="44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rPr>
              <w:t>400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ind w:left="280"/>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9"/>
              <w:spacing w:after="0" w:line="142" w:lineRule="exact"/>
              <w:rPr>
                <w:sz w:val="20"/>
                <w:szCs w:val="20"/>
                <w:color w:val="auto"/>
              </w:rPr>
            </w:pPr>
            <w:r>
              <w:rPr>
                <w:rFonts w:ascii="Arial" w:cs="Arial" w:eastAsia="Arial" w:hAnsi="Arial"/>
                <w:sz w:val="14"/>
                <w:szCs w:val="14"/>
                <w:color w:val="auto"/>
              </w:rPr>
              <w:t>1,282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501,682</w:t>
            </w:r>
          </w:p>
        </w:tc>
      </w:tr>
      <w:tr>
        <w:trPr>
          <w:trHeight w:val="149"/>
        </w:trPr>
        <w:tc>
          <w:tcPr>
            <w:tcW w:w="1880" w:type="dxa"/>
            <w:vAlign w:val="bottom"/>
            <w:gridSpan w:val="6"/>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524,867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1,765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526,632</w:t>
            </w:r>
          </w:p>
        </w:tc>
      </w:tr>
      <w:tr>
        <w:trPr>
          <w:trHeight w:val="135"/>
        </w:trPr>
        <w:tc>
          <w:tcPr>
            <w:tcW w:w="1880" w:type="dxa"/>
            <w:vAlign w:val="bottom"/>
            <w:gridSpan w:val="6"/>
          </w:tcPr>
          <w:p>
            <w:pPr>
              <w:ind w:left="20"/>
              <w:spacing w:after="0" w:line="135" w:lineRule="exact"/>
              <w:rPr>
                <w:sz w:val="20"/>
                <w:szCs w:val="20"/>
                <w:color w:val="auto"/>
              </w:rPr>
            </w:pPr>
            <w:r>
              <w:rPr>
                <w:rFonts w:ascii="Arial" w:cs="Arial" w:eastAsia="Arial" w:hAnsi="Arial"/>
                <w:sz w:val="14"/>
                <w:szCs w:val="14"/>
                <w:b w:val="1"/>
                <w:bCs w:val="1"/>
                <w:color w:val="auto"/>
              </w:rPr>
              <w:t>Fullbridge, Inc.</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23"/>
        </w:trPr>
        <w:tc>
          <w:tcPr>
            <w:tcW w:w="1880" w:type="dxa"/>
            <w:vAlign w:val="bottom"/>
            <w:gridSpan w:val="6"/>
            <w:shd w:val="clear" w:color="auto" w:fill="CCEEFF"/>
          </w:tcPr>
          <w:p>
            <w:pPr>
              <w:ind w:left="20"/>
              <w:spacing w:after="0" w:line="123" w:lineRule="exact"/>
              <w:rPr>
                <w:sz w:val="20"/>
                <w:szCs w:val="20"/>
                <w:color w:val="auto"/>
              </w:rPr>
            </w:pPr>
            <w:r>
              <w:rPr>
                <w:rFonts w:ascii="Arial" w:cs="Arial" w:eastAsia="Arial" w:hAnsi="Arial"/>
                <w:sz w:val="14"/>
                <w:szCs w:val="14"/>
                <w:color w:val="auto"/>
              </w:rPr>
              <w:t>Convertible Promissory Note,</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r>
      <w:tr>
        <w:trPr>
          <w:trHeight w:val="167"/>
        </w:trPr>
        <w:tc>
          <w:tcPr>
            <w:tcW w:w="20" w:type="dxa"/>
            <w:vAlign w:val="bottom"/>
            <w:shd w:val="clear" w:color="auto" w:fill="CCEEFF"/>
          </w:tcPr>
          <w:p>
            <w:pPr>
              <w:spacing w:after="0"/>
              <w:rPr>
                <w:sz w:val="14"/>
                <w:szCs w:val="14"/>
                <w:color w:val="auto"/>
              </w:rPr>
            </w:pPr>
          </w:p>
        </w:tc>
        <w:tc>
          <w:tcPr>
            <w:tcW w:w="1860" w:type="dxa"/>
            <w:vAlign w:val="bottom"/>
            <w:gridSpan w:val="5"/>
            <w:shd w:val="clear" w:color="auto" w:fill="CCEEFF"/>
          </w:tcPr>
          <w:p>
            <w:pPr>
              <w:ind w:left="180"/>
              <w:spacing w:after="0"/>
              <w:rPr>
                <w:sz w:val="20"/>
                <w:szCs w:val="20"/>
                <w:color w:val="auto"/>
              </w:rPr>
            </w:pPr>
            <w:r>
              <w:rPr>
                <w:rFonts w:ascii="Arial" w:cs="Arial" w:eastAsia="Arial" w:hAnsi="Arial"/>
                <w:sz w:val="14"/>
                <w:szCs w:val="14"/>
                <w:color w:val="auto"/>
              </w:rPr>
              <w:t>10% Due 3/02/2016***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35,340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1,020,859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10,048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(401)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1,030,506</w:t>
            </w:r>
          </w:p>
        </w:tc>
      </w:tr>
      <w:tr>
        <w:trPr>
          <w:trHeight w:val="130"/>
        </w:trPr>
        <w:tc>
          <w:tcPr>
            <w:tcW w:w="1880" w:type="dxa"/>
            <w:vAlign w:val="bottom"/>
            <w:gridSpan w:val="6"/>
          </w:tcPr>
          <w:p>
            <w:pPr>
              <w:ind w:left="20"/>
              <w:spacing w:after="0" w:line="130" w:lineRule="exact"/>
              <w:rPr>
                <w:sz w:val="20"/>
                <w:szCs w:val="20"/>
                <w:color w:val="auto"/>
              </w:rPr>
            </w:pPr>
            <w:r>
              <w:rPr>
                <w:rFonts w:ascii="Arial" w:cs="Arial" w:eastAsia="Arial" w:hAnsi="Arial"/>
                <w:sz w:val="14"/>
                <w:szCs w:val="14"/>
                <w:color w:val="auto"/>
              </w:rPr>
              <w:t>Convertible Promissory Note,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1860" w:type="dxa"/>
            <w:vAlign w:val="bottom"/>
            <w:gridSpan w:val="5"/>
          </w:tcPr>
          <w:p>
            <w:pPr>
              <w:ind w:left="180"/>
              <w:spacing w:after="0"/>
              <w:rPr>
                <w:sz w:val="20"/>
                <w:szCs w:val="20"/>
                <w:color w:val="auto"/>
              </w:rPr>
            </w:pPr>
            <w:r>
              <w:rPr>
                <w:rFonts w:ascii="Arial" w:cs="Arial" w:eastAsia="Arial" w:hAnsi="Arial"/>
                <w:sz w:val="14"/>
                <w:szCs w:val="14"/>
                <w:color w:val="auto"/>
              </w:rPr>
              <w:t>10% Due 3/14/2017***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4,931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ind w:lef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89"/>
              </w:rPr>
              <w:t>1,000,000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1,000,000</w:t>
            </w:r>
          </w:p>
        </w:tc>
      </w:tr>
      <w:tr>
        <w:trPr>
          <w:trHeight w:val="149"/>
        </w:trPr>
        <w:tc>
          <w:tcPr>
            <w:tcW w:w="1880" w:type="dxa"/>
            <w:vAlign w:val="bottom"/>
            <w:gridSpan w:val="6"/>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D</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3,111,714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(538,969)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2,573,785</w:t>
            </w:r>
          </w:p>
        </w:tc>
      </w:tr>
      <w:tr>
        <w:trPr>
          <w:trHeight w:val="149"/>
        </w:trPr>
        <w:tc>
          <w:tcPr>
            <w:tcW w:w="1880" w:type="dxa"/>
            <w:vAlign w:val="bottom"/>
            <w:gridSpan w:val="6"/>
          </w:tcPr>
          <w:p>
            <w:pPr>
              <w:ind w:left="20"/>
              <w:spacing w:after="0" w:line="149" w:lineRule="exact"/>
              <w:rPr>
                <w:sz w:val="20"/>
                <w:szCs w:val="20"/>
                <w:color w:val="auto"/>
              </w:rPr>
            </w:pPr>
            <w:r>
              <w:rPr>
                <w:rFonts w:ascii="Arial" w:cs="Arial" w:eastAsia="Arial" w:hAnsi="Arial"/>
                <w:sz w:val="14"/>
                <w:szCs w:val="14"/>
                <w:color w:val="auto"/>
              </w:rPr>
              <w:t>Preferred shares, Series C</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9"/>
              </w:rPr>
              <w:t>1,625,001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29"/>
              <w:spacing w:after="0" w:line="149" w:lineRule="exact"/>
              <w:rPr>
                <w:sz w:val="20"/>
                <w:szCs w:val="20"/>
                <w:color w:val="auto"/>
              </w:rPr>
            </w:pPr>
            <w:r>
              <w:rPr>
                <w:rFonts w:ascii="Arial" w:cs="Arial" w:eastAsia="Arial" w:hAnsi="Arial"/>
                <w:sz w:val="14"/>
                <w:szCs w:val="14"/>
                <w:color w:val="auto"/>
              </w:rPr>
              <w:t>(280,918)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1,344,083</w:t>
            </w:r>
          </w:p>
        </w:tc>
      </w:tr>
      <w:tr>
        <w:trPr>
          <w:trHeight w:val="130"/>
        </w:trPr>
        <w:tc>
          <w:tcPr>
            <w:tcW w:w="1880" w:type="dxa"/>
            <w:vAlign w:val="bottom"/>
            <w:gridSpan w:val="6"/>
            <w:shd w:val="clear" w:color="auto" w:fill="CCEEFF"/>
          </w:tcPr>
          <w:p>
            <w:pPr>
              <w:ind w:left="20"/>
              <w:spacing w:after="0" w:line="130" w:lineRule="exact"/>
              <w:rPr>
                <w:sz w:val="20"/>
                <w:szCs w:val="20"/>
                <w:color w:val="auto"/>
              </w:rPr>
            </w:pPr>
            <w:r>
              <w:rPr>
                <w:rFonts w:ascii="Arial" w:cs="Arial" w:eastAsia="Arial" w:hAnsi="Arial"/>
                <w:sz w:val="14"/>
                <w:szCs w:val="14"/>
                <w:color w:val="auto"/>
                <w:w w:val="93"/>
              </w:rPr>
              <w:t>Common warrants, $0.91 Strike</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49"/>
        </w:trPr>
        <w:tc>
          <w:tcPr>
            <w:tcW w:w="20" w:type="dxa"/>
            <w:vAlign w:val="bottom"/>
            <w:shd w:val="clear" w:color="auto" w:fill="CCEEFF"/>
          </w:tcPr>
          <w:p>
            <w:pPr>
              <w:spacing w:after="0"/>
              <w:rPr>
                <w:sz w:val="12"/>
                <w:szCs w:val="12"/>
                <w:color w:val="auto"/>
              </w:rPr>
            </w:pPr>
          </w:p>
        </w:tc>
        <w:tc>
          <w:tcPr>
            <w:tcW w:w="1860" w:type="dxa"/>
            <w:vAlign w:val="bottom"/>
            <w:gridSpan w:val="5"/>
            <w:shd w:val="clear" w:color="auto" w:fill="CCEEFF"/>
          </w:tcPr>
          <w:p>
            <w:pPr>
              <w:ind w:left="180"/>
              <w:spacing w:after="0" w:line="149" w:lineRule="exact"/>
              <w:rPr>
                <w:sz w:val="20"/>
                <w:szCs w:val="20"/>
                <w:color w:val="auto"/>
              </w:rPr>
            </w:pPr>
            <w:r>
              <w:rPr>
                <w:rFonts w:ascii="Arial" w:cs="Arial" w:eastAsia="Arial" w:hAnsi="Arial"/>
                <w:sz w:val="14"/>
                <w:szCs w:val="14"/>
                <w:color w:val="auto"/>
              </w:rPr>
              <w:t>Price, Expiration Date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67"/>
        </w:trPr>
        <w:tc>
          <w:tcPr>
            <w:tcW w:w="8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w w:val="89"/>
              </w:rPr>
              <w:t>3/02/2020</w:t>
            </w:r>
          </w:p>
        </w:tc>
        <w:tc>
          <w:tcPr>
            <w:tcW w:w="16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8,493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11,324</w:t>
            </w:r>
          </w:p>
        </w:tc>
      </w:tr>
      <w:tr>
        <w:trPr>
          <w:trHeight w:val="130"/>
        </w:trPr>
        <w:tc>
          <w:tcPr>
            <w:tcW w:w="1880" w:type="dxa"/>
            <w:vAlign w:val="bottom"/>
            <w:gridSpan w:val="6"/>
          </w:tcPr>
          <w:p>
            <w:pPr>
              <w:ind w:left="20"/>
              <w:spacing w:after="0" w:line="130" w:lineRule="exact"/>
              <w:rPr>
                <w:sz w:val="20"/>
                <w:szCs w:val="20"/>
                <w:color w:val="auto"/>
              </w:rPr>
            </w:pPr>
            <w:r>
              <w:rPr>
                <w:rFonts w:ascii="Arial" w:cs="Arial" w:eastAsia="Arial" w:hAnsi="Arial"/>
                <w:sz w:val="14"/>
                <w:szCs w:val="14"/>
                <w:color w:val="auto"/>
                <w:w w:val="93"/>
              </w:rPr>
              <w:t>Common warrants, $0.91 Strike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860" w:type="dxa"/>
            <w:vAlign w:val="bottom"/>
            <w:gridSpan w:val="5"/>
          </w:tcPr>
          <w:p>
            <w:pPr>
              <w:ind w:left="180"/>
              <w:spacing w:after="0" w:line="149" w:lineRule="exact"/>
              <w:rPr>
                <w:sz w:val="20"/>
                <w:szCs w:val="20"/>
                <w:color w:val="auto"/>
              </w:rPr>
            </w:pPr>
            <w:r>
              <w:rPr>
                <w:rFonts w:ascii="Arial" w:cs="Arial" w:eastAsia="Arial" w:hAnsi="Arial"/>
                <w:sz w:val="14"/>
                <w:szCs w:val="14"/>
                <w:color w:val="auto"/>
              </w:rPr>
              <w:t>Price, Expiration Date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7"/>
        </w:trPr>
        <w:tc>
          <w:tcPr>
            <w:tcW w:w="800" w:type="dxa"/>
            <w:vAlign w:val="bottom"/>
            <w:gridSpan w:val="2"/>
          </w:tcPr>
          <w:p>
            <w:pPr>
              <w:ind w:left="200"/>
              <w:spacing w:after="0"/>
              <w:rPr>
                <w:sz w:val="20"/>
                <w:szCs w:val="20"/>
                <w:color w:val="auto"/>
              </w:rPr>
            </w:pPr>
            <w:r>
              <w:rPr>
                <w:rFonts w:ascii="Arial" w:cs="Arial" w:eastAsia="Arial" w:hAnsi="Arial"/>
                <w:sz w:val="14"/>
                <w:szCs w:val="14"/>
                <w:color w:val="auto"/>
                <w:w w:val="89"/>
              </w:rPr>
              <w:t>3/22/2020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1,862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ind w:lef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5,585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7,447</w:t>
            </w:r>
          </w:p>
        </w:tc>
      </w:tr>
      <w:tr>
        <w:trPr>
          <w:trHeight w:val="130"/>
        </w:trPr>
        <w:tc>
          <w:tcPr>
            <w:tcW w:w="1880" w:type="dxa"/>
            <w:vAlign w:val="bottom"/>
            <w:gridSpan w:val="6"/>
            <w:shd w:val="clear" w:color="auto" w:fill="CCEEFF"/>
          </w:tcPr>
          <w:p>
            <w:pPr>
              <w:ind w:left="20"/>
              <w:spacing w:after="0" w:line="130" w:lineRule="exact"/>
              <w:rPr>
                <w:sz w:val="20"/>
                <w:szCs w:val="20"/>
                <w:color w:val="auto"/>
              </w:rPr>
            </w:pPr>
            <w:r>
              <w:rPr>
                <w:rFonts w:ascii="Arial" w:cs="Arial" w:eastAsia="Arial" w:hAnsi="Arial"/>
                <w:sz w:val="14"/>
                <w:szCs w:val="14"/>
                <w:color w:val="auto"/>
                <w:w w:val="93"/>
              </w:rPr>
              <w:t>Common warrants, $0.91 Strike</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49"/>
        </w:trPr>
        <w:tc>
          <w:tcPr>
            <w:tcW w:w="20" w:type="dxa"/>
            <w:vAlign w:val="bottom"/>
            <w:shd w:val="clear" w:color="auto" w:fill="CCEEFF"/>
          </w:tcPr>
          <w:p>
            <w:pPr>
              <w:spacing w:after="0"/>
              <w:rPr>
                <w:sz w:val="12"/>
                <w:szCs w:val="12"/>
                <w:color w:val="auto"/>
              </w:rPr>
            </w:pPr>
          </w:p>
        </w:tc>
        <w:tc>
          <w:tcPr>
            <w:tcW w:w="1860" w:type="dxa"/>
            <w:vAlign w:val="bottom"/>
            <w:gridSpan w:val="5"/>
            <w:shd w:val="clear" w:color="auto" w:fill="CCEEFF"/>
          </w:tcPr>
          <w:p>
            <w:pPr>
              <w:ind w:left="180"/>
              <w:spacing w:after="0" w:line="149" w:lineRule="exact"/>
              <w:rPr>
                <w:sz w:val="20"/>
                <w:szCs w:val="20"/>
                <w:color w:val="auto"/>
              </w:rPr>
            </w:pPr>
            <w:r>
              <w:rPr>
                <w:rFonts w:ascii="Arial" w:cs="Arial" w:eastAsia="Arial" w:hAnsi="Arial"/>
                <w:sz w:val="14"/>
                <w:szCs w:val="14"/>
                <w:color w:val="auto"/>
              </w:rPr>
              <w:t>Price, Expiration Date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67"/>
        </w:trPr>
        <w:tc>
          <w:tcPr>
            <w:tcW w:w="8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w w:val="89"/>
              </w:rPr>
              <w:t>5/16/2019</w:t>
            </w:r>
          </w:p>
        </w:tc>
        <w:tc>
          <w:tcPr>
            <w:tcW w:w="16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5,769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7,692</w:t>
            </w:r>
          </w:p>
        </w:tc>
      </w:tr>
      <w:tr>
        <w:trPr>
          <w:trHeight w:val="130"/>
        </w:trPr>
        <w:tc>
          <w:tcPr>
            <w:tcW w:w="1880" w:type="dxa"/>
            <w:vAlign w:val="bottom"/>
            <w:gridSpan w:val="6"/>
          </w:tcPr>
          <w:p>
            <w:pPr>
              <w:ind w:left="20"/>
              <w:spacing w:after="0" w:line="130" w:lineRule="exact"/>
              <w:rPr>
                <w:sz w:val="20"/>
                <w:szCs w:val="20"/>
                <w:color w:val="auto"/>
              </w:rPr>
            </w:pPr>
            <w:r>
              <w:rPr>
                <w:rFonts w:ascii="Arial" w:cs="Arial" w:eastAsia="Arial" w:hAnsi="Arial"/>
                <w:sz w:val="14"/>
                <w:szCs w:val="14"/>
                <w:color w:val="auto"/>
                <w:w w:val="93"/>
              </w:rPr>
              <w:t>Common warrants, $0.91 Strike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860" w:type="dxa"/>
            <w:vAlign w:val="bottom"/>
            <w:gridSpan w:val="5"/>
          </w:tcPr>
          <w:p>
            <w:pPr>
              <w:ind w:left="180"/>
              <w:spacing w:after="0" w:line="149" w:lineRule="exact"/>
              <w:rPr>
                <w:sz w:val="20"/>
                <w:szCs w:val="20"/>
                <w:color w:val="auto"/>
              </w:rPr>
            </w:pPr>
            <w:r>
              <w:rPr>
                <w:rFonts w:ascii="Arial" w:cs="Arial" w:eastAsia="Arial" w:hAnsi="Arial"/>
                <w:sz w:val="14"/>
                <w:szCs w:val="14"/>
                <w:color w:val="auto"/>
              </w:rPr>
              <w:t>Price, Expiration Date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7"/>
        </w:trPr>
        <w:tc>
          <w:tcPr>
            <w:tcW w:w="800" w:type="dxa"/>
            <w:vAlign w:val="bottom"/>
            <w:gridSpan w:val="2"/>
          </w:tcPr>
          <w:p>
            <w:pPr>
              <w:ind w:left="200"/>
              <w:spacing w:after="0"/>
              <w:rPr>
                <w:sz w:val="20"/>
                <w:szCs w:val="20"/>
                <w:color w:val="auto"/>
              </w:rPr>
            </w:pPr>
            <w:r>
              <w:rPr>
                <w:rFonts w:ascii="Arial" w:cs="Arial" w:eastAsia="Arial" w:hAnsi="Arial"/>
                <w:sz w:val="14"/>
                <w:szCs w:val="14"/>
                <w:color w:val="auto"/>
              </w:rPr>
              <w:t>4/3/2019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4,121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ind w:lef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12,363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16,484</w:t>
            </w:r>
          </w:p>
        </w:tc>
      </w:tr>
      <w:tr>
        <w:trPr>
          <w:trHeight w:val="130"/>
        </w:trPr>
        <w:tc>
          <w:tcPr>
            <w:tcW w:w="1880" w:type="dxa"/>
            <w:vAlign w:val="bottom"/>
            <w:gridSpan w:val="6"/>
            <w:shd w:val="clear" w:color="auto" w:fill="CCEEFF"/>
          </w:tcPr>
          <w:p>
            <w:pPr>
              <w:ind w:left="20"/>
              <w:spacing w:after="0" w:line="130" w:lineRule="exact"/>
              <w:rPr>
                <w:sz w:val="20"/>
                <w:szCs w:val="20"/>
                <w:color w:val="auto"/>
              </w:rPr>
            </w:pPr>
            <w:r>
              <w:rPr>
                <w:rFonts w:ascii="Arial" w:cs="Arial" w:eastAsia="Arial" w:hAnsi="Arial"/>
                <w:sz w:val="14"/>
                <w:szCs w:val="14"/>
                <w:color w:val="auto"/>
                <w:w w:val="93"/>
              </w:rPr>
              <w:t>Common warrants, $0.91 Strike</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49"/>
        </w:trPr>
        <w:tc>
          <w:tcPr>
            <w:tcW w:w="20" w:type="dxa"/>
            <w:vAlign w:val="bottom"/>
            <w:shd w:val="clear" w:color="auto" w:fill="CCEEFF"/>
          </w:tcPr>
          <w:p>
            <w:pPr>
              <w:spacing w:after="0"/>
              <w:rPr>
                <w:sz w:val="12"/>
                <w:szCs w:val="12"/>
                <w:color w:val="auto"/>
              </w:rPr>
            </w:pPr>
          </w:p>
        </w:tc>
        <w:tc>
          <w:tcPr>
            <w:tcW w:w="1860" w:type="dxa"/>
            <w:vAlign w:val="bottom"/>
            <w:gridSpan w:val="5"/>
            <w:shd w:val="clear" w:color="auto" w:fill="CCEEFF"/>
          </w:tcPr>
          <w:p>
            <w:pPr>
              <w:ind w:left="180"/>
              <w:spacing w:after="0" w:line="149" w:lineRule="exact"/>
              <w:rPr>
                <w:sz w:val="20"/>
                <w:szCs w:val="20"/>
                <w:color w:val="auto"/>
              </w:rPr>
            </w:pPr>
            <w:r>
              <w:rPr>
                <w:rFonts w:ascii="Arial" w:cs="Arial" w:eastAsia="Arial" w:hAnsi="Arial"/>
                <w:sz w:val="14"/>
                <w:szCs w:val="14"/>
                <w:color w:val="auto"/>
              </w:rPr>
              <w:t>Price, Expiration Date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67"/>
        </w:trPr>
        <w:tc>
          <w:tcPr>
            <w:tcW w:w="8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w w:val="79"/>
              </w:rPr>
              <w:t>10/10/2018</w:t>
            </w:r>
          </w:p>
        </w:tc>
        <w:tc>
          <w:tcPr>
            <w:tcW w:w="16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1,649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2,473</w:t>
            </w:r>
          </w:p>
        </w:tc>
      </w:tr>
      <w:tr>
        <w:trPr>
          <w:trHeight w:val="130"/>
        </w:trPr>
        <w:tc>
          <w:tcPr>
            <w:tcW w:w="1880" w:type="dxa"/>
            <w:vAlign w:val="bottom"/>
            <w:gridSpan w:val="6"/>
          </w:tcPr>
          <w:p>
            <w:pPr>
              <w:ind w:left="20"/>
              <w:spacing w:after="0" w:line="130" w:lineRule="exact"/>
              <w:rPr>
                <w:sz w:val="20"/>
                <w:szCs w:val="20"/>
                <w:color w:val="auto"/>
              </w:rPr>
            </w:pPr>
            <w:r>
              <w:rPr>
                <w:rFonts w:ascii="Arial" w:cs="Arial" w:eastAsia="Arial" w:hAnsi="Arial"/>
                <w:sz w:val="14"/>
                <w:szCs w:val="14"/>
                <w:color w:val="auto"/>
                <w:w w:val="93"/>
              </w:rPr>
              <w:t>Common warrants, $0.91 Strike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860" w:type="dxa"/>
            <w:vAlign w:val="bottom"/>
            <w:gridSpan w:val="5"/>
          </w:tcPr>
          <w:p>
            <w:pPr>
              <w:ind w:left="180"/>
              <w:spacing w:after="0" w:line="149" w:lineRule="exact"/>
              <w:rPr>
                <w:sz w:val="20"/>
                <w:szCs w:val="20"/>
                <w:color w:val="auto"/>
              </w:rPr>
            </w:pPr>
            <w:r>
              <w:rPr>
                <w:rFonts w:ascii="Arial" w:cs="Arial" w:eastAsia="Arial" w:hAnsi="Arial"/>
                <w:sz w:val="14"/>
                <w:szCs w:val="14"/>
                <w:color w:val="auto"/>
              </w:rPr>
              <w:t>Price, Expiration Date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7"/>
        </w:trPr>
        <w:tc>
          <w:tcPr>
            <w:tcW w:w="800" w:type="dxa"/>
            <w:vAlign w:val="bottom"/>
            <w:gridSpan w:val="2"/>
          </w:tcPr>
          <w:p>
            <w:pPr>
              <w:ind w:left="200"/>
              <w:spacing w:after="0"/>
              <w:rPr>
                <w:sz w:val="20"/>
                <w:szCs w:val="20"/>
                <w:color w:val="auto"/>
              </w:rPr>
            </w:pPr>
            <w:r>
              <w:rPr>
                <w:rFonts w:ascii="Arial" w:cs="Arial" w:eastAsia="Arial" w:hAnsi="Arial"/>
                <w:sz w:val="14"/>
                <w:szCs w:val="14"/>
                <w:color w:val="auto"/>
                <w:w w:val="79"/>
              </w:rPr>
              <w:t>12/11/2018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824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ind w:lef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1,649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2,473</w:t>
            </w:r>
          </w:p>
        </w:tc>
      </w:tr>
      <w:tr>
        <w:trPr>
          <w:trHeight w:val="130"/>
        </w:trPr>
        <w:tc>
          <w:tcPr>
            <w:tcW w:w="1880" w:type="dxa"/>
            <w:vAlign w:val="bottom"/>
            <w:gridSpan w:val="6"/>
            <w:shd w:val="clear" w:color="auto" w:fill="CCEEFF"/>
          </w:tcPr>
          <w:p>
            <w:pPr>
              <w:ind w:left="20"/>
              <w:spacing w:after="0" w:line="130" w:lineRule="exact"/>
              <w:rPr>
                <w:sz w:val="20"/>
                <w:szCs w:val="20"/>
                <w:color w:val="auto"/>
              </w:rPr>
            </w:pPr>
            <w:r>
              <w:rPr>
                <w:rFonts w:ascii="Arial" w:cs="Arial" w:eastAsia="Arial" w:hAnsi="Arial"/>
                <w:sz w:val="14"/>
                <w:szCs w:val="14"/>
                <w:color w:val="auto"/>
                <w:w w:val="93"/>
              </w:rPr>
              <w:t>Common warrants, $0.91 Strike</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49"/>
        </w:trPr>
        <w:tc>
          <w:tcPr>
            <w:tcW w:w="20" w:type="dxa"/>
            <w:vAlign w:val="bottom"/>
            <w:shd w:val="clear" w:color="auto" w:fill="CCEEFF"/>
          </w:tcPr>
          <w:p>
            <w:pPr>
              <w:spacing w:after="0"/>
              <w:rPr>
                <w:sz w:val="12"/>
                <w:szCs w:val="12"/>
                <w:color w:val="auto"/>
              </w:rPr>
            </w:pPr>
          </w:p>
        </w:tc>
        <w:tc>
          <w:tcPr>
            <w:tcW w:w="1860" w:type="dxa"/>
            <w:vAlign w:val="bottom"/>
            <w:gridSpan w:val="5"/>
            <w:shd w:val="clear" w:color="auto" w:fill="CCEEFF"/>
          </w:tcPr>
          <w:p>
            <w:pPr>
              <w:ind w:left="180"/>
              <w:spacing w:after="0" w:line="149" w:lineRule="exact"/>
              <w:rPr>
                <w:sz w:val="20"/>
                <w:szCs w:val="20"/>
                <w:color w:val="auto"/>
              </w:rPr>
            </w:pPr>
            <w:r>
              <w:rPr>
                <w:rFonts w:ascii="Arial" w:cs="Arial" w:eastAsia="Arial" w:hAnsi="Arial"/>
                <w:sz w:val="14"/>
                <w:szCs w:val="14"/>
                <w:color w:val="auto"/>
              </w:rPr>
              <w:t>Price, Expiration Date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67"/>
        </w:trPr>
        <w:tc>
          <w:tcPr>
            <w:tcW w:w="8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w w:val="89"/>
              </w:rPr>
              <w:t>2/18/2019</w:t>
            </w:r>
          </w:p>
        </w:tc>
        <w:tc>
          <w:tcPr>
            <w:tcW w:w="16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7,143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14,286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21,429</w:t>
            </w:r>
          </w:p>
        </w:tc>
      </w:tr>
    </w:tbl>
    <w:p>
      <w:pPr>
        <w:spacing w:after="0" w:line="200" w:lineRule="exact"/>
        <w:rPr>
          <w:sz w:val="20"/>
          <w:szCs w:val="20"/>
          <w:color w:val="auto"/>
        </w:rPr>
      </w:pPr>
    </w:p>
    <w:p>
      <w:pPr>
        <w:spacing w:after="0" w:line="33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9" w:name="page60"/>
    <w:bookmarkEnd w:id="59"/>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Schedule 12-14 — Schedule of Investments in and Advances to Affiliates (unaudited)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-41910</wp:posOffset>
            </wp:positionV>
            <wp:extent cx="521398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80"/>
              <w:spacing w:after="0" w:line="131" w:lineRule="exact"/>
              <w:rPr>
                <w:sz w:val="20"/>
                <w:szCs w:val="20"/>
                <w:color w:val="auto"/>
              </w:rPr>
            </w:pPr>
            <w:r>
              <w:rPr>
                <w:rFonts w:ascii="Arial" w:cs="Arial" w:eastAsia="Arial" w:hAnsi="Arial"/>
                <w:sz w:val="13"/>
                <w:szCs w:val="13"/>
                <w:b w:val="1"/>
                <w:bCs w:val="1"/>
                <w:color w:val="auto"/>
                <w:w w:val="88"/>
              </w:rPr>
              <w:t>Transfer</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9"/>
              </w:rPr>
              <w:t>Amount of</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8"/>
              </w:rPr>
              <w:t>from Control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5"/>
              </w:rPr>
              <w:t>Interest, Fees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8"/>
              </w:rPr>
              <w:t>Investment To</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8"/>
              </w:rPr>
              <w:t>or Dividends</w:t>
            </w:r>
          </w:p>
        </w:tc>
        <w:tc>
          <w:tcPr>
            <w:tcW w:w="80" w:type="dxa"/>
            <w:vAlign w:val="bottom"/>
          </w:tcPr>
          <w:p>
            <w:pPr>
              <w:spacing w:after="0"/>
              <w:rPr>
                <w:sz w:val="11"/>
                <w:szCs w:val="11"/>
                <w:color w:val="auto"/>
              </w:rPr>
            </w:pPr>
          </w:p>
        </w:tc>
        <w:tc>
          <w:tcPr>
            <w:tcW w:w="8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90"/>
              </w:rPr>
              <w:t>Fair Value at</w:t>
            </w:r>
          </w:p>
        </w:tc>
        <w:tc>
          <w:tcPr>
            <w:tcW w:w="80" w:type="dxa"/>
            <w:vAlign w:val="bottom"/>
          </w:tcPr>
          <w:p>
            <w:pPr>
              <w:spacing w:after="0"/>
              <w:rPr>
                <w:sz w:val="11"/>
                <w:szCs w:val="11"/>
                <w:color w:val="auto"/>
              </w:rPr>
            </w:pPr>
          </w:p>
        </w:tc>
        <w:tc>
          <w:tcPr>
            <w:tcW w:w="8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90"/>
              </w:rPr>
              <w:t>Non-Control/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Realized and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3"/>
              </w:rPr>
              <w:t>Fair Value at</w:t>
            </w:r>
          </w:p>
        </w:tc>
        <w:tc>
          <w:tcPr>
            <w:tcW w:w="0" w:type="dxa"/>
            <w:vAlign w:val="bottom"/>
          </w:tcPr>
          <w:p>
            <w:pPr>
              <w:spacing w:after="0"/>
              <w:rPr>
                <w:sz w:val="1"/>
                <w:szCs w:val="1"/>
                <w:color w:val="auto"/>
              </w:rPr>
            </w:pPr>
          </w:p>
        </w:tc>
      </w:tr>
      <w:tr>
        <w:trPr>
          <w:trHeight w:val="135"/>
        </w:trPr>
        <w:tc>
          <w:tcPr>
            <w:tcW w:w="1880" w:type="dxa"/>
            <w:vAlign w:val="bottom"/>
            <w:gridSpan w:val="10"/>
          </w:tcPr>
          <w:p>
            <w:pPr>
              <w:ind w:left="20"/>
              <w:spacing w:after="0" w:line="135" w:lineRule="exact"/>
              <w:rPr>
                <w:sz w:val="20"/>
                <w:szCs w:val="20"/>
                <w:color w:val="auto"/>
              </w:rPr>
            </w:pPr>
            <w:r>
              <w:rPr>
                <w:rFonts w:ascii="Arial" w:cs="Arial" w:eastAsia="Arial" w:hAnsi="Arial"/>
                <w:sz w:val="13"/>
                <w:szCs w:val="13"/>
                <w:b w:val="1"/>
                <w:bCs w:val="1"/>
                <w:color w:val="auto"/>
              </w:rPr>
              <w:t>Portfolio Company/Type of</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1"/>
              </w:rPr>
              <w:t>Credited in</w:t>
            </w:r>
          </w:p>
        </w:tc>
        <w:tc>
          <w:tcPr>
            <w:tcW w:w="80" w:type="dxa"/>
            <w:vAlign w:val="bottom"/>
          </w:tcPr>
          <w:p>
            <w:pPr>
              <w:spacing w:after="0"/>
              <w:rPr>
                <w:sz w:val="11"/>
                <w:szCs w:val="11"/>
                <w:color w:val="auto"/>
              </w:rPr>
            </w:pPr>
          </w:p>
        </w:tc>
        <w:tc>
          <w:tcPr>
            <w:tcW w:w="8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7"/>
              </w:rPr>
              <w:t>December 31,</w:t>
            </w:r>
          </w:p>
        </w:tc>
        <w:tc>
          <w:tcPr>
            <w:tcW w:w="80" w:type="dxa"/>
            <w:vAlign w:val="bottom"/>
          </w:tcPr>
          <w:p>
            <w:pPr>
              <w:spacing w:after="0"/>
              <w:rPr>
                <w:sz w:val="11"/>
                <w:szCs w:val="11"/>
                <w:color w:val="auto"/>
              </w:rPr>
            </w:pPr>
          </w:p>
        </w:tc>
        <w:tc>
          <w:tcPr>
            <w:tcW w:w="8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90"/>
              </w:rPr>
              <w:t>Non-Affiliate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Unrealized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3"/>
              </w:rPr>
              <w:t>March 31,</w:t>
            </w:r>
          </w:p>
        </w:tc>
        <w:tc>
          <w:tcPr>
            <w:tcW w:w="0" w:type="dxa"/>
            <w:vAlign w:val="bottom"/>
          </w:tcPr>
          <w:p>
            <w:pPr>
              <w:spacing w:after="0"/>
              <w:rPr>
                <w:sz w:val="1"/>
                <w:szCs w:val="1"/>
                <w:color w:val="auto"/>
              </w:rPr>
            </w:pPr>
          </w:p>
        </w:tc>
      </w:tr>
      <w:tr>
        <w:trPr>
          <w:trHeight w:val="153"/>
        </w:trPr>
        <w:tc>
          <w:tcPr>
            <w:tcW w:w="1880" w:type="dxa"/>
            <w:vAlign w:val="bottom"/>
            <w:tcBorders>
              <w:bottom w:val="single" w:sz="8" w:color="auto"/>
            </w:tcBorders>
            <w:gridSpan w:val="10"/>
          </w:tcPr>
          <w:p>
            <w:pPr>
              <w:ind w:left="20"/>
              <w:spacing w:after="0"/>
              <w:rPr>
                <w:sz w:val="20"/>
                <w:szCs w:val="20"/>
                <w:color w:val="auto"/>
              </w:rPr>
            </w:pPr>
            <w:r>
              <w:rPr>
                <w:rFonts w:ascii="Arial" w:cs="Arial" w:eastAsia="Arial" w:hAnsi="Arial"/>
                <w:sz w:val="13"/>
                <w:szCs w:val="13"/>
                <w:b w:val="1"/>
                <w:bCs w:val="1"/>
                <w:color w:val="auto"/>
              </w:rPr>
              <w:t>Investment*</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3"/>
                <w:szCs w:val="13"/>
                <w:b w:val="1"/>
                <w:bCs w:val="1"/>
                <w:color w:val="auto"/>
                <w:w w:val="87"/>
              </w:rPr>
              <w:t>Income</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2015</w:t>
            </w:r>
          </w:p>
        </w:tc>
        <w:tc>
          <w:tcPr>
            <w:tcW w:w="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87"/>
              </w:rPr>
              <w:t>Investment</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b w:val="1"/>
                <w:bCs w:val="1"/>
                <w:color w:val="auto"/>
                <w:w w:val="82"/>
              </w:rPr>
              <w:t>Purchases</w:t>
            </w: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Sales</w:t>
            </w:r>
          </w:p>
        </w:tc>
        <w:tc>
          <w:tcPr>
            <w:tcW w:w="100" w:type="dxa"/>
            <w:vAlign w:val="bottom"/>
          </w:tcPr>
          <w:p>
            <w:pPr>
              <w:spacing w:after="0"/>
              <w:rPr>
                <w:sz w:val="13"/>
                <w:szCs w:val="13"/>
                <w:color w:val="auto"/>
              </w:rPr>
            </w:pPr>
          </w:p>
        </w:tc>
        <w:tc>
          <w:tcPr>
            <w:tcW w:w="9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3"/>
              </w:rPr>
              <w:t>Gains/(Losses)</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2016</w:t>
            </w:r>
          </w:p>
        </w:tc>
        <w:tc>
          <w:tcPr>
            <w:tcW w:w="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880" w:type="dxa"/>
            <w:vAlign w:val="bottom"/>
            <w:gridSpan w:val="10"/>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Global Education</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880" w:type="dxa"/>
            <w:vAlign w:val="bottom"/>
            <w:gridSpan w:val="10"/>
          </w:tcPr>
          <w:p>
            <w:pPr>
              <w:ind w:left="20"/>
              <w:spacing w:after="0" w:line="129" w:lineRule="exact"/>
              <w:rPr>
                <w:sz w:val="20"/>
                <w:szCs w:val="20"/>
                <w:color w:val="auto"/>
              </w:rPr>
            </w:pPr>
            <w:r>
              <w:rPr>
                <w:rFonts w:ascii="Arial" w:cs="Arial" w:eastAsia="Arial" w:hAnsi="Arial"/>
                <w:sz w:val="14"/>
                <w:szCs w:val="14"/>
                <w:b w:val="1"/>
                <w:bCs w:val="1"/>
                <w:color w:val="auto"/>
              </w:rPr>
              <w:t>Learning (Holdings) Ltd.**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880" w:type="dxa"/>
            <w:vAlign w:val="bottom"/>
            <w:gridSpan w:val="10"/>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120</w:t>
            </w:r>
          </w:p>
        </w:tc>
        <w:tc>
          <w:tcPr>
            <w:tcW w:w="26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280"/>
              <w:spacing w:after="0" w:line="142"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(120)</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1880" w:type="dxa"/>
            <w:vAlign w:val="bottom"/>
            <w:gridSpan w:val="10"/>
          </w:tcPr>
          <w:p>
            <w:pPr>
              <w:ind w:left="20"/>
              <w:spacing w:after="0" w:line="135" w:lineRule="exact"/>
              <w:rPr>
                <w:sz w:val="20"/>
                <w:szCs w:val="20"/>
                <w:color w:val="auto"/>
              </w:rPr>
            </w:pPr>
            <w:r>
              <w:rPr>
                <w:rFonts w:ascii="Arial" w:cs="Arial" w:eastAsia="Arial" w:hAnsi="Arial"/>
                <w:sz w:val="14"/>
                <w:szCs w:val="14"/>
                <w:b w:val="1"/>
                <w:bCs w:val="1"/>
                <w:color w:val="auto"/>
              </w:rPr>
              <w:t>Maven Research, Inc.</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880" w:type="dxa"/>
            <w:vAlign w:val="bottom"/>
            <w:gridSpan w:val="10"/>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C</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1,999,998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80"/>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1,999,998</w:t>
            </w:r>
          </w:p>
        </w:tc>
        <w:tc>
          <w:tcPr>
            <w:tcW w:w="0" w:type="dxa"/>
            <w:vAlign w:val="bottom"/>
          </w:tcPr>
          <w:p>
            <w:pPr>
              <w:spacing w:after="0"/>
              <w:rPr>
                <w:sz w:val="1"/>
                <w:szCs w:val="1"/>
                <w:color w:val="auto"/>
              </w:rPr>
            </w:pPr>
          </w:p>
        </w:tc>
      </w:tr>
      <w:tr>
        <w:trPr>
          <w:trHeight w:val="149"/>
        </w:trPr>
        <w:tc>
          <w:tcPr>
            <w:tcW w:w="1880" w:type="dxa"/>
            <w:vAlign w:val="bottom"/>
            <w:gridSpan w:val="10"/>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249,691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249,691</w:t>
            </w:r>
          </w:p>
        </w:tc>
        <w:tc>
          <w:tcPr>
            <w:tcW w:w="0" w:type="dxa"/>
            <w:vAlign w:val="bottom"/>
          </w:tcPr>
          <w:p>
            <w:pPr>
              <w:spacing w:after="0"/>
              <w:rPr>
                <w:sz w:val="1"/>
                <w:szCs w:val="1"/>
                <w:color w:val="auto"/>
              </w:rPr>
            </w:pPr>
          </w:p>
        </w:tc>
      </w:tr>
      <w:tr>
        <w:trPr>
          <w:trHeight w:val="135"/>
        </w:trPr>
        <w:tc>
          <w:tcPr>
            <w:tcW w:w="1880" w:type="dxa"/>
            <w:vAlign w:val="bottom"/>
            <w:gridSpan w:val="10"/>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Orchestra One, Inc. (f/k/a</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gridSpan w:val="7"/>
            <w:shd w:val="clear" w:color="auto" w:fill="CCEEFF"/>
          </w:tcPr>
          <w:p>
            <w:pPr>
              <w:ind w:left="180"/>
              <w:spacing w:after="0" w:line="169" w:lineRule="exact"/>
              <w:rPr>
                <w:sz w:val="20"/>
                <w:szCs w:val="20"/>
                <w:color w:val="auto"/>
              </w:rPr>
            </w:pPr>
            <w:r>
              <w:rPr>
                <w:rFonts w:ascii="Arial" w:cs="Arial" w:eastAsia="Arial" w:hAnsi="Arial"/>
                <w:sz w:val="12"/>
                <w:szCs w:val="12"/>
                <w:b w:val="1"/>
                <w:bCs w:val="1"/>
                <w:color w:val="auto"/>
              </w:rPr>
              <w:t>Learnist Inc.)</w:t>
            </w:r>
            <w:r>
              <w:rPr>
                <w:rFonts w:ascii="Arial" w:cs="Arial" w:eastAsia="Arial" w:hAnsi="Arial"/>
                <w:sz w:val="19"/>
                <w:szCs w:val="19"/>
                <w:b w:val="1"/>
                <w:bCs w:val="1"/>
                <w:color w:val="auto"/>
                <w:vertAlign w:val="superscript"/>
              </w:rPr>
              <w:t>(5)</w:t>
            </w:r>
          </w:p>
        </w:tc>
        <w:tc>
          <w:tcPr>
            <w:tcW w:w="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880" w:type="dxa"/>
            <w:vAlign w:val="bottom"/>
            <w:gridSpan w:val="10"/>
          </w:tcPr>
          <w:p>
            <w:pPr>
              <w:ind w:left="20"/>
              <w:spacing w:after="0" w:line="142" w:lineRule="exact"/>
              <w:rPr>
                <w:sz w:val="20"/>
                <w:szCs w:val="20"/>
                <w:color w:val="auto"/>
              </w:rPr>
            </w:pPr>
            <w:r>
              <w:rPr>
                <w:rFonts w:ascii="Arial" w:cs="Arial" w:eastAsia="Arial" w:hAnsi="Arial"/>
                <w:sz w:val="14"/>
                <w:szCs w:val="14"/>
                <w:color w:val="auto"/>
              </w:rPr>
              <w:t>Common shares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4,364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(4,364)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ind w:left="280"/>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1880" w:type="dxa"/>
            <w:vAlign w:val="bottom"/>
            <w:gridSpan w:val="10"/>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Ozy Media, Inc.</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880" w:type="dxa"/>
            <w:vAlign w:val="bottom"/>
            <w:gridSpan w:val="10"/>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4,690,178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ind w:left="280"/>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(22,222)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4,667,956</w:t>
            </w:r>
          </w:p>
        </w:tc>
        <w:tc>
          <w:tcPr>
            <w:tcW w:w="0" w:type="dxa"/>
            <w:vAlign w:val="bottom"/>
          </w:tcPr>
          <w:p>
            <w:pPr>
              <w:spacing w:after="0"/>
              <w:rPr>
                <w:sz w:val="1"/>
                <w:szCs w:val="1"/>
                <w:color w:val="auto"/>
              </w:rPr>
            </w:pPr>
          </w:p>
        </w:tc>
      </w:tr>
      <w:tr>
        <w:trPr>
          <w:trHeight w:val="149"/>
        </w:trPr>
        <w:tc>
          <w:tcPr>
            <w:tcW w:w="1880" w:type="dxa"/>
            <w:vAlign w:val="bottom"/>
            <w:gridSpan w:val="10"/>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3,907,004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(18,511)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3,888,493</w:t>
            </w:r>
          </w:p>
        </w:tc>
        <w:tc>
          <w:tcPr>
            <w:tcW w:w="0" w:type="dxa"/>
            <w:vAlign w:val="bottom"/>
          </w:tcPr>
          <w:p>
            <w:pPr>
              <w:spacing w:after="0"/>
              <w:rPr>
                <w:sz w:val="1"/>
                <w:szCs w:val="1"/>
                <w:color w:val="auto"/>
              </w:rPr>
            </w:pPr>
          </w:p>
        </w:tc>
      </w:tr>
      <w:tr>
        <w:trPr>
          <w:trHeight w:val="130"/>
        </w:trPr>
        <w:tc>
          <w:tcPr>
            <w:tcW w:w="1880" w:type="dxa"/>
            <w:vAlign w:val="bottom"/>
            <w:gridSpan w:val="10"/>
          </w:tcPr>
          <w:p>
            <w:pPr>
              <w:ind w:left="20"/>
              <w:spacing w:after="0" w:line="130" w:lineRule="exact"/>
              <w:rPr>
                <w:sz w:val="20"/>
                <w:szCs w:val="20"/>
                <w:color w:val="auto"/>
              </w:rPr>
            </w:pPr>
            <w:r>
              <w:rPr>
                <w:rFonts w:ascii="Arial" w:cs="Arial" w:eastAsia="Arial" w:hAnsi="Arial"/>
                <w:sz w:val="14"/>
                <w:szCs w:val="14"/>
                <w:color w:val="auto"/>
              </w:rPr>
              <w:t>Preferred shares, Series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60" w:type="dxa"/>
            <w:vAlign w:val="bottom"/>
            <w:gridSpan w:val="9"/>
          </w:tcPr>
          <w:p>
            <w:pPr>
              <w:ind w:left="180"/>
              <w:spacing w:after="0"/>
              <w:rPr>
                <w:sz w:val="20"/>
                <w:szCs w:val="20"/>
                <w:color w:val="auto"/>
              </w:rPr>
            </w:pPr>
            <w:r>
              <w:rPr>
                <w:rFonts w:ascii="Arial" w:cs="Arial" w:eastAsia="Arial" w:hAnsi="Arial"/>
                <w:sz w:val="14"/>
                <w:szCs w:val="14"/>
                <w:color w:val="auto"/>
              </w:rPr>
              <w:t>Seed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1,531,812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(7,257)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1,524,555</w:t>
            </w:r>
          </w:p>
        </w:tc>
        <w:tc>
          <w:tcPr>
            <w:tcW w:w="0" w:type="dxa"/>
            <w:vAlign w:val="bottom"/>
          </w:tcPr>
          <w:p>
            <w:pPr>
              <w:spacing w:after="0"/>
              <w:rPr>
                <w:sz w:val="1"/>
                <w:szCs w:val="1"/>
                <w:color w:val="auto"/>
              </w:rPr>
            </w:pPr>
          </w:p>
        </w:tc>
      </w:tr>
      <w:tr>
        <w:trPr>
          <w:trHeight w:val="135"/>
        </w:trPr>
        <w:tc>
          <w:tcPr>
            <w:tcW w:w="1880" w:type="dxa"/>
            <w:vAlign w:val="bottom"/>
            <w:gridSpan w:val="10"/>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PayNearMe, Inc.</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880" w:type="dxa"/>
            <w:vAlign w:val="bottom"/>
            <w:gridSpan w:val="10"/>
          </w:tcPr>
          <w:p>
            <w:pPr>
              <w:ind w:left="20"/>
              <w:spacing w:after="0" w:line="142" w:lineRule="exact"/>
              <w:rPr>
                <w:sz w:val="20"/>
                <w:szCs w:val="20"/>
                <w:color w:val="auto"/>
              </w:rPr>
            </w:pPr>
            <w:r>
              <w:rPr>
                <w:rFonts w:ascii="Arial" w:cs="Arial" w:eastAsia="Arial" w:hAnsi="Arial"/>
                <w:sz w:val="14"/>
                <w:szCs w:val="14"/>
                <w:color w:val="auto"/>
              </w:rPr>
              <w:t>Preferred shares, Series 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w w:val="94"/>
              </w:rPr>
              <w:t>13,974,887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ind w:left="280"/>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13,974,887</w:t>
            </w:r>
          </w:p>
        </w:tc>
        <w:tc>
          <w:tcPr>
            <w:tcW w:w="0" w:type="dxa"/>
            <w:vAlign w:val="bottom"/>
          </w:tcPr>
          <w:p>
            <w:pPr>
              <w:spacing w:after="0"/>
              <w:rPr>
                <w:sz w:val="1"/>
                <w:szCs w:val="1"/>
                <w:color w:val="auto"/>
              </w:rPr>
            </w:pPr>
          </w:p>
        </w:tc>
      </w:tr>
      <w:tr>
        <w:trPr>
          <w:trHeight w:val="135"/>
        </w:trPr>
        <w:tc>
          <w:tcPr>
            <w:tcW w:w="1880" w:type="dxa"/>
            <w:vAlign w:val="bottom"/>
            <w:gridSpan w:val="10"/>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Strategic Data Command,</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1600" w:type="dxa"/>
            <w:vAlign w:val="bottom"/>
            <w:tcBorders>
              <w:top w:val="single" w:sz="8" w:color="auto"/>
            </w:tcBorders>
            <w:gridSpan w:val="8"/>
            <w:shd w:val="clear" w:color="auto" w:fill="CCEEFF"/>
          </w:tcPr>
          <w:p>
            <w:pPr>
              <w:ind w:left="180"/>
              <w:spacing w:after="0" w:line="169" w:lineRule="exact"/>
              <w:rPr>
                <w:sz w:val="20"/>
                <w:szCs w:val="20"/>
                <w:color w:val="auto"/>
              </w:rPr>
            </w:pPr>
            <w:r>
              <w:rPr>
                <w:rFonts w:ascii="Arial" w:cs="Arial" w:eastAsia="Arial" w:hAnsi="Arial"/>
                <w:sz w:val="12"/>
                <w:szCs w:val="12"/>
                <w:b w:val="1"/>
                <w:bCs w:val="1"/>
                <w:color w:val="auto"/>
              </w:rPr>
              <w:t>LLC</w:t>
            </w:r>
            <w:r>
              <w:rPr>
                <w:rFonts w:ascii="Arial" w:cs="Arial" w:eastAsia="Arial" w:hAnsi="Arial"/>
                <w:sz w:val="19"/>
                <w:szCs w:val="19"/>
                <w:b w:val="1"/>
                <w:bCs w:val="1"/>
                <w:color w:val="auto"/>
                <w:vertAlign w:val="superscript"/>
              </w:rPr>
              <w:t>(3)</w:t>
            </w:r>
          </w:p>
        </w:tc>
        <w:tc>
          <w:tcPr>
            <w:tcW w:w="2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880" w:type="dxa"/>
            <w:vAlign w:val="bottom"/>
            <w:gridSpan w:val="10"/>
          </w:tcPr>
          <w:p>
            <w:pPr>
              <w:ind w:left="20"/>
              <w:spacing w:after="0" w:line="142" w:lineRule="exact"/>
              <w:rPr>
                <w:sz w:val="20"/>
                <w:szCs w:val="20"/>
                <w:color w:val="auto"/>
              </w:rPr>
            </w:pPr>
            <w:r>
              <w:rPr>
                <w:rFonts w:ascii="Arial" w:cs="Arial" w:eastAsia="Arial" w:hAnsi="Arial"/>
                <w:sz w:val="14"/>
                <w:szCs w:val="14"/>
                <w:color w:val="auto"/>
              </w:rPr>
              <w:t>Common shares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1,001,650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ind w:left="280"/>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1,001,650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880" w:type="dxa"/>
            <w:vAlign w:val="bottom"/>
            <w:gridSpan w:val="10"/>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Total Affiliate</w:t>
            </w:r>
          </w:p>
        </w:tc>
        <w:tc>
          <w:tcPr>
            <w:tcW w:w="80" w:type="dxa"/>
            <w:vAlign w:val="bottom"/>
            <w:vMerge w:val="restart"/>
            <w:shd w:val="clear" w:color="auto" w:fill="CCEEFF"/>
          </w:tcPr>
          <w:p>
            <w:pPr>
              <w:spacing w:after="0"/>
              <w:rPr>
                <w:sz w:val="11"/>
                <w:szCs w:val="11"/>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92,478</w:t>
            </w:r>
          </w:p>
        </w:tc>
        <w:tc>
          <w:tcPr>
            <w:tcW w:w="80" w:type="dxa"/>
            <w:vAlign w:val="bottom"/>
            <w:vMerge w:val="restart"/>
            <w:shd w:val="clear" w:color="auto" w:fill="CCEEFF"/>
          </w:tcPr>
          <w:p>
            <w:pPr>
              <w:spacing w:after="0"/>
              <w:rPr>
                <w:sz w:val="11"/>
                <w:szCs w:val="11"/>
                <w:color w:val="auto"/>
              </w:rPr>
            </w:pPr>
          </w:p>
        </w:tc>
        <w:tc>
          <w:tcPr>
            <w:tcW w:w="80" w:type="dxa"/>
            <w:vAlign w:val="bottom"/>
            <w:vMerge w:val="restart"/>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w w:val="94"/>
              </w:rPr>
              <w:t>66,075,585</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(4,364)</w:t>
            </w: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u w:val="single" w:color="auto"/>
                <w:color w:val="auto"/>
              </w:rPr>
              <w:t>$</w:t>
            </w:r>
          </w:p>
        </w:tc>
        <w:tc>
          <w:tcPr>
            <w:tcW w:w="6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w w:val="89"/>
              </w:rPr>
              <w:t>3,012,051</w:t>
            </w:r>
          </w:p>
        </w:tc>
        <w:tc>
          <w:tcPr>
            <w:tcW w:w="2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(1,148,187)</w:t>
            </w: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67,935,085</w:t>
            </w:r>
          </w:p>
        </w:tc>
        <w:tc>
          <w:tcPr>
            <w:tcW w:w="0" w:type="dxa"/>
            <w:vAlign w:val="bottom"/>
          </w:tcPr>
          <w:p>
            <w:pPr>
              <w:spacing w:after="0"/>
              <w:rPr>
                <w:sz w:val="1"/>
                <w:szCs w:val="1"/>
                <w:color w:val="auto"/>
              </w:rPr>
            </w:pPr>
          </w:p>
        </w:tc>
      </w:tr>
      <w:tr>
        <w:trPr>
          <w:trHeight w:val="136"/>
        </w:trPr>
        <w:tc>
          <w:tcPr>
            <w:tcW w:w="2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gridSpan w:val="3"/>
            <w:shd w:val="clear" w:color="auto" w:fill="CCEEFF"/>
          </w:tcPr>
          <w:p>
            <w:pPr>
              <w:ind w:left="180"/>
              <w:spacing w:after="0" w:line="129" w:lineRule="exact"/>
              <w:rPr>
                <w:sz w:val="20"/>
                <w:szCs w:val="20"/>
                <w:color w:val="auto"/>
              </w:rPr>
            </w:pPr>
            <w:r>
              <w:rPr>
                <w:rFonts w:ascii="Arial" w:cs="Arial" w:eastAsia="Arial" w:hAnsi="Arial"/>
                <w:sz w:val="14"/>
                <w:szCs w:val="14"/>
                <w:b w:val="1"/>
                <w:bCs w:val="1"/>
                <w:color w:val="auto"/>
                <w:w w:val="78"/>
              </w:rPr>
              <w:t>Investments</w:t>
            </w:r>
          </w:p>
        </w:tc>
        <w:tc>
          <w:tcPr>
            <w:tcW w:w="240" w:type="dxa"/>
            <w:vAlign w:val="bottom"/>
            <w:tcBorders>
              <w:top w:val="single" w:sz="8" w:color="CCEEFF"/>
              <w:right w:val="single" w:sz="8" w:color="CCEEFF"/>
            </w:tcBorders>
            <w:shd w:val="clear" w:color="auto" w:fill="CCEEFF"/>
          </w:tcPr>
          <w:p>
            <w:pPr>
              <w:spacing w:after="0"/>
              <w:rPr>
                <w:sz w:val="11"/>
                <w:szCs w:val="11"/>
                <w:color w:val="auto"/>
              </w:rPr>
            </w:pPr>
          </w:p>
        </w:tc>
        <w:tc>
          <w:tcPr>
            <w:tcW w:w="780" w:type="dxa"/>
            <w:vAlign w:val="bottom"/>
            <w:tcBorders>
              <w:top w:val="single" w:sz="8" w:color="CCEEFF"/>
            </w:tcBorders>
            <w:gridSpan w:val="5"/>
            <w:shd w:val="clear" w:color="auto" w:fill="CCEEFF"/>
          </w:tcPr>
          <w:p>
            <w:pPr>
              <w:spacing w:after="0"/>
              <w:rPr>
                <w:sz w:val="11"/>
                <w:szCs w:val="11"/>
                <w:color w:val="auto"/>
              </w:rPr>
            </w:pPr>
          </w:p>
        </w:tc>
        <w:tc>
          <w:tcPr>
            <w:tcW w:w="80" w:type="dxa"/>
            <w:vAlign w:val="bottom"/>
            <w:tcBorders>
              <w:top w:val="single" w:sz="8" w:color="CCEEFF"/>
            </w:tcBorders>
            <w:vMerge w:val="continue"/>
            <w:shd w:val="clear" w:color="auto" w:fill="CCEEFF"/>
          </w:tcPr>
          <w:p>
            <w:pPr>
              <w:spacing w:after="0"/>
              <w:rPr>
                <w:sz w:val="11"/>
                <w:szCs w:val="11"/>
                <w:color w:val="auto"/>
              </w:rPr>
            </w:pPr>
          </w:p>
        </w:tc>
        <w:tc>
          <w:tcPr>
            <w:tcW w:w="80" w:type="dxa"/>
            <w:vAlign w:val="bottom"/>
            <w:tcBorders>
              <w:top w:val="single" w:sz="8" w:color="CCEEFF"/>
            </w:tcBorders>
            <w:vMerge w:val="continue"/>
            <w:shd w:val="clear" w:color="auto" w:fill="CCEEFF"/>
          </w:tcPr>
          <w:p>
            <w:pPr>
              <w:spacing w:after="0"/>
              <w:rPr>
                <w:sz w:val="11"/>
                <w:szCs w:val="11"/>
                <w:color w:val="auto"/>
              </w:rPr>
            </w:pPr>
          </w:p>
        </w:tc>
        <w:tc>
          <w:tcPr>
            <w:tcW w:w="680" w:type="dxa"/>
            <w:vAlign w:val="bottom"/>
            <w:tcBorders>
              <w:top w:val="single" w:sz="8" w:color="CCEEFF"/>
            </w:tcBorders>
            <w:vMerge w:val="continue"/>
            <w:shd w:val="clear" w:color="auto" w:fill="CCEEFF"/>
          </w:tcPr>
          <w:p>
            <w:pPr>
              <w:spacing w:after="0"/>
              <w:rPr>
                <w:sz w:val="11"/>
                <w:szCs w:val="11"/>
                <w:color w:val="auto"/>
              </w:rPr>
            </w:pPr>
          </w:p>
        </w:tc>
        <w:tc>
          <w:tcPr>
            <w:tcW w:w="80" w:type="dxa"/>
            <w:vAlign w:val="bottom"/>
            <w:tcBorders>
              <w:top w:val="single" w:sz="8" w:color="CCEEFF"/>
            </w:tcBorders>
            <w:vMerge w:val="continue"/>
            <w:shd w:val="clear" w:color="auto" w:fill="CCEEFF"/>
          </w:tcPr>
          <w:p>
            <w:pPr>
              <w:spacing w:after="0"/>
              <w:rPr>
                <w:sz w:val="11"/>
                <w:szCs w:val="11"/>
                <w:color w:val="auto"/>
              </w:rPr>
            </w:pPr>
          </w:p>
        </w:tc>
        <w:tc>
          <w:tcPr>
            <w:tcW w:w="80" w:type="dxa"/>
            <w:vAlign w:val="bottom"/>
            <w:tcBorders>
              <w:top w:val="single" w:sz="8" w:color="CCEEFF"/>
            </w:tcBorders>
            <w:vMerge w:val="continue"/>
            <w:shd w:val="clear" w:color="auto" w:fill="CCEEFF"/>
          </w:tcPr>
          <w:p>
            <w:pPr>
              <w:spacing w:after="0"/>
              <w:rPr>
                <w:sz w:val="11"/>
                <w:szCs w:val="11"/>
                <w:color w:val="auto"/>
              </w:rPr>
            </w:pPr>
          </w:p>
        </w:tc>
        <w:tc>
          <w:tcPr>
            <w:tcW w:w="120" w:type="dxa"/>
            <w:vAlign w:val="bottom"/>
            <w:tcBorders>
              <w:top w:val="single" w:sz="8" w:color="CCEEFF"/>
            </w:tcBorders>
            <w:vMerge w:val="continue"/>
            <w:shd w:val="clear" w:color="auto" w:fill="CCEEFF"/>
          </w:tcPr>
          <w:p>
            <w:pPr>
              <w:spacing w:after="0"/>
              <w:rPr>
                <w:sz w:val="11"/>
                <w:szCs w:val="11"/>
                <w:color w:val="auto"/>
              </w:rPr>
            </w:pPr>
          </w:p>
        </w:tc>
        <w:tc>
          <w:tcPr>
            <w:tcW w:w="720" w:type="dxa"/>
            <w:vAlign w:val="bottom"/>
            <w:tcBorders>
              <w:top w:val="single" w:sz="8" w:color="CCEEFF"/>
            </w:tcBorders>
            <w:gridSpan w:val="2"/>
            <w:vMerge w:val="continue"/>
            <w:shd w:val="clear" w:color="auto" w:fill="CCEEFF"/>
          </w:tcPr>
          <w:p>
            <w:pPr>
              <w:spacing w:after="0"/>
              <w:rPr>
                <w:sz w:val="11"/>
                <w:szCs w:val="11"/>
                <w:color w:val="auto"/>
              </w:rPr>
            </w:pPr>
          </w:p>
        </w:tc>
        <w:tc>
          <w:tcPr>
            <w:tcW w:w="180" w:type="dxa"/>
            <w:vAlign w:val="bottom"/>
            <w:tcBorders>
              <w:top w:val="single" w:sz="8" w:color="CCEEFF"/>
            </w:tcBorders>
            <w:gridSpan w:val="2"/>
            <w:vMerge w:val="continue"/>
            <w:shd w:val="clear" w:color="auto" w:fill="CCEEFF"/>
          </w:tcPr>
          <w:p>
            <w:pPr>
              <w:spacing w:after="0"/>
              <w:rPr>
                <w:sz w:val="11"/>
                <w:szCs w:val="11"/>
                <w:color w:val="auto"/>
              </w:rPr>
            </w:pPr>
          </w:p>
        </w:tc>
        <w:tc>
          <w:tcPr>
            <w:tcW w:w="740" w:type="dxa"/>
            <w:vAlign w:val="bottom"/>
            <w:tcBorders>
              <w:top w:val="single" w:sz="8" w:color="CCEEFF"/>
            </w:tcBorders>
            <w:gridSpan w:val="2"/>
            <w:vMerge w:val="continue"/>
            <w:shd w:val="clear" w:color="auto" w:fill="CCEEFF"/>
          </w:tcPr>
          <w:p>
            <w:pPr>
              <w:spacing w:after="0"/>
              <w:rPr>
                <w:sz w:val="11"/>
                <w:szCs w:val="11"/>
                <w:color w:val="auto"/>
              </w:rPr>
            </w:pPr>
          </w:p>
        </w:tc>
        <w:tc>
          <w:tcPr>
            <w:tcW w:w="160" w:type="dxa"/>
            <w:vAlign w:val="bottom"/>
            <w:tcBorders>
              <w:top w:val="single" w:sz="8" w:color="CCEEFF"/>
            </w:tcBorders>
            <w:gridSpan w:val="2"/>
            <w:vMerge w:val="continue"/>
            <w:shd w:val="clear" w:color="auto" w:fill="CCEEFF"/>
          </w:tcPr>
          <w:p>
            <w:pPr>
              <w:spacing w:after="0"/>
              <w:rPr>
                <w:sz w:val="11"/>
                <w:szCs w:val="11"/>
                <w:color w:val="auto"/>
              </w:rPr>
            </w:pPr>
          </w:p>
        </w:tc>
        <w:tc>
          <w:tcPr>
            <w:tcW w:w="620" w:type="dxa"/>
            <w:vAlign w:val="bottom"/>
            <w:tcBorders>
              <w:top w:val="single" w:sz="8" w:color="CCEEFF"/>
            </w:tcBorders>
            <w:gridSpan w:val="2"/>
            <w:vMerge w:val="continue"/>
            <w:shd w:val="clear" w:color="auto" w:fill="CCEEFF"/>
          </w:tcPr>
          <w:p>
            <w:pPr>
              <w:spacing w:after="0"/>
              <w:rPr>
                <w:sz w:val="11"/>
                <w:szCs w:val="11"/>
                <w:color w:val="auto"/>
              </w:rPr>
            </w:pPr>
          </w:p>
        </w:tc>
        <w:tc>
          <w:tcPr>
            <w:tcW w:w="260" w:type="dxa"/>
            <w:vAlign w:val="bottom"/>
            <w:tcBorders>
              <w:top w:val="single" w:sz="8" w:color="CCEEFF"/>
            </w:tcBorders>
            <w:gridSpan w:val="2"/>
            <w:vMerge w:val="continue"/>
            <w:shd w:val="clear" w:color="auto" w:fill="CCEEFF"/>
          </w:tcPr>
          <w:p>
            <w:pPr>
              <w:spacing w:after="0"/>
              <w:rPr>
                <w:sz w:val="11"/>
                <w:szCs w:val="11"/>
                <w:color w:val="auto"/>
              </w:rPr>
            </w:pPr>
          </w:p>
        </w:tc>
        <w:tc>
          <w:tcPr>
            <w:tcW w:w="600" w:type="dxa"/>
            <w:vAlign w:val="bottom"/>
            <w:tcBorders>
              <w:top w:val="single" w:sz="8" w:color="CCEEFF"/>
            </w:tcBorders>
            <w:gridSpan w:val="2"/>
            <w:vMerge w:val="continue"/>
            <w:shd w:val="clear" w:color="auto" w:fill="CCEEFF"/>
          </w:tcPr>
          <w:p>
            <w:pPr>
              <w:spacing w:after="0"/>
              <w:rPr>
                <w:sz w:val="11"/>
                <w:szCs w:val="11"/>
                <w:color w:val="auto"/>
              </w:rPr>
            </w:pPr>
          </w:p>
        </w:tc>
        <w:tc>
          <w:tcPr>
            <w:tcW w:w="200" w:type="dxa"/>
            <w:vAlign w:val="bottom"/>
            <w:tcBorders>
              <w:top w:val="single" w:sz="8" w:color="CCEEFF"/>
            </w:tcBorders>
            <w:gridSpan w:val="2"/>
            <w:vMerge w:val="continue"/>
            <w:shd w:val="clear" w:color="auto" w:fill="CCEEFF"/>
          </w:tcPr>
          <w:p>
            <w:pPr>
              <w:spacing w:after="0"/>
              <w:rPr>
                <w:sz w:val="11"/>
                <w:szCs w:val="11"/>
                <w:color w:val="auto"/>
              </w:rPr>
            </w:pPr>
          </w:p>
        </w:tc>
        <w:tc>
          <w:tcPr>
            <w:tcW w:w="800" w:type="dxa"/>
            <w:vAlign w:val="bottom"/>
            <w:tcBorders>
              <w:top w:val="single" w:sz="8" w:color="CCEEFF"/>
            </w:tcBorders>
            <w:gridSpan w:val="2"/>
            <w:vMerge w:val="continue"/>
            <w:shd w:val="clear" w:color="auto" w:fill="CCEEFF"/>
          </w:tcPr>
          <w:p>
            <w:pPr>
              <w:spacing w:after="0"/>
              <w:rPr>
                <w:sz w:val="11"/>
                <w:szCs w:val="11"/>
                <w:color w:val="auto"/>
              </w:rPr>
            </w:pPr>
          </w:p>
        </w:tc>
        <w:tc>
          <w:tcPr>
            <w:tcW w:w="160" w:type="dxa"/>
            <w:vAlign w:val="bottom"/>
            <w:tcBorders>
              <w:top w:val="single" w:sz="8" w:color="CCEEFF"/>
            </w:tcBorders>
            <w:gridSpan w:val="2"/>
            <w:vMerge w:val="continue"/>
            <w:shd w:val="clear" w:color="auto" w:fill="CCEEFF"/>
          </w:tcPr>
          <w:p>
            <w:pPr>
              <w:spacing w:after="0"/>
              <w:rPr>
                <w:sz w:val="11"/>
                <w:szCs w:val="11"/>
                <w:color w:val="auto"/>
              </w:rPr>
            </w:pPr>
          </w:p>
        </w:tc>
        <w:tc>
          <w:tcPr>
            <w:tcW w:w="780" w:type="dxa"/>
            <w:vAlign w:val="bottom"/>
            <w:tcBorders>
              <w:top w:val="single" w:sz="8" w:color="CCEEFF"/>
            </w:tcBorders>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180" w:type="dxa"/>
            <w:vAlign w:val="bottom"/>
            <w:tcBorders>
              <w:top w:val="single" w:sz="8" w:color="CCEEFF"/>
              <w:bottom w:val="single" w:sz="8" w:color="auto"/>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380" w:type="dxa"/>
            <w:vAlign w:val="bottom"/>
            <w:tcBorders>
              <w:top w:val="single" w:sz="8" w:color="auto"/>
              <w:bottom w:val="single" w:sz="8" w:color="auto"/>
            </w:tcBorders>
          </w:tcPr>
          <w:p>
            <w:pPr>
              <w:spacing w:after="0"/>
              <w:rPr>
                <w:sz w:val="23"/>
                <w:szCs w:val="23"/>
                <w:color w:val="auto"/>
              </w:rPr>
            </w:pPr>
          </w:p>
        </w:tc>
        <w:tc>
          <w:tcPr>
            <w:tcW w:w="240" w:type="dxa"/>
            <w:vAlign w:val="bottom"/>
            <w:tcBorders>
              <w:top w:val="single" w:sz="8" w:color="auto"/>
              <w:bottom w:val="single" w:sz="8" w:color="auto"/>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-187960</wp:posOffset>
            </wp:positionV>
            <wp:extent cx="521398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36" w:lineRule="exact"/>
        <w:rPr>
          <w:sz w:val="20"/>
          <w:szCs w:val="20"/>
          <w:color w:val="auto"/>
        </w:rPr>
      </w:pPr>
    </w:p>
    <w:p>
      <w:pPr>
        <w:ind w:left="300" w:right="819" w:hanging="272"/>
        <w:spacing w:after="0" w:line="277" w:lineRule="auto"/>
        <w:tabs>
          <w:tab w:leader="none" w:pos="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portfolio investments are non-control/non-affiliated and non-income producing, unless identified. Equity investments are subject to lock-up restrictions upon their initial public offering.</w:t>
      </w:r>
    </w:p>
    <w:p>
      <w:pPr>
        <w:spacing w:after="0" w:line="62" w:lineRule="exact"/>
        <w:rPr>
          <w:sz w:val="20"/>
          <w:szCs w:val="20"/>
          <w:color w:val="auto"/>
        </w:rPr>
      </w:pPr>
    </w:p>
    <w:p>
      <w:pPr>
        <w:ind w:left="300" w:right="939" w:hanging="272"/>
        <w:spacing w:after="0" w:line="277" w:lineRule="auto"/>
        <w:tabs>
          <w:tab w:leader="none" w:pos="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Indicates assets that GSV Capital Corp. believes do not represent “qualifying assets” under Section 55(a) of the Investment Company Act of 1940, as amended.</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***Investment is income producing.</w:t>
      </w:r>
    </w:p>
    <w:p>
      <w:pPr>
        <w:spacing w:after="0" w:line="117" w:lineRule="exact"/>
        <w:rPr>
          <w:sz w:val="20"/>
          <w:szCs w:val="20"/>
          <w:color w:val="auto"/>
        </w:rPr>
      </w:pPr>
    </w:p>
    <w:p>
      <w:pPr>
        <w:ind w:left="300" w:hanging="272"/>
        <w:spacing w:after="0"/>
        <w:tabs>
          <w:tab w:leader="none" w:pos="3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GSV Capital Corp.’s investment in StormWind, LLC is held through its wholly owned subsidiary GSVC SW Holdings, Inc.</w:t>
      </w:r>
    </w:p>
    <w:p>
      <w:pPr>
        <w:spacing w:after="0" w:line="128" w:lineRule="exact"/>
        <w:rPr>
          <w:rFonts w:ascii="Arial" w:cs="Arial" w:eastAsia="Arial" w:hAnsi="Arial"/>
          <w:sz w:val="17"/>
          <w:szCs w:val="17"/>
          <w:color w:val="auto"/>
        </w:rPr>
      </w:pPr>
    </w:p>
    <w:p>
      <w:pPr>
        <w:ind w:left="300" w:right="559" w:hanging="272"/>
        <w:spacing w:after="0" w:line="264" w:lineRule="auto"/>
        <w:tabs>
          <w:tab w:leader="none" w:pos="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GSV Capital Corp.’s investment in Whittle Schools, LLC is held through its wholly owned subsidiary GSVC WS Holdings, Inc. Whittle Schools, LLC is an investment that is collateralized by Avenues Global Holdings LLC as well as the personal collateral of Chris Whittle, the former chairman of Avenues Global Holdings LLC.</w:t>
      </w:r>
    </w:p>
    <w:p>
      <w:pPr>
        <w:spacing w:after="0" w:line="73" w:lineRule="exact"/>
        <w:rPr>
          <w:rFonts w:ascii="Arial" w:cs="Arial" w:eastAsia="Arial" w:hAnsi="Arial"/>
          <w:sz w:val="18"/>
          <w:szCs w:val="18"/>
          <w:color w:val="auto"/>
        </w:rPr>
      </w:pPr>
    </w:p>
    <w:p>
      <w:pPr>
        <w:ind w:left="300" w:right="759" w:hanging="272"/>
        <w:spacing w:after="0" w:line="277" w:lineRule="auto"/>
        <w:tabs>
          <w:tab w:leader="none" w:pos="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GSV Capital Corp.’s investment in Strategic Data Command, LLC is held through its wholly owned subsidiary GSVC SVDS Holdings, Inc.</w:t>
      </w:r>
    </w:p>
    <w:p>
      <w:pPr>
        <w:spacing w:after="0" w:line="62" w:lineRule="exact"/>
        <w:rPr>
          <w:rFonts w:ascii="Arial" w:cs="Arial" w:eastAsia="Arial" w:hAnsi="Arial"/>
          <w:sz w:val="18"/>
          <w:szCs w:val="18"/>
          <w:color w:val="auto"/>
        </w:rPr>
      </w:pPr>
    </w:p>
    <w:p>
      <w:pPr>
        <w:ind w:left="300" w:right="739" w:hanging="272"/>
        <w:spacing w:after="0" w:line="264" w:lineRule="auto"/>
        <w:tabs>
          <w:tab w:leader="none" w:pos="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Interest will accrue daily on the unpaid principal balance of the note. Accrued interest is not payable until the earlier of (a) the closing of a subsequent equity offering by CUX, Inc. (d/b/a CorpU), or (b) the maturity of the note (November 26, 2018). Interest began compounding annually on November 26, 2015.</w:t>
      </w:r>
    </w:p>
    <w:p>
      <w:pPr>
        <w:spacing w:after="0" w:line="73" w:lineRule="exact"/>
        <w:rPr>
          <w:rFonts w:ascii="Arial" w:cs="Arial" w:eastAsia="Arial" w:hAnsi="Arial"/>
          <w:sz w:val="18"/>
          <w:szCs w:val="18"/>
          <w:color w:val="auto"/>
        </w:rPr>
      </w:pPr>
    </w:p>
    <w:p>
      <w:pPr>
        <w:ind w:left="300" w:right="599" w:hanging="272"/>
        <w:spacing w:after="0" w:line="257" w:lineRule="auto"/>
        <w:tabs>
          <w:tab w:leader="none" w:pos="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GSV Capital Corp.’s ownership percentage in Orchestra One, Inc. (f/k/a Learnist Inc.) declined below 5% and, as such, Orchestra One, Inc. is no longer classified as an “Affiliate Investment” as of March 31, 2016. As such, the Company has reflected a “transfer out” of the “Affiliate Investment” category above as of March 31, 2016 to indicate that the investment in Orchestra One, Inc., while still held as of March 31, 2016, does not meet the criteria of an Affiliate Investment as defined in the Investment Company Act of 1940, as amended.</w:t>
      </w:r>
    </w:p>
    <w:p>
      <w:pPr>
        <w:spacing w:after="0" w:line="200" w:lineRule="exact"/>
        <w:rPr>
          <w:sz w:val="20"/>
          <w:szCs w:val="20"/>
          <w:color w:val="auto"/>
        </w:rPr>
      </w:pPr>
    </w:p>
    <w:p>
      <w:pPr>
        <w:spacing w:after="0" w:line="32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0" w:name="page61"/>
    <w:bookmarkEnd w:id="60"/>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2020"/>
        <w:spacing w:after="0"/>
        <w:rPr>
          <w:sz w:val="20"/>
          <w:szCs w:val="20"/>
          <w:color w:val="auto"/>
        </w:rPr>
      </w:pPr>
      <w:r>
        <w:rPr>
          <w:rFonts w:ascii="Arial" w:cs="Arial" w:eastAsia="Arial" w:hAnsi="Arial"/>
          <w:sz w:val="17"/>
          <w:szCs w:val="17"/>
          <w:b w:val="1"/>
          <w:bCs w:val="1"/>
          <w:color w:val="auto"/>
        </w:rPr>
        <w:t>Schedule 12-14 — Schedule of Investments in and Advances to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33020</wp:posOffset>
            </wp:positionV>
            <wp:extent cx="521398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9"/>
              </w:rPr>
              <w:t>Amount of</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8"/>
              </w:rPr>
              <w:t>Transfer</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5"/>
              </w:rPr>
              <w:t>Interest, Fees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8"/>
              </w:rPr>
              <w:t>from Control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8"/>
              </w:rPr>
              <w:t>or Dividends</w:t>
            </w:r>
          </w:p>
        </w:tc>
        <w:tc>
          <w:tcPr>
            <w:tcW w:w="80" w:type="dxa"/>
            <w:vAlign w:val="bottom"/>
          </w:tcPr>
          <w:p>
            <w:pPr>
              <w:spacing w:after="0"/>
              <w:rPr>
                <w:sz w:val="11"/>
                <w:szCs w:val="11"/>
                <w:color w:val="auto"/>
              </w:rPr>
            </w:pPr>
          </w:p>
        </w:tc>
        <w:tc>
          <w:tcPr>
            <w:tcW w:w="780" w:type="dxa"/>
            <w:vAlign w:val="bottom"/>
            <w:gridSpan w:val="2"/>
          </w:tcPr>
          <w:p>
            <w:pPr>
              <w:jc w:val="center"/>
              <w:ind w:left="17"/>
              <w:spacing w:after="0" w:line="135" w:lineRule="exact"/>
              <w:rPr>
                <w:sz w:val="20"/>
                <w:szCs w:val="20"/>
                <w:color w:val="auto"/>
              </w:rPr>
            </w:pPr>
            <w:r>
              <w:rPr>
                <w:rFonts w:ascii="Arial" w:cs="Arial" w:eastAsia="Arial" w:hAnsi="Arial"/>
                <w:sz w:val="13"/>
                <w:szCs w:val="13"/>
                <w:b w:val="1"/>
                <w:bCs w:val="1"/>
                <w:color w:val="auto"/>
                <w:w w:val="90"/>
              </w:rPr>
              <w:t>Fair Value at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Investment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Realized and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3"/>
              </w:rPr>
              <w:t>Fair Value at</w:t>
            </w:r>
          </w:p>
        </w:tc>
      </w:tr>
      <w:tr>
        <w:trPr>
          <w:trHeight w:val="135"/>
        </w:trPr>
        <w:tc>
          <w:tcPr>
            <w:tcW w:w="1880" w:type="dxa"/>
            <w:vAlign w:val="bottom"/>
            <w:gridSpan w:val="11"/>
          </w:tcPr>
          <w:p>
            <w:pPr>
              <w:ind w:left="20"/>
              <w:spacing w:after="0" w:line="135" w:lineRule="exact"/>
              <w:rPr>
                <w:sz w:val="20"/>
                <w:szCs w:val="20"/>
                <w:color w:val="auto"/>
              </w:rPr>
            </w:pPr>
            <w:r>
              <w:rPr>
                <w:rFonts w:ascii="Arial" w:cs="Arial" w:eastAsia="Arial" w:hAnsi="Arial"/>
                <w:sz w:val="13"/>
                <w:szCs w:val="13"/>
                <w:b w:val="1"/>
                <w:bCs w:val="1"/>
                <w:color w:val="auto"/>
              </w:rPr>
              <w:t>Portfolio Company/Type of</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1"/>
              </w:rPr>
              <w:t>Credited in</w:t>
            </w:r>
          </w:p>
        </w:tc>
        <w:tc>
          <w:tcPr>
            <w:tcW w:w="80" w:type="dxa"/>
            <w:vAlign w:val="bottom"/>
          </w:tcPr>
          <w:p>
            <w:pPr>
              <w:spacing w:after="0"/>
              <w:rPr>
                <w:sz w:val="11"/>
                <w:szCs w:val="11"/>
                <w:color w:val="auto"/>
              </w:rPr>
            </w:pPr>
          </w:p>
        </w:tc>
        <w:tc>
          <w:tcPr>
            <w:tcW w:w="7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7"/>
              </w:rPr>
              <w:t>December 31,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2"/>
              </w:rPr>
              <w:t>To Affiliate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Unrealized</w:t>
            </w:r>
          </w:p>
        </w:tc>
        <w:tc>
          <w:tcPr>
            <w:tcW w:w="80" w:type="dxa"/>
            <w:vAlign w:val="bottom"/>
          </w:tcPr>
          <w:p>
            <w:pPr>
              <w:spacing w:after="0"/>
              <w:rPr>
                <w:sz w:val="11"/>
                <w:szCs w:val="11"/>
                <w:color w:val="auto"/>
              </w:rPr>
            </w:pPr>
          </w:p>
        </w:tc>
        <w:tc>
          <w:tcPr>
            <w:tcW w:w="86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5"/>
              </w:rPr>
              <w:t>December 31,</w:t>
            </w:r>
          </w:p>
        </w:tc>
      </w:tr>
      <w:tr>
        <w:trPr>
          <w:trHeight w:val="153"/>
        </w:trPr>
        <w:tc>
          <w:tcPr>
            <w:tcW w:w="1880" w:type="dxa"/>
            <w:vAlign w:val="bottom"/>
            <w:tcBorders>
              <w:bottom w:val="single" w:sz="8" w:color="auto"/>
            </w:tcBorders>
            <w:gridSpan w:val="11"/>
          </w:tcPr>
          <w:p>
            <w:pPr>
              <w:ind w:left="20"/>
              <w:spacing w:after="0"/>
              <w:rPr>
                <w:sz w:val="20"/>
                <w:szCs w:val="20"/>
                <w:color w:val="auto"/>
              </w:rPr>
            </w:pPr>
            <w:r>
              <w:rPr>
                <w:rFonts w:ascii="Arial" w:cs="Arial" w:eastAsia="Arial" w:hAnsi="Arial"/>
                <w:sz w:val="13"/>
                <w:szCs w:val="13"/>
                <w:b w:val="1"/>
                <w:bCs w:val="1"/>
                <w:color w:val="auto"/>
              </w:rPr>
              <w:t>Investment*</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3"/>
                <w:szCs w:val="13"/>
                <w:b w:val="1"/>
                <w:bCs w:val="1"/>
                <w:color w:val="auto"/>
                <w:w w:val="87"/>
              </w:rPr>
              <w:t>Income</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2014</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87"/>
              </w:rPr>
              <w:t>Investment</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2"/>
              </w:rPr>
              <w:t>Purchases</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3"/>
                <w:szCs w:val="13"/>
                <w:b w:val="1"/>
                <w:bCs w:val="1"/>
                <w:color w:val="auto"/>
              </w:rPr>
              <w:t>Sales</w:t>
            </w:r>
          </w:p>
        </w:tc>
        <w:tc>
          <w:tcPr>
            <w:tcW w:w="100" w:type="dxa"/>
            <w:vAlign w:val="bottom"/>
          </w:tcPr>
          <w:p>
            <w:pPr>
              <w:spacing w:after="0"/>
              <w:rPr>
                <w:sz w:val="13"/>
                <w:szCs w:val="13"/>
                <w:color w:val="auto"/>
              </w:rPr>
            </w:pPr>
          </w:p>
        </w:tc>
        <w:tc>
          <w:tcPr>
            <w:tcW w:w="9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3"/>
              </w:rPr>
              <w:t>Gains/(Losses)</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2015</w:t>
            </w:r>
          </w:p>
        </w:tc>
        <w:tc>
          <w:tcPr>
            <w:tcW w:w="60" w:type="dxa"/>
            <w:vAlign w:val="bottom"/>
            <w:tcBorders>
              <w:bottom w:val="single" w:sz="8" w:color="auto"/>
            </w:tcBorders>
          </w:tcPr>
          <w:p>
            <w:pPr>
              <w:spacing w:after="0"/>
              <w:rPr>
                <w:sz w:val="13"/>
                <w:szCs w:val="13"/>
                <w:color w:val="auto"/>
              </w:rPr>
            </w:pPr>
          </w:p>
        </w:tc>
      </w:tr>
      <w:tr>
        <w:trPr>
          <w:trHeight w:val="129"/>
        </w:trPr>
        <w:tc>
          <w:tcPr>
            <w:tcW w:w="1880" w:type="dxa"/>
            <w:vAlign w:val="bottom"/>
            <w:gridSpan w:val="11"/>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Control Investments</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129"/>
        </w:trPr>
        <w:tc>
          <w:tcPr>
            <w:tcW w:w="1880" w:type="dxa"/>
            <w:vAlign w:val="bottom"/>
            <w:gridSpan w:val="11"/>
          </w:tcPr>
          <w:p>
            <w:pPr>
              <w:ind w:left="20"/>
              <w:spacing w:after="0" w:line="129" w:lineRule="exact"/>
              <w:rPr>
                <w:sz w:val="20"/>
                <w:szCs w:val="20"/>
                <w:color w:val="auto"/>
              </w:rPr>
            </w:pPr>
            <w:r>
              <w:rPr>
                <w:rFonts w:ascii="Arial" w:cs="Arial" w:eastAsia="Arial" w:hAnsi="Arial"/>
                <w:sz w:val="14"/>
                <w:szCs w:val="14"/>
                <w:b w:val="1"/>
                <w:bCs w:val="1"/>
                <w:color w:val="auto"/>
              </w:rPr>
              <w:t>AlwaysOn, Inc.</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2"/>
        </w:trPr>
        <w:tc>
          <w:tcPr>
            <w:tcW w:w="1880" w:type="dxa"/>
            <w:vAlign w:val="bottom"/>
            <w:gridSpan w:val="11"/>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A-1</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491,252</w:t>
            </w:r>
          </w:p>
        </w:tc>
        <w:tc>
          <w:tcPr>
            <w:tcW w:w="240" w:type="dxa"/>
            <w:vAlign w:val="bottom"/>
            <w:tcBorders>
              <w:left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(491,252)</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left w:val="single" w:sz="8" w:color="CCEEFF"/>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w:t>
            </w:r>
          </w:p>
        </w:tc>
      </w:tr>
      <w:tr>
        <w:trPr>
          <w:trHeight w:val="149"/>
        </w:trPr>
        <w:tc>
          <w:tcPr>
            <w:tcW w:w="1880" w:type="dxa"/>
            <w:vAlign w:val="bottom"/>
            <w:gridSpan w:val="11"/>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629,309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(629,309)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r>
      <w:tr>
        <w:trPr>
          <w:trHeight w:val="130"/>
        </w:trPr>
        <w:tc>
          <w:tcPr>
            <w:tcW w:w="1880" w:type="dxa"/>
            <w:vAlign w:val="bottom"/>
            <w:gridSpan w:val="11"/>
            <w:shd w:val="clear" w:color="auto" w:fill="CCEEFF"/>
          </w:tcPr>
          <w:p>
            <w:pPr>
              <w:ind w:left="20"/>
              <w:spacing w:after="0" w:line="130" w:lineRule="exact"/>
              <w:rPr>
                <w:sz w:val="20"/>
                <w:szCs w:val="20"/>
                <w:color w:val="auto"/>
              </w:rPr>
            </w:pPr>
            <w:r>
              <w:rPr>
                <w:rFonts w:ascii="Arial" w:cs="Arial" w:eastAsia="Arial" w:hAnsi="Arial"/>
                <w:sz w:val="14"/>
                <w:szCs w:val="14"/>
                <w:color w:val="auto"/>
              </w:rPr>
              <w:t>Preferred warrants Series A,</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9"/>
        </w:trPr>
        <w:tc>
          <w:tcPr>
            <w:tcW w:w="20" w:type="dxa"/>
            <w:vAlign w:val="bottom"/>
            <w:shd w:val="clear" w:color="auto" w:fill="CCEEFF"/>
          </w:tcPr>
          <w:p>
            <w:pPr>
              <w:spacing w:after="0"/>
              <w:rPr>
                <w:sz w:val="12"/>
                <w:szCs w:val="12"/>
                <w:color w:val="auto"/>
              </w:rPr>
            </w:pPr>
          </w:p>
        </w:tc>
        <w:tc>
          <w:tcPr>
            <w:tcW w:w="1860" w:type="dxa"/>
            <w:vAlign w:val="bottom"/>
            <w:gridSpan w:val="10"/>
            <w:shd w:val="clear" w:color="auto" w:fill="CCEEFF"/>
          </w:tcPr>
          <w:p>
            <w:pPr>
              <w:ind w:left="180"/>
              <w:spacing w:after="0" w:line="149" w:lineRule="exact"/>
              <w:rPr>
                <w:sz w:val="20"/>
                <w:szCs w:val="20"/>
                <w:color w:val="auto"/>
              </w:rPr>
            </w:pPr>
            <w:r>
              <w:rPr>
                <w:rFonts w:ascii="Arial" w:cs="Arial" w:eastAsia="Arial" w:hAnsi="Arial"/>
                <w:sz w:val="14"/>
                <w:szCs w:val="14"/>
                <w:color w:val="auto"/>
              </w:rPr>
              <w:t>$1.00 strike price, expire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67"/>
        </w:trPr>
        <w:tc>
          <w:tcPr>
            <w:tcW w:w="86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1/9/2017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r>
      <w:tr>
        <w:trPr>
          <w:trHeight w:val="176"/>
        </w:trPr>
        <w:tc>
          <w:tcPr>
            <w:tcW w:w="1880" w:type="dxa"/>
            <w:vAlign w:val="bottom"/>
            <w:gridSpan w:val="11"/>
          </w:tcPr>
          <w:p>
            <w:pPr>
              <w:ind w:left="20"/>
              <w:spacing w:after="0" w:line="176" w:lineRule="exact"/>
              <w:rPr>
                <w:sz w:val="20"/>
                <w:szCs w:val="20"/>
                <w:color w:val="auto"/>
              </w:rPr>
            </w:pPr>
            <w:r>
              <w:rPr>
                <w:rFonts w:ascii="Arial" w:cs="Arial" w:eastAsia="Arial" w:hAnsi="Arial"/>
                <w:sz w:val="13"/>
                <w:szCs w:val="13"/>
                <w:b w:val="1"/>
                <w:bCs w:val="1"/>
                <w:color w:val="auto"/>
              </w:rPr>
              <w:t>StormWind, LLC</w:t>
            </w:r>
            <w:r>
              <w:rPr>
                <w:rFonts w:ascii="Arial" w:cs="Arial" w:eastAsia="Arial" w:hAnsi="Arial"/>
                <w:sz w:val="20"/>
                <w:szCs w:val="20"/>
                <w:b w:val="1"/>
                <w:bCs w:val="1"/>
                <w:color w:val="auto"/>
                <w:vertAlign w:val="superscript"/>
              </w:rPr>
              <w:t>(1)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2"/>
        </w:trPr>
        <w:tc>
          <w:tcPr>
            <w:tcW w:w="1880" w:type="dxa"/>
            <w:vAlign w:val="bottom"/>
            <w:gridSpan w:val="11"/>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C</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4,338,830</w:t>
            </w:r>
          </w:p>
        </w:tc>
        <w:tc>
          <w:tcPr>
            <w:tcW w:w="14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260,888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4,599,718</w:t>
            </w:r>
          </w:p>
        </w:tc>
      </w:tr>
      <w:tr>
        <w:trPr>
          <w:trHeight w:val="149"/>
        </w:trPr>
        <w:tc>
          <w:tcPr>
            <w:tcW w:w="1880" w:type="dxa"/>
            <w:vAlign w:val="bottom"/>
            <w:gridSpan w:val="11"/>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4,347,608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285,620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4,633,228</w:t>
            </w:r>
          </w:p>
        </w:tc>
      </w:tr>
      <w:tr>
        <w:trPr>
          <w:trHeight w:val="149"/>
        </w:trPr>
        <w:tc>
          <w:tcPr>
            <w:tcW w:w="1880" w:type="dxa"/>
            <w:vAlign w:val="bottom"/>
            <w:gridSpan w:val="11"/>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391,592</w:t>
            </w:r>
          </w:p>
        </w:tc>
        <w:tc>
          <w:tcPr>
            <w:tcW w:w="14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126,408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518,000</w:t>
            </w:r>
          </w:p>
        </w:tc>
      </w:tr>
      <w:tr>
        <w:trPr>
          <w:trHeight w:val="135"/>
        </w:trPr>
        <w:tc>
          <w:tcPr>
            <w:tcW w:w="1880" w:type="dxa"/>
            <w:vAlign w:val="bottom"/>
            <w:gridSpan w:val="11"/>
          </w:tcPr>
          <w:p>
            <w:pPr>
              <w:ind w:left="20"/>
              <w:spacing w:after="0" w:line="135" w:lineRule="exact"/>
              <w:rPr>
                <w:sz w:val="20"/>
                <w:szCs w:val="20"/>
                <w:color w:val="auto"/>
              </w:rPr>
            </w:pPr>
            <w:r>
              <w:rPr>
                <w:rFonts w:ascii="Arial" w:cs="Arial" w:eastAsia="Arial" w:hAnsi="Arial"/>
                <w:sz w:val="14"/>
                <w:szCs w:val="14"/>
                <w:b w:val="1"/>
                <w:bCs w:val="1"/>
                <w:color w:val="auto"/>
              </w:rPr>
              <w:t>NestGSV, Inc. (d/b/a GSV</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1600" w:type="dxa"/>
            <w:vAlign w:val="bottom"/>
            <w:tcBorders>
              <w:top w:val="single" w:sz="8" w:color="auto"/>
            </w:tcBorders>
            <w:gridSpan w:val="7"/>
          </w:tcPr>
          <w:p>
            <w:pPr>
              <w:ind w:left="180"/>
              <w:spacing w:after="0" w:line="129" w:lineRule="exact"/>
              <w:rPr>
                <w:sz w:val="20"/>
                <w:szCs w:val="20"/>
                <w:color w:val="auto"/>
              </w:rPr>
            </w:pPr>
            <w:r>
              <w:rPr>
                <w:rFonts w:ascii="Arial" w:cs="Arial" w:eastAsia="Arial" w:hAnsi="Arial"/>
                <w:sz w:val="14"/>
                <w:szCs w:val="14"/>
                <w:b w:val="1"/>
                <w:bCs w:val="1"/>
                <w:color w:val="auto"/>
              </w:rPr>
              <w:t>Labs, Inc.)</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2"/>
        </w:trPr>
        <w:tc>
          <w:tcPr>
            <w:tcW w:w="1880" w:type="dxa"/>
            <w:vAlign w:val="bottom"/>
            <w:gridSpan w:val="11"/>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D</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1,460,557</w:t>
            </w:r>
          </w:p>
        </w:tc>
        <w:tc>
          <w:tcPr>
            <w:tcW w:w="14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3,499,999</w:t>
            </w:r>
          </w:p>
        </w:tc>
        <w:tc>
          <w:tcPr>
            <w:tcW w:w="12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4,960,565</w:t>
            </w:r>
          </w:p>
        </w:tc>
      </w:tr>
      <w:tr>
        <w:trPr>
          <w:trHeight w:val="149"/>
        </w:trPr>
        <w:tc>
          <w:tcPr>
            <w:tcW w:w="1880" w:type="dxa"/>
            <w:vAlign w:val="bottom"/>
            <w:gridSpan w:val="11"/>
          </w:tcPr>
          <w:p>
            <w:pPr>
              <w:ind w:left="20"/>
              <w:spacing w:after="0" w:line="149" w:lineRule="exact"/>
              <w:rPr>
                <w:sz w:val="20"/>
                <w:szCs w:val="20"/>
                <w:color w:val="auto"/>
              </w:rPr>
            </w:pPr>
            <w:r>
              <w:rPr>
                <w:rFonts w:ascii="Arial" w:cs="Arial" w:eastAsia="Arial" w:hAnsi="Arial"/>
                <w:sz w:val="14"/>
                <w:szCs w:val="14"/>
                <w:color w:val="auto"/>
              </w:rPr>
              <w:t>Preferred shares, Series C</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1,503,832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229,572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1,733,404</w:t>
            </w:r>
          </w:p>
        </w:tc>
      </w:tr>
      <w:tr>
        <w:trPr>
          <w:trHeight w:val="149"/>
        </w:trPr>
        <w:tc>
          <w:tcPr>
            <w:tcW w:w="1880" w:type="dxa"/>
            <w:vAlign w:val="bottom"/>
            <w:gridSpan w:val="11"/>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265,980</w:t>
            </w:r>
          </w:p>
        </w:tc>
        <w:tc>
          <w:tcPr>
            <w:tcW w:w="14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(265,980)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r>
      <w:tr>
        <w:trPr>
          <w:trHeight w:val="149"/>
        </w:trPr>
        <w:tc>
          <w:tcPr>
            <w:tcW w:w="1880" w:type="dxa"/>
            <w:vAlign w:val="bottom"/>
            <w:gridSpan w:val="11"/>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440,000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(440,000)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r>
      <w:tr>
        <w:trPr>
          <w:trHeight w:val="149"/>
        </w:trPr>
        <w:tc>
          <w:tcPr>
            <w:tcW w:w="1880" w:type="dxa"/>
            <w:vAlign w:val="bottom"/>
            <w:gridSpan w:val="11"/>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14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r>
      <w:tr>
        <w:trPr>
          <w:trHeight w:val="130"/>
        </w:trPr>
        <w:tc>
          <w:tcPr>
            <w:tcW w:w="1880" w:type="dxa"/>
            <w:vAlign w:val="bottom"/>
            <w:gridSpan w:val="11"/>
          </w:tcPr>
          <w:p>
            <w:pPr>
              <w:ind w:left="20"/>
              <w:spacing w:after="0" w:line="130" w:lineRule="exact"/>
              <w:rPr>
                <w:sz w:val="20"/>
                <w:szCs w:val="20"/>
                <w:color w:val="auto"/>
              </w:rPr>
            </w:pPr>
            <w:r>
              <w:rPr>
                <w:rFonts w:ascii="Arial" w:cs="Arial" w:eastAsia="Arial" w:hAnsi="Arial"/>
                <w:sz w:val="14"/>
                <w:szCs w:val="14"/>
                <w:color w:val="auto"/>
              </w:rPr>
              <w:t>Preferred Warrant Series D –</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9"/>
          </w:tcPr>
          <w:p>
            <w:pPr>
              <w:ind w:left="40"/>
              <w:spacing w:after="0" w:line="149" w:lineRule="exact"/>
              <w:rPr>
                <w:sz w:val="20"/>
                <w:szCs w:val="20"/>
                <w:color w:val="auto"/>
              </w:rPr>
            </w:pPr>
            <w:r>
              <w:rPr>
                <w:rFonts w:ascii="Arial" w:cs="Arial" w:eastAsia="Arial" w:hAnsi="Arial"/>
                <w:sz w:val="14"/>
                <w:szCs w:val="14"/>
                <w:color w:val="auto"/>
              </w:rPr>
              <w:t>$1.33 Strike Price,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860" w:type="dxa"/>
            <w:vAlign w:val="bottom"/>
            <w:gridSpan w:val="10"/>
          </w:tcPr>
          <w:p>
            <w:pPr>
              <w:ind w:left="180"/>
              <w:spacing w:after="0" w:line="149" w:lineRule="exact"/>
              <w:rPr>
                <w:sz w:val="20"/>
                <w:szCs w:val="20"/>
                <w:color w:val="auto"/>
              </w:rPr>
            </w:pPr>
            <w:r>
              <w:rPr>
                <w:rFonts w:ascii="Arial" w:cs="Arial" w:eastAsia="Arial" w:hAnsi="Arial"/>
                <w:sz w:val="14"/>
                <w:szCs w:val="14"/>
                <w:color w:val="auto"/>
              </w:rPr>
              <w:t>Expiration Date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7"/>
        </w:trPr>
        <w:tc>
          <w:tcPr>
            <w:tcW w:w="860" w:type="dxa"/>
            <w:vAlign w:val="bottom"/>
            <w:gridSpan w:val="3"/>
          </w:tcPr>
          <w:p>
            <w:pPr>
              <w:ind w:left="200"/>
              <w:spacing w:after="0"/>
              <w:rPr>
                <w:sz w:val="20"/>
                <w:szCs w:val="20"/>
                <w:color w:val="auto"/>
              </w:rPr>
            </w:pPr>
            <w:r>
              <w:rPr>
                <w:rFonts w:ascii="Arial" w:cs="Arial" w:eastAsia="Arial" w:hAnsi="Arial"/>
                <w:sz w:val="14"/>
                <w:szCs w:val="14"/>
                <w:color w:val="auto"/>
              </w:rPr>
              <w:t>10/6/2019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65,000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80,000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145,000</w:t>
            </w:r>
          </w:p>
        </w:tc>
      </w:tr>
      <w:tr>
        <w:trPr>
          <w:trHeight w:val="130"/>
        </w:trPr>
        <w:tc>
          <w:tcPr>
            <w:tcW w:w="1880" w:type="dxa"/>
            <w:vAlign w:val="bottom"/>
            <w:gridSpan w:val="11"/>
            <w:shd w:val="clear" w:color="auto" w:fill="CCEEFF"/>
          </w:tcPr>
          <w:p>
            <w:pPr>
              <w:ind w:left="20"/>
              <w:spacing w:after="0" w:line="130" w:lineRule="exact"/>
              <w:rPr>
                <w:sz w:val="20"/>
                <w:szCs w:val="20"/>
                <w:color w:val="auto"/>
              </w:rPr>
            </w:pPr>
            <w:r>
              <w:rPr>
                <w:rFonts w:ascii="Arial" w:cs="Arial" w:eastAsia="Arial" w:hAnsi="Arial"/>
                <w:sz w:val="14"/>
                <w:szCs w:val="14"/>
                <w:color w:val="auto"/>
                <w:w w:val="97"/>
              </w:rPr>
              <w:t>Preferred warrants, Series C –</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9"/>
        </w:trPr>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80" w:type="dxa"/>
            <w:vAlign w:val="bottom"/>
            <w:gridSpan w:val="9"/>
            <w:shd w:val="clear" w:color="auto" w:fill="CCEEFF"/>
          </w:tcPr>
          <w:p>
            <w:pPr>
              <w:ind w:left="40"/>
              <w:spacing w:after="0" w:line="149" w:lineRule="exact"/>
              <w:rPr>
                <w:sz w:val="20"/>
                <w:szCs w:val="20"/>
                <w:color w:val="auto"/>
              </w:rPr>
            </w:pPr>
            <w:r>
              <w:rPr>
                <w:rFonts w:ascii="Arial" w:cs="Arial" w:eastAsia="Arial" w:hAnsi="Arial"/>
                <w:sz w:val="14"/>
                <w:szCs w:val="14"/>
                <w:color w:val="auto"/>
              </w:rPr>
              <w:t>$1.33 Strike Price,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shd w:val="clear" w:color="auto" w:fill="CCEEFF"/>
          </w:tcPr>
          <w:p>
            <w:pPr>
              <w:spacing w:after="0"/>
              <w:rPr>
                <w:sz w:val="12"/>
                <w:szCs w:val="12"/>
                <w:color w:val="auto"/>
              </w:rPr>
            </w:pPr>
          </w:p>
        </w:tc>
        <w:tc>
          <w:tcPr>
            <w:tcW w:w="1860" w:type="dxa"/>
            <w:vAlign w:val="bottom"/>
            <w:gridSpan w:val="10"/>
            <w:shd w:val="clear" w:color="auto" w:fill="CCEEFF"/>
          </w:tcPr>
          <w:p>
            <w:pPr>
              <w:ind w:left="180"/>
              <w:spacing w:after="0" w:line="149" w:lineRule="exact"/>
              <w:rPr>
                <w:sz w:val="20"/>
                <w:szCs w:val="20"/>
                <w:color w:val="auto"/>
              </w:rPr>
            </w:pPr>
            <w:r>
              <w:rPr>
                <w:rFonts w:ascii="Arial" w:cs="Arial" w:eastAsia="Arial" w:hAnsi="Arial"/>
                <w:sz w:val="14"/>
                <w:szCs w:val="14"/>
                <w:color w:val="auto"/>
              </w:rPr>
              <w:t>Expiration Date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67"/>
        </w:trPr>
        <w:tc>
          <w:tcPr>
            <w:tcW w:w="86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4/9/2019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24,375</w:t>
            </w: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7,500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31,875</w:t>
            </w:r>
          </w:p>
        </w:tc>
      </w:tr>
      <w:tr>
        <w:trPr>
          <w:trHeight w:val="135"/>
        </w:trPr>
        <w:tc>
          <w:tcPr>
            <w:tcW w:w="1880" w:type="dxa"/>
            <w:vAlign w:val="bottom"/>
            <w:gridSpan w:val="11"/>
          </w:tcPr>
          <w:p>
            <w:pPr>
              <w:ind w:left="20"/>
              <w:spacing w:after="0" w:line="135" w:lineRule="exact"/>
              <w:rPr>
                <w:sz w:val="20"/>
                <w:szCs w:val="20"/>
                <w:color w:val="auto"/>
              </w:rPr>
            </w:pPr>
            <w:r>
              <w:rPr>
                <w:rFonts w:ascii="Arial" w:cs="Arial" w:eastAsia="Arial" w:hAnsi="Arial"/>
                <w:sz w:val="14"/>
                <w:szCs w:val="14"/>
                <w:b w:val="1"/>
                <w:bCs w:val="1"/>
                <w:color w:val="auto"/>
                <w:w w:val="99"/>
              </w:rPr>
              <w:t>GSV Sustainability Partners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2"/>
        </w:trPr>
        <w:tc>
          <w:tcPr>
            <w:tcW w:w="1880" w:type="dxa"/>
            <w:vAlign w:val="bottom"/>
            <w:gridSpan w:val="11"/>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Class A</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4,850,000</w:t>
            </w:r>
          </w:p>
        </w:tc>
        <w:tc>
          <w:tcPr>
            <w:tcW w:w="14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2,300,156</w:t>
            </w:r>
          </w:p>
        </w:tc>
        <w:tc>
          <w:tcPr>
            <w:tcW w:w="12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(900,156)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6,250,000</w:t>
            </w:r>
          </w:p>
        </w:tc>
      </w:tr>
      <w:tr>
        <w:trPr>
          <w:trHeight w:val="149"/>
        </w:trPr>
        <w:tc>
          <w:tcPr>
            <w:tcW w:w="1880" w:type="dxa"/>
            <w:vAlign w:val="bottom"/>
            <w:gridSpan w:val="11"/>
          </w:tcPr>
          <w:p>
            <w:pPr>
              <w:ind w:left="20"/>
              <w:spacing w:after="0" w:line="149" w:lineRule="exact"/>
              <w:rPr>
                <w:sz w:val="20"/>
                <w:szCs w:val="20"/>
                <w:color w:val="auto"/>
              </w:rPr>
            </w:pPr>
            <w:r>
              <w:rPr>
                <w:rFonts w:ascii="Arial" w:cs="Arial" w:eastAsia="Arial" w:hAnsi="Arial"/>
                <w:sz w:val="14"/>
                <w:szCs w:val="14"/>
                <w:color w:val="auto"/>
              </w:rPr>
              <w:t>Common shares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10,000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1880" w:type="dxa"/>
            <w:vAlign w:val="bottom"/>
            <w:gridSpan w:val="11"/>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Total Control Investments</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60"/>
              <w:spacing w:after="0" w:line="12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w w:val="94"/>
              </w:rPr>
              <w:t>18,819,335</w:t>
            </w:r>
          </w:p>
        </w:tc>
        <w:tc>
          <w:tcPr>
            <w:tcW w:w="240" w:type="dxa"/>
            <w:vAlign w:val="bottom"/>
            <w:tcBorders>
              <w:left w:val="single" w:sz="8" w:color="CCEEFF"/>
            </w:tcBorders>
            <w:gridSpan w:val="2"/>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4"/>
                <w:szCs w:val="14"/>
                <w:color w:val="auto"/>
                <w:w w:val="92"/>
              </w:rPr>
              <w:t>(1,120,561)</w:t>
            </w:r>
          </w:p>
        </w:tc>
        <w:tc>
          <w:tcPr>
            <w:tcW w:w="16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4"/>
                <w:szCs w:val="14"/>
                <w:u w:val="single" w:color="auto"/>
                <w:color w:val="auto"/>
              </w:rPr>
              <w:t>$</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w w:val="89"/>
              </w:rPr>
              <w:t>5,800,155</w:t>
            </w:r>
          </w:p>
        </w:tc>
        <w:tc>
          <w:tcPr>
            <w:tcW w:w="240" w:type="dxa"/>
            <w:vAlign w:val="bottom"/>
            <w:tcBorders>
              <w:left w:val="single" w:sz="8" w:color="CCEEFF"/>
            </w:tcBorders>
            <w:gridSpan w:val="2"/>
            <w:shd w:val="clear" w:color="auto" w:fill="CCEEFF"/>
          </w:tcPr>
          <w:p>
            <w:pPr>
              <w:jc w:val="right"/>
              <w:ind w:right="40"/>
              <w:spacing w:after="0" w:line="12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4"/>
                <w:szCs w:val="14"/>
                <w:color w:val="auto"/>
              </w:rPr>
              <w:t>(627,139)</w:t>
            </w:r>
          </w:p>
        </w:tc>
        <w:tc>
          <w:tcPr>
            <w:tcW w:w="16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4"/>
                <w:szCs w:val="14"/>
                <w:color w:val="auto"/>
              </w:rPr>
              <w:t>22,871,790</w:t>
            </w:r>
          </w:p>
        </w:tc>
      </w:tr>
      <w:tr>
        <w:trPr>
          <w:trHeight w:val="27"/>
        </w:trPr>
        <w:tc>
          <w:tcPr>
            <w:tcW w:w="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280" w:type="dxa"/>
            <w:vAlign w:val="bottom"/>
            <w:tcBorders>
              <w:right w:val="single" w:sz="8" w:color="auto"/>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135"/>
        </w:trPr>
        <w:tc>
          <w:tcPr>
            <w:tcW w:w="1880" w:type="dxa"/>
            <w:vAlign w:val="bottom"/>
            <w:gridSpan w:val="11"/>
          </w:tcPr>
          <w:p>
            <w:pPr>
              <w:ind w:left="20"/>
              <w:spacing w:after="0" w:line="135" w:lineRule="exact"/>
              <w:rPr>
                <w:sz w:val="20"/>
                <w:szCs w:val="20"/>
                <w:color w:val="auto"/>
              </w:rPr>
            </w:pPr>
            <w:r>
              <w:rPr>
                <w:rFonts w:ascii="Arial" w:cs="Arial" w:eastAsia="Arial" w:hAnsi="Arial"/>
                <w:sz w:val="14"/>
                <w:szCs w:val="14"/>
                <w:b w:val="1"/>
                <w:bCs w:val="1"/>
                <w:color w:val="auto"/>
              </w:rPr>
              <w:t>Affiliate Investments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1880" w:type="dxa"/>
            <w:vAlign w:val="bottom"/>
            <w:gridSpan w:val="11"/>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AlwaysOn, Inc.</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142"/>
        </w:trPr>
        <w:tc>
          <w:tcPr>
            <w:tcW w:w="1880" w:type="dxa"/>
            <w:vAlign w:val="bottom"/>
            <w:gridSpan w:val="11"/>
          </w:tcPr>
          <w:p>
            <w:pPr>
              <w:ind w:left="20"/>
              <w:spacing w:after="0" w:line="142" w:lineRule="exact"/>
              <w:rPr>
                <w:sz w:val="20"/>
                <w:szCs w:val="20"/>
                <w:color w:val="auto"/>
              </w:rPr>
            </w:pPr>
            <w:r>
              <w:rPr>
                <w:rFonts w:ascii="Arial" w:cs="Arial" w:eastAsia="Arial" w:hAnsi="Arial"/>
                <w:sz w:val="14"/>
                <w:szCs w:val="14"/>
                <w:color w:val="auto"/>
              </w:rPr>
              <w:t>Preferred shares, Series A-1</w:t>
            </w:r>
          </w:p>
        </w:tc>
        <w:tc>
          <w:tcPr>
            <w:tcW w:w="1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491,252</w:t>
            </w:r>
          </w:p>
        </w:tc>
        <w:tc>
          <w:tcPr>
            <w:tcW w:w="1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rPr>
              <w:t>320</w:t>
            </w:r>
          </w:p>
        </w:tc>
        <w:tc>
          <w:tcPr>
            <w:tcW w:w="24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(357,594)</w:t>
            </w:r>
          </w:p>
        </w:tc>
        <w:tc>
          <w:tcPr>
            <w:tcW w:w="1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133,978</w:t>
            </w:r>
          </w:p>
        </w:tc>
      </w:tr>
      <w:tr>
        <w:trPr>
          <w:trHeight w:val="149"/>
        </w:trPr>
        <w:tc>
          <w:tcPr>
            <w:tcW w:w="1880" w:type="dxa"/>
            <w:vAlign w:val="bottom"/>
            <w:gridSpan w:val="11"/>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629,309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(437,316)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191,993</w:t>
            </w:r>
          </w:p>
        </w:tc>
      </w:tr>
      <w:tr>
        <w:trPr>
          <w:trHeight w:val="130"/>
        </w:trPr>
        <w:tc>
          <w:tcPr>
            <w:tcW w:w="1880" w:type="dxa"/>
            <w:vAlign w:val="bottom"/>
            <w:gridSpan w:val="11"/>
          </w:tcPr>
          <w:p>
            <w:pPr>
              <w:ind w:left="20"/>
              <w:spacing w:after="0" w:line="130" w:lineRule="exact"/>
              <w:rPr>
                <w:sz w:val="20"/>
                <w:szCs w:val="20"/>
                <w:color w:val="auto"/>
              </w:rPr>
            </w:pPr>
            <w:r>
              <w:rPr>
                <w:rFonts w:ascii="Arial" w:cs="Arial" w:eastAsia="Arial" w:hAnsi="Arial"/>
                <w:sz w:val="14"/>
                <w:szCs w:val="14"/>
                <w:color w:val="auto"/>
              </w:rPr>
              <w:t>Preferred warrants Series A,</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860" w:type="dxa"/>
            <w:vAlign w:val="bottom"/>
            <w:gridSpan w:val="10"/>
          </w:tcPr>
          <w:p>
            <w:pPr>
              <w:ind w:left="180"/>
              <w:spacing w:after="0" w:line="149" w:lineRule="exact"/>
              <w:rPr>
                <w:sz w:val="20"/>
                <w:szCs w:val="20"/>
                <w:color w:val="auto"/>
              </w:rPr>
            </w:pPr>
            <w:r>
              <w:rPr>
                <w:rFonts w:ascii="Arial" w:cs="Arial" w:eastAsia="Arial" w:hAnsi="Arial"/>
                <w:sz w:val="14"/>
                <w:szCs w:val="14"/>
                <w:color w:val="auto"/>
              </w:rPr>
              <w:t>$1.00 strike price, expire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7"/>
        </w:trPr>
        <w:tc>
          <w:tcPr>
            <w:tcW w:w="860" w:type="dxa"/>
            <w:vAlign w:val="bottom"/>
            <w:gridSpan w:val="3"/>
          </w:tcPr>
          <w:p>
            <w:pPr>
              <w:ind w:left="200"/>
              <w:spacing w:after="0"/>
              <w:rPr>
                <w:sz w:val="20"/>
                <w:szCs w:val="20"/>
                <w:color w:val="auto"/>
              </w:rPr>
            </w:pPr>
            <w:r>
              <w:rPr>
                <w:rFonts w:ascii="Arial" w:cs="Arial" w:eastAsia="Arial" w:hAnsi="Arial"/>
                <w:sz w:val="14"/>
                <w:szCs w:val="14"/>
                <w:color w:val="auto"/>
              </w:rPr>
              <w:t>1/9/2017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176"/>
        </w:trPr>
        <w:tc>
          <w:tcPr>
            <w:tcW w:w="1880" w:type="dxa"/>
            <w:vAlign w:val="bottom"/>
            <w:gridSpan w:val="11"/>
            <w:shd w:val="clear" w:color="auto" w:fill="CCEEFF"/>
          </w:tcPr>
          <w:p>
            <w:pPr>
              <w:ind w:left="20"/>
              <w:spacing w:after="0" w:line="176" w:lineRule="exact"/>
              <w:rPr>
                <w:sz w:val="20"/>
                <w:szCs w:val="20"/>
                <w:color w:val="auto"/>
              </w:rPr>
            </w:pPr>
            <w:r>
              <w:rPr>
                <w:rFonts w:ascii="Arial" w:cs="Arial" w:eastAsia="Arial" w:hAnsi="Arial"/>
                <w:sz w:val="13"/>
                <w:szCs w:val="13"/>
                <w:b w:val="1"/>
                <w:bCs w:val="1"/>
                <w:color w:val="auto"/>
              </w:rPr>
              <w:t>Whittle Schools, LLC</w:t>
            </w:r>
            <w:r>
              <w:rPr>
                <w:rFonts w:ascii="Arial" w:cs="Arial" w:eastAsia="Arial" w:hAnsi="Arial"/>
                <w:sz w:val="20"/>
                <w:szCs w:val="20"/>
                <w:b w:val="1"/>
                <w:bCs w:val="1"/>
                <w:color w:val="auto"/>
                <w:vertAlign w:val="superscript"/>
              </w:rPr>
              <w:t>(2)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tcBorders>
              <w:lef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142"/>
        </w:trPr>
        <w:tc>
          <w:tcPr>
            <w:tcW w:w="1880" w:type="dxa"/>
            <w:vAlign w:val="bottom"/>
            <w:gridSpan w:val="11"/>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3,000,000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3,000,000</w:t>
            </w:r>
          </w:p>
        </w:tc>
      </w:tr>
      <w:tr>
        <w:trPr>
          <w:trHeight w:val="149"/>
        </w:trPr>
        <w:tc>
          <w:tcPr>
            <w:tcW w:w="1880" w:type="dxa"/>
            <w:vAlign w:val="bottom"/>
            <w:gridSpan w:val="11"/>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1,500,000</w:t>
            </w:r>
          </w:p>
        </w:tc>
        <w:tc>
          <w:tcPr>
            <w:tcW w:w="14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1,500,000</w:t>
            </w:r>
          </w:p>
        </w:tc>
      </w:tr>
      <w:tr>
        <w:trPr>
          <w:trHeight w:val="135"/>
        </w:trPr>
        <w:tc>
          <w:tcPr>
            <w:tcW w:w="1880" w:type="dxa"/>
            <w:vAlign w:val="bottom"/>
            <w:gridSpan w:val="11"/>
          </w:tcPr>
          <w:p>
            <w:pPr>
              <w:ind w:left="20"/>
              <w:spacing w:after="0" w:line="135" w:lineRule="exact"/>
              <w:rPr>
                <w:sz w:val="20"/>
                <w:szCs w:val="20"/>
                <w:color w:val="auto"/>
              </w:rPr>
            </w:pPr>
            <w:r>
              <w:rPr>
                <w:rFonts w:ascii="Arial" w:cs="Arial" w:eastAsia="Arial" w:hAnsi="Arial"/>
                <w:sz w:val="14"/>
                <w:szCs w:val="14"/>
                <w:b w:val="1"/>
                <w:bCs w:val="1"/>
                <w:color w:val="auto"/>
                <w:w w:val="98"/>
              </w:rPr>
              <w:t>Circle Media (f/k/a S3 Digital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1800" w:type="dxa"/>
            <w:vAlign w:val="bottom"/>
            <w:tcBorders>
              <w:top w:val="single" w:sz="8" w:color="auto"/>
            </w:tcBorders>
            <w:gridSpan w:val="9"/>
          </w:tcPr>
          <w:p>
            <w:pPr>
              <w:ind w:left="180"/>
              <w:spacing w:after="0" w:line="129" w:lineRule="exact"/>
              <w:rPr>
                <w:sz w:val="20"/>
                <w:szCs w:val="20"/>
                <w:color w:val="auto"/>
              </w:rPr>
            </w:pPr>
            <w:r>
              <w:rPr>
                <w:rFonts w:ascii="Arial" w:cs="Arial" w:eastAsia="Arial" w:hAnsi="Arial"/>
                <w:sz w:val="14"/>
                <w:szCs w:val="14"/>
                <w:b w:val="1"/>
                <w:bCs w:val="1"/>
                <w:color w:val="auto"/>
              </w:rPr>
              <w:t>Corp. (d/b/a S3i))</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2"/>
        </w:trPr>
        <w:tc>
          <w:tcPr>
            <w:tcW w:w="1880" w:type="dxa"/>
            <w:vAlign w:val="bottom"/>
            <w:gridSpan w:val="11"/>
            <w:shd w:val="clear" w:color="auto" w:fill="CCEEFF"/>
          </w:tcPr>
          <w:p>
            <w:pPr>
              <w:ind w:left="20"/>
              <w:spacing w:after="0" w:line="142" w:lineRule="exact"/>
              <w:rPr>
                <w:sz w:val="20"/>
                <w:szCs w:val="20"/>
                <w:color w:val="auto"/>
              </w:rPr>
            </w:pPr>
            <w:r>
              <w:rPr>
                <w:rFonts w:ascii="Arial" w:cs="Arial" w:eastAsia="Arial" w:hAnsi="Arial"/>
                <w:sz w:val="14"/>
                <w:szCs w:val="14"/>
                <w:color w:val="auto"/>
              </w:rPr>
              <w:t>Term Loan, 12%, 09/30/15***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(6,440)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288,114</w:t>
            </w:r>
          </w:p>
        </w:tc>
        <w:tc>
          <w:tcPr>
            <w:tcW w:w="14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(292,798)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4,684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w:t>
            </w:r>
          </w:p>
        </w:tc>
      </w:tr>
      <w:tr>
        <w:trPr>
          <w:trHeight w:val="140"/>
        </w:trPr>
        <w:tc>
          <w:tcPr>
            <w:tcW w:w="1880" w:type="dxa"/>
            <w:vAlign w:val="bottom"/>
            <w:gridSpan w:val="11"/>
          </w:tcPr>
          <w:p>
            <w:pPr>
              <w:ind w:left="20"/>
              <w:spacing w:after="0" w:line="140" w:lineRule="exact"/>
              <w:rPr>
                <w:sz w:val="20"/>
                <w:szCs w:val="20"/>
                <w:color w:val="auto"/>
              </w:rPr>
            </w:pPr>
            <w:r>
              <w:rPr>
                <w:rFonts w:ascii="Arial" w:cs="Arial" w:eastAsia="Arial" w:hAnsi="Arial"/>
                <w:sz w:val="14"/>
                <w:szCs w:val="14"/>
                <w:color w:val="auto"/>
              </w:rPr>
              <w:t>Term Loan, 12%, 11/18/16***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1"/>
        </w:trPr>
        <w:tc>
          <w:tcPr>
            <w:tcW w:w="860" w:type="dxa"/>
            <w:vAlign w:val="bottom"/>
            <w:gridSpan w:val="3"/>
          </w:tcPr>
          <w:p>
            <w:pPr>
              <w:ind w:left="200"/>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26,104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(1,104)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25,000</w:t>
            </w:r>
          </w:p>
        </w:tc>
      </w:tr>
      <w:tr>
        <w:trPr>
          <w:trHeight w:val="149"/>
        </w:trPr>
        <w:tc>
          <w:tcPr>
            <w:tcW w:w="1880" w:type="dxa"/>
            <w:vAlign w:val="bottom"/>
            <w:gridSpan w:val="11"/>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1,705,006</w:t>
            </w:r>
          </w:p>
        </w:tc>
        <w:tc>
          <w:tcPr>
            <w:tcW w:w="14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293,558</w:t>
            </w:r>
          </w:p>
        </w:tc>
        <w:tc>
          <w:tcPr>
            <w:tcW w:w="12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(842,389)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1,156,175</w:t>
            </w:r>
          </w:p>
        </w:tc>
      </w:tr>
      <w:tr>
        <w:trPr>
          <w:trHeight w:val="130"/>
        </w:trPr>
        <w:tc>
          <w:tcPr>
            <w:tcW w:w="1880" w:type="dxa"/>
            <w:vAlign w:val="bottom"/>
            <w:gridSpan w:val="11"/>
          </w:tcPr>
          <w:p>
            <w:pPr>
              <w:ind w:left="20"/>
              <w:spacing w:after="0" w:line="130" w:lineRule="exact"/>
              <w:rPr>
                <w:sz w:val="20"/>
                <w:szCs w:val="20"/>
                <w:color w:val="auto"/>
              </w:rPr>
            </w:pPr>
            <w:r>
              <w:rPr>
                <w:rFonts w:ascii="Arial" w:cs="Arial" w:eastAsia="Arial" w:hAnsi="Arial"/>
                <w:sz w:val="14"/>
                <w:szCs w:val="14"/>
                <w:color w:val="auto"/>
              </w:rPr>
              <w:t>Circle Media, Inc. – Preferred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860" w:type="dxa"/>
            <w:vAlign w:val="bottom"/>
            <w:gridSpan w:val="10"/>
          </w:tcPr>
          <w:p>
            <w:pPr>
              <w:ind w:left="180"/>
              <w:spacing w:after="0" w:line="149" w:lineRule="exact"/>
              <w:rPr>
                <w:sz w:val="20"/>
                <w:szCs w:val="20"/>
                <w:color w:val="auto"/>
              </w:rPr>
            </w:pPr>
            <w:r>
              <w:rPr>
                <w:rFonts w:ascii="Arial" w:cs="Arial" w:eastAsia="Arial" w:hAnsi="Arial"/>
                <w:sz w:val="14"/>
                <w:szCs w:val="14"/>
                <w:color w:val="auto"/>
                <w:w w:val="97"/>
              </w:rPr>
              <w:t>Warrants Series A (f/k/a S3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860" w:type="dxa"/>
            <w:vAlign w:val="bottom"/>
            <w:gridSpan w:val="10"/>
          </w:tcPr>
          <w:p>
            <w:pPr>
              <w:ind w:left="180"/>
              <w:spacing w:after="0" w:line="149" w:lineRule="exact"/>
              <w:rPr>
                <w:sz w:val="20"/>
                <w:szCs w:val="20"/>
                <w:color w:val="auto"/>
              </w:rPr>
            </w:pPr>
            <w:r>
              <w:rPr>
                <w:rFonts w:ascii="Arial" w:cs="Arial" w:eastAsia="Arial" w:hAnsi="Arial"/>
                <w:sz w:val="14"/>
                <w:szCs w:val="14"/>
                <w:color w:val="auto"/>
                <w:w w:val="98"/>
              </w:rPr>
              <w:t>Digital Corp.) – Strike Price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860" w:type="dxa"/>
            <w:vAlign w:val="bottom"/>
            <w:gridSpan w:val="10"/>
          </w:tcPr>
          <w:p>
            <w:pPr>
              <w:ind w:left="180"/>
              <w:spacing w:after="0" w:line="149" w:lineRule="exact"/>
              <w:rPr>
                <w:sz w:val="20"/>
                <w:szCs w:val="20"/>
                <w:color w:val="auto"/>
              </w:rPr>
            </w:pPr>
            <w:r>
              <w:rPr>
                <w:rFonts w:ascii="Arial" w:cs="Arial" w:eastAsia="Arial" w:hAnsi="Arial"/>
                <w:sz w:val="14"/>
                <w:szCs w:val="14"/>
                <w:color w:val="auto"/>
              </w:rPr>
              <w:t>$1.166, Expiration Date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7"/>
        </w:trPr>
        <w:tc>
          <w:tcPr>
            <w:tcW w:w="860" w:type="dxa"/>
            <w:vAlign w:val="bottom"/>
            <w:gridSpan w:val="3"/>
          </w:tcPr>
          <w:p>
            <w:pPr>
              <w:ind w:left="200"/>
              <w:spacing w:after="0"/>
              <w:rPr>
                <w:sz w:val="20"/>
                <w:szCs w:val="20"/>
                <w:color w:val="auto"/>
              </w:rPr>
            </w:pPr>
            <w:r>
              <w:rPr>
                <w:rFonts w:ascii="Arial" w:cs="Arial" w:eastAsia="Arial" w:hAnsi="Arial"/>
                <w:sz w:val="14"/>
                <w:szCs w:val="14"/>
                <w:color w:val="auto"/>
                <w:w w:val="91"/>
              </w:rPr>
              <w:t>11/18/2022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576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(147)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429</w:t>
            </w:r>
          </w:p>
        </w:tc>
      </w:tr>
      <w:tr>
        <w:trPr>
          <w:trHeight w:val="130"/>
        </w:trPr>
        <w:tc>
          <w:tcPr>
            <w:tcW w:w="1880" w:type="dxa"/>
            <w:vAlign w:val="bottom"/>
            <w:gridSpan w:val="11"/>
            <w:shd w:val="clear" w:color="auto" w:fill="CCEEFF"/>
          </w:tcPr>
          <w:p>
            <w:pPr>
              <w:ind w:left="20"/>
              <w:spacing w:after="0" w:line="130" w:lineRule="exact"/>
              <w:rPr>
                <w:sz w:val="20"/>
                <w:szCs w:val="20"/>
                <w:color w:val="auto"/>
              </w:rPr>
            </w:pPr>
            <w:r>
              <w:rPr>
                <w:rFonts w:ascii="Arial" w:cs="Arial" w:eastAsia="Arial" w:hAnsi="Arial"/>
                <w:sz w:val="14"/>
                <w:szCs w:val="14"/>
                <w:color w:val="auto"/>
                <w:w w:val="92"/>
              </w:rPr>
              <w:t>Preferred warrants, $1.17 Strike</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9"/>
        </w:trPr>
        <w:tc>
          <w:tcPr>
            <w:tcW w:w="20" w:type="dxa"/>
            <w:vAlign w:val="bottom"/>
            <w:shd w:val="clear" w:color="auto" w:fill="CCEEFF"/>
          </w:tcPr>
          <w:p>
            <w:pPr>
              <w:spacing w:after="0"/>
              <w:rPr>
                <w:sz w:val="12"/>
                <w:szCs w:val="12"/>
                <w:color w:val="auto"/>
              </w:rPr>
            </w:pPr>
          </w:p>
        </w:tc>
        <w:tc>
          <w:tcPr>
            <w:tcW w:w="1860" w:type="dxa"/>
            <w:vAlign w:val="bottom"/>
            <w:gridSpan w:val="10"/>
            <w:shd w:val="clear" w:color="auto" w:fill="CCEEFF"/>
          </w:tcPr>
          <w:p>
            <w:pPr>
              <w:ind w:left="180"/>
              <w:spacing w:after="0" w:line="149" w:lineRule="exact"/>
              <w:rPr>
                <w:sz w:val="20"/>
                <w:szCs w:val="20"/>
                <w:color w:val="auto"/>
              </w:rPr>
            </w:pPr>
            <w:r>
              <w:rPr>
                <w:rFonts w:ascii="Arial" w:cs="Arial" w:eastAsia="Arial" w:hAnsi="Arial"/>
                <w:sz w:val="14"/>
                <w:szCs w:val="14"/>
                <w:color w:val="auto"/>
              </w:rPr>
              <w:t>Price, Expiration Date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67"/>
        </w:trPr>
        <w:tc>
          <w:tcPr>
            <w:tcW w:w="86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w w:val="91"/>
              </w:rPr>
              <w:t>08/29/2021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58,019</w:t>
            </w: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(43,954)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14,065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-2306320</wp:posOffset>
            </wp:positionV>
            <wp:extent cx="5213985" cy="10287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213985" cy="10287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1" w:name="page62"/>
    <w:bookmarkEnd w:id="61"/>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1500"/>
        <w:spacing w:after="0"/>
        <w:rPr>
          <w:sz w:val="20"/>
          <w:szCs w:val="20"/>
          <w:color w:val="auto"/>
        </w:rPr>
      </w:pPr>
      <w:r>
        <w:rPr>
          <w:rFonts w:ascii="Arial" w:cs="Arial" w:eastAsia="Arial" w:hAnsi="Arial"/>
          <w:sz w:val="16"/>
          <w:szCs w:val="16"/>
          <w:b w:val="1"/>
          <w:bCs w:val="1"/>
          <w:color w:val="auto"/>
        </w:rPr>
        <w:t>Schedule 12-14 — Schedule of Investments in and Advances to Affiliates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521398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9"/>
              </w:rPr>
              <w:t>Amount of</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center"/>
              <w:ind w:right="9"/>
              <w:spacing w:after="0"/>
              <w:rPr>
                <w:sz w:val="20"/>
                <w:szCs w:val="20"/>
                <w:color w:val="auto"/>
              </w:rPr>
            </w:pPr>
            <w:r>
              <w:rPr>
                <w:rFonts w:ascii="Arial" w:cs="Arial" w:eastAsia="Arial" w:hAnsi="Arial"/>
                <w:sz w:val="13"/>
                <w:szCs w:val="13"/>
                <w:b w:val="1"/>
                <w:bCs w:val="1"/>
                <w:color w:val="auto"/>
                <w:w w:val="88"/>
              </w:rPr>
              <w:t>Transfer</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5"/>
              </w:rPr>
              <w:t>Interest, Fees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8"/>
              </w:rPr>
              <w:t>from Control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or Dividends</w:t>
            </w:r>
          </w:p>
        </w:tc>
        <w:tc>
          <w:tcPr>
            <w:tcW w:w="80" w:type="dxa"/>
            <w:vAlign w:val="bottom"/>
          </w:tcPr>
          <w:p>
            <w:pPr>
              <w:spacing w:after="0"/>
              <w:rPr>
                <w:sz w:val="11"/>
                <w:szCs w:val="11"/>
                <w:color w:val="auto"/>
              </w:rPr>
            </w:pPr>
          </w:p>
        </w:tc>
        <w:tc>
          <w:tcPr>
            <w:tcW w:w="8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0"/>
              </w:rPr>
              <w:t>Fair Value at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ind w:right="29"/>
              <w:spacing w:after="0" w:line="135" w:lineRule="exact"/>
              <w:rPr>
                <w:sz w:val="20"/>
                <w:szCs w:val="20"/>
                <w:color w:val="auto"/>
              </w:rPr>
            </w:pPr>
            <w:r>
              <w:rPr>
                <w:rFonts w:ascii="Arial" w:cs="Arial" w:eastAsia="Arial" w:hAnsi="Arial"/>
                <w:sz w:val="13"/>
                <w:szCs w:val="13"/>
                <w:b w:val="1"/>
                <w:bCs w:val="1"/>
                <w:color w:val="auto"/>
                <w:w w:val="87"/>
              </w:rPr>
              <w:t>Investment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29"/>
              <w:spacing w:after="0" w:line="135" w:lineRule="exact"/>
              <w:rPr>
                <w:sz w:val="20"/>
                <w:szCs w:val="20"/>
                <w:color w:val="auto"/>
              </w:rPr>
            </w:pPr>
            <w:r>
              <w:rPr>
                <w:rFonts w:ascii="Arial" w:cs="Arial" w:eastAsia="Arial" w:hAnsi="Arial"/>
                <w:sz w:val="13"/>
                <w:szCs w:val="13"/>
                <w:b w:val="1"/>
                <w:bCs w:val="1"/>
                <w:color w:val="auto"/>
                <w:w w:val="88"/>
              </w:rPr>
              <w:t>Realized and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Fair Value at</w:t>
            </w:r>
          </w:p>
        </w:tc>
      </w:tr>
      <w:tr>
        <w:trPr>
          <w:trHeight w:val="135"/>
        </w:trPr>
        <w:tc>
          <w:tcPr>
            <w:tcW w:w="1880" w:type="dxa"/>
            <w:vAlign w:val="bottom"/>
            <w:gridSpan w:val="9"/>
          </w:tcPr>
          <w:p>
            <w:pPr>
              <w:ind w:left="20"/>
              <w:spacing w:after="0" w:line="135" w:lineRule="exact"/>
              <w:rPr>
                <w:sz w:val="20"/>
                <w:szCs w:val="20"/>
                <w:color w:val="auto"/>
              </w:rPr>
            </w:pPr>
            <w:r>
              <w:rPr>
                <w:rFonts w:ascii="Arial" w:cs="Arial" w:eastAsia="Arial" w:hAnsi="Arial"/>
                <w:sz w:val="13"/>
                <w:szCs w:val="13"/>
                <w:b w:val="1"/>
                <w:bCs w:val="1"/>
                <w:color w:val="auto"/>
              </w:rPr>
              <w:t>Portfolio Company/Type of</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Credited in</w:t>
            </w:r>
          </w:p>
        </w:tc>
        <w:tc>
          <w:tcPr>
            <w:tcW w:w="80" w:type="dxa"/>
            <w:vAlign w:val="bottom"/>
          </w:tcPr>
          <w:p>
            <w:pPr>
              <w:spacing w:after="0"/>
              <w:rPr>
                <w:sz w:val="11"/>
                <w:szCs w:val="11"/>
                <w:color w:val="auto"/>
              </w:rPr>
            </w:pPr>
          </w:p>
        </w:tc>
        <w:tc>
          <w:tcPr>
            <w:tcW w:w="8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7"/>
              </w:rPr>
              <w:t>December 31,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ind w:right="9"/>
              <w:spacing w:after="0" w:line="135" w:lineRule="exact"/>
              <w:rPr>
                <w:sz w:val="20"/>
                <w:szCs w:val="20"/>
                <w:color w:val="auto"/>
              </w:rPr>
            </w:pPr>
            <w:r>
              <w:rPr>
                <w:rFonts w:ascii="Arial" w:cs="Arial" w:eastAsia="Arial" w:hAnsi="Arial"/>
                <w:sz w:val="13"/>
                <w:szCs w:val="13"/>
                <w:b w:val="1"/>
                <w:bCs w:val="1"/>
                <w:color w:val="auto"/>
                <w:w w:val="92"/>
              </w:rPr>
              <w:t>To Affiliate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29"/>
              <w:spacing w:after="0" w:line="135" w:lineRule="exact"/>
              <w:rPr>
                <w:sz w:val="20"/>
                <w:szCs w:val="20"/>
                <w:color w:val="auto"/>
              </w:rPr>
            </w:pPr>
            <w:r>
              <w:rPr>
                <w:rFonts w:ascii="Arial" w:cs="Arial" w:eastAsia="Arial" w:hAnsi="Arial"/>
                <w:sz w:val="13"/>
                <w:szCs w:val="13"/>
                <w:b w:val="1"/>
                <w:bCs w:val="1"/>
                <w:color w:val="auto"/>
                <w:w w:val="88"/>
              </w:rPr>
              <w:t>Unrealized</w:t>
            </w:r>
          </w:p>
        </w:tc>
        <w:tc>
          <w:tcPr>
            <w:tcW w:w="80" w:type="dxa"/>
            <w:vAlign w:val="bottom"/>
          </w:tcPr>
          <w:p>
            <w:pPr>
              <w:spacing w:after="0"/>
              <w:rPr>
                <w:sz w:val="11"/>
                <w:szCs w:val="11"/>
                <w:color w:val="auto"/>
              </w:rPr>
            </w:pPr>
          </w:p>
        </w:tc>
        <w:tc>
          <w:tcPr>
            <w:tcW w:w="8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5"/>
              </w:rPr>
              <w:t>December 31,</w:t>
            </w:r>
          </w:p>
        </w:tc>
      </w:tr>
      <w:tr>
        <w:trPr>
          <w:trHeight w:val="153"/>
        </w:trPr>
        <w:tc>
          <w:tcPr>
            <w:tcW w:w="1880" w:type="dxa"/>
            <w:vAlign w:val="bottom"/>
            <w:gridSpan w:val="9"/>
          </w:tcPr>
          <w:p>
            <w:pPr>
              <w:ind w:left="20"/>
              <w:spacing w:after="0"/>
              <w:rPr>
                <w:sz w:val="20"/>
                <w:szCs w:val="20"/>
                <w:color w:val="auto"/>
              </w:rPr>
            </w:pPr>
            <w:r>
              <w:rPr>
                <w:rFonts w:ascii="Arial" w:cs="Arial" w:eastAsia="Arial" w:hAnsi="Arial"/>
                <w:sz w:val="13"/>
                <w:szCs w:val="13"/>
                <w:b w:val="1"/>
                <w:bCs w:val="1"/>
                <w:color w:val="auto"/>
              </w:rPr>
              <w:t>Investment*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7"/>
              </w:rPr>
              <w:t>Income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center"/>
              <w:ind w:right="28"/>
              <w:spacing w:after="0"/>
              <w:rPr>
                <w:sz w:val="20"/>
                <w:szCs w:val="20"/>
                <w:color w:val="auto"/>
              </w:rPr>
            </w:pPr>
            <w:r>
              <w:rPr>
                <w:rFonts w:ascii="Arial" w:cs="Arial" w:eastAsia="Arial" w:hAnsi="Arial"/>
                <w:sz w:val="13"/>
                <w:szCs w:val="13"/>
                <w:b w:val="1"/>
                <w:bCs w:val="1"/>
                <w:color w:val="auto"/>
                <w:w w:val="89"/>
              </w:rPr>
              <w:t>2014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center"/>
              <w:ind w:right="29"/>
              <w:spacing w:after="0"/>
              <w:rPr>
                <w:sz w:val="20"/>
                <w:szCs w:val="20"/>
                <w:color w:val="auto"/>
              </w:rPr>
            </w:pPr>
            <w:r>
              <w:rPr>
                <w:rFonts w:ascii="Arial" w:cs="Arial" w:eastAsia="Arial" w:hAnsi="Arial"/>
                <w:sz w:val="13"/>
                <w:szCs w:val="13"/>
                <w:b w:val="1"/>
                <w:bCs w:val="1"/>
                <w:color w:val="auto"/>
                <w:w w:val="87"/>
              </w:rPr>
              <w:t>Investment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3"/>
          </w:tcPr>
          <w:p>
            <w:pPr>
              <w:spacing w:after="0"/>
              <w:rPr>
                <w:sz w:val="20"/>
                <w:szCs w:val="20"/>
                <w:color w:val="auto"/>
              </w:rPr>
            </w:pPr>
            <w:r>
              <w:rPr>
                <w:rFonts w:ascii="Arial" w:cs="Arial" w:eastAsia="Arial" w:hAnsi="Arial"/>
                <w:sz w:val="13"/>
                <w:szCs w:val="13"/>
                <w:b w:val="1"/>
                <w:bCs w:val="1"/>
                <w:color w:val="auto"/>
              </w:rPr>
              <w:t>Purchases</w:t>
            </w:r>
          </w:p>
        </w:tc>
        <w:tc>
          <w:tcPr>
            <w:tcW w:w="600" w:type="dxa"/>
            <w:vAlign w:val="bottom"/>
          </w:tcPr>
          <w:p>
            <w:pPr>
              <w:ind w:left="80"/>
              <w:spacing w:after="0"/>
              <w:rPr>
                <w:sz w:val="20"/>
                <w:szCs w:val="20"/>
                <w:color w:val="auto"/>
              </w:rPr>
            </w:pPr>
            <w:r>
              <w:rPr>
                <w:rFonts w:ascii="Arial" w:cs="Arial" w:eastAsia="Arial" w:hAnsi="Arial"/>
                <w:sz w:val="13"/>
                <w:szCs w:val="13"/>
                <w:b w:val="1"/>
                <w:bCs w:val="1"/>
                <w:color w:val="auto"/>
              </w:rPr>
              <w:t>Sales</w:t>
            </w:r>
          </w:p>
        </w:tc>
        <w:tc>
          <w:tcPr>
            <w:tcW w:w="100" w:type="dxa"/>
            <w:vAlign w:val="bottom"/>
          </w:tcPr>
          <w:p>
            <w:pPr>
              <w:spacing w:after="0"/>
              <w:rPr>
                <w:sz w:val="13"/>
                <w:szCs w:val="13"/>
                <w:color w:val="auto"/>
              </w:rPr>
            </w:pPr>
          </w:p>
        </w:tc>
        <w:tc>
          <w:tcPr>
            <w:tcW w:w="900" w:type="dxa"/>
            <w:vAlign w:val="bottom"/>
            <w:gridSpan w:val="2"/>
          </w:tcPr>
          <w:p>
            <w:pPr>
              <w:jc w:val="center"/>
              <w:spacing w:after="0"/>
              <w:rPr>
                <w:sz w:val="20"/>
                <w:szCs w:val="20"/>
                <w:color w:val="auto"/>
              </w:rPr>
            </w:pPr>
            <w:r>
              <w:rPr>
                <w:rFonts w:ascii="Arial" w:cs="Arial" w:eastAsia="Arial" w:hAnsi="Arial"/>
                <w:sz w:val="13"/>
                <w:szCs w:val="13"/>
                <w:b w:val="1"/>
                <w:bCs w:val="1"/>
                <w:color w:val="auto"/>
                <w:w w:val="83"/>
              </w:rPr>
              <w:t>Gains/(Losses)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2"/>
              </w:rPr>
              <w:t>2015</w:t>
            </w:r>
          </w:p>
        </w:tc>
      </w:tr>
      <w:tr>
        <w:trPr>
          <w:trHeight w:val="123"/>
        </w:trPr>
        <w:tc>
          <w:tcPr>
            <w:tcW w:w="1880" w:type="dxa"/>
            <w:vAlign w:val="bottom"/>
            <w:tcBorders>
              <w:top w:val="single" w:sz="8" w:color="auto"/>
            </w:tcBorders>
            <w:gridSpan w:val="9"/>
            <w:shd w:val="clear" w:color="auto" w:fill="CCEEFF"/>
          </w:tcPr>
          <w:p>
            <w:pPr>
              <w:ind w:left="20"/>
              <w:spacing w:after="0" w:line="123" w:lineRule="exact"/>
              <w:rPr>
                <w:sz w:val="20"/>
                <w:szCs w:val="20"/>
                <w:color w:val="auto"/>
              </w:rPr>
            </w:pPr>
            <w:r>
              <w:rPr>
                <w:rFonts w:ascii="Arial" w:cs="Arial" w:eastAsia="Arial" w:hAnsi="Arial"/>
                <w:sz w:val="14"/>
                <w:szCs w:val="14"/>
                <w:color w:val="auto"/>
                <w:w w:val="92"/>
              </w:rPr>
              <w:t>Preferred warrants, $1.16 Strike</w:t>
            </w:r>
          </w:p>
        </w:tc>
        <w:tc>
          <w:tcPr>
            <w:tcW w:w="8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r>
      <w:tr>
        <w:trPr>
          <w:trHeight w:val="149"/>
        </w:trPr>
        <w:tc>
          <w:tcPr>
            <w:tcW w:w="20" w:type="dxa"/>
            <w:vAlign w:val="bottom"/>
            <w:shd w:val="clear" w:color="auto" w:fill="CCEEFF"/>
          </w:tcPr>
          <w:p>
            <w:pPr>
              <w:spacing w:after="0"/>
              <w:rPr>
                <w:sz w:val="12"/>
                <w:szCs w:val="12"/>
                <w:color w:val="auto"/>
              </w:rPr>
            </w:pPr>
          </w:p>
        </w:tc>
        <w:tc>
          <w:tcPr>
            <w:tcW w:w="1860" w:type="dxa"/>
            <w:vAlign w:val="bottom"/>
            <w:gridSpan w:val="8"/>
            <w:shd w:val="clear" w:color="auto" w:fill="CCEEFF"/>
          </w:tcPr>
          <w:p>
            <w:pPr>
              <w:ind w:left="180"/>
              <w:spacing w:after="0" w:line="149" w:lineRule="exact"/>
              <w:rPr>
                <w:sz w:val="20"/>
                <w:szCs w:val="20"/>
                <w:color w:val="auto"/>
              </w:rPr>
            </w:pPr>
            <w:r>
              <w:rPr>
                <w:rFonts w:ascii="Arial" w:cs="Arial" w:eastAsia="Arial" w:hAnsi="Arial"/>
                <w:sz w:val="14"/>
                <w:szCs w:val="14"/>
                <w:color w:val="auto"/>
              </w:rPr>
              <w:t>Price, Expiration Date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67"/>
        </w:trPr>
        <w:tc>
          <w:tcPr>
            <w:tcW w:w="860" w:type="dxa"/>
            <w:vAlign w:val="bottom"/>
            <w:tcBorders>
              <w:right w:val="single" w:sz="8" w:color="CCEEFF"/>
            </w:tcBorders>
            <w:gridSpan w:val="4"/>
            <w:shd w:val="clear" w:color="auto" w:fill="CCEEFF"/>
          </w:tcPr>
          <w:p>
            <w:pPr>
              <w:ind w:left="200"/>
              <w:spacing w:after="0"/>
              <w:rPr>
                <w:sz w:val="20"/>
                <w:szCs w:val="20"/>
                <w:color w:val="auto"/>
              </w:rPr>
            </w:pPr>
            <w:r>
              <w:rPr>
                <w:rFonts w:ascii="Arial" w:cs="Arial" w:eastAsia="Arial" w:hAnsi="Arial"/>
                <w:sz w:val="14"/>
                <w:szCs w:val="14"/>
                <w:color w:val="auto"/>
                <w:w w:val="99"/>
              </w:rPr>
              <w:t>6/26/2021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12,736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ind w:left="440"/>
              <w:spacing w:after="0"/>
              <w:rPr>
                <w:sz w:val="20"/>
                <w:szCs w:val="20"/>
                <w:color w:val="auto"/>
              </w:rPr>
            </w:pPr>
            <w:r>
              <w:rPr>
                <w:rFonts w:ascii="Arial" w:cs="Arial" w:eastAsia="Arial" w:hAnsi="Arial"/>
                <w:sz w:val="14"/>
                <w:szCs w:val="14"/>
                <w:color w:val="auto"/>
              </w:rPr>
              <w:t>—  $</w:t>
            </w:r>
          </w:p>
        </w:tc>
        <w:tc>
          <w:tcPr>
            <w:tcW w:w="6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(9,648)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3,088</w:t>
            </w:r>
          </w:p>
        </w:tc>
      </w:tr>
      <w:tr>
        <w:trPr>
          <w:trHeight w:val="130"/>
        </w:trPr>
        <w:tc>
          <w:tcPr>
            <w:tcW w:w="1880" w:type="dxa"/>
            <w:vAlign w:val="bottom"/>
            <w:gridSpan w:val="9"/>
          </w:tcPr>
          <w:p>
            <w:pPr>
              <w:ind w:left="20"/>
              <w:spacing w:after="0" w:line="130" w:lineRule="exact"/>
              <w:rPr>
                <w:sz w:val="20"/>
                <w:szCs w:val="20"/>
                <w:color w:val="auto"/>
              </w:rPr>
            </w:pPr>
            <w:r>
              <w:rPr>
                <w:rFonts w:ascii="Arial" w:cs="Arial" w:eastAsia="Arial" w:hAnsi="Arial"/>
                <w:sz w:val="14"/>
                <w:szCs w:val="14"/>
                <w:color w:val="auto"/>
                <w:w w:val="92"/>
              </w:rPr>
              <w:t>Preferred warrants, $1.17 Strike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860" w:type="dxa"/>
            <w:vAlign w:val="bottom"/>
            <w:gridSpan w:val="8"/>
          </w:tcPr>
          <w:p>
            <w:pPr>
              <w:ind w:left="180"/>
              <w:spacing w:after="0" w:line="149" w:lineRule="exact"/>
              <w:rPr>
                <w:sz w:val="20"/>
                <w:szCs w:val="20"/>
                <w:color w:val="auto"/>
              </w:rPr>
            </w:pPr>
            <w:r>
              <w:rPr>
                <w:rFonts w:ascii="Arial" w:cs="Arial" w:eastAsia="Arial" w:hAnsi="Arial"/>
                <w:sz w:val="14"/>
                <w:szCs w:val="14"/>
                <w:color w:val="auto"/>
              </w:rPr>
              <w:t>Price, Expiration Date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7"/>
        </w:trPr>
        <w:tc>
          <w:tcPr>
            <w:tcW w:w="860" w:type="dxa"/>
            <w:vAlign w:val="bottom"/>
            <w:gridSpan w:val="4"/>
          </w:tcPr>
          <w:p>
            <w:pPr>
              <w:ind w:left="200"/>
              <w:spacing w:after="0"/>
              <w:rPr>
                <w:sz w:val="20"/>
                <w:szCs w:val="20"/>
                <w:color w:val="auto"/>
              </w:rPr>
            </w:pPr>
            <w:r>
              <w:rPr>
                <w:rFonts w:ascii="Arial" w:cs="Arial" w:eastAsia="Arial" w:hAnsi="Arial"/>
                <w:sz w:val="14"/>
                <w:szCs w:val="14"/>
                <w:color w:val="auto"/>
                <w:w w:val="88"/>
              </w:rPr>
              <w:t>09/30/2020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64,322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(51,458)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12,864</w:t>
            </w:r>
          </w:p>
        </w:tc>
      </w:tr>
      <w:tr>
        <w:trPr>
          <w:trHeight w:val="130"/>
        </w:trPr>
        <w:tc>
          <w:tcPr>
            <w:tcW w:w="1880" w:type="dxa"/>
            <w:vAlign w:val="bottom"/>
            <w:gridSpan w:val="9"/>
            <w:shd w:val="clear" w:color="auto" w:fill="CCEEFF"/>
          </w:tcPr>
          <w:p>
            <w:pPr>
              <w:ind w:left="20"/>
              <w:spacing w:after="0" w:line="130" w:lineRule="exact"/>
              <w:rPr>
                <w:sz w:val="20"/>
                <w:szCs w:val="20"/>
                <w:color w:val="auto"/>
              </w:rPr>
            </w:pPr>
            <w:r>
              <w:rPr>
                <w:rFonts w:ascii="Arial" w:cs="Arial" w:eastAsia="Arial" w:hAnsi="Arial"/>
                <w:sz w:val="14"/>
                <w:szCs w:val="14"/>
                <w:color w:val="auto"/>
                <w:w w:val="92"/>
              </w:rPr>
              <w:t>Preferred warrants, $1.00 Strike</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49"/>
        </w:trPr>
        <w:tc>
          <w:tcPr>
            <w:tcW w:w="20" w:type="dxa"/>
            <w:vAlign w:val="bottom"/>
            <w:shd w:val="clear" w:color="auto" w:fill="CCEEFF"/>
          </w:tcPr>
          <w:p>
            <w:pPr>
              <w:spacing w:after="0"/>
              <w:rPr>
                <w:sz w:val="12"/>
                <w:szCs w:val="12"/>
                <w:color w:val="auto"/>
              </w:rPr>
            </w:pPr>
          </w:p>
        </w:tc>
        <w:tc>
          <w:tcPr>
            <w:tcW w:w="1860" w:type="dxa"/>
            <w:vAlign w:val="bottom"/>
            <w:gridSpan w:val="8"/>
            <w:shd w:val="clear" w:color="auto" w:fill="CCEEFF"/>
          </w:tcPr>
          <w:p>
            <w:pPr>
              <w:ind w:left="180"/>
              <w:spacing w:after="0" w:line="149" w:lineRule="exact"/>
              <w:rPr>
                <w:sz w:val="20"/>
                <w:szCs w:val="20"/>
                <w:color w:val="auto"/>
              </w:rPr>
            </w:pPr>
            <w:r>
              <w:rPr>
                <w:rFonts w:ascii="Arial" w:cs="Arial" w:eastAsia="Arial" w:hAnsi="Arial"/>
                <w:sz w:val="14"/>
                <w:szCs w:val="14"/>
                <w:color w:val="auto"/>
              </w:rPr>
              <w:t>Price, Expiration Date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67"/>
        </w:trPr>
        <w:tc>
          <w:tcPr>
            <w:tcW w:w="860" w:type="dxa"/>
            <w:vAlign w:val="bottom"/>
            <w:tcBorders>
              <w:right w:val="single" w:sz="8" w:color="CCEEFF"/>
            </w:tcBorders>
            <w:gridSpan w:val="4"/>
            <w:shd w:val="clear" w:color="auto" w:fill="CCEEFF"/>
          </w:tcPr>
          <w:p>
            <w:pPr>
              <w:ind w:left="200"/>
              <w:spacing w:after="0"/>
              <w:rPr>
                <w:sz w:val="20"/>
                <w:szCs w:val="20"/>
                <w:color w:val="auto"/>
              </w:rPr>
            </w:pPr>
            <w:r>
              <w:rPr>
                <w:rFonts w:ascii="Arial" w:cs="Arial" w:eastAsia="Arial" w:hAnsi="Arial"/>
                <w:sz w:val="14"/>
                <w:szCs w:val="14"/>
                <w:color w:val="auto"/>
                <w:w w:val="88"/>
              </w:rPr>
              <w:t>11/21/2017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165,000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(110,000)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55,000</w:t>
            </w:r>
          </w:p>
        </w:tc>
      </w:tr>
      <w:tr>
        <w:trPr>
          <w:trHeight w:val="135"/>
        </w:trPr>
        <w:tc>
          <w:tcPr>
            <w:tcW w:w="1880" w:type="dxa"/>
            <w:vAlign w:val="bottom"/>
            <w:gridSpan w:val="9"/>
          </w:tcPr>
          <w:p>
            <w:pPr>
              <w:ind w:left="20"/>
              <w:spacing w:after="0" w:line="135" w:lineRule="exact"/>
              <w:rPr>
                <w:sz w:val="20"/>
                <w:szCs w:val="20"/>
                <w:color w:val="auto"/>
              </w:rPr>
            </w:pPr>
            <w:r>
              <w:rPr>
                <w:rFonts w:ascii="Arial" w:cs="Arial" w:eastAsia="Arial" w:hAnsi="Arial"/>
                <w:sz w:val="14"/>
                <w:szCs w:val="14"/>
                <w:b w:val="1"/>
                <w:bCs w:val="1"/>
                <w:color w:val="auto"/>
              </w:rPr>
              <w:t>CUX, Inc. (d/b/a CorpU)</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23"/>
        </w:trPr>
        <w:tc>
          <w:tcPr>
            <w:tcW w:w="1880" w:type="dxa"/>
            <w:vAlign w:val="bottom"/>
            <w:gridSpan w:val="9"/>
            <w:shd w:val="clear" w:color="auto" w:fill="CCEEFF"/>
          </w:tcPr>
          <w:p>
            <w:pPr>
              <w:ind w:left="20"/>
              <w:spacing w:after="0" w:line="123" w:lineRule="exact"/>
              <w:rPr>
                <w:sz w:val="20"/>
                <w:szCs w:val="20"/>
                <w:color w:val="auto"/>
              </w:rPr>
            </w:pPr>
            <w:r>
              <w:rPr>
                <w:rFonts w:ascii="Arial" w:cs="Arial" w:eastAsia="Arial" w:hAnsi="Arial"/>
                <w:sz w:val="14"/>
                <w:szCs w:val="14"/>
                <w:color w:val="auto"/>
              </w:rPr>
              <w:t>Senior Subordinated</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r>
      <w:tr>
        <w:trPr>
          <w:trHeight w:val="158"/>
        </w:trPr>
        <w:tc>
          <w:tcPr>
            <w:tcW w:w="20" w:type="dxa"/>
            <w:vAlign w:val="bottom"/>
            <w:shd w:val="clear" w:color="auto" w:fill="CCEEFF"/>
          </w:tcPr>
          <w:p>
            <w:pPr>
              <w:spacing w:after="0"/>
              <w:rPr>
                <w:sz w:val="13"/>
                <w:szCs w:val="13"/>
                <w:color w:val="auto"/>
              </w:rPr>
            </w:pPr>
          </w:p>
        </w:tc>
        <w:tc>
          <w:tcPr>
            <w:tcW w:w="1860" w:type="dxa"/>
            <w:vAlign w:val="bottom"/>
            <w:gridSpan w:val="8"/>
            <w:shd w:val="clear" w:color="auto" w:fill="CCEEFF"/>
          </w:tcPr>
          <w:p>
            <w:pPr>
              <w:ind w:left="180"/>
              <w:spacing w:after="0" w:line="159" w:lineRule="exact"/>
              <w:rPr>
                <w:sz w:val="20"/>
                <w:szCs w:val="20"/>
                <w:color w:val="auto"/>
              </w:rPr>
            </w:pPr>
            <w:r>
              <w:rPr>
                <w:rFonts w:ascii="Arial" w:cs="Arial" w:eastAsia="Arial" w:hAnsi="Arial"/>
                <w:sz w:val="14"/>
                <w:szCs w:val="14"/>
                <w:color w:val="auto"/>
                <w:w w:val="93"/>
              </w:rPr>
              <w:t>Convertible Promissory Note</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98"/>
        </w:trPr>
        <w:tc>
          <w:tcPr>
            <w:tcW w:w="20" w:type="dxa"/>
            <w:vAlign w:val="bottom"/>
            <w:shd w:val="clear" w:color="auto" w:fill="CCEEFF"/>
          </w:tcPr>
          <w:p>
            <w:pPr>
              <w:spacing w:after="0"/>
              <w:rPr>
                <w:sz w:val="17"/>
                <w:szCs w:val="17"/>
                <w:color w:val="auto"/>
              </w:rPr>
            </w:pPr>
          </w:p>
        </w:tc>
        <w:tc>
          <w:tcPr>
            <w:tcW w:w="1860" w:type="dxa"/>
            <w:vAlign w:val="bottom"/>
            <w:gridSpan w:val="8"/>
            <w:shd w:val="clear" w:color="auto" w:fill="CCEEFF"/>
          </w:tcPr>
          <w:p>
            <w:pPr>
              <w:ind w:left="180"/>
              <w:spacing w:after="0" w:line="198" w:lineRule="exact"/>
              <w:rPr>
                <w:sz w:val="20"/>
                <w:szCs w:val="20"/>
                <w:color w:val="auto"/>
              </w:rPr>
            </w:pPr>
            <w:r>
              <w:rPr>
                <w:rFonts w:ascii="Arial" w:cs="Arial" w:eastAsia="Arial" w:hAnsi="Arial"/>
                <w:sz w:val="14"/>
                <w:szCs w:val="14"/>
                <w:color w:val="auto"/>
              </w:rPr>
              <w:t>8% Due 11/26/2018 ***</w:t>
            </w:r>
            <w:r>
              <w:rPr>
                <w:rFonts w:ascii="Arial" w:cs="Arial" w:eastAsia="Arial" w:hAnsi="Arial"/>
                <w:sz w:val="22"/>
                <w:szCs w:val="22"/>
                <w:color w:val="auto"/>
                <w:vertAlign w:val="superscript"/>
              </w:rPr>
              <w:t>(5)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80,631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1,007,671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80,000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(7,671)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1,080,000</w:t>
            </w:r>
          </w:p>
        </w:tc>
      </w:tr>
      <w:tr>
        <w:trPr>
          <w:trHeight w:val="130"/>
        </w:trPr>
        <w:tc>
          <w:tcPr>
            <w:tcW w:w="1880" w:type="dxa"/>
            <w:vAlign w:val="bottom"/>
            <w:gridSpan w:val="9"/>
          </w:tcPr>
          <w:p>
            <w:pPr>
              <w:ind w:left="20"/>
              <w:spacing w:after="0" w:line="130" w:lineRule="exact"/>
              <w:rPr>
                <w:sz w:val="20"/>
                <w:szCs w:val="20"/>
                <w:color w:val="auto"/>
              </w:rPr>
            </w:pPr>
            <w:r>
              <w:rPr>
                <w:rFonts w:ascii="Arial" w:cs="Arial" w:eastAsia="Arial" w:hAnsi="Arial"/>
                <w:sz w:val="14"/>
                <w:szCs w:val="14"/>
                <w:color w:val="auto"/>
              </w:rPr>
              <w:t>Convertible preferred shares,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1860" w:type="dxa"/>
            <w:vAlign w:val="bottom"/>
            <w:gridSpan w:val="8"/>
          </w:tcPr>
          <w:p>
            <w:pPr>
              <w:ind w:left="180"/>
              <w:spacing w:after="0"/>
              <w:rPr>
                <w:sz w:val="20"/>
                <w:szCs w:val="20"/>
                <w:color w:val="auto"/>
              </w:rPr>
            </w:pPr>
            <w:r>
              <w:rPr>
                <w:rFonts w:ascii="Arial" w:cs="Arial" w:eastAsia="Arial" w:hAnsi="Arial"/>
                <w:sz w:val="14"/>
                <w:szCs w:val="14"/>
                <w:color w:val="auto"/>
              </w:rPr>
              <w:t>Series 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716,066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59,795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775,861</w:t>
            </w:r>
          </w:p>
        </w:tc>
      </w:tr>
      <w:tr>
        <w:trPr>
          <w:trHeight w:val="130"/>
        </w:trPr>
        <w:tc>
          <w:tcPr>
            <w:tcW w:w="1880" w:type="dxa"/>
            <w:vAlign w:val="bottom"/>
            <w:gridSpan w:val="9"/>
            <w:shd w:val="clear" w:color="auto" w:fill="CCEEFF"/>
          </w:tcPr>
          <w:p>
            <w:pPr>
              <w:ind w:left="20"/>
              <w:spacing w:after="0" w:line="130" w:lineRule="exact"/>
              <w:rPr>
                <w:sz w:val="20"/>
                <w:szCs w:val="20"/>
                <w:color w:val="auto"/>
              </w:rPr>
            </w:pPr>
            <w:r>
              <w:rPr>
                <w:rFonts w:ascii="Arial" w:cs="Arial" w:eastAsia="Arial" w:hAnsi="Arial"/>
                <w:sz w:val="14"/>
                <w:szCs w:val="14"/>
                <w:color w:val="auto"/>
              </w:rPr>
              <w:t>Convertible preferred shares,</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67"/>
        </w:trPr>
        <w:tc>
          <w:tcPr>
            <w:tcW w:w="20" w:type="dxa"/>
            <w:vAlign w:val="bottom"/>
            <w:shd w:val="clear" w:color="auto" w:fill="CCEEFF"/>
          </w:tcPr>
          <w:p>
            <w:pPr>
              <w:spacing w:after="0"/>
              <w:rPr>
                <w:sz w:val="14"/>
                <w:szCs w:val="14"/>
                <w:color w:val="auto"/>
              </w:rPr>
            </w:pPr>
          </w:p>
        </w:tc>
        <w:tc>
          <w:tcPr>
            <w:tcW w:w="1860" w:type="dxa"/>
            <w:vAlign w:val="bottom"/>
            <w:gridSpan w:val="8"/>
            <w:shd w:val="clear" w:color="auto" w:fill="CCEEFF"/>
          </w:tcPr>
          <w:p>
            <w:pPr>
              <w:ind w:left="180"/>
              <w:spacing w:after="0"/>
              <w:rPr>
                <w:sz w:val="20"/>
                <w:szCs w:val="20"/>
                <w:color w:val="auto"/>
              </w:rPr>
            </w:pPr>
            <w:r>
              <w:rPr>
                <w:rFonts w:ascii="Arial" w:cs="Arial" w:eastAsia="Arial" w:hAnsi="Arial"/>
                <w:sz w:val="14"/>
                <w:szCs w:val="14"/>
                <w:color w:val="auto"/>
              </w:rPr>
              <w:t>Series C</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2,292,582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(333,455)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1,959,127</w:t>
            </w:r>
          </w:p>
        </w:tc>
      </w:tr>
      <w:tr>
        <w:trPr>
          <w:trHeight w:val="130"/>
        </w:trPr>
        <w:tc>
          <w:tcPr>
            <w:tcW w:w="1880" w:type="dxa"/>
            <w:vAlign w:val="bottom"/>
            <w:gridSpan w:val="9"/>
          </w:tcPr>
          <w:p>
            <w:pPr>
              <w:ind w:left="20"/>
              <w:spacing w:after="0" w:line="130" w:lineRule="exact"/>
              <w:rPr>
                <w:sz w:val="20"/>
                <w:szCs w:val="20"/>
                <w:color w:val="auto"/>
              </w:rPr>
            </w:pPr>
            <w:r>
              <w:rPr>
                <w:rFonts w:ascii="Arial" w:cs="Arial" w:eastAsia="Arial" w:hAnsi="Arial"/>
                <w:sz w:val="14"/>
                <w:szCs w:val="14"/>
                <w:color w:val="auto"/>
                <w:w w:val="92"/>
              </w:rPr>
              <w:t>Preferred warrants, $4.59 Strike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860" w:type="dxa"/>
            <w:vAlign w:val="bottom"/>
            <w:gridSpan w:val="8"/>
          </w:tcPr>
          <w:p>
            <w:pPr>
              <w:ind w:left="180"/>
              <w:spacing w:after="0" w:line="149" w:lineRule="exact"/>
              <w:rPr>
                <w:sz w:val="20"/>
                <w:szCs w:val="20"/>
                <w:color w:val="auto"/>
              </w:rPr>
            </w:pPr>
            <w:r>
              <w:rPr>
                <w:rFonts w:ascii="Arial" w:cs="Arial" w:eastAsia="Arial" w:hAnsi="Arial"/>
                <w:sz w:val="14"/>
                <w:szCs w:val="14"/>
                <w:color w:val="auto"/>
              </w:rPr>
              <w:t>Price, Expiration Date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7"/>
        </w:trPr>
        <w:tc>
          <w:tcPr>
            <w:tcW w:w="860" w:type="dxa"/>
            <w:vAlign w:val="bottom"/>
            <w:gridSpan w:val="4"/>
          </w:tcPr>
          <w:p>
            <w:pPr>
              <w:ind w:left="200"/>
              <w:spacing w:after="0"/>
              <w:rPr>
                <w:sz w:val="20"/>
                <w:szCs w:val="20"/>
                <w:color w:val="auto"/>
              </w:rPr>
            </w:pPr>
            <w:r>
              <w:rPr>
                <w:rFonts w:ascii="Arial" w:cs="Arial" w:eastAsia="Arial" w:hAnsi="Arial"/>
                <w:sz w:val="14"/>
                <w:szCs w:val="14"/>
                <w:color w:val="auto"/>
                <w:w w:val="88"/>
              </w:rPr>
              <w:t>02/25/2018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12,508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(2,366)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10,142</w:t>
            </w:r>
          </w:p>
        </w:tc>
      </w:tr>
      <w:tr>
        <w:trPr>
          <w:trHeight w:val="135"/>
        </w:trPr>
        <w:tc>
          <w:tcPr>
            <w:tcW w:w="1880" w:type="dxa"/>
            <w:vAlign w:val="bottom"/>
            <w:gridSpan w:val="9"/>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Cricket Media (f/k/a ePals</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1600" w:type="dxa"/>
            <w:vAlign w:val="bottom"/>
            <w:tcBorders>
              <w:top w:val="single" w:sz="8" w:color="auto"/>
            </w:tcBorders>
            <w:gridSpan w:val="7"/>
            <w:shd w:val="clear" w:color="auto" w:fill="CCEEFF"/>
          </w:tcPr>
          <w:p>
            <w:pPr>
              <w:ind w:left="180"/>
              <w:spacing w:after="0" w:line="169" w:lineRule="exact"/>
              <w:rPr>
                <w:sz w:val="20"/>
                <w:szCs w:val="20"/>
                <w:color w:val="auto"/>
              </w:rPr>
            </w:pPr>
            <w:r>
              <w:rPr>
                <w:rFonts w:ascii="Arial" w:cs="Arial" w:eastAsia="Arial" w:hAnsi="Arial"/>
                <w:sz w:val="12"/>
                <w:szCs w:val="12"/>
                <w:b w:val="1"/>
                <w:bCs w:val="1"/>
                <w:color w:val="auto"/>
              </w:rPr>
              <w:t>Inc.)**</w:t>
            </w:r>
            <w:r>
              <w:rPr>
                <w:rFonts w:ascii="Arial" w:cs="Arial" w:eastAsia="Arial" w:hAnsi="Arial"/>
                <w:sz w:val="19"/>
                <w:szCs w:val="19"/>
                <w:b w:val="1"/>
                <w:bCs w:val="1"/>
                <w:color w:val="auto"/>
                <w:vertAlign w:val="superscript"/>
              </w:rPr>
              <w:t>(4)(6)</w:t>
            </w:r>
          </w:p>
        </w:tc>
        <w:tc>
          <w:tcPr>
            <w:tcW w:w="2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r>
      <w:tr>
        <w:trPr>
          <w:trHeight w:val="142"/>
        </w:trPr>
        <w:tc>
          <w:tcPr>
            <w:tcW w:w="18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Common shares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331,126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9"/>
              <w:spacing w:after="0" w:line="142" w:lineRule="exact"/>
              <w:rPr>
                <w:sz w:val="20"/>
                <w:szCs w:val="20"/>
                <w:color w:val="auto"/>
              </w:rPr>
            </w:pPr>
            <w:r>
              <w:rPr>
                <w:rFonts w:ascii="Arial" w:cs="Arial" w:eastAsia="Arial" w:hAnsi="Arial"/>
                <w:sz w:val="14"/>
                <w:szCs w:val="14"/>
                <w:color w:val="auto"/>
              </w:rPr>
              <w:t>(331,126)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right"/>
              <w:ind w:right="300"/>
              <w:spacing w:after="0" w:line="142" w:lineRule="exact"/>
              <w:rPr>
                <w:sz w:val="20"/>
                <w:szCs w:val="20"/>
                <w:color w:val="auto"/>
              </w:rPr>
            </w:pPr>
            <w:r>
              <w:rPr>
                <w:rFonts w:ascii="Arial" w:cs="Arial" w:eastAsia="Arial" w:hAnsi="Arial"/>
                <w:sz w:val="14"/>
                <w:szCs w:val="14"/>
                <w:color w:val="auto"/>
              </w:rPr>
              <w:t>—</w:t>
            </w:r>
          </w:p>
        </w:tc>
        <w:tc>
          <w:tcPr>
            <w:tcW w:w="600" w:type="dxa"/>
            <w:vAlign w:val="bottom"/>
          </w:tcPr>
          <w:p>
            <w:pPr>
              <w:ind w:left="280"/>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9"/>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r>
      <w:tr>
        <w:trPr>
          <w:trHeight w:val="135"/>
        </w:trPr>
        <w:tc>
          <w:tcPr>
            <w:tcW w:w="1880" w:type="dxa"/>
            <w:vAlign w:val="bottom"/>
            <w:gridSpan w:val="9"/>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Curious.com Inc.</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r>
      <w:tr>
        <w:trPr>
          <w:trHeight w:val="142"/>
        </w:trPr>
        <w:tc>
          <w:tcPr>
            <w:tcW w:w="18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9,996,311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49"/>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right"/>
              <w:ind w:right="300"/>
              <w:spacing w:after="0" w:line="142" w:lineRule="exact"/>
              <w:rPr>
                <w:sz w:val="20"/>
                <w:szCs w:val="20"/>
                <w:color w:val="auto"/>
              </w:rPr>
            </w:pPr>
            <w:r>
              <w:rPr>
                <w:rFonts w:ascii="Arial" w:cs="Arial" w:eastAsia="Arial" w:hAnsi="Arial"/>
                <w:sz w:val="14"/>
                <w:szCs w:val="14"/>
                <w:color w:val="auto"/>
              </w:rPr>
              <w:t>—</w:t>
            </w:r>
          </w:p>
        </w:tc>
        <w:tc>
          <w:tcPr>
            <w:tcW w:w="600" w:type="dxa"/>
            <w:vAlign w:val="bottom"/>
          </w:tcPr>
          <w:p>
            <w:pPr>
              <w:ind w:left="280"/>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9"/>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9,996,311</w:t>
            </w:r>
          </w:p>
        </w:tc>
      </w:tr>
      <w:tr>
        <w:trPr>
          <w:trHeight w:val="135"/>
        </w:trPr>
        <w:tc>
          <w:tcPr>
            <w:tcW w:w="1880" w:type="dxa"/>
            <w:vAlign w:val="bottom"/>
            <w:gridSpan w:val="9"/>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Declara, Inc.</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r>
      <w:tr>
        <w:trPr>
          <w:trHeight w:val="123"/>
        </w:trPr>
        <w:tc>
          <w:tcPr>
            <w:tcW w:w="1880" w:type="dxa"/>
            <w:vAlign w:val="bottom"/>
            <w:gridSpan w:val="9"/>
          </w:tcPr>
          <w:p>
            <w:pPr>
              <w:ind w:left="20"/>
              <w:spacing w:after="0" w:line="123" w:lineRule="exact"/>
              <w:rPr>
                <w:sz w:val="20"/>
                <w:szCs w:val="20"/>
                <w:color w:val="auto"/>
              </w:rPr>
            </w:pPr>
            <w:r>
              <w:rPr>
                <w:rFonts w:ascii="Arial" w:cs="Arial" w:eastAsia="Arial" w:hAnsi="Arial"/>
                <w:sz w:val="14"/>
                <w:szCs w:val="14"/>
                <w:color w:val="auto"/>
              </w:rPr>
              <w:t>Declara, Inc., Convertible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1860" w:type="dxa"/>
            <w:vAlign w:val="bottom"/>
            <w:gridSpan w:val="8"/>
          </w:tcPr>
          <w:p>
            <w:pPr>
              <w:ind w:left="180"/>
              <w:spacing w:after="0" w:line="149" w:lineRule="exact"/>
              <w:rPr>
                <w:sz w:val="20"/>
                <w:szCs w:val="20"/>
                <w:color w:val="auto"/>
              </w:rPr>
            </w:pPr>
            <w:r>
              <w:rPr>
                <w:rFonts w:ascii="Arial" w:cs="Arial" w:eastAsia="Arial" w:hAnsi="Arial"/>
                <w:sz w:val="14"/>
                <w:szCs w:val="14"/>
                <w:color w:val="auto"/>
              </w:rPr>
              <w:t>Promissory Note 6% Due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7"/>
        </w:trPr>
        <w:tc>
          <w:tcPr>
            <w:tcW w:w="860" w:type="dxa"/>
            <w:vAlign w:val="bottom"/>
            <w:gridSpan w:val="4"/>
          </w:tcPr>
          <w:p>
            <w:pPr>
              <w:ind w:left="200"/>
              <w:spacing w:after="0"/>
              <w:rPr>
                <w:sz w:val="20"/>
                <w:szCs w:val="20"/>
                <w:color w:val="auto"/>
              </w:rPr>
            </w:pPr>
            <w:r>
              <w:rPr>
                <w:rFonts w:ascii="Arial" w:cs="Arial" w:eastAsia="Arial" w:hAnsi="Arial"/>
                <w:sz w:val="14"/>
                <w:szCs w:val="14"/>
                <w:color w:val="auto"/>
              </w:rPr>
              <w:t>12/30/16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658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89"/>
              </w:rPr>
              <w:t>2,000,000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2,000,000</w:t>
            </w:r>
          </w:p>
        </w:tc>
      </w:tr>
      <w:tr>
        <w:trPr>
          <w:trHeight w:val="149"/>
        </w:trPr>
        <w:tc>
          <w:tcPr>
            <w:tcW w:w="1880" w:type="dxa"/>
            <w:vAlign w:val="bottom"/>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10,019,825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(19,826)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9,999,999</w:t>
            </w:r>
          </w:p>
        </w:tc>
      </w:tr>
      <w:tr>
        <w:trPr>
          <w:trHeight w:val="135"/>
        </w:trPr>
        <w:tc>
          <w:tcPr>
            <w:tcW w:w="1880" w:type="dxa"/>
            <w:vAlign w:val="bottom"/>
            <w:gridSpan w:val="9"/>
          </w:tcPr>
          <w:p>
            <w:pPr>
              <w:ind w:left="20"/>
              <w:spacing w:after="0" w:line="135" w:lineRule="exact"/>
              <w:rPr>
                <w:sz w:val="20"/>
                <w:szCs w:val="20"/>
                <w:color w:val="auto"/>
              </w:rPr>
            </w:pPr>
            <w:r>
              <w:rPr>
                <w:rFonts w:ascii="Arial" w:cs="Arial" w:eastAsia="Arial" w:hAnsi="Arial"/>
                <w:sz w:val="14"/>
                <w:szCs w:val="14"/>
                <w:b w:val="1"/>
                <w:bCs w:val="1"/>
                <w:color w:val="auto"/>
              </w:rPr>
              <w:t>EdSurge, Inc.</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42"/>
        </w:trPr>
        <w:tc>
          <w:tcPr>
            <w:tcW w:w="1880" w:type="dxa"/>
            <w:vAlign w:val="bottom"/>
            <w:gridSpan w:val="9"/>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A-1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49"/>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500,960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ind w:left="280"/>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29"/>
              <w:spacing w:after="0" w:line="142" w:lineRule="exact"/>
              <w:rPr>
                <w:sz w:val="20"/>
                <w:szCs w:val="20"/>
                <w:color w:val="auto"/>
              </w:rPr>
            </w:pPr>
            <w:r>
              <w:rPr>
                <w:rFonts w:ascii="Arial" w:cs="Arial" w:eastAsia="Arial" w:hAnsi="Arial"/>
                <w:sz w:val="14"/>
                <w:szCs w:val="14"/>
                <w:color w:val="auto"/>
              </w:rPr>
              <w:t>(960)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500,000</w:t>
            </w:r>
          </w:p>
        </w:tc>
      </w:tr>
      <w:tr>
        <w:trPr>
          <w:trHeight w:val="149"/>
        </w:trPr>
        <w:tc>
          <w:tcPr>
            <w:tcW w:w="1880" w:type="dxa"/>
            <w:vAlign w:val="bottom"/>
            <w:gridSpan w:val="9"/>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505,328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9"/>
              <w:spacing w:after="0" w:line="149" w:lineRule="exact"/>
              <w:rPr>
                <w:sz w:val="20"/>
                <w:szCs w:val="20"/>
                <w:color w:val="auto"/>
              </w:rPr>
            </w:pPr>
            <w:r>
              <w:rPr>
                <w:rFonts w:ascii="Arial" w:cs="Arial" w:eastAsia="Arial" w:hAnsi="Arial"/>
                <w:sz w:val="14"/>
                <w:szCs w:val="14"/>
                <w:color w:val="auto"/>
              </w:rPr>
              <w:t>19,539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524,867</w:t>
            </w:r>
          </w:p>
        </w:tc>
      </w:tr>
      <w:tr>
        <w:trPr>
          <w:trHeight w:val="135"/>
        </w:trPr>
        <w:tc>
          <w:tcPr>
            <w:tcW w:w="1880" w:type="dxa"/>
            <w:vAlign w:val="bottom"/>
            <w:gridSpan w:val="9"/>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Fullbridge, Inc.</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r>
      <w:tr>
        <w:trPr>
          <w:trHeight w:val="123"/>
        </w:trPr>
        <w:tc>
          <w:tcPr>
            <w:tcW w:w="1880" w:type="dxa"/>
            <w:vAlign w:val="bottom"/>
            <w:gridSpan w:val="9"/>
          </w:tcPr>
          <w:p>
            <w:pPr>
              <w:ind w:left="20"/>
              <w:spacing w:after="0" w:line="123" w:lineRule="exact"/>
              <w:rPr>
                <w:sz w:val="20"/>
                <w:szCs w:val="20"/>
                <w:color w:val="auto"/>
              </w:rPr>
            </w:pPr>
            <w:r>
              <w:rPr>
                <w:rFonts w:ascii="Arial" w:cs="Arial" w:eastAsia="Arial" w:hAnsi="Arial"/>
                <w:sz w:val="14"/>
                <w:szCs w:val="14"/>
                <w:color w:val="auto"/>
              </w:rPr>
              <w:t>Convertible Promissory Note,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1860" w:type="dxa"/>
            <w:vAlign w:val="bottom"/>
            <w:gridSpan w:val="8"/>
          </w:tcPr>
          <w:p>
            <w:pPr>
              <w:ind w:left="180"/>
              <w:spacing w:after="0" w:line="149" w:lineRule="exact"/>
              <w:rPr>
                <w:sz w:val="20"/>
                <w:szCs w:val="20"/>
                <w:color w:val="auto"/>
              </w:rPr>
            </w:pPr>
            <w:r>
              <w:rPr>
                <w:rFonts w:ascii="Arial" w:cs="Arial" w:eastAsia="Arial" w:hAnsi="Arial"/>
                <w:sz w:val="14"/>
                <w:szCs w:val="14"/>
                <w:color w:val="auto"/>
              </w:rPr>
              <w:t>10% Interest rate,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7"/>
        </w:trPr>
        <w:tc>
          <w:tcPr>
            <w:tcW w:w="960" w:type="dxa"/>
            <w:vAlign w:val="bottom"/>
            <w:gridSpan w:val="5"/>
          </w:tcPr>
          <w:p>
            <w:pPr>
              <w:ind w:left="200"/>
              <w:spacing w:after="0"/>
              <w:rPr>
                <w:sz w:val="20"/>
                <w:szCs w:val="20"/>
                <w:color w:val="auto"/>
              </w:rPr>
            </w:pPr>
            <w:r>
              <w:rPr>
                <w:rFonts w:ascii="Arial" w:cs="Arial" w:eastAsia="Arial" w:hAnsi="Arial"/>
                <w:sz w:val="14"/>
                <w:szCs w:val="14"/>
                <w:color w:val="auto"/>
              </w:rPr>
              <w:t>03/02/16***</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142,645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89"/>
              </w:rPr>
              <w:t>1,014,395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6,464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1,020,859</w:t>
            </w:r>
          </w:p>
        </w:tc>
      </w:tr>
      <w:tr>
        <w:trPr>
          <w:trHeight w:val="149"/>
        </w:trPr>
        <w:tc>
          <w:tcPr>
            <w:tcW w:w="1880" w:type="dxa"/>
            <w:vAlign w:val="bottom"/>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D</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3,111,714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3,111,714</w:t>
            </w:r>
          </w:p>
        </w:tc>
      </w:tr>
      <w:tr>
        <w:trPr>
          <w:trHeight w:val="149"/>
        </w:trPr>
        <w:tc>
          <w:tcPr>
            <w:tcW w:w="1880" w:type="dxa"/>
            <w:vAlign w:val="bottom"/>
            <w:gridSpan w:val="9"/>
          </w:tcPr>
          <w:p>
            <w:pPr>
              <w:ind w:left="20"/>
              <w:spacing w:after="0" w:line="149" w:lineRule="exact"/>
              <w:rPr>
                <w:sz w:val="20"/>
                <w:szCs w:val="20"/>
                <w:color w:val="auto"/>
              </w:rPr>
            </w:pPr>
            <w:r>
              <w:rPr>
                <w:rFonts w:ascii="Arial" w:cs="Arial" w:eastAsia="Arial" w:hAnsi="Arial"/>
                <w:sz w:val="14"/>
                <w:szCs w:val="14"/>
                <w:color w:val="auto"/>
              </w:rPr>
              <w:t>Preferred shares, Series C</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1,625,001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1,625,001</w:t>
            </w:r>
          </w:p>
        </w:tc>
      </w:tr>
      <w:tr>
        <w:trPr>
          <w:trHeight w:val="130"/>
        </w:trPr>
        <w:tc>
          <w:tcPr>
            <w:tcW w:w="1880" w:type="dxa"/>
            <w:vAlign w:val="bottom"/>
            <w:gridSpan w:val="9"/>
            <w:shd w:val="clear" w:color="auto" w:fill="CCEEFF"/>
          </w:tcPr>
          <w:p>
            <w:pPr>
              <w:ind w:left="20"/>
              <w:spacing w:after="0" w:line="130" w:lineRule="exact"/>
              <w:rPr>
                <w:sz w:val="20"/>
                <w:szCs w:val="20"/>
                <w:color w:val="auto"/>
              </w:rPr>
            </w:pPr>
            <w:r>
              <w:rPr>
                <w:rFonts w:ascii="Arial" w:cs="Arial" w:eastAsia="Arial" w:hAnsi="Arial"/>
                <w:sz w:val="14"/>
                <w:szCs w:val="14"/>
                <w:color w:val="auto"/>
                <w:w w:val="93"/>
              </w:rPr>
              <w:t>Common warrants, $0.91 Strike</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49"/>
        </w:trPr>
        <w:tc>
          <w:tcPr>
            <w:tcW w:w="20" w:type="dxa"/>
            <w:vAlign w:val="bottom"/>
            <w:shd w:val="clear" w:color="auto" w:fill="CCEEFF"/>
          </w:tcPr>
          <w:p>
            <w:pPr>
              <w:spacing w:after="0"/>
              <w:rPr>
                <w:sz w:val="12"/>
                <w:szCs w:val="12"/>
                <w:color w:val="auto"/>
              </w:rPr>
            </w:pPr>
          </w:p>
        </w:tc>
        <w:tc>
          <w:tcPr>
            <w:tcW w:w="1860" w:type="dxa"/>
            <w:vAlign w:val="bottom"/>
            <w:gridSpan w:val="8"/>
            <w:shd w:val="clear" w:color="auto" w:fill="CCEEFF"/>
          </w:tcPr>
          <w:p>
            <w:pPr>
              <w:ind w:left="180"/>
              <w:spacing w:after="0" w:line="149" w:lineRule="exact"/>
              <w:rPr>
                <w:sz w:val="20"/>
                <w:szCs w:val="20"/>
                <w:color w:val="auto"/>
              </w:rPr>
            </w:pPr>
            <w:r>
              <w:rPr>
                <w:rFonts w:ascii="Arial" w:cs="Arial" w:eastAsia="Arial" w:hAnsi="Arial"/>
                <w:sz w:val="14"/>
                <w:szCs w:val="14"/>
                <w:color w:val="auto"/>
              </w:rPr>
              <w:t>Price, Expiration Date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67"/>
        </w:trPr>
        <w:tc>
          <w:tcPr>
            <w:tcW w:w="860" w:type="dxa"/>
            <w:vAlign w:val="bottom"/>
            <w:tcBorders>
              <w:right w:val="single" w:sz="8" w:color="CCEEFF"/>
            </w:tcBorders>
            <w:gridSpan w:val="4"/>
            <w:shd w:val="clear" w:color="auto" w:fill="CCEEFF"/>
          </w:tcPr>
          <w:p>
            <w:pPr>
              <w:ind w:left="200"/>
              <w:spacing w:after="0"/>
              <w:rPr>
                <w:sz w:val="20"/>
                <w:szCs w:val="20"/>
                <w:color w:val="auto"/>
              </w:rPr>
            </w:pPr>
            <w:r>
              <w:rPr>
                <w:rFonts w:ascii="Arial" w:cs="Arial" w:eastAsia="Arial" w:hAnsi="Arial"/>
                <w:sz w:val="14"/>
                <w:szCs w:val="14"/>
                <w:color w:val="auto"/>
                <w:w w:val="99"/>
              </w:rPr>
              <w:t>3/02/2020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(1,290)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2,831</w:t>
            </w:r>
          </w:p>
        </w:tc>
      </w:tr>
      <w:tr>
        <w:trPr>
          <w:trHeight w:val="130"/>
        </w:trPr>
        <w:tc>
          <w:tcPr>
            <w:tcW w:w="1880" w:type="dxa"/>
            <w:vAlign w:val="bottom"/>
            <w:gridSpan w:val="9"/>
          </w:tcPr>
          <w:p>
            <w:pPr>
              <w:ind w:left="20"/>
              <w:spacing w:after="0" w:line="130" w:lineRule="exact"/>
              <w:rPr>
                <w:sz w:val="20"/>
                <w:szCs w:val="20"/>
                <w:color w:val="auto"/>
              </w:rPr>
            </w:pPr>
            <w:r>
              <w:rPr>
                <w:rFonts w:ascii="Arial" w:cs="Arial" w:eastAsia="Arial" w:hAnsi="Arial"/>
                <w:sz w:val="14"/>
                <w:szCs w:val="14"/>
                <w:color w:val="auto"/>
                <w:w w:val="93"/>
              </w:rPr>
              <w:t>Common warrants, $0.91 Strike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860" w:type="dxa"/>
            <w:vAlign w:val="bottom"/>
            <w:gridSpan w:val="8"/>
          </w:tcPr>
          <w:p>
            <w:pPr>
              <w:ind w:left="180"/>
              <w:spacing w:after="0" w:line="149" w:lineRule="exact"/>
              <w:rPr>
                <w:sz w:val="20"/>
                <w:szCs w:val="20"/>
                <w:color w:val="auto"/>
              </w:rPr>
            </w:pPr>
            <w:r>
              <w:rPr>
                <w:rFonts w:ascii="Arial" w:cs="Arial" w:eastAsia="Arial" w:hAnsi="Arial"/>
                <w:sz w:val="14"/>
                <w:szCs w:val="14"/>
                <w:color w:val="auto"/>
              </w:rPr>
              <w:t>Price, Expiration Date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7"/>
        </w:trPr>
        <w:tc>
          <w:tcPr>
            <w:tcW w:w="860" w:type="dxa"/>
            <w:vAlign w:val="bottom"/>
            <w:gridSpan w:val="4"/>
          </w:tcPr>
          <w:p>
            <w:pPr>
              <w:ind w:left="200"/>
              <w:spacing w:after="0"/>
              <w:rPr>
                <w:sz w:val="20"/>
                <w:szCs w:val="20"/>
                <w:color w:val="auto"/>
              </w:rPr>
            </w:pPr>
            <w:r>
              <w:rPr>
                <w:rFonts w:ascii="Arial" w:cs="Arial" w:eastAsia="Arial" w:hAnsi="Arial"/>
                <w:sz w:val="14"/>
                <w:szCs w:val="14"/>
                <w:color w:val="auto"/>
                <w:w w:val="99"/>
              </w:rPr>
              <w:t>3/22/2020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7,143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(5,281)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1,862</w:t>
            </w:r>
          </w:p>
        </w:tc>
      </w:tr>
      <w:tr>
        <w:trPr>
          <w:trHeight w:val="130"/>
        </w:trPr>
        <w:tc>
          <w:tcPr>
            <w:tcW w:w="1880" w:type="dxa"/>
            <w:vAlign w:val="bottom"/>
            <w:gridSpan w:val="9"/>
            <w:shd w:val="clear" w:color="auto" w:fill="CCEEFF"/>
          </w:tcPr>
          <w:p>
            <w:pPr>
              <w:ind w:left="20"/>
              <w:spacing w:after="0" w:line="130" w:lineRule="exact"/>
              <w:rPr>
                <w:sz w:val="20"/>
                <w:szCs w:val="20"/>
                <w:color w:val="auto"/>
              </w:rPr>
            </w:pPr>
            <w:r>
              <w:rPr>
                <w:rFonts w:ascii="Arial" w:cs="Arial" w:eastAsia="Arial" w:hAnsi="Arial"/>
                <w:sz w:val="14"/>
                <w:szCs w:val="14"/>
                <w:color w:val="auto"/>
                <w:w w:val="93"/>
              </w:rPr>
              <w:t>Common warrants, $0.91 Strike</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49"/>
        </w:trPr>
        <w:tc>
          <w:tcPr>
            <w:tcW w:w="20" w:type="dxa"/>
            <w:vAlign w:val="bottom"/>
            <w:shd w:val="clear" w:color="auto" w:fill="CCEEFF"/>
          </w:tcPr>
          <w:p>
            <w:pPr>
              <w:spacing w:after="0"/>
              <w:rPr>
                <w:sz w:val="12"/>
                <w:szCs w:val="12"/>
                <w:color w:val="auto"/>
              </w:rPr>
            </w:pPr>
          </w:p>
        </w:tc>
        <w:tc>
          <w:tcPr>
            <w:tcW w:w="1860" w:type="dxa"/>
            <w:vAlign w:val="bottom"/>
            <w:gridSpan w:val="8"/>
            <w:shd w:val="clear" w:color="auto" w:fill="CCEEFF"/>
          </w:tcPr>
          <w:p>
            <w:pPr>
              <w:ind w:left="180"/>
              <w:spacing w:after="0" w:line="149" w:lineRule="exact"/>
              <w:rPr>
                <w:sz w:val="20"/>
                <w:szCs w:val="20"/>
                <w:color w:val="auto"/>
              </w:rPr>
            </w:pPr>
            <w:r>
              <w:rPr>
                <w:rFonts w:ascii="Arial" w:cs="Arial" w:eastAsia="Arial" w:hAnsi="Arial"/>
                <w:sz w:val="14"/>
                <w:szCs w:val="14"/>
                <w:color w:val="auto"/>
              </w:rPr>
              <w:t>Price, Expiration Date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67"/>
        </w:trPr>
        <w:tc>
          <w:tcPr>
            <w:tcW w:w="860" w:type="dxa"/>
            <w:vAlign w:val="bottom"/>
            <w:tcBorders>
              <w:right w:val="single" w:sz="8" w:color="CCEEFF"/>
            </w:tcBorders>
            <w:gridSpan w:val="4"/>
            <w:shd w:val="clear" w:color="auto" w:fill="CCEEFF"/>
          </w:tcPr>
          <w:p>
            <w:pPr>
              <w:ind w:left="200"/>
              <w:spacing w:after="0"/>
              <w:rPr>
                <w:sz w:val="20"/>
                <w:szCs w:val="20"/>
                <w:color w:val="auto"/>
              </w:rPr>
            </w:pPr>
            <w:r>
              <w:rPr>
                <w:rFonts w:ascii="Arial" w:cs="Arial" w:eastAsia="Arial" w:hAnsi="Arial"/>
                <w:sz w:val="14"/>
                <w:szCs w:val="14"/>
                <w:color w:val="auto"/>
                <w:w w:val="99"/>
              </w:rPr>
              <w:t>5/16/2019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1,923</w:t>
            </w:r>
          </w:p>
        </w:tc>
      </w:tr>
      <w:tr>
        <w:trPr>
          <w:trHeight w:val="130"/>
        </w:trPr>
        <w:tc>
          <w:tcPr>
            <w:tcW w:w="1880" w:type="dxa"/>
            <w:vAlign w:val="bottom"/>
            <w:gridSpan w:val="9"/>
          </w:tcPr>
          <w:p>
            <w:pPr>
              <w:ind w:left="20"/>
              <w:spacing w:after="0" w:line="130" w:lineRule="exact"/>
              <w:rPr>
                <w:sz w:val="20"/>
                <w:szCs w:val="20"/>
                <w:color w:val="auto"/>
              </w:rPr>
            </w:pPr>
            <w:r>
              <w:rPr>
                <w:rFonts w:ascii="Arial" w:cs="Arial" w:eastAsia="Arial" w:hAnsi="Arial"/>
                <w:sz w:val="14"/>
                <w:szCs w:val="14"/>
                <w:color w:val="auto"/>
                <w:w w:val="93"/>
              </w:rPr>
              <w:t>Common warrants, $0.91 Strike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860" w:type="dxa"/>
            <w:vAlign w:val="bottom"/>
            <w:gridSpan w:val="8"/>
          </w:tcPr>
          <w:p>
            <w:pPr>
              <w:ind w:left="180"/>
              <w:spacing w:after="0" w:line="149" w:lineRule="exact"/>
              <w:rPr>
                <w:sz w:val="20"/>
                <w:szCs w:val="20"/>
                <w:color w:val="auto"/>
              </w:rPr>
            </w:pPr>
            <w:r>
              <w:rPr>
                <w:rFonts w:ascii="Arial" w:cs="Arial" w:eastAsia="Arial" w:hAnsi="Arial"/>
                <w:sz w:val="14"/>
                <w:szCs w:val="14"/>
                <w:color w:val="auto"/>
              </w:rPr>
              <w:t>Price, Expiration Date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7"/>
        </w:trPr>
        <w:tc>
          <w:tcPr>
            <w:tcW w:w="860" w:type="dxa"/>
            <w:vAlign w:val="bottom"/>
            <w:gridSpan w:val="4"/>
          </w:tcPr>
          <w:p>
            <w:pPr>
              <w:ind w:left="200"/>
              <w:spacing w:after="0"/>
              <w:rPr>
                <w:sz w:val="20"/>
                <w:szCs w:val="20"/>
                <w:color w:val="auto"/>
              </w:rPr>
            </w:pPr>
            <w:r>
              <w:rPr>
                <w:rFonts w:ascii="Arial" w:cs="Arial" w:eastAsia="Arial" w:hAnsi="Arial"/>
                <w:sz w:val="14"/>
                <w:szCs w:val="14"/>
                <w:color w:val="auto"/>
              </w:rPr>
              <w:t>4/3/2019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824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3,297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4,121</w:t>
            </w:r>
          </w:p>
        </w:tc>
      </w:tr>
      <w:tr>
        <w:trPr>
          <w:trHeight w:val="130"/>
        </w:trPr>
        <w:tc>
          <w:tcPr>
            <w:tcW w:w="1880" w:type="dxa"/>
            <w:vAlign w:val="bottom"/>
            <w:gridSpan w:val="9"/>
            <w:shd w:val="clear" w:color="auto" w:fill="CCEEFF"/>
          </w:tcPr>
          <w:p>
            <w:pPr>
              <w:ind w:left="20"/>
              <w:spacing w:after="0" w:line="130" w:lineRule="exact"/>
              <w:rPr>
                <w:sz w:val="20"/>
                <w:szCs w:val="20"/>
                <w:color w:val="auto"/>
              </w:rPr>
            </w:pPr>
            <w:r>
              <w:rPr>
                <w:rFonts w:ascii="Arial" w:cs="Arial" w:eastAsia="Arial" w:hAnsi="Arial"/>
                <w:sz w:val="14"/>
                <w:szCs w:val="14"/>
                <w:color w:val="auto"/>
                <w:w w:val="93"/>
              </w:rPr>
              <w:t>Common warrants, $0.91 Strike</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49"/>
        </w:trPr>
        <w:tc>
          <w:tcPr>
            <w:tcW w:w="20" w:type="dxa"/>
            <w:vAlign w:val="bottom"/>
            <w:shd w:val="clear" w:color="auto" w:fill="CCEEFF"/>
          </w:tcPr>
          <w:p>
            <w:pPr>
              <w:spacing w:after="0"/>
              <w:rPr>
                <w:sz w:val="12"/>
                <w:szCs w:val="12"/>
                <w:color w:val="auto"/>
              </w:rPr>
            </w:pPr>
          </w:p>
        </w:tc>
        <w:tc>
          <w:tcPr>
            <w:tcW w:w="1860" w:type="dxa"/>
            <w:vAlign w:val="bottom"/>
            <w:gridSpan w:val="8"/>
            <w:shd w:val="clear" w:color="auto" w:fill="CCEEFF"/>
          </w:tcPr>
          <w:p>
            <w:pPr>
              <w:ind w:left="180"/>
              <w:spacing w:after="0" w:line="149" w:lineRule="exact"/>
              <w:rPr>
                <w:sz w:val="20"/>
                <w:szCs w:val="20"/>
                <w:color w:val="auto"/>
              </w:rPr>
            </w:pPr>
            <w:r>
              <w:rPr>
                <w:rFonts w:ascii="Arial" w:cs="Arial" w:eastAsia="Arial" w:hAnsi="Arial"/>
                <w:sz w:val="14"/>
                <w:szCs w:val="14"/>
                <w:color w:val="auto"/>
              </w:rPr>
              <w:t>Price, Expiration Date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67"/>
        </w:trPr>
        <w:tc>
          <w:tcPr>
            <w:tcW w:w="860" w:type="dxa"/>
            <w:vAlign w:val="bottom"/>
            <w:tcBorders>
              <w:right w:val="single" w:sz="8" w:color="CCEEFF"/>
            </w:tcBorders>
            <w:gridSpan w:val="4"/>
            <w:shd w:val="clear" w:color="auto" w:fill="CCEEFF"/>
          </w:tcPr>
          <w:p>
            <w:pPr>
              <w:ind w:left="200"/>
              <w:spacing w:after="0"/>
              <w:rPr>
                <w:sz w:val="20"/>
                <w:szCs w:val="20"/>
                <w:color w:val="auto"/>
              </w:rPr>
            </w:pPr>
            <w:r>
              <w:rPr>
                <w:rFonts w:ascii="Arial" w:cs="Arial" w:eastAsia="Arial" w:hAnsi="Arial"/>
                <w:sz w:val="14"/>
                <w:szCs w:val="14"/>
                <w:color w:val="auto"/>
                <w:w w:val="88"/>
              </w:rPr>
              <w:t>12/11/2018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824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w:t>
            </w:r>
          </w:p>
        </w:tc>
      </w:tr>
      <w:tr>
        <w:trPr>
          <w:trHeight w:val="130"/>
        </w:trPr>
        <w:tc>
          <w:tcPr>
            <w:tcW w:w="1880" w:type="dxa"/>
            <w:vAlign w:val="bottom"/>
            <w:gridSpan w:val="9"/>
          </w:tcPr>
          <w:p>
            <w:pPr>
              <w:ind w:left="20"/>
              <w:spacing w:after="0" w:line="130" w:lineRule="exact"/>
              <w:rPr>
                <w:sz w:val="20"/>
                <w:szCs w:val="20"/>
                <w:color w:val="auto"/>
              </w:rPr>
            </w:pPr>
            <w:r>
              <w:rPr>
                <w:rFonts w:ascii="Arial" w:cs="Arial" w:eastAsia="Arial" w:hAnsi="Arial"/>
                <w:sz w:val="14"/>
                <w:szCs w:val="14"/>
                <w:color w:val="auto"/>
                <w:w w:val="93"/>
              </w:rPr>
              <w:t>Common warrants, $0.91 Strike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860" w:type="dxa"/>
            <w:vAlign w:val="bottom"/>
            <w:gridSpan w:val="8"/>
          </w:tcPr>
          <w:p>
            <w:pPr>
              <w:ind w:left="180"/>
              <w:spacing w:after="0" w:line="149" w:lineRule="exact"/>
              <w:rPr>
                <w:sz w:val="20"/>
                <w:szCs w:val="20"/>
                <w:color w:val="auto"/>
              </w:rPr>
            </w:pPr>
            <w:r>
              <w:rPr>
                <w:rFonts w:ascii="Arial" w:cs="Arial" w:eastAsia="Arial" w:hAnsi="Arial"/>
                <w:sz w:val="14"/>
                <w:szCs w:val="14"/>
                <w:color w:val="auto"/>
              </w:rPr>
              <w:t>Price, Expiration Date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82"/>
        </w:trPr>
        <w:tc>
          <w:tcPr>
            <w:tcW w:w="860" w:type="dxa"/>
            <w:vAlign w:val="bottom"/>
            <w:gridSpan w:val="4"/>
          </w:tcPr>
          <w:p>
            <w:pPr>
              <w:ind w:left="200"/>
              <w:spacing w:after="0"/>
              <w:rPr>
                <w:sz w:val="20"/>
                <w:szCs w:val="20"/>
                <w:color w:val="auto"/>
              </w:rPr>
            </w:pPr>
            <w:r>
              <w:rPr>
                <w:rFonts w:ascii="Arial" w:cs="Arial" w:eastAsia="Arial" w:hAnsi="Arial"/>
                <w:sz w:val="14"/>
                <w:szCs w:val="14"/>
                <w:color w:val="auto"/>
                <w:w w:val="88"/>
              </w:rPr>
              <w:t>10/10/2018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824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824</w:t>
            </w:r>
          </w:p>
        </w:tc>
      </w:tr>
    </w:tbl>
    <w:p>
      <w:pPr>
        <w:spacing w:after="0" w:line="200" w:lineRule="exact"/>
        <w:rPr>
          <w:sz w:val="20"/>
          <w:szCs w:val="20"/>
          <w:color w:val="auto"/>
        </w:rPr>
      </w:pPr>
    </w:p>
    <w:p>
      <w:pPr>
        <w:spacing w:after="0" w:line="32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2" w:name="page63"/>
    <w:bookmarkEnd w:id="62"/>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Schedule 12-14 — Schedule of Investments in and Advances to Affiliates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-41910</wp:posOffset>
            </wp:positionV>
            <wp:extent cx="521398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60"/>
              <w:spacing w:after="0" w:line="131" w:lineRule="exact"/>
              <w:rPr>
                <w:sz w:val="20"/>
                <w:szCs w:val="20"/>
                <w:color w:val="auto"/>
              </w:rPr>
            </w:pPr>
            <w:r>
              <w:rPr>
                <w:rFonts w:ascii="Arial" w:cs="Arial" w:eastAsia="Arial" w:hAnsi="Arial"/>
                <w:sz w:val="13"/>
                <w:szCs w:val="13"/>
                <w:b w:val="1"/>
                <w:bCs w:val="1"/>
                <w:color w:val="auto"/>
                <w:w w:val="89"/>
              </w:rPr>
              <w:t>Amount of</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80"/>
              <w:spacing w:after="0" w:line="131" w:lineRule="exact"/>
              <w:rPr>
                <w:sz w:val="20"/>
                <w:szCs w:val="20"/>
                <w:color w:val="auto"/>
              </w:rPr>
            </w:pPr>
            <w:r>
              <w:rPr>
                <w:rFonts w:ascii="Arial" w:cs="Arial" w:eastAsia="Arial" w:hAnsi="Arial"/>
                <w:sz w:val="13"/>
                <w:szCs w:val="13"/>
                <w:b w:val="1"/>
                <w:bCs w:val="1"/>
                <w:color w:val="auto"/>
                <w:w w:val="88"/>
              </w:rPr>
              <w:t>Transfer</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5"/>
              </w:rPr>
              <w:t>Interest, Fees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8"/>
              </w:rPr>
              <w:t>from Control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8"/>
              </w:rPr>
              <w:t>or Dividends</w:t>
            </w:r>
          </w:p>
        </w:tc>
        <w:tc>
          <w:tcPr>
            <w:tcW w:w="80" w:type="dxa"/>
            <w:vAlign w:val="bottom"/>
          </w:tcPr>
          <w:p>
            <w:pPr>
              <w:spacing w:after="0"/>
              <w:rPr>
                <w:sz w:val="11"/>
                <w:szCs w:val="11"/>
                <w:color w:val="auto"/>
              </w:rPr>
            </w:pPr>
          </w:p>
        </w:tc>
        <w:tc>
          <w:tcPr>
            <w:tcW w:w="8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0"/>
              </w:rPr>
              <w:t>Fair Value at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Investment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8"/>
              </w:rPr>
              <w:t>Realized and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Fair Value at</w:t>
            </w:r>
          </w:p>
        </w:tc>
      </w:tr>
      <w:tr>
        <w:trPr>
          <w:trHeight w:val="135"/>
        </w:trPr>
        <w:tc>
          <w:tcPr>
            <w:tcW w:w="1880" w:type="dxa"/>
            <w:vAlign w:val="bottom"/>
            <w:gridSpan w:val="9"/>
          </w:tcPr>
          <w:p>
            <w:pPr>
              <w:ind w:left="20"/>
              <w:spacing w:after="0" w:line="135" w:lineRule="exact"/>
              <w:rPr>
                <w:sz w:val="20"/>
                <w:szCs w:val="20"/>
                <w:color w:val="auto"/>
              </w:rPr>
            </w:pPr>
            <w:r>
              <w:rPr>
                <w:rFonts w:ascii="Arial" w:cs="Arial" w:eastAsia="Arial" w:hAnsi="Arial"/>
                <w:sz w:val="13"/>
                <w:szCs w:val="13"/>
                <w:b w:val="1"/>
                <w:bCs w:val="1"/>
                <w:color w:val="auto"/>
              </w:rPr>
              <w:t>Portfolio Company/Type of</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1"/>
              </w:rPr>
              <w:t>Credited in</w:t>
            </w:r>
          </w:p>
        </w:tc>
        <w:tc>
          <w:tcPr>
            <w:tcW w:w="80" w:type="dxa"/>
            <w:vAlign w:val="bottom"/>
          </w:tcPr>
          <w:p>
            <w:pPr>
              <w:spacing w:after="0"/>
              <w:rPr>
                <w:sz w:val="11"/>
                <w:szCs w:val="11"/>
                <w:color w:val="auto"/>
              </w:rPr>
            </w:pPr>
          </w:p>
        </w:tc>
        <w:tc>
          <w:tcPr>
            <w:tcW w:w="8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7"/>
              </w:rPr>
              <w:t>December 31,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2"/>
              </w:rPr>
              <w:t>To Affiliate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8"/>
              </w:rPr>
              <w:t>Unrealized</w:t>
            </w:r>
          </w:p>
        </w:tc>
        <w:tc>
          <w:tcPr>
            <w:tcW w:w="80" w:type="dxa"/>
            <w:vAlign w:val="bottom"/>
          </w:tcPr>
          <w:p>
            <w:pPr>
              <w:spacing w:after="0"/>
              <w:rPr>
                <w:sz w:val="11"/>
                <w:szCs w:val="11"/>
                <w:color w:val="auto"/>
              </w:rPr>
            </w:pPr>
          </w:p>
        </w:tc>
        <w:tc>
          <w:tcPr>
            <w:tcW w:w="8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5"/>
              </w:rPr>
              <w:t>December 31,</w:t>
            </w:r>
          </w:p>
        </w:tc>
      </w:tr>
      <w:tr>
        <w:trPr>
          <w:trHeight w:val="153"/>
        </w:trPr>
        <w:tc>
          <w:tcPr>
            <w:tcW w:w="1880" w:type="dxa"/>
            <w:vAlign w:val="bottom"/>
            <w:tcBorders>
              <w:bottom w:val="single" w:sz="8" w:color="auto"/>
            </w:tcBorders>
            <w:gridSpan w:val="9"/>
          </w:tcPr>
          <w:p>
            <w:pPr>
              <w:ind w:left="20"/>
              <w:spacing w:after="0"/>
              <w:rPr>
                <w:sz w:val="20"/>
                <w:szCs w:val="20"/>
                <w:color w:val="auto"/>
              </w:rPr>
            </w:pPr>
            <w:r>
              <w:rPr>
                <w:rFonts w:ascii="Arial" w:cs="Arial" w:eastAsia="Arial" w:hAnsi="Arial"/>
                <w:sz w:val="13"/>
                <w:szCs w:val="13"/>
                <w:b w:val="1"/>
                <w:bCs w:val="1"/>
                <w:color w:val="auto"/>
              </w:rPr>
              <w:t>Investment*</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3"/>
                <w:szCs w:val="13"/>
                <w:b w:val="1"/>
                <w:bCs w:val="1"/>
                <w:color w:val="auto"/>
                <w:w w:val="87"/>
              </w:rPr>
              <w:t>Income</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28"/>
              <w:spacing w:after="0"/>
              <w:rPr>
                <w:sz w:val="20"/>
                <w:szCs w:val="20"/>
                <w:color w:val="auto"/>
              </w:rPr>
            </w:pPr>
            <w:r>
              <w:rPr>
                <w:rFonts w:ascii="Arial" w:cs="Arial" w:eastAsia="Arial" w:hAnsi="Arial"/>
                <w:sz w:val="13"/>
                <w:szCs w:val="13"/>
                <w:b w:val="1"/>
                <w:bCs w:val="1"/>
                <w:color w:val="auto"/>
                <w:w w:val="89"/>
              </w:rPr>
              <w:t>2014</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87"/>
              </w:rPr>
              <w:t>Investment</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Purchases</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b w:val="1"/>
                <w:bCs w:val="1"/>
                <w:color w:val="auto"/>
              </w:rPr>
              <w:t>Sales</w:t>
            </w:r>
          </w:p>
        </w:tc>
        <w:tc>
          <w:tcPr>
            <w:tcW w:w="80" w:type="dxa"/>
            <w:vAlign w:val="bottom"/>
          </w:tcPr>
          <w:p>
            <w:pPr>
              <w:spacing w:after="0"/>
              <w:rPr>
                <w:sz w:val="13"/>
                <w:szCs w:val="13"/>
                <w:color w:val="auto"/>
              </w:rPr>
            </w:pPr>
          </w:p>
        </w:tc>
        <w:tc>
          <w:tcPr>
            <w:tcW w:w="8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3"/>
              </w:rPr>
              <w:t>Gains/(Losses)</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2015</w:t>
            </w:r>
          </w:p>
        </w:tc>
      </w:tr>
      <w:tr>
        <w:trPr>
          <w:trHeight w:val="123"/>
        </w:trPr>
        <w:tc>
          <w:tcPr>
            <w:tcW w:w="1880" w:type="dxa"/>
            <w:vAlign w:val="bottom"/>
            <w:gridSpan w:val="9"/>
            <w:shd w:val="clear" w:color="auto" w:fill="CCEEFF"/>
          </w:tcPr>
          <w:p>
            <w:pPr>
              <w:ind w:left="20"/>
              <w:spacing w:after="0" w:line="123" w:lineRule="exact"/>
              <w:rPr>
                <w:sz w:val="20"/>
                <w:szCs w:val="20"/>
                <w:color w:val="auto"/>
              </w:rPr>
            </w:pPr>
            <w:r>
              <w:rPr>
                <w:rFonts w:ascii="Arial" w:cs="Arial" w:eastAsia="Arial" w:hAnsi="Arial"/>
                <w:sz w:val="14"/>
                <w:szCs w:val="14"/>
                <w:color w:val="auto"/>
                <w:w w:val="93"/>
              </w:rPr>
              <w:t>Common warrants, $0.91 Strike</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tcBorders>
              <w:right w:val="single" w:sz="8" w:color="CCEEFF"/>
            </w:tcBorders>
            <w:shd w:val="clear" w:color="auto" w:fill="CCEEFF"/>
          </w:tcPr>
          <w:p>
            <w:pPr>
              <w:spacing w:after="0"/>
              <w:rPr>
                <w:sz w:val="10"/>
                <w:szCs w:val="10"/>
                <w:color w:val="auto"/>
              </w:rPr>
            </w:pPr>
          </w:p>
        </w:tc>
      </w:tr>
      <w:tr>
        <w:trPr>
          <w:trHeight w:val="149"/>
        </w:trPr>
        <w:tc>
          <w:tcPr>
            <w:tcW w:w="20" w:type="dxa"/>
            <w:vAlign w:val="bottom"/>
            <w:shd w:val="clear" w:color="auto" w:fill="CCEEFF"/>
          </w:tcPr>
          <w:p>
            <w:pPr>
              <w:spacing w:after="0"/>
              <w:rPr>
                <w:sz w:val="12"/>
                <w:szCs w:val="12"/>
                <w:color w:val="auto"/>
              </w:rPr>
            </w:pPr>
          </w:p>
        </w:tc>
        <w:tc>
          <w:tcPr>
            <w:tcW w:w="1860" w:type="dxa"/>
            <w:vAlign w:val="bottom"/>
            <w:gridSpan w:val="8"/>
            <w:shd w:val="clear" w:color="auto" w:fill="CCEEFF"/>
          </w:tcPr>
          <w:p>
            <w:pPr>
              <w:ind w:left="180"/>
              <w:spacing w:after="0" w:line="149" w:lineRule="exact"/>
              <w:rPr>
                <w:sz w:val="20"/>
                <w:szCs w:val="20"/>
                <w:color w:val="auto"/>
              </w:rPr>
            </w:pPr>
            <w:r>
              <w:rPr>
                <w:rFonts w:ascii="Arial" w:cs="Arial" w:eastAsia="Arial" w:hAnsi="Arial"/>
                <w:sz w:val="14"/>
                <w:szCs w:val="14"/>
                <w:color w:val="auto"/>
              </w:rPr>
              <w:t>Price, Expiration Date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r>
      <w:tr>
        <w:trPr>
          <w:trHeight w:val="167"/>
        </w:trPr>
        <w:tc>
          <w:tcPr>
            <w:tcW w:w="1100" w:type="dxa"/>
            <w:vAlign w:val="bottom"/>
            <w:tcBorders>
              <w:right w:val="single" w:sz="8" w:color="CCEEFF"/>
            </w:tcBorders>
            <w:gridSpan w:val="4"/>
            <w:shd w:val="clear" w:color="auto" w:fill="CCEEFF"/>
          </w:tcPr>
          <w:p>
            <w:pPr>
              <w:ind w:left="200"/>
              <w:spacing w:after="0"/>
              <w:rPr>
                <w:sz w:val="20"/>
                <w:szCs w:val="20"/>
                <w:color w:val="auto"/>
              </w:rPr>
            </w:pPr>
            <w:r>
              <w:rPr>
                <w:rFonts w:ascii="Arial" w:cs="Arial" w:eastAsia="Arial" w:hAnsi="Arial"/>
                <w:sz w:val="14"/>
                <w:szCs w:val="14"/>
                <w:color w:val="auto"/>
              </w:rPr>
              <w:t>2/18/2019</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1,862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5,281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7,143</w:t>
            </w:r>
          </w:p>
        </w:tc>
      </w:tr>
      <w:tr>
        <w:trPr>
          <w:trHeight w:val="135"/>
        </w:trPr>
        <w:tc>
          <w:tcPr>
            <w:tcW w:w="1880" w:type="dxa"/>
            <w:vAlign w:val="bottom"/>
            <w:gridSpan w:val="9"/>
          </w:tcPr>
          <w:p>
            <w:pPr>
              <w:ind w:left="20"/>
              <w:spacing w:after="0" w:line="135" w:lineRule="exact"/>
              <w:rPr>
                <w:sz w:val="20"/>
                <w:szCs w:val="20"/>
                <w:color w:val="auto"/>
              </w:rPr>
            </w:pPr>
            <w:r>
              <w:rPr>
                <w:rFonts w:ascii="Arial" w:cs="Arial" w:eastAsia="Arial" w:hAnsi="Arial"/>
                <w:sz w:val="14"/>
                <w:szCs w:val="14"/>
                <w:b w:val="1"/>
                <w:bCs w:val="1"/>
                <w:color w:val="auto"/>
              </w:rPr>
              <w:t>Global Education</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29"/>
        </w:trPr>
        <w:tc>
          <w:tcPr>
            <w:tcW w:w="1880" w:type="dxa"/>
            <w:vAlign w:val="bottom"/>
            <w:gridSpan w:val="9"/>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Learning (Holdings) Ltd.**</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CCEEFF"/>
          </w:tcPr>
          <w:p>
            <w:pPr>
              <w:spacing w:after="0" w:line="20" w:lineRule="exact"/>
              <w:rPr>
                <w:sz w:val="1"/>
                <w:szCs w:val="1"/>
                <w:color w:val="auto"/>
              </w:rPr>
            </w:pPr>
          </w:p>
        </w:tc>
      </w:tr>
      <w:tr>
        <w:trPr>
          <w:trHeight w:val="142"/>
        </w:trPr>
        <w:tc>
          <w:tcPr>
            <w:tcW w:w="18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3,995,221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w w:val="92"/>
              </w:rPr>
              <w:t>(3,660,394)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(334,827)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r>
      <w:tr>
        <w:trPr>
          <w:trHeight w:val="135"/>
        </w:trPr>
        <w:tc>
          <w:tcPr>
            <w:tcW w:w="1880" w:type="dxa"/>
            <w:vAlign w:val="bottom"/>
            <w:gridSpan w:val="9"/>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Orchestra One, Inc. (f/k/a</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r>
      <w:tr>
        <w:trPr>
          <w:trHeight w:val="129"/>
        </w:trPr>
        <w:tc>
          <w:tcPr>
            <w:tcW w:w="20" w:type="dxa"/>
            <w:vAlign w:val="bottom"/>
            <w:tcBorders>
              <w:top w:val="single" w:sz="8" w:color="CCEEFF"/>
            </w:tcBorders>
            <w:shd w:val="clear" w:color="auto" w:fill="CCEEFF"/>
          </w:tcPr>
          <w:p>
            <w:pPr>
              <w:spacing w:after="0"/>
              <w:rPr>
                <w:sz w:val="11"/>
                <w:szCs w:val="11"/>
                <w:color w:val="auto"/>
              </w:rPr>
            </w:pPr>
          </w:p>
        </w:tc>
        <w:tc>
          <w:tcPr>
            <w:tcW w:w="1620" w:type="dxa"/>
            <w:vAlign w:val="bottom"/>
            <w:tcBorders>
              <w:top w:val="single" w:sz="8" w:color="auto"/>
              <w:right w:val="single" w:sz="8" w:color="CCEEFF"/>
            </w:tcBorders>
            <w:gridSpan w:val="7"/>
            <w:shd w:val="clear" w:color="auto" w:fill="CCEEFF"/>
          </w:tcPr>
          <w:p>
            <w:pPr>
              <w:ind w:left="180"/>
              <w:spacing w:after="0" w:line="129" w:lineRule="exact"/>
              <w:rPr>
                <w:sz w:val="20"/>
                <w:szCs w:val="20"/>
                <w:color w:val="auto"/>
              </w:rPr>
            </w:pPr>
            <w:r>
              <w:rPr>
                <w:rFonts w:ascii="Arial" w:cs="Arial" w:eastAsia="Arial" w:hAnsi="Arial"/>
                <w:sz w:val="14"/>
                <w:szCs w:val="14"/>
                <w:b w:val="1"/>
                <w:bCs w:val="1"/>
                <w:color w:val="auto"/>
              </w:rPr>
              <w:t>Learnist Inc.)</w:t>
            </w: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CCEEFF"/>
              <w:right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CCEEFF"/>
              <w:right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CCEEFF"/>
              <w:right w:val="single" w:sz="8" w:color="CCEEFF"/>
            </w:tcBorders>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CCEEFF"/>
          </w:tcPr>
          <w:p>
            <w:pPr>
              <w:spacing w:after="0" w:line="20" w:lineRule="exact"/>
              <w:rPr>
                <w:sz w:val="1"/>
                <w:szCs w:val="1"/>
                <w:color w:val="auto"/>
              </w:rPr>
            </w:pPr>
          </w:p>
        </w:tc>
      </w:tr>
      <w:tr>
        <w:trPr>
          <w:trHeight w:val="183"/>
        </w:trPr>
        <w:tc>
          <w:tcPr>
            <w:tcW w:w="1880" w:type="dxa"/>
            <w:vAlign w:val="bottom"/>
            <w:gridSpan w:val="9"/>
          </w:tcPr>
          <w:p>
            <w:pPr>
              <w:ind w:left="20"/>
              <w:spacing w:after="0" w:line="183" w:lineRule="exact"/>
              <w:rPr>
                <w:sz w:val="20"/>
                <w:szCs w:val="20"/>
                <w:color w:val="auto"/>
              </w:rPr>
            </w:pPr>
            <w:r>
              <w:rPr>
                <w:rFonts w:ascii="Arial" w:cs="Arial" w:eastAsia="Arial" w:hAnsi="Arial"/>
                <w:sz w:val="13"/>
                <w:szCs w:val="13"/>
                <w:color w:val="auto"/>
              </w:rPr>
              <w:t>Common Shares</w:t>
            </w:r>
            <w:r>
              <w:rPr>
                <w:rFonts w:ascii="Arial" w:cs="Arial" w:eastAsia="Arial" w:hAnsi="Arial"/>
                <w:sz w:val="21"/>
                <w:szCs w:val="21"/>
                <w:color w:val="auto"/>
                <w:vertAlign w:val="superscript"/>
              </w:rPr>
              <w:t>(7)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w w:val="99"/>
              </w:rPr>
              <w:t>5,379,310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(5,374,946)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4,364</w:t>
            </w:r>
          </w:p>
        </w:tc>
      </w:tr>
      <w:tr>
        <w:trPr>
          <w:trHeight w:val="149"/>
        </w:trPr>
        <w:tc>
          <w:tcPr>
            <w:tcW w:w="1880" w:type="dxa"/>
            <w:vAlign w:val="bottom"/>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D</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2,319,014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2"/>
              </w:rPr>
              <w:t>(2,319,014)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880" w:type="dxa"/>
            <w:vAlign w:val="bottom"/>
            <w:gridSpan w:val="9"/>
          </w:tcPr>
          <w:p>
            <w:pPr>
              <w:ind w:left="20"/>
              <w:spacing w:after="0" w:line="149" w:lineRule="exact"/>
              <w:rPr>
                <w:sz w:val="20"/>
                <w:szCs w:val="20"/>
                <w:color w:val="auto"/>
              </w:rPr>
            </w:pPr>
            <w:r>
              <w:rPr>
                <w:rFonts w:ascii="Arial" w:cs="Arial" w:eastAsia="Arial" w:hAnsi="Arial"/>
                <w:sz w:val="14"/>
                <w:szCs w:val="14"/>
                <w:color w:val="auto"/>
              </w:rPr>
              <w:t>Preferred shares, Series 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1,610,296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2"/>
              </w:rPr>
              <w:t>(1,610,296)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880" w:type="dxa"/>
            <w:vAlign w:val="bottom"/>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F</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1,450,000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2"/>
              </w:rPr>
              <w:t>(1,450,000)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35"/>
        </w:trPr>
        <w:tc>
          <w:tcPr>
            <w:tcW w:w="1880" w:type="dxa"/>
            <w:vAlign w:val="bottom"/>
            <w:gridSpan w:val="9"/>
          </w:tcPr>
          <w:p>
            <w:pPr>
              <w:ind w:left="20"/>
              <w:spacing w:after="0" w:line="135" w:lineRule="exact"/>
              <w:rPr>
                <w:sz w:val="20"/>
                <w:szCs w:val="20"/>
                <w:color w:val="auto"/>
              </w:rPr>
            </w:pPr>
            <w:r>
              <w:rPr>
                <w:rFonts w:ascii="Arial" w:cs="Arial" w:eastAsia="Arial" w:hAnsi="Arial"/>
                <w:sz w:val="14"/>
                <w:szCs w:val="14"/>
                <w:b w:val="1"/>
                <w:bCs w:val="1"/>
                <w:color w:val="auto"/>
              </w:rPr>
              <w:t>Maven Research, Inc.</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42"/>
        </w:trPr>
        <w:tc>
          <w:tcPr>
            <w:tcW w:w="1880" w:type="dxa"/>
            <w:vAlign w:val="bottom"/>
            <w:gridSpan w:val="9"/>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C</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1,999,998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1,999,998</w:t>
            </w:r>
          </w:p>
        </w:tc>
      </w:tr>
      <w:tr>
        <w:trPr>
          <w:trHeight w:val="149"/>
        </w:trPr>
        <w:tc>
          <w:tcPr>
            <w:tcW w:w="1880" w:type="dxa"/>
            <w:vAlign w:val="bottom"/>
            <w:gridSpan w:val="9"/>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249,691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249,691</w:t>
            </w:r>
          </w:p>
        </w:tc>
      </w:tr>
      <w:tr>
        <w:trPr>
          <w:trHeight w:val="135"/>
        </w:trPr>
        <w:tc>
          <w:tcPr>
            <w:tcW w:w="1880" w:type="dxa"/>
            <w:vAlign w:val="bottom"/>
            <w:gridSpan w:val="9"/>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Ozy Media, Inc.</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CCEEFF"/>
          </w:tcPr>
          <w:p>
            <w:pPr>
              <w:spacing w:after="0" w:line="20" w:lineRule="exact"/>
              <w:rPr>
                <w:sz w:val="1"/>
                <w:szCs w:val="1"/>
                <w:color w:val="auto"/>
              </w:rPr>
            </w:pPr>
          </w:p>
        </w:tc>
      </w:tr>
      <w:tr>
        <w:trPr>
          <w:trHeight w:val="142"/>
        </w:trPr>
        <w:tc>
          <w:tcPr>
            <w:tcW w:w="18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4,999,999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(309,821)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4,690,178</w:t>
            </w:r>
          </w:p>
        </w:tc>
      </w:tr>
      <w:tr>
        <w:trPr>
          <w:trHeight w:val="149"/>
        </w:trPr>
        <w:tc>
          <w:tcPr>
            <w:tcW w:w="1880" w:type="dxa"/>
            <w:vAlign w:val="bottom"/>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4,165,091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(258,087)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3,907,004</w:t>
            </w:r>
          </w:p>
        </w:tc>
      </w:tr>
      <w:tr>
        <w:trPr>
          <w:trHeight w:val="149"/>
        </w:trPr>
        <w:tc>
          <w:tcPr>
            <w:tcW w:w="1880" w:type="dxa"/>
            <w:vAlign w:val="bottom"/>
            <w:gridSpan w:val="9"/>
          </w:tcPr>
          <w:p>
            <w:pPr>
              <w:ind w:left="20"/>
              <w:spacing w:after="0" w:line="149" w:lineRule="exact"/>
              <w:rPr>
                <w:sz w:val="20"/>
                <w:szCs w:val="20"/>
                <w:color w:val="auto"/>
              </w:rPr>
            </w:pPr>
            <w:r>
              <w:rPr>
                <w:rFonts w:ascii="Arial" w:cs="Arial" w:eastAsia="Arial" w:hAnsi="Arial"/>
                <w:sz w:val="14"/>
                <w:szCs w:val="14"/>
                <w:color w:val="auto"/>
                <w:w w:val="97"/>
              </w:rPr>
              <w:t>Preferred shares, Series Seed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1,573,000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(41,188)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1,531,812</w:t>
            </w:r>
          </w:p>
        </w:tc>
      </w:tr>
      <w:tr>
        <w:trPr>
          <w:trHeight w:val="135"/>
        </w:trPr>
        <w:tc>
          <w:tcPr>
            <w:tcW w:w="1880" w:type="dxa"/>
            <w:vAlign w:val="bottom"/>
            <w:gridSpan w:val="9"/>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PayNearMe, Inc.</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CCEEFF"/>
          </w:tcPr>
          <w:p>
            <w:pPr>
              <w:spacing w:after="0" w:line="20" w:lineRule="exact"/>
              <w:rPr>
                <w:sz w:val="1"/>
                <w:szCs w:val="1"/>
                <w:color w:val="auto"/>
              </w:rPr>
            </w:pPr>
          </w:p>
        </w:tc>
      </w:tr>
      <w:tr>
        <w:trPr>
          <w:trHeight w:val="142"/>
        </w:trPr>
        <w:tc>
          <w:tcPr>
            <w:tcW w:w="18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9,982,064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w w:val="89"/>
              </w:rPr>
              <w:t>3,999,998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(7,175)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13,974,887</w:t>
            </w:r>
          </w:p>
        </w:tc>
      </w:tr>
      <w:tr>
        <w:trPr>
          <w:trHeight w:val="135"/>
        </w:trPr>
        <w:tc>
          <w:tcPr>
            <w:tcW w:w="1880" w:type="dxa"/>
            <w:vAlign w:val="bottom"/>
            <w:gridSpan w:val="9"/>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The rSmart Group, Inc.</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CCEEFF"/>
          </w:tcPr>
          <w:p>
            <w:pPr>
              <w:spacing w:after="0" w:line="20" w:lineRule="exact"/>
              <w:rPr>
                <w:sz w:val="1"/>
                <w:szCs w:val="1"/>
                <w:color w:val="auto"/>
              </w:rPr>
            </w:pPr>
          </w:p>
        </w:tc>
      </w:tr>
      <w:tr>
        <w:trPr>
          <w:trHeight w:val="142"/>
        </w:trPr>
        <w:tc>
          <w:tcPr>
            <w:tcW w:w="18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192,586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rPr>
              <w:t>1,920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(5,000)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(189,506)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r>
      <w:tr>
        <w:trPr>
          <w:trHeight w:val="135"/>
        </w:trPr>
        <w:tc>
          <w:tcPr>
            <w:tcW w:w="1880" w:type="dxa"/>
            <w:vAlign w:val="bottom"/>
            <w:gridSpan w:val="9"/>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Strategic Data Command,</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1620" w:type="dxa"/>
            <w:vAlign w:val="bottom"/>
            <w:tcBorders>
              <w:top w:val="single" w:sz="8" w:color="auto"/>
              <w:right w:val="single" w:sz="8" w:color="CCEEFF"/>
            </w:tcBorders>
            <w:gridSpan w:val="7"/>
            <w:shd w:val="clear" w:color="auto" w:fill="CCEEFF"/>
          </w:tcPr>
          <w:p>
            <w:pPr>
              <w:ind w:left="180"/>
              <w:spacing w:after="0" w:line="169" w:lineRule="exact"/>
              <w:rPr>
                <w:sz w:val="20"/>
                <w:szCs w:val="20"/>
                <w:color w:val="auto"/>
              </w:rPr>
            </w:pPr>
            <w:r>
              <w:rPr>
                <w:rFonts w:ascii="Arial" w:cs="Arial" w:eastAsia="Arial" w:hAnsi="Arial"/>
                <w:sz w:val="12"/>
                <w:szCs w:val="12"/>
                <w:b w:val="1"/>
                <w:bCs w:val="1"/>
                <w:color w:val="auto"/>
              </w:rPr>
              <w:t>LLC</w:t>
            </w:r>
            <w:r>
              <w:rPr>
                <w:rFonts w:ascii="Arial" w:cs="Arial" w:eastAsia="Arial" w:hAnsi="Arial"/>
                <w:sz w:val="19"/>
                <w:szCs w:val="19"/>
                <w:b w:val="1"/>
                <w:bCs w:val="1"/>
                <w:color w:val="auto"/>
                <w:vertAlign w:val="superscript"/>
              </w:rPr>
              <w:t>(3)</w:t>
            </w:r>
          </w:p>
        </w:tc>
        <w:tc>
          <w:tcPr>
            <w:tcW w:w="2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right w:val="single" w:sz="8" w:color="CCEEFF"/>
            </w:tcBorders>
            <w:shd w:val="clear" w:color="auto" w:fill="CCEEFF"/>
          </w:tcPr>
          <w:p>
            <w:pPr>
              <w:spacing w:after="0"/>
              <w:rPr>
                <w:sz w:val="14"/>
                <w:szCs w:val="14"/>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CCEEFF"/>
          </w:tcPr>
          <w:p>
            <w:pPr>
              <w:spacing w:after="0" w:line="20" w:lineRule="exact"/>
              <w:rPr>
                <w:sz w:val="1"/>
                <w:szCs w:val="1"/>
                <w:color w:val="auto"/>
              </w:rPr>
            </w:pPr>
          </w:p>
        </w:tc>
      </w:tr>
      <w:tr>
        <w:trPr>
          <w:trHeight w:val="142"/>
        </w:trPr>
        <w:tc>
          <w:tcPr>
            <w:tcW w:w="18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Common shares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1,000,000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(12,373)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14,023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1,001,650</w:t>
            </w:r>
          </w:p>
        </w:tc>
      </w:tr>
      <w:tr>
        <w:trPr>
          <w:trHeight w:val="135"/>
        </w:trPr>
        <w:tc>
          <w:tcPr>
            <w:tcW w:w="1880" w:type="dxa"/>
            <w:vAlign w:val="bottom"/>
            <w:gridSpan w:val="9"/>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Totus Solutions, Inc.</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CCEEFF"/>
          </w:tcPr>
          <w:p>
            <w:pPr>
              <w:spacing w:after="0" w:line="20" w:lineRule="exact"/>
              <w:rPr>
                <w:sz w:val="1"/>
                <w:szCs w:val="1"/>
                <w:color w:val="auto"/>
              </w:rPr>
            </w:pPr>
          </w:p>
        </w:tc>
      </w:tr>
      <w:tr>
        <w:trPr>
          <w:trHeight w:val="123"/>
        </w:trPr>
        <w:tc>
          <w:tcPr>
            <w:tcW w:w="1880" w:type="dxa"/>
            <w:vAlign w:val="bottom"/>
            <w:gridSpan w:val="9"/>
          </w:tcPr>
          <w:p>
            <w:pPr>
              <w:ind w:left="20"/>
              <w:spacing w:after="0" w:line="123" w:lineRule="exact"/>
              <w:rPr>
                <w:sz w:val="20"/>
                <w:szCs w:val="20"/>
                <w:color w:val="auto"/>
              </w:rPr>
            </w:pPr>
            <w:r>
              <w:rPr>
                <w:rFonts w:ascii="Arial" w:cs="Arial" w:eastAsia="Arial" w:hAnsi="Arial"/>
                <w:sz w:val="14"/>
                <w:szCs w:val="14"/>
                <w:color w:val="auto"/>
              </w:rPr>
              <w:t>Convertible Promissory Note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1860" w:type="dxa"/>
            <w:vAlign w:val="bottom"/>
            <w:gridSpan w:val="8"/>
          </w:tcPr>
          <w:p>
            <w:pPr>
              <w:ind w:left="180"/>
              <w:spacing w:after="0" w:line="149" w:lineRule="exact"/>
              <w:rPr>
                <w:sz w:val="20"/>
                <w:szCs w:val="20"/>
                <w:color w:val="auto"/>
              </w:rPr>
            </w:pPr>
            <w:r>
              <w:rPr>
                <w:rFonts w:ascii="Arial" w:cs="Arial" w:eastAsia="Arial" w:hAnsi="Arial"/>
                <w:sz w:val="14"/>
                <w:szCs w:val="14"/>
                <w:color w:val="auto"/>
              </w:rPr>
              <w:t>6%, Expiration Date,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7"/>
        </w:trPr>
        <w:tc>
          <w:tcPr>
            <w:tcW w:w="1100" w:type="dxa"/>
            <w:vAlign w:val="bottom"/>
            <w:gridSpan w:val="4"/>
          </w:tcPr>
          <w:p>
            <w:pPr>
              <w:ind w:left="200"/>
              <w:spacing w:after="0"/>
              <w:rPr>
                <w:sz w:val="20"/>
                <w:szCs w:val="20"/>
                <w:color w:val="auto"/>
              </w:rPr>
            </w:pPr>
            <w:r>
              <w:rPr>
                <w:rFonts w:ascii="Arial" w:cs="Arial" w:eastAsia="Arial" w:hAnsi="Arial"/>
                <w:sz w:val="14"/>
                <w:szCs w:val="14"/>
                <w:color w:val="auto"/>
              </w:rPr>
              <w:t>4/01/2016***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(3,074)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78,425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760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(50,000)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(29,185)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49"/>
        </w:trPr>
        <w:tc>
          <w:tcPr>
            <w:tcW w:w="1880" w:type="dxa"/>
            <w:vAlign w:val="bottom"/>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128,902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(128,902)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880" w:type="dxa"/>
            <w:vAlign w:val="bottom"/>
            <w:gridSpan w:val="9"/>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880" w:type="dxa"/>
            <w:vAlign w:val="bottom"/>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r>
      <w:tr>
        <w:trPr>
          <w:trHeight w:val="176"/>
        </w:trPr>
        <w:tc>
          <w:tcPr>
            <w:tcW w:w="1880" w:type="dxa"/>
            <w:vAlign w:val="bottom"/>
            <w:gridSpan w:val="9"/>
          </w:tcPr>
          <w:p>
            <w:pPr>
              <w:ind w:left="20"/>
              <w:spacing w:after="0" w:line="169" w:lineRule="exact"/>
              <w:rPr>
                <w:sz w:val="20"/>
                <w:szCs w:val="20"/>
                <w:color w:val="auto"/>
              </w:rPr>
            </w:pPr>
            <w:r>
              <w:rPr>
                <w:rFonts w:ascii="Arial" w:cs="Arial" w:eastAsia="Arial" w:hAnsi="Arial"/>
                <w:sz w:val="12"/>
                <w:szCs w:val="12"/>
                <w:b w:val="1"/>
                <w:bCs w:val="1"/>
                <w:color w:val="auto"/>
              </w:rPr>
              <w:t>Total Affiliate Investments</w:t>
            </w:r>
            <w:r>
              <w:rPr>
                <w:rFonts w:ascii="Arial" w:cs="Arial" w:eastAsia="Arial" w:hAnsi="Arial"/>
                <w:sz w:val="19"/>
                <w:szCs w:val="19"/>
                <w:b w:val="1"/>
                <w:bCs w:val="1"/>
                <w:color w:val="auto"/>
                <w:vertAlign w:val="superscript"/>
              </w:rPr>
              <w:t>(6)</w:t>
            </w:r>
          </w:p>
        </w:tc>
        <w:tc>
          <w:tcPr>
            <w:tcW w:w="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214,420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w w:val="94"/>
              </w:rPr>
              <w:t>70,172,313</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789,435</w:t>
            </w:r>
          </w:p>
        </w:tc>
        <w:tc>
          <w:tcPr>
            <w:tcW w:w="160" w:type="dxa"/>
            <w:vAlign w:val="bottom"/>
            <w:gridSpan w:val="2"/>
          </w:tcPr>
          <w:p>
            <w:pPr>
              <w:jc w:val="right"/>
              <w:spacing w:after="0"/>
              <w:rPr>
                <w:sz w:val="20"/>
                <w:szCs w:val="20"/>
                <w:color w:val="auto"/>
              </w:rPr>
            </w:pPr>
            <w:r>
              <w:rPr>
                <w:rFonts w:ascii="Arial" w:cs="Arial" w:eastAsia="Arial" w:hAnsi="Arial"/>
                <w:sz w:val="14"/>
                <w:szCs w:val="14"/>
                <w:u w:val="single" w:color="auto"/>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w w:val="89"/>
              </w:rPr>
              <w:t>7,918,591</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w w:val="92"/>
              </w:rPr>
              <w:t>(4,020,565)</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(8,784,189)</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66,075,585</w:t>
            </w:r>
          </w:p>
        </w:tc>
      </w:tr>
      <w:tr>
        <w:trPr>
          <w:trHeight w:val="270"/>
        </w:trPr>
        <w:tc>
          <w:tcPr>
            <w:tcW w:w="20" w:type="dxa"/>
            <w:vAlign w:val="bottom"/>
          </w:tcPr>
          <w:p>
            <w:pPr>
              <w:spacing w:after="0"/>
              <w:rPr>
                <w:sz w:val="23"/>
                <w:szCs w:val="23"/>
                <w:color w:val="auto"/>
              </w:rPr>
            </w:pPr>
          </w:p>
        </w:tc>
        <w:tc>
          <w:tcPr>
            <w:tcW w:w="180" w:type="dxa"/>
            <w:vAlign w:val="bottom"/>
            <w:tcBorders>
              <w:top w:val="single" w:sz="8" w:color="auto"/>
              <w:bottom w:val="single" w:sz="8" w:color="auto"/>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620" w:type="dxa"/>
            <w:vAlign w:val="bottom"/>
            <w:tcBorders>
              <w:top w:val="single" w:sz="8" w:color="auto"/>
              <w:bottom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-316865</wp:posOffset>
            </wp:positionV>
            <wp:extent cx="5213985" cy="1371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213985" cy="137160"/>
                    </a:xfrm>
                    <a:prstGeom prst="rect">
                      <a:avLst/>
                    </a:prstGeom>
                    <a:noFill/>
                  </pic:spPr>
                </pic:pic>
              </a:graphicData>
            </a:graphic>
          </wp:anchor>
        </w:drawing>
      </w:r>
    </w:p>
    <w:p>
      <w:pPr>
        <w:spacing w:after="0" w:line="236" w:lineRule="exact"/>
        <w:rPr>
          <w:sz w:val="20"/>
          <w:szCs w:val="20"/>
          <w:color w:val="auto"/>
        </w:rPr>
      </w:pPr>
    </w:p>
    <w:p>
      <w:pPr>
        <w:ind w:left="300" w:right="819" w:hanging="272"/>
        <w:spacing w:after="0" w:line="277" w:lineRule="auto"/>
        <w:tabs>
          <w:tab w:leader="none" w:pos="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portfolio investments are non-control/non-affiliated and non-income producing, unless identified. Equity investments are subject to lock-up restrictions upon their initial public offering.</w:t>
      </w:r>
    </w:p>
    <w:p>
      <w:pPr>
        <w:spacing w:after="0" w:line="62" w:lineRule="exact"/>
        <w:rPr>
          <w:sz w:val="20"/>
          <w:szCs w:val="20"/>
          <w:color w:val="auto"/>
        </w:rPr>
      </w:pPr>
    </w:p>
    <w:p>
      <w:pPr>
        <w:ind w:left="300" w:right="939" w:hanging="272"/>
        <w:spacing w:after="0" w:line="277" w:lineRule="auto"/>
        <w:tabs>
          <w:tab w:leader="none" w:pos="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Indicates assets that GSV Capital Corp. believes do not represent “qualifying assets” under Section 55(a) of the Investment Company Act of 1940, as amended.</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***Investment is income producing.</w:t>
      </w:r>
    </w:p>
    <w:p>
      <w:pPr>
        <w:spacing w:after="0" w:line="117" w:lineRule="exact"/>
        <w:rPr>
          <w:sz w:val="20"/>
          <w:szCs w:val="20"/>
          <w:color w:val="auto"/>
        </w:rPr>
      </w:pPr>
    </w:p>
    <w:p>
      <w:pPr>
        <w:ind w:left="300" w:hanging="272"/>
        <w:spacing w:after="0"/>
        <w:tabs>
          <w:tab w:leader="none" w:pos="3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GSV Capital Corp.’s investment in StormWind, LLC is held through its wholly owned subsidiary GSVC SW Holdings, Inc.</w:t>
      </w:r>
    </w:p>
    <w:p>
      <w:pPr>
        <w:spacing w:after="0" w:line="128" w:lineRule="exact"/>
        <w:rPr>
          <w:rFonts w:ascii="Arial" w:cs="Arial" w:eastAsia="Arial" w:hAnsi="Arial"/>
          <w:sz w:val="17"/>
          <w:szCs w:val="17"/>
          <w:color w:val="auto"/>
        </w:rPr>
      </w:pPr>
    </w:p>
    <w:p>
      <w:pPr>
        <w:ind w:left="300" w:right="559" w:hanging="272"/>
        <w:spacing w:after="0" w:line="264" w:lineRule="auto"/>
        <w:tabs>
          <w:tab w:leader="none" w:pos="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GSV Capital Corp.’s investment in Whittle Schools, LLC is held through its wholly owned subsidiary GSVC WS Holdings, Inc. Whittle Schools, LLC is an investment that is collateralized by Avenues Global Holdings LLC as well as the personal collateral of Chris Whittle, the former chairman of Avenues Global Holdings LLC.</w:t>
      </w:r>
    </w:p>
    <w:p>
      <w:pPr>
        <w:spacing w:after="0" w:line="73" w:lineRule="exact"/>
        <w:rPr>
          <w:rFonts w:ascii="Arial" w:cs="Arial" w:eastAsia="Arial" w:hAnsi="Arial"/>
          <w:sz w:val="18"/>
          <w:szCs w:val="18"/>
          <w:color w:val="auto"/>
        </w:rPr>
      </w:pPr>
    </w:p>
    <w:p>
      <w:pPr>
        <w:ind w:left="300" w:right="759" w:hanging="272"/>
        <w:spacing w:after="0" w:line="277" w:lineRule="auto"/>
        <w:tabs>
          <w:tab w:leader="none" w:pos="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GSV Capital Corp.’s investment in Strategic Data Command, LLC is held through its wholly owned subsidiary GSVC SVDS Holdings, Inc.</w:t>
      </w:r>
    </w:p>
    <w:p>
      <w:pPr>
        <w:spacing w:after="0" w:line="200" w:lineRule="exact"/>
        <w:rPr>
          <w:sz w:val="20"/>
          <w:szCs w:val="20"/>
          <w:color w:val="auto"/>
        </w:rPr>
      </w:pPr>
    </w:p>
    <w:p>
      <w:pPr>
        <w:spacing w:after="0" w:line="30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Schedule 12-14 — Schedule of Investments in and Advances to Affiliates – (continued)</w:t>
      </w:r>
    </w:p>
    <w:p>
      <w:pPr>
        <w:spacing w:after="0" w:line="121" w:lineRule="exact"/>
        <w:rPr>
          <w:sz w:val="20"/>
          <w:szCs w:val="20"/>
          <w:color w:val="auto"/>
        </w:rPr>
      </w:pPr>
    </w:p>
    <w:p>
      <w:pPr>
        <w:ind w:left="280" w:right="739" w:hanging="272"/>
        <w:spacing w:after="0" w:line="279" w:lineRule="auto"/>
        <w:tabs>
          <w:tab w:leader="none" w:pos="2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On October 22, 2013, Cricket Media (f/k/a ePals Inc.) priced its initial public offering, selling 40,267,333 shares at a price of CAD $0.075 per share. At December 31, 2015, GSV Capital Corp. valued Cricket Media based on its December 31, 2015 closing price. GSV Capital Corp.’s Chief Executive Officer, Michael Moe, serves on the board of directors for Cricket Media, which subjects GSV Capital Corp. to insider trading restrictions under Canadian securities law.</w:t>
      </w:r>
    </w:p>
    <w:p>
      <w:pPr>
        <w:spacing w:after="0" w:line="63" w:lineRule="exact"/>
        <w:rPr>
          <w:rFonts w:ascii="Arial" w:cs="Arial" w:eastAsia="Arial" w:hAnsi="Arial"/>
          <w:sz w:val="17"/>
          <w:szCs w:val="17"/>
          <w:color w:val="auto"/>
        </w:rPr>
      </w:pPr>
    </w:p>
    <w:p>
      <w:pPr>
        <w:ind w:left="280" w:right="739" w:hanging="272"/>
        <w:spacing w:after="0" w:line="264" w:lineRule="auto"/>
        <w:tabs>
          <w:tab w:leader="none" w:pos="2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Interest will accrue daily on the unpaid principal balance of the note. Accrued interest is not payable until the earlier of (a) the closing of a subsequent equity offering by CUX, Inc. (d/b/a CorpU), or (b) the maturity of the note (November 26, 2018). Interest will compound annually beginning on November 26, 2015.</w:t>
      </w:r>
    </w:p>
    <w:p>
      <w:pPr>
        <w:spacing w:after="0" w:line="73" w:lineRule="exact"/>
        <w:rPr>
          <w:rFonts w:ascii="Arial" w:cs="Arial" w:eastAsia="Arial" w:hAnsi="Arial"/>
          <w:sz w:val="18"/>
          <w:szCs w:val="18"/>
          <w:color w:val="auto"/>
        </w:rPr>
      </w:pPr>
    </w:p>
    <w:p>
      <w:pPr>
        <w:ind w:left="280" w:right="599" w:hanging="272"/>
        <w:spacing w:after="0" w:line="273" w:lineRule="auto"/>
        <w:tabs>
          <w:tab w:leader="none" w:pos="2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Subsequent to the filing of its annual report on Form 10-K for the fiscal year ended December 31, 2015, GSV Capital Corp. identified that its investment in Cricket Media was inappropriately included as an affiliate as of December 31, 2015 in the accompanying Schedule of Investments in and Advances to Affiliates. Therefore, the Schedule of Investments in and Advances to Affiliates included in this quarterly report has been corrected to remove all Cricket Media balances related to the year ended December 31, 2015, including the total fair value of $67,296. Management does not consider these amounts to be material to its previously issued Schedule of Investments in and Advances to Affiliates.</w:t>
      </w:r>
    </w:p>
    <w:p>
      <w:pPr>
        <w:spacing w:after="0" w:line="70" w:lineRule="exact"/>
        <w:rPr>
          <w:rFonts w:ascii="Arial" w:cs="Arial" w:eastAsia="Arial" w:hAnsi="Arial"/>
          <w:sz w:val="17"/>
          <w:szCs w:val="17"/>
          <w:color w:val="auto"/>
        </w:rPr>
      </w:pPr>
    </w:p>
    <w:p>
      <w:pPr>
        <w:ind w:left="280" w:right="619" w:hanging="272"/>
        <w:spacing w:after="0" w:line="286" w:lineRule="auto"/>
        <w:tabs>
          <w:tab w:leader="none" w:pos="2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Subsequent to the filing of GSV Capital Corp.’s annual report on Form 10-K for the fiscal year ended December 31, 2015, certain typographical formatting matters were identified where Schedule of Investments in and Advances to Affiliates activities were formatted in the incorrect columns. Such formatting matters have been corrected in this presentation.</w:t>
      </w:r>
    </w:p>
    <w:p>
      <w:pPr>
        <w:spacing w:after="0" w:line="200" w:lineRule="exact"/>
        <w:rPr>
          <w:sz w:val="20"/>
          <w:szCs w:val="20"/>
          <w:color w:val="auto"/>
        </w:rPr>
      </w:pPr>
    </w:p>
    <w:p>
      <w:pPr>
        <w:spacing w:after="0" w:line="30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4" w:name="page65"/>
    <w:bookmarkEnd w:id="6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left="40" w:right="679" w:firstLine="27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18858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92"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GSV CAPITAL 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May 10, 2016</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color w:val="auto"/>
        </w:rPr>
        <w:t>/s/ Michael T. Moe</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Michael T. Moe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2720340</wp:posOffset>
            </wp:positionH>
            <wp:positionV relativeFrom="paragraph">
              <wp:posOffset>-130810</wp:posOffset>
            </wp:positionV>
            <wp:extent cx="248729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3"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Chief Executive Officer and Chairman of</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the Board of Directors</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ind w:left="3920" w:right="4419" w:hanging="4289"/>
        <w:spacing w:after="0" w:line="273" w:lineRule="auto"/>
        <w:tabs>
          <w:tab w:leader="none" w:pos="3900" w:val="left"/>
        </w:tabs>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May 10, 2016</w:t>
      </w:r>
      <w:r>
        <w:rPr>
          <w:sz w:val="20"/>
          <w:szCs w:val="20"/>
          <w:color w:val="auto"/>
        </w:rPr>
        <w:tab/>
      </w:r>
      <w:r>
        <w:rPr>
          <w:rFonts w:ascii="Arial" w:cs="Arial" w:eastAsia="Arial" w:hAnsi="Arial"/>
          <w:sz w:val="17"/>
          <w:szCs w:val="17"/>
          <w:b w:val="1"/>
          <w:bCs w:val="1"/>
          <w:color w:val="auto"/>
        </w:rPr>
        <w:t xml:space="preserve">By: </w:t>
      </w:r>
      <w:r>
        <w:rPr>
          <w:rFonts w:ascii="Arial" w:cs="Arial" w:eastAsia="Arial" w:hAnsi="Arial"/>
          <w:sz w:val="17"/>
          <w:szCs w:val="17"/>
          <w:color w:val="auto"/>
        </w:rPr>
        <w:t>/s/ William Tanona</w:t>
      </w:r>
      <w:r>
        <w:rPr>
          <w:rFonts w:ascii="Arial" w:cs="Arial" w:eastAsia="Arial" w:hAnsi="Arial"/>
          <w:sz w:val="17"/>
          <w:szCs w:val="17"/>
          <w:b w:val="1"/>
          <w:bCs w:val="1"/>
          <w:color w:val="auto"/>
        </w:rPr>
        <w:t xml:space="preserve"> </w:t>
      </w:r>
      <w:r>
        <w:rPr>
          <w:rFonts w:ascii="Arial" w:cs="Arial" w:eastAsia="Arial" w:hAnsi="Arial"/>
          <w:sz w:val="17"/>
          <w:szCs w:val="17"/>
          <w:color w:val="auto"/>
        </w:rPr>
        <w:t>William Tanona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2720340</wp:posOffset>
            </wp:positionH>
            <wp:positionV relativeFrom="paragraph">
              <wp:posOffset>-144780</wp:posOffset>
            </wp:positionV>
            <wp:extent cx="248729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ind w:left="4280"/>
        <w:spacing w:after="0"/>
        <w:rPr>
          <w:sz w:val="20"/>
          <w:szCs w:val="20"/>
          <w:color w:val="auto"/>
        </w:rPr>
      </w:pPr>
      <w:r>
        <w:rPr>
          <w:rFonts w:ascii="Arial" w:cs="Arial" w:eastAsia="Arial" w:hAnsi="Arial"/>
          <w:sz w:val="18"/>
          <w:szCs w:val="18"/>
          <w:color w:val="auto"/>
        </w:rPr>
        <w:t>Chief Financial Officer, Treasurer and Secretary</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34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5" w:name="page66"/>
    <w:bookmarkEnd w:id="65"/>
    <w:p>
      <w:pPr>
        <w:jc w:val="right"/>
        <w:ind w:right="519"/>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Michael T. Moe, certify that:</w:t>
      </w:r>
    </w:p>
    <w:p>
      <w:pPr>
        <w:spacing w:after="0" w:line="117" w:lineRule="exact"/>
        <w:rPr>
          <w:sz w:val="20"/>
          <w:szCs w:val="20"/>
          <w:color w:val="auto"/>
        </w:rPr>
      </w:pPr>
    </w:p>
    <w:p>
      <w:pPr>
        <w:ind w:left="540" w:hanging="26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GSV Capital Corp.;</w:t>
      </w:r>
    </w:p>
    <w:p>
      <w:pPr>
        <w:spacing w:after="0" w:line="117" w:lineRule="exact"/>
        <w:rPr>
          <w:rFonts w:ascii="Arial" w:cs="Arial" w:eastAsia="Arial" w:hAnsi="Arial"/>
          <w:sz w:val="18"/>
          <w:szCs w:val="18"/>
          <w:color w:val="auto"/>
        </w:rPr>
      </w:pPr>
    </w:p>
    <w:p>
      <w:pPr>
        <w:ind w:left="540" w:right="699" w:hanging="262"/>
        <w:spacing w:after="0" w:line="264"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40" w:right="539" w:hanging="262"/>
        <w:spacing w:after="0" w:line="264"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ind w:left="540" w:right="879" w:hanging="262"/>
        <w:spacing w:after="0" w:line="286" w:lineRule="auto"/>
        <w:tabs>
          <w:tab w:leader="none" w:pos="5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7" w:lineRule="exact"/>
        <w:rPr>
          <w:rFonts w:ascii="Arial" w:cs="Arial" w:eastAsia="Arial" w:hAnsi="Arial"/>
          <w:sz w:val="17"/>
          <w:szCs w:val="17"/>
          <w:color w:val="auto"/>
        </w:rPr>
      </w:pPr>
    </w:p>
    <w:p>
      <w:pPr>
        <w:ind w:left="820" w:right="819" w:hanging="272"/>
        <w:spacing w:after="0" w:line="259" w:lineRule="auto"/>
        <w:tabs>
          <w:tab w:leader="none" w:pos="8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ind w:left="820" w:right="739" w:hanging="272"/>
        <w:spacing w:after="0" w:line="312" w:lineRule="auto"/>
        <w:tabs>
          <w:tab w:leader="none" w:pos="820" w:val="left"/>
        </w:tabs>
        <w:numPr>
          <w:ilvl w:val="1"/>
          <w:numId w:val="3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8" w:lineRule="exact"/>
        <w:rPr>
          <w:rFonts w:ascii="Arial" w:cs="Arial" w:eastAsia="Arial" w:hAnsi="Arial"/>
          <w:sz w:val="16"/>
          <w:szCs w:val="16"/>
          <w:color w:val="auto"/>
        </w:rPr>
      </w:pPr>
    </w:p>
    <w:p>
      <w:pPr>
        <w:ind w:left="820" w:right="599" w:hanging="272"/>
        <w:spacing w:after="0" w:line="264" w:lineRule="auto"/>
        <w:tabs>
          <w:tab w:leader="none" w:pos="8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ind w:left="820" w:right="719" w:hanging="272"/>
        <w:spacing w:after="0" w:line="259" w:lineRule="auto"/>
        <w:tabs>
          <w:tab w:leader="none" w:pos="8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ind w:left="540" w:right="819" w:hanging="262"/>
        <w:spacing w:after="0" w:line="264"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ind w:left="820" w:right="579" w:hanging="272"/>
        <w:spacing w:after="0" w:line="264" w:lineRule="auto"/>
        <w:tabs>
          <w:tab w:leader="none" w:pos="8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820" w:right="959" w:hanging="272"/>
        <w:spacing w:after="0" w:line="277" w:lineRule="auto"/>
        <w:tabs>
          <w:tab w:leader="none" w:pos="8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this 10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May 2016.</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b w:val="1"/>
          <w:bCs w:val="1"/>
          <w:color w:val="auto"/>
        </w:rPr>
        <w:t>/s/</w:t>
      </w:r>
      <w:r>
        <w:rPr>
          <w:rFonts w:ascii="Arial" w:cs="Arial" w:eastAsia="Arial" w:hAnsi="Arial"/>
          <w:sz w:val="18"/>
          <w:szCs w:val="18"/>
          <w:color w:val="auto"/>
        </w:rPr>
        <w:t xml:space="preserve"> Michael T. Moe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4445</wp:posOffset>
            </wp:positionV>
            <wp:extent cx="1337945"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337945" cy="1714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b w:val="1"/>
          <w:bCs w:val="1"/>
          <w:color w:val="auto"/>
        </w:rPr>
        <w:t>Michael T. Moe</w:t>
      </w:r>
    </w:p>
    <w:p>
      <w:pPr>
        <w:spacing w:after="0" w:line="2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447675</wp:posOffset>
            </wp:positionV>
            <wp:extent cx="6114415" cy="596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351" w:right="1440" w:bottom="1440" w:gutter="0" w:footer="0" w:header="0"/>
        </w:sectPr>
      </w:pPr>
    </w:p>
    <w:bookmarkStart w:id="66" w:name="page67"/>
    <w:bookmarkEnd w:id="66"/>
    <w:p>
      <w:pPr>
        <w:jc w:val="right"/>
        <w:ind w:right="51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William Tanona, certify that:</w:t>
      </w:r>
    </w:p>
    <w:p>
      <w:pPr>
        <w:spacing w:after="0" w:line="117" w:lineRule="exact"/>
        <w:rPr>
          <w:sz w:val="20"/>
          <w:szCs w:val="20"/>
          <w:color w:val="auto"/>
        </w:rPr>
      </w:pPr>
    </w:p>
    <w:p>
      <w:pPr>
        <w:ind w:left="540" w:hanging="262"/>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GSV Capital Corp.;</w:t>
      </w:r>
    </w:p>
    <w:p>
      <w:pPr>
        <w:spacing w:after="0" w:line="117" w:lineRule="exact"/>
        <w:rPr>
          <w:rFonts w:ascii="Arial" w:cs="Arial" w:eastAsia="Arial" w:hAnsi="Arial"/>
          <w:sz w:val="18"/>
          <w:szCs w:val="18"/>
          <w:color w:val="auto"/>
        </w:rPr>
      </w:pPr>
    </w:p>
    <w:p>
      <w:pPr>
        <w:ind w:left="540" w:right="699" w:hanging="262"/>
        <w:spacing w:after="0" w:line="264"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40" w:right="539" w:hanging="262"/>
        <w:spacing w:after="0" w:line="264"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ind w:left="540" w:right="879" w:hanging="262"/>
        <w:spacing w:after="0" w:line="286" w:lineRule="auto"/>
        <w:tabs>
          <w:tab w:leader="none" w:pos="5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7" w:lineRule="exact"/>
        <w:rPr>
          <w:rFonts w:ascii="Arial" w:cs="Arial" w:eastAsia="Arial" w:hAnsi="Arial"/>
          <w:sz w:val="17"/>
          <w:szCs w:val="17"/>
          <w:color w:val="auto"/>
        </w:rPr>
      </w:pPr>
    </w:p>
    <w:p>
      <w:pPr>
        <w:ind w:left="820" w:right="819" w:hanging="272"/>
        <w:spacing w:after="0" w:line="259" w:lineRule="auto"/>
        <w:tabs>
          <w:tab w:leader="none" w:pos="8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ind w:left="820" w:right="739" w:hanging="272"/>
        <w:spacing w:after="0" w:line="312" w:lineRule="auto"/>
        <w:tabs>
          <w:tab w:leader="none" w:pos="820" w:val="left"/>
        </w:tabs>
        <w:numPr>
          <w:ilvl w:val="1"/>
          <w:numId w:val="3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8" w:lineRule="exact"/>
        <w:rPr>
          <w:rFonts w:ascii="Arial" w:cs="Arial" w:eastAsia="Arial" w:hAnsi="Arial"/>
          <w:sz w:val="16"/>
          <w:szCs w:val="16"/>
          <w:color w:val="auto"/>
        </w:rPr>
      </w:pPr>
    </w:p>
    <w:p>
      <w:pPr>
        <w:ind w:left="820" w:right="599" w:hanging="272"/>
        <w:spacing w:after="0" w:line="264" w:lineRule="auto"/>
        <w:tabs>
          <w:tab w:leader="none" w:pos="8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ind w:left="820" w:right="719" w:hanging="272"/>
        <w:spacing w:after="0" w:line="259" w:lineRule="auto"/>
        <w:tabs>
          <w:tab w:leader="none" w:pos="8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ind w:left="540" w:right="819" w:hanging="262"/>
        <w:spacing w:after="0" w:line="264"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ind w:left="820" w:right="579" w:hanging="272"/>
        <w:spacing w:after="0" w:line="264" w:lineRule="auto"/>
        <w:tabs>
          <w:tab w:leader="none" w:pos="8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820" w:right="959" w:hanging="272"/>
        <w:spacing w:after="0" w:line="277" w:lineRule="auto"/>
        <w:tabs>
          <w:tab w:leader="none" w:pos="8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this 10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May 2016.</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b w:val="1"/>
          <w:bCs w:val="1"/>
          <w:color w:val="auto"/>
        </w:rPr>
        <w:t>/s/</w:t>
      </w:r>
      <w:r>
        <w:rPr>
          <w:rFonts w:ascii="Arial" w:cs="Arial" w:eastAsia="Arial" w:hAnsi="Arial"/>
          <w:sz w:val="18"/>
          <w:szCs w:val="18"/>
          <w:color w:val="auto"/>
        </w:rPr>
        <w:t xml:space="preserve"> William Tanona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4445</wp:posOffset>
            </wp:positionV>
            <wp:extent cx="1337945"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337945" cy="1714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b w:val="1"/>
          <w:bCs w:val="1"/>
          <w:color w:val="auto"/>
        </w:rPr>
        <w:t>William Tanona</w:t>
      </w:r>
    </w:p>
    <w:p>
      <w:pPr>
        <w:spacing w:after="0" w:line="2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447675</wp:posOffset>
            </wp:positionV>
            <wp:extent cx="6114415" cy="596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351" w:right="1440" w:bottom="1440" w:gutter="0" w:footer="0" w:header="0"/>
        </w:sectPr>
      </w:pPr>
    </w:p>
    <w:bookmarkStart w:id="67" w:name="page68"/>
    <w:bookmarkEnd w:id="67"/>
    <w:p>
      <w:pPr>
        <w:jc w:val="right"/>
        <w:ind w:right="519"/>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03" w:lineRule="exact"/>
        <w:rPr>
          <w:sz w:val="20"/>
          <w:szCs w:val="20"/>
          <w:color w:val="auto"/>
        </w:rPr>
      </w:pPr>
    </w:p>
    <w:p>
      <w:pPr>
        <w:ind w:right="799" w:firstLine="270"/>
        <w:spacing w:after="0" w:line="264" w:lineRule="auto"/>
        <w:rPr>
          <w:sz w:val="20"/>
          <w:szCs w:val="20"/>
          <w:color w:val="auto"/>
        </w:rPr>
      </w:pPr>
      <w:r>
        <w:rPr>
          <w:rFonts w:ascii="Arial" w:cs="Arial" w:eastAsia="Arial" w:hAnsi="Arial"/>
          <w:sz w:val="18"/>
          <w:szCs w:val="18"/>
          <w:color w:val="auto"/>
        </w:rPr>
        <w:t>In connection with the quarterly report on Form 10-Q for the period ended March 31, 2016 (the “Report”) of GSV Capital Corp. (the “Registrant”), as filed with the Securities and Exchange Commission on the date hereof, I, Michael T. Moe, the Chief Executive Officer of the Registrant, hereby certify, to the best of my knowledge, that:</w:t>
      </w:r>
    </w:p>
    <w:p>
      <w:pPr>
        <w:spacing w:after="0" w:line="73" w:lineRule="exact"/>
        <w:rPr>
          <w:sz w:val="20"/>
          <w:szCs w:val="20"/>
          <w:color w:val="auto"/>
        </w:rPr>
      </w:pPr>
    </w:p>
    <w:p>
      <w:pPr>
        <w:ind w:left="500" w:right="1079" w:hanging="262"/>
        <w:spacing w:after="0" w:line="277"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500" w:right="1119" w:hanging="262"/>
        <w:spacing w:after="0" w:line="277"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6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 Michael T. Moe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2060575</wp:posOffset>
            </wp:positionH>
            <wp:positionV relativeFrom="paragraph">
              <wp:posOffset>15240</wp:posOffset>
            </wp:positionV>
            <wp:extent cx="397891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978910" cy="17145"/>
                    </a:xfrm>
                    <a:prstGeom prst="rect">
                      <a:avLst/>
                    </a:prstGeom>
                    <a:noFill/>
                  </pic:spPr>
                </pic:pic>
              </a:graphicData>
            </a:graphic>
          </wp:anchor>
        </w:drawing>
      </w:r>
    </w:p>
    <w:p>
      <w:pPr>
        <w:spacing w:after="0" w:line="12"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Name: Michael T. Moe</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May 10,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447675</wp:posOffset>
            </wp:positionV>
            <wp:extent cx="6114415" cy="596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39"/>
          </w:cols>
          <w:pgMar w:left="420" w:top="351" w:right="1440" w:bottom="1440" w:gutter="0" w:footer="0" w:header="0"/>
        </w:sectPr>
      </w:pPr>
    </w:p>
    <w:bookmarkStart w:id="68" w:name="page69"/>
    <w:bookmarkEnd w:id="68"/>
    <w:p>
      <w:pPr>
        <w:jc w:val="right"/>
        <w:ind w:right="519"/>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03" w:lineRule="exact"/>
        <w:rPr>
          <w:sz w:val="20"/>
          <w:szCs w:val="20"/>
          <w:color w:val="auto"/>
        </w:rPr>
      </w:pPr>
    </w:p>
    <w:p>
      <w:pPr>
        <w:ind w:right="799" w:firstLine="270"/>
        <w:spacing w:after="0" w:line="264" w:lineRule="auto"/>
        <w:rPr>
          <w:sz w:val="20"/>
          <w:szCs w:val="20"/>
          <w:color w:val="auto"/>
        </w:rPr>
      </w:pPr>
      <w:r>
        <w:rPr>
          <w:rFonts w:ascii="Arial" w:cs="Arial" w:eastAsia="Arial" w:hAnsi="Arial"/>
          <w:sz w:val="18"/>
          <w:szCs w:val="18"/>
          <w:color w:val="auto"/>
        </w:rPr>
        <w:t>In connection with the quarterly report on Form 10-Q for the period ended March 31, 2016 (the “Report”) of GSV Capital Corp. (the “Registrant”), as filed with the Securities and Exchange Commission on the date hereof, I, William Tanona, the Chief Financial Officer of the Registrant, hereby certify, to the best of my knowledge, that:</w:t>
      </w:r>
    </w:p>
    <w:p>
      <w:pPr>
        <w:spacing w:after="0" w:line="73" w:lineRule="exact"/>
        <w:rPr>
          <w:sz w:val="20"/>
          <w:szCs w:val="20"/>
          <w:color w:val="auto"/>
        </w:rPr>
      </w:pPr>
    </w:p>
    <w:p>
      <w:pPr>
        <w:ind w:left="500" w:right="1079" w:hanging="262"/>
        <w:spacing w:after="0" w:line="277"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500" w:right="1119" w:hanging="262"/>
        <w:spacing w:after="0" w:line="277"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6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 William Tanona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2060575</wp:posOffset>
            </wp:positionH>
            <wp:positionV relativeFrom="paragraph">
              <wp:posOffset>14605</wp:posOffset>
            </wp:positionV>
            <wp:extent cx="397891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978910" cy="17145"/>
                    </a:xfrm>
                    <a:prstGeom prst="rect">
                      <a:avLst/>
                    </a:prstGeom>
                    <a:noFill/>
                  </pic:spPr>
                </pic:pic>
              </a:graphicData>
            </a:graphic>
          </wp:anchor>
        </w:drawing>
      </w:r>
    </w:p>
    <w:p>
      <w:pPr>
        <w:spacing w:after="0" w:line="12"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Name: William Tanona</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May 10,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447675</wp:posOffset>
            </wp:positionV>
            <wp:extent cx="6114415" cy="596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sectPr>
      <w:pgSz w:w="11900" w:h="16838" w:orient="portrait"/>
      <w:cols w:equalWidth="0" w:num="1">
        <w:col w:w="10039"/>
      </w:cols>
      <w:pgMar w:left="420" w:top="35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x"/>
      <w:numFmt w:val="bullet"/>
      <w:start w:val="1"/>
    </w:lvl>
  </w:abstractNum>
  <w:abstractNum w:abstractNumId="1">
    <w:nsid w:val="257130A3"/>
    <w:multiLevelType w:val="hybridMultilevel"/>
    <w:lvl w:ilvl="0">
      <w:lvlJc w:val="left"/>
      <w:lvlText w:val="o"/>
      <w:numFmt w:val="bullet"/>
      <w:start w:val="1"/>
    </w:lvl>
  </w:abstractNum>
  <w:abstractNum w:abstractNumId="2">
    <w:nsid w:val="62BBD95A"/>
    <w:multiLevelType w:val="hybridMultilevel"/>
    <w:lvl w:ilvl="0">
      <w:lvlJc w:val="left"/>
      <w:lvlText w:val="(%1)"/>
      <w:numFmt w:val="decimal"/>
      <w:start w:val="1"/>
    </w:lvl>
  </w:abstractNum>
  <w:abstractNum w:abstractNumId="3">
    <w:nsid w:val="436C6125"/>
    <w:multiLevelType w:val="hybridMultilevel"/>
    <w:lvl w:ilvl="0">
      <w:lvlJc w:val="left"/>
      <w:lvlText w:val="(%1)"/>
      <w:numFmt w:val="decimal"/>
      <w:start w:val="1"/>
    </w:lvl>
  </w:abstractNum>
  <w:abstractNum w:abstractNumId="4">
    <w:nsid w:val="628C895D"/>
    <w:multiLevelType w:val="hybridMultilevel"/>
    <w:lvl w:ilvl="0">
      <w:lvlJc w:val="left"/>
      <w:lvlText w:val="(%1)"/>
      <w:numFmt w:val="decimal"/>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1)"/>
      <w:numFmt w:val="decimal"/>
      <w:start w:val="1"/>
    </w:lvl>
  </w:abstractNum>
  <w:abstractNum w:abstractNumId="8">
    <w:nsid w:val="2D1D5AE9"/>
    <w:multiLevelType w:val="hybridMultilevel"/>
    <w:lvl w:ilvl="0">
      <w:lvlJc w:val="left"/>
      <w:lvlText w:val="(%1)"/>
      <w:numFmt w:val="decimal"/>
      <w:start w:val="5"/>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1)"/>
      <w:numFmt w:val="decimal"/>
      <w:start w:val="1"/>
    </w:lvl>
  </w:abstractNum>
  <w:abstractNum w:abstractNumId="12">
    <w:nsid w:val="79838CB2"/>
    <w:multiLevelType w:val="hybridMultilevel"/>
    <w:lvl w:ilvl="0">
      <w:lvlJc w:val="left"/>
      <w:lvlText w:val="(%1)"/>
      <w:numFmt w:val="decimal"/>
      <w:start w:val="6"/>
    </w:lvl>
  </w:abstractNum>
  <w:abstractNum w:abstractNumId="13">
    <w:nsid w:val="4353D0CD"/>
    <w:multiLevelType w:val="hybridMultilevel"/>
    <w:lvl w:ilvl="0">
      <w:lvlJc w:val="left"/>
      <w:lvlText w:val="%1."/>
      <w:numFmt w:val="decimal"/>
      <w:start w:val="1"/>
    </w:lvl>
  </w:abstractNum>
  <w:abstractNum w:abstractNumId="14">
    <w:nsid w:val="B03E0C6"/>
    <w:multiLevelType w:val="hybridMultilevel"/>
    <w:lvl w:ilvl="0">
      <w:lvlJc w:val="left"/>
      <w:lvlText w:val="(%1)"/>
      <w:numFmt w:val="decimal"/>
      <w:start w:val="1"/>
    </w:lvl>
  </w:abstractNum>
  <w:abstractNum w:abstractNumId="15">
    <w:nsid w:val="189A769B"/>
    <w:multiLevelType w:val="hybridMultilevel"/>
    <w:lvl w:ilvl="0">
      <w:lvlJc w:val="left"/>
      <w:lvlText w:val="(%1)"/>
      <w:numFmt w:val="decimal"/>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1)"/>
      <w:numFmt w:val="decimal"/>
      <w:start w:val="1"/>
    </w:lvl>
  </w:abstractNum>
  <w:abstractNum w:abstractNumId="19">
    <w:nsid w:val="836C40E"/>
    <w:multiLevelType w:val="hybridMultilevel"/>
    <w:lvl w:ilvl="0">
      <w:lvlJc w:val="left"/>
      <w:lvlText w:val="(%1)"/>
      <w:numFmt w:val="decimal"/>
      <w:start w:val="1"/>
    </w:lvl>
  </w:abstractNum>
  <w:abstractNum w:abstractNumId="20">
    <w:nsid w:val="2901D82"/>
    <w:multiLevelType w:val="hybridMultilevel"/>
    <w:lvl w:ilvl="0">
      <w:lvlJc w:val="left"/>
      <w:lvlText w:val="(%1)"/>
      <w:numFmt w:val="decimal"/>
      <w:start w:val="1"/>
    </w:lvl>
  </w:abstractNum>
  <w:abstractNum w:abstractNumId="21">
    <w:nsid w:val="3A95F874"/>
    <w:multiLevelType w:val="hybridMultilevel"/>
    <w:lvl w:ilvl="0">
      <w:lvlJc w:val="left"/>
      <w:lvlText w:val="(%1)"/>
      <w:numFmt w:val="decimal"/>
      <w:start w:val="1"/>
    </w:lvl>
  </w:abstractNum>
  <w:abstractNum w:abstractNumId="22">
    <w:nsid w:val="8138641"/>
    <w:multiLevelType w:val="hybridMultilevel"/>
    <w:lvl w:ilvl="0">
      <w:lvlJc w:val="left"/>
      <w:lvlText w:val="(%1)"/>
      <w:numFmt w:val="decimal"/>
      <w:start w:val="1"/>
    </w:lvl>
  </w:abstractNum>
  <w:abstractNum w:abstractNumId="23">
    <w:nsid w:val="1E7FF521"/>
    <w:multiLevelType w:val="hybridMultilevel"/>
    <w:lvl w:ilvl="0">
      <w:lvlJc w:val="left"/>
      <w:lvlText w:val="(%1)"/>
      <w:numFmt w:val="decimal"/>
      <w:start w:val="1"/>
    </w:lvl>
  </w:abstractNum>
  <w:abstractNum w:abstractNumId="24">
    <w:nsid w:val="7C3DBD3D"/>
    <w:multiLevelType w:val="hybridMultilevel"/>
    <w:lvl w:ilvl="0">
      <w:lvlJc w:val="left"/>
      <w:lvlText w:val="%1."/>
      <w:numFmt w:val="decimal"/>
      <w:start w:val="1"/>
    </w:lvl>
  </w:abstractNum>
  <w:abstractNum w:abstractNumId="25">
    <w:nsid w:val="737B8DDC"/>
    <w:multiLevelType w:val="hybridMultilevel"/>
    <w:lvl w:ilvl="0">
      <w:lvlJc w:val="left"/>
      <w:lvlText w:val="(%1)"/>
      <w:numFmt w:val="decimal"/>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1)"/>
      <w:numFmt w:val="decimal"/>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1)"/>
      <w:numFmt w:val="decimal"/>
      <w:start w:val="1"/>
    </w:lvl>
  </w:abstractNum>
  <w:abstractNum w:abstractNumId="32">
    <w:nsid w:val="5577F8E1"/>
    <w:multiLevelType w:val="hybridMultilevel"/>
    <w:lvl w:ilvl="0">
      <w:lvlJc w:val="left"/>
      <w:lvlText w:val="(%1)"/>
      <w:numFmt w:val="decimal"/>
      <w:start w:val="4"/>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2019-12-29T11:08:49Z</dcterms:created>
  <dcterms:modified xsi:type="dcterms:W3CDTF">2019-12-29T11:08:49Z</dcterms:modified>
</cp:coreProperties>
</file>