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160" w:right="1880" w:hanging="3152"/>
        <w:spacing w:after="0" w:line="486" w:lineRule="auto"/>
        <w:tabs>
          <w:tab w:leader="none" w:pos="22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6" w:lineRule="exact"/>
        <w:rPr>
          <w:sz w:val="24"/>
          <w:szCs w:val="24"/>
          <w:color w:val="auto"/>
        </w:rPr>
      </w:pPr>
    </w:p>
    <w:p>
      <w:pPr>
        <w:ind w:left="3920" w:right="1860" w:hanging="3912"/>
        <w:spacing w:after="0" w:line="537" w:lineRule="auto"/>
        <w:tabs>
          <w:tab w:leader="none" w:pos="2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-24765</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141605</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234"/>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39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41"/>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640 Fifth Avenue, 12th Floor, New York, NY</w:t>
            </w:r>
          </w:p>
        </w:tc>
        <w:tc>
          <w:tcPr>
            <w:tcW w:w="39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34"/>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9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931-6331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SSSS</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6.00% Notes due 2026</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SSSSL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47" w:lineRule="exact"/>
        <w:rPr>
          <w:sz w:val="24"/>
          <w:szCs w:val="24"/>
          <w:color w:val="auto"/>
        </w:rPr>
      </w:pPr>
    </w:p>
    <w:p>
      <w:pPr>
        <w:ind w:left="8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8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1" w:lineRule="exact"/>
        <w:rPr>
          <w:sz w:val="24"/>
          <w:szCs w:val="24"/>
          <w:color w:val="auto"/>
        </w:rPr>
      </w:pPr>
    </w:p>
    <w:p>
      <w:pPr>
        <w:ind w:left="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27" w:lineRule="exact"/>
        <w:rPr>
          <w:sz w:val="24"/>
          <w:szCs w:val="24"/>
          <w:color w:val="auto"/>
        </w:rPr>
      </w:pPr>
    </w:p>
    <w:p>
      <w:pPr>
        <w:sectPr>
          <w:pgSz w:w="11900" w:h="16838" w:orient="portrait"/>
          <w:cols w:equalWidth="0" w:num="2">
            <w:col w:w="6820" w:space="720"/>
            <w:col w:w="3700"/>
          </w:cols>
          <w:pgMar w:left="320" w:top="740" w:right="339" w:bottom="1440" w:gutter="0" w:footer="0" w:header="0"/>
          <w:type w:val="continuous"/>
        </w:sectPr>
      </w:pPr>
    </w:p>
    <w:p>
      <w:pPr>
        <w:spacing w:after="0" w:line="5"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had 28,333,661 shares of common stock, $0.01 par value per share, outstanding as of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0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SURO CAPITAL CORP.</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0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0580" w:type="dxa"/>
            <w:vAlign w:val="bottom"/>
            <w:tcBorders>
              <w:top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Assets and Liabilities as of September 30, 2022 (Unaudited) and December 31, 2021</w:t>
            </w:r>
          </w:p>
        </w:tc>
        <w:tc>
          <w:tcPr>
            <w:tcW w:w="4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2022 and 2021</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00" w:type="dxa"/>
            <w:vAlign w:val="bottom"/>
            <w:gridSpan w:val="4"/>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Net Assets for the Nine Months Ended September 30, 2022 and 2021</w:t>
            </w: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782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2022 and 2021 (Unaudited)</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Schedule of Investments as of September 30, 2022 (Unaudited)</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40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Schedule of Investments as of December 31, 2021</w:t>
            </w:r>
          </w:p>
        </w:tc>
        <w:tc>
          <w:tcPr>
            <w:tcW w:w="3040" w:type="dxa"/>
            <w:vAlign w:val="bottom"/>
            <w:tcBorders>
              <w:top w:val="single" w:sz="8" w:color="CCEEFF"/>
            </w:tcBorders>
            <w:gridSpan w:val="7"/>
          </w:tcPr>
          <w:p>
            <w:pPr>
              <w:spacing w:after="0"/>
              <w:rPr>
                <w:sz w:val="15"/>
                <w:szCs w:val="15"/>
                <w:color w:val="auto"/>
              </w:rPr>
            </w:pPr>
          </w:p>
        </w:tc>
        <w:tc>
          <w:tcPr>
            <w:tcW w:w="6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as of September 30, 2022 (Unaudited)</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7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660" w:type="dxa"/>
            <w:vAlign w:val="bottom"/>
            <w:tcBorders>
              <w:top w:val="single" w:sz="8" w:color="CCEEFF"/>
            </w:tcBorders>
            <w:gridSpan w:val="5"/>
          </w:tcPr>
          <w:p>
            <w:pPr>
              <w:spacing w:after="0"/>
              <w:rPr>
                <w:sz w:val="15"/>
                <w:szCs w:val="15"/>
                <w:color w:val="auto"/>
              </w:rPr>
            </w:pPr>
          </w:p>
        </w:tc>
        <w:tc>
          <w:tcPr>
            <w:tcW w:w="6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080" w:type="dxa"/>
            <w:vAlign w:val="bottom"/>
            <w:tcBorders>
              <w:bottom w:val="single" w:sz="8" w:color="CCEEFF"/>
            </w:tcBorders>
            <w:gridSpan w:val="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5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120" w:type="dxa"/>
            <w:vAlign w:val="bottom"/>
            <w:tcBorders>
              <w:top w:val="single" w:sz="8" w:color="CCEEFF"/>
            </w:tcBorders>
            <w:gridSpan w:val="12"/>
          </w:tcPr>
          <w:p>
            <w:pPr>
              <w:spacing w:after="0"/>
              <w:rPr>
                <w:sz w:val="15"/>
                <w:szCs w:val="15"/>
                <w:color w:val="auto"/>
              </w:rPr>
            </w:pPr>
          </w:p>
        </w:tc>
        <w:tc>
          <w:tcPr>
            <w:tcW w:w="6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120" w:type="dxa"/>
            <w:vAlign w:val="bottom"/>
            <w:tcBorders>
              <w:bottom w:val="single" w:sz="8" w:color="CCEEFF"/>
            </w:tcBorders>
            <w:gridSpan w:val="1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8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-1671320</wp:posOffset>
            </wp:positionV>
            <wp:extent cx="671195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1950" cy="14605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ASSETS AND LIABILITIES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Non-controlled/non-affiliate investments (cost of $148,024,855 and $146,360,300,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131,739,945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231,768,290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 (cost of $41,140,804 and $41,211,183, respectively)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12,310,601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14,609,089</w:t>
            </w: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investments (cost of $19,883,894 and $19,883,894, respectively)</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13,697,346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13,758,874</w:t>
            </w: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Portfolio Investments</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157,747,892</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260,136,253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U.S. Treasury bills (cost of $99,173,075 and $0, respectively)</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99,226,000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Investments (cost of $308,222,628 and $207,455,377, respectively)</w:t>
            </w: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256,973,892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260,136,253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39,652,608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198,437,078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52,493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Escrow proceeds receivable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653,791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2,046,645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119,608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83,655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572,771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621,719</w:t>
            </w:r>
          </w:p>
        </w:tc>
        <w:tc>
          <w:tcPr>
            <w:tcW w:w="0" w:type="dxa"/>
            <w:vAlign w:val="bottom"/>
          </w:tcPr>
          <w:p>
            <w:pPr>
              <w:spacing w:after="0"/>
              <w:rPr>
                <w:sz w:val="1"/>
                <w:szCs w:val="1"/>
                <w:color w:val="auto"/>
              </w:rPr>
            </w:pPr>
          </w:p>
        </w:tc>
      </w:tr>
      <w:tr>
        <w:trPr>
          <w:trHeight w:val="277"/>
        </w:trPr>
        <w:tc>
          <w:tcPr>
            <w:tcW w:w="67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Prepaid expenses and other assets</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889,174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937,984</w:t>
            </w:r>
          </w:p>
        </w:tc>
        <w:tc>
          <w:tcPr>
            <w:tcW w:w="0" w:type="dxa"/>
            <w:vAlign w:val="bottom"/>
          </w:tcPr>
          <w:p>
            <w:pPr>
              <w:spacing w:after="0"/>
              <w:rPr>
                <w:sz w:val="1"/>
                <w:szCs w:val="1"/>
                <w:color w:val="auto"/>
              </w:rPr>
            </w:pPr>
          </w:p>
        </w:tc>
      </w:tr>
      <w:tr>
        <w:trPr>
          <w:trHeight w:val="236"/>
        </w:trPr>
        <w:tc>
          <w:tcPr>
            <w:tcW w:w="6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298,861,844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462,315,827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Accounts payable and accrued expenses</w:t>
            </w:r>
            <w:r>
              <w:rPr>
                <w:rFonts w:ascii="Times New Roman" w:cs="Times New Roman" w:eastAsia="Times New Roman" w:hAnsi="Times New Roman"/>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3,431,394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875,047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349,929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23,390,048</w:t>
            </w:r>
          </w:p>
        </w:tc>
        <w:tc>
          <w:tcPr>
            <w:tcW w:w="0" w:type="dxa"/>
            <w:vAlign w:val="bottom"/>
          </w:tcPr>
          <w:p>
            <w:pPr>
              <w:spacing w:after="0"/>
              <w:rPr>
                <w:sz w:val="1"/>
                <w:szCs w:val="1"/>
                <w:color w:val="auto"/>
              </w:rPr>
            </w:pPr>
          </w:p>
        </w:tc>
      </w:tr>
      <w:tr>
        <w:trPr>
          <w:trHeight w:val="277"/>
        </w:trPr>
        <w:tc>
          <w:tcPr>
            <w:tcW w:w="67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6.00% Notes due December 30, 2026</w:t>
            </w:r>
            <w:r>
              <w:rPr>
                <w:rFonts w:ascii="Times New Roman" w:cs="Times New Roman" w:eastAsia="Times New Roman" w:hAnsi="Times New Roman"/>
                <w:sz w:val="29"/>
                <w:szCs w:val="29"/>
                <w:color w:val="auto"/>
                <w:vertAlign w:val="superscript"/>
              </w:rPr>
              <w:t>(2)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73,296,910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73,029,108</w:t>
            </w: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77,078,233</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97,469,203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7 and 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221,783,611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364,846,624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authorized; 28,333,661 and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31,118,556 issued and outstanding, respectively)</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283,337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311,185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330,271,551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350,079,409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investment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(61,969,423)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(50,124,597)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realized gain on investments, net of distributions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4,446,871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11,899,742</w:t>
            </w: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appreciation/(depreciation) of investments</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(51,248,725)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52,680,885</w:t>
            </w:r>
          </w:p>
        </w:tc>
        <w:tc>
          <w:tcPr>
            <w:tcW w:w="0" w:type="dxa"/>
            <w:vAlign w:val="bottom"/>
          </w:tcPr>
          <w:p>
            <w:pPr>
              <w:spacing w:after="0"/>
              <w:rPr>
                <w:sz w:val="1"/>
                <w:szCs w:val="1"/>
                <w:color w:val="auto"/>
              </w:rPr>
            </w:pPr>
          </w:p>
        </w:tc>
      </w:tr>
      <w:tr>
        <w:trPr>
          <w:trHeight w:val="256"/>
        </w:trPr>
        <w:tc>
          <w:tcPr>
            <w:tcW w:w="670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221,783,611</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364,846,624</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balance includes a right of use asset and corresponding operating lease liability, respectively. Refer to “Note 7—Commitments and Contingencies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more detail.</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6.00% Notes due December 30, 2026 (effective interest rate of 6.53%) had a face value $75,000,000. As of December 31, 2021, the 6.00% Notes due December 30, 2026 (effective interest rate of 6.13%) had a face value $75,000,000. Refer to “Note 10—Debt Capital Activities” for a reconciliation of the carrying value to the face value.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880" w:type="dxa"/>
            <w:vAlign w:val="bottom"/>
            <w:gridSpan w:val="6"/>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 investments: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26,747</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138,072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338,484</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450,768</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107,764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275,844</w:t>
            </w:r>
          </w:p>
        </w:tc>
        <w:tc>
          <w:tcPr>
            <w:tcW w:w="2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429,758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426,688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102,632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385,000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110,000</w:t>
            </w:r>
          </w:p>
        </w:tc>
        <w:tc>
          <w:tcPr>
            <w:tcW w:w="220" w:type="dxa"/>
            <w:vAlign w:val="bottom"/>
          </w:tcPr>
          <w:p>
            <w:pPr>
              <w:spacing w:after="0"/>
              <w:rPr>
                <w:sz w:val="20"/>
                <w:szCs w:val="20"/>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1,225,000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 Income</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519,511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523,916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1,993,242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1,836,808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1,500,061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5,456,771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4,139,263</w:t>
            </w:r>
          </w:p>
        </w:tc>
        <w:tc>
          <w:tcPr>
            <w:tcW w:w="0" w:type="dxa"/>
            <w:vAlign w:val="bottom"/>
          </w:tcPr>
          <w:p>
            <w:pPr>
              <w:spacing w:after="0"/>
              <w:rPr>
                <w:sz w:val="1"/>
                <w:szCs w:val="1"/>
                <w:color w:val="auto"/>
              </w:rPr>
            </w:pPr>
          </w:p>
        </w:tc>
      </w:tr>
      <w:tr>
        <w:trPr>
          <w:trHeight w:val="257"/>
        </w:trPr>
        <w:tc>
          <w:tcPr>
            <w:tcW w:w="4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Directors’ fees</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2"/>
                <w:szCs w:val="22"/>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161,661</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368,281</w:t>
            </w:r>
          </w:p>
        </w:tc>
        <w:tc>
          <w:tcPr>
            <w:tcW w:w="220" w:type="dxa"/>
            <w:vAlign w:val="bottom"/>
          </w:tcPr>
          <w:p>
            <w:pPr>
              <w:spacing w:after="0"/>
              <w:rPr>
                <w:sz w:val="22"/>
                <w:szCs w:val="22"/>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514,055</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590,781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565,411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604,475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2,916,583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2,107,158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1,202,748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3,630,301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504,793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74,497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(1,975)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82,238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7,648</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487,619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276,552</w:t>
            </w:r>
          </w:p>
        </w:tc>
        <w:tc>
          <w:tcPr>
            <w:tcW w:w="220" w:type="dxa"/>
            <w:vAlign w:val="bottom"/>
          </w:tcPr>
          <w:p>
            <w:pPr>
              <w:spacing w:after="0"/>
              <w:rPr>
                <w:sz w:val="20"/>
                <w:szCs w:val="20"/>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1,238,120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841,241</w:t>
            </w: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4,328,744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2,747,394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13,838,068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(3,809,233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(2,223,478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(11,844,826</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(7,100,796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Gain/(Loss) on Investments: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2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(5,141,097)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30,601,821</w:t>
            </w:r>
          </w:p>
        </w:tc>
        <w:tc>
          <w:tcPr>
            <w:tcW w:w="22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(3,940,668)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170,413,151</w:t>
            </w:r>
          </w:p>
        </w:tc>
        <w:tc>
          <w:tcPr>
            <w:tcW w:w="0" w:type="dxa"/>
            <w:vAlign w:val="bottom"/>
          </w:tcPr>
          <w:p>
            <w:pPr>
              <w:spacing w:after="0"/>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1,893,839</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(70,379)</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1,893,839</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Realized Gain/(Loss) on Investments</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(5,141,097)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32,495,660</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(4,011,047)</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172,306,990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Change in Unrealized Appreciation/(Depreciation) of</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2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(34,763,904)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9,252,577</w:t>
            </w:r>
          </w:p>
        </w:tc>
        <w:tc>
          <w:tcPr>
            <w:tcW w:w="22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(101,639,973)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(6,078,092)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(1,866,488)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(24,389,188)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(2,228,109)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(2,727,465)</w:t>
            </w: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280" w:type="dxa"/>
            <w:vAlign w:val="bottom"/>
          </w:tcPr>
          <w:p>
            <w:pPr>
              <w:spacing w:after="0"/>
              <w:rPr>
                <w:sz w:val="20"/>
                <w:szCs w:val="20"/>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(321,528)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112,833</w:t>
            </w:r>
          </w:p>
        </w:tc>
        <w:tc>
          <w:tcPr>
            <w:tcW w:w="22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(61,528)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207,194</w:t>
            </w:r>
          </w:p>
        </w:tc>
        <w:tc>
          <w:tcPr>
            <w:tcW w:w="0" w:type="dxa"/>
            <w:vAlign w:val="bottom"/>
          </w:tcPr>
          <w:p>
            <w:pPr>
              <w:spacing w:after="0"/>
              <w:rPr>
                <w:sz w:val="1"/>
                <w:szCs w:val="1"/>
                <w:color w:val="auto"/>
              </w:rPr>
            </w:pPr>
          </w:p>
        </w:tc>
      </w:tr>
      <w:tr>
        <w:trPr>
          <w:trHeight w:val="180"/>
        </w:trPr>
        <w:tc>
          <w:tcPr>
            <w:tcW w:w="4740" w:type="dxa"/>
            <w:vAlign w:val="bottom"/>
            <w:tcBorders>
              <w:top w:val="single" w:sz="8" w:color="CCEEFF"/>
            </w:tcBorders>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Net Change in Unrealized Appreciation/(Depreciation)</w:t>
            </w: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 Investments</w:t>
            </w: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(36,951,920)</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(15,023,778)</w:t>
            </w:r>
          </w:p>
        </w:tc>
        <w:tc>
          <w:tcPr>
            <w:tcW w:w="2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(103,929,610)</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(8,598,363)</w:t>
            </w:r>
          </w:p>
        </w:tc>
        <w:tc>
          <w:tcPr>
            <w:tcW w:w="0" w:type="dxa"/>
            <w:vAlign w:val="bottom"/>
          </w:tcPr>
          <w:p>
            <w:pPr>
              <w:spacing w:after="0"/>
              <w:rPr>
                <w:sz w:val="1"/>
                <w:szCs w:val="1"/>
                <w:color w:val="auto"/>
              </w:rPr>
            </w:pPr>
          </w:p>
        </w:tc>
      </w:tr>
      <w:tr>
        <w:trPr>
          <w:trHeight w:val="257"/>
        </w:trPr>
        <w:tc>
          <w:tcPr>
            <w:tcW w:w="474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(45,902,250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15,248,404</w:t>
            </w: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(119,785,483</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156,607,831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47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7"/>
                <w:szCs w:val="17"/>
                <w:b w:val="1"/>
                <w:bCs w:val="1"/>
                <w:color w:val="auto"/>
              </w:rPr>
              <w:t>Net Change in Net Assets Resulting from Operations</w:t>
            </w: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 Common Share: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(3.92)</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vMerge w:val="restart"/>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vMerge w:val="continue"/>
            <w:shd w:val="clear" w:color="auto" w:fill="CCEEFF"/>
          </w:tcPr>
          <w:p>
            <w:pPr>
              <w:spacing w:after="0"/>
              <w:rPr>
                <w:sz w:val="20"/>
                <w:szCs w:val="20"/>
                <w:color w:val="auto"/>
              </w:rPr>
            </w:pP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29,781,801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27,619,062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30,542,611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24,506,181</w:t>
            </w:r>
          </w:p>
        </w:tc>
        <w:tc>
          <w:tcPr>
            <w:tcW w:w="0" w:type="dxa"/>
            <w:vAlign w:val="bottom"/>
          </w:tcPr>
          <w:p>
            <w:pPr>
              <w:spacing w:after="0"/>
              <w:rPr>
                <w:sz w:val="1"/>
                <w:szCs w:val="1"/>
                <w:color w:val="auto"/>
              </w:rPr>
            </w:pPr>
          </w:p>
        </w:tc>
      </w:tr>
      <w:tr>
        <w:trPr>
          <w:trHeight w:val="39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280" w:type="dxa"/>
            <w:vAlign w:val="bottom"/>
          </w:tcPr>
          <w:p>
            <w:pPr>
              <w:spacing w:after="0"/>
              <w:rPr>
                <w:sz w:val="24"/>
                <w:szCs w:val="24"/>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29,781,801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27,619,062</w:t>
            </w:r>
          </w:p>
        </w:tc>
        <w:tc>
          <w:tcPr>
            <w:tcW w:w="220" w:type="dxa"/>
            <w:vAlign w:val="bottom"/>
          </w:tcPr>
          <w:p>
            <w:pPr>
              <w:spacing w:after="0"/>
              <w:rPr>
                <w:sz w:val="24"/>
                <w:szCs w:val="24"/>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30,542,611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25,705,099</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11—Stock-Based Compensation” for more detail.</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2022 and the three months ended September 30, 2021, there were no potentially dilutive securities outstanding. For the nine months ended September 30, 2021, 0 potentially dilutive common shares were excluded from the weighted-average common shares outstanding for diluted net increase in net assets resulting from operations per common share. Refer to “Note 6—Net Change in Net Assets Resulting from Operations per Common Share—Basic and Diluted”.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NET ASSETS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70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at Beginning of Year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364,846,624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301,583,073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Operations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loss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(4,224,705)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(2,834,318)</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3,096,275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112,152,518</w:t>
            </w:r>
          </w:p>
        </w:tc>
        <w:tc>
          <w:tcPr>
            <w:tcW w:w="80" w:type="dxa"/>
            <w:vAlign w:val="bottom"/>
            <w:shd w:val="clear" w:color="auto" w:fill="CCEEFF"/>
          </w:tcPr>
          <w:p>
            <w:pPr>
              <w:spacing w:after="0"/>
              <w:rPr>
                <w:sz w:val="18"/>
                <w:szCs w:val="18"/>
                <w:color w:val="auto"/>
              </w:rPr>
            </w:pPr>
          </w:p>
        </w:tc>
      </w:tr>
      <w:tr>
        <w:trPr>
          <w:trHeight w:val="237"/>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21,584,885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(1,315,837)</w:t>
            </w:r>
          </w:p>
        </w:tc>
      </w:tr>
      <w:tr>
        <w:trPr>
          <w:trHeight w:val="216"/>
        </w:trPr>
        <w:tc>
          <w:tcPr>
            <w:tcW w:w="7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20,456,455</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108,002,363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(3,441,824)</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(11,032,436)</w:t>
            </w:r>
          </w:p>
        </w:tc>
      </w:tr>
      <w:tr>
        <w:trPr>
          <w:trHeight w:val="203"/>
        </w:trPr>
        <w:tc>
          <w:tcPr>
            <w:tcW w:w="70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Distributions</w:t>
            </w:r>
          </w:p>
        </w:tc>
        <w:tc>
          <w:tcPr>
            <w:tcW w:w="8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(3,441,824)</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(11,032,436)</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Capital Transactions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public offering</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229,896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conversion of 4.75% Convertible Notes due 2023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37,259,819</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(30,016)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148,802</w:t>
            </w:r>
          </w:p>
        </w:tc>
        <w:tc>
          <w:tcPr>
            <w:tcW w:w="80" w:type="dxa"/>
            <w:vAlign w:val="bottom"/>
          </w:tcPr>
          <w:p>
            <w:pPr>
              <w:spacing w:after="0"/>
              <w:rPr>
                <w:sz w:val="18"/>
                <w:szCs w:val="18"/>
                <w:color w:val="auto"/>
              </w:rPr>
            </w:pPr>
          </w:p>
        </w:tc>
      </w:tr>
      <w:tr>
        <w:trPr>
          <w:trHeight w:val="24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(1,359,607)</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Net Assets Resulting from Capital Transactions</w:t>
            </w:r>
          </w:p>
        </w:tc>
        <w:tc>
          <w:tcPr>
            <w:tcW w:w="8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(1,159,727</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37,408,621</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 in Net Assets</w:t>
            </w:r>
          </w:p>
        </w:tc>
        <w:tc>
          <w:tcPr>
            <w:tcW w:w="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15,854,904</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134,378,548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7"/>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Assets at March 31</w:t>
            </w:r>
          </w:p>
        </w:tc>
        <w:tc>
          <w:tcPr>
            <w:tcW w:w="8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380,701,528</w:t>
            </w:r>
          </w:p>
        </w:tc>
        <w:tc>
          <w:tcPr>
            <w:tcW w:w="3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435,961,621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Operations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loss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(3,810,888)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(2,043,000)</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(1,966,225)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27,658,812</w:t>
            </w:r>
          </w:p>
        </w:tc>
      </w:tr>
      <w:tr>
        <w:trPr>
          <w:trHeight w:val="25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(88,562,575)</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7,741,252</w:t>
            </w:r>
          </w:p>
        </w:tc>
        <w:tc>
          <w:tcPr>
            <w:tcW w:w="80" w:type="dxa"/>
            <w:vAlign w:val="bottom"/>
            <w:shd w:val="clear" w:color="auto" w:fill="CCEEFF"/>
          </w:tcPr>
          <w:p>
            <w:pPr>
              <w:spacing w:after="0"/>
              <w:rPr>
                <w:sz w:val="21"/>
                <w:szCs w:val="21"/>
                <w:color w:val="auto"/>
              </w:rPr>
            </w:pPr>
          </w:p>
        </w:tc>
      </w:tr>
      <w:tr>
        <w:trPr>
          <w:trHeight w:val="203"/>
        </w:trPr>
        <w:tc>
          <w:tcPr>
            <w:tcW w:w="700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8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(94,339,688)</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33,357,064</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(60,513,038)</w:t>
            </w:r>
          </w:p>
        </w:tc>
      </w:tr>
      <w:tr>
        <w:trPr>
          <w:trHeight w:val="216"/>
        </w:trPr>
        <w:tc>
          <w:tcPr>
            <w:tcW w:w="7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Distributions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(60,513,038)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Capital Transactions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dividend</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30,525,336</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703,566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261,746</w:t>
            </w:r>
          </w:p>
        </w:tc>
        <w:tc>
          <w:tcPr>
            <w:tcW w:w="80" w:type="dxa"/>
            <w:vAlign w:val="bottom"/>
          </w:tcPr>
          <w:p>
            <w:pPr>
              <w:spacing w:after="0"/>
              <w:rPr>
                <w:sz w:val="18"/>
                <w:szCs w:val="18"/>
                <w:color w:val="auto"/>
              </w:rPr>
            </w:pPr>
          </w:p>
        </w:tc>
      </w:tr>
      <w:tr>
        <w:trPr>
          <w:trHeight w:val="24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(6,892,934)</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Net Assets Resulting from Capital Transactions</w:t>
            </w:r>
          </w:p>
        </w:tc>
        <w:tc>
          <w:tcPr>
            <w:tcW w:w="8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(6,189,368</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30,787,082</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 in Net Assets</w:t>
            </w:r>
          </w:p>
        </w:tc>
        <w:tc>
          <w:tcPr>
            <w:tcW w:w="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(100,529,056</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3,631,108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at June 30</w:t>
            </w:r>
          </w:p>
        </w:tc>
        <w:tc>
          <w:tcPr>
            <w:tcW w:w="8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280,172,472</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439,592,729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NET ASSETS (UNAUDITED) -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70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Change in Net Assets Resulting from Operations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loss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(3,809,233)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(2,223,478)</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(5,141,097)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32,495,660</w:t>
            </w:r>
          </w:p>
        </w:tc>
        <w:tc>
          <w:tcPr>
            <w:tcW w:w="80" w:type="dxa"/>
            <w:vAlign w:val="bottom"/>
            <w:shd w:val="clear" w:color="auto" w:fill="CCEEFF"/>
          </w:tcPr>
          <w:p>
            <w:pPr>
              <w:spacing w:after="0"/>
              <w:rPr>
                <w:sz w:val="18"/>
                <w:szCs w:val="18"/>
                <w:color w:val="auto"/>
              </w:rPr>
            </w:pPr>
          </w:p>
        </w:tc>
      </w:tr>
      <w:tr>
        <w:trPr>
          <w:trHeight w:val="237"/>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(36,951,920)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(15,023,778)</w:t>
            </w:r>
          </w:p>
        </w:tc>
      </w:tr>
      <w:tr>
        <w:trPr>
          <w:trHeight w:val="216"/>
        </w:trPr>
        <w:tc>
          <w:tcPr>
            <w:tcW w:w="7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(45,902,250)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15,248,404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(59,750,602)</w:t>
            </w:r>
          </w:p>
        </w:tc>
      </w:tr>
      <w:tr>
        <w:trPr>
          <w:trHeight w:val="203"/>
        </w:trPr>
        <w:tc>
          <w:tcPr>
            <w:tcW w:w="70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Distributions</w:t>
            </w:r>
          </w:p>
        </w:tc>
        <w:tc>
          <w:tcPr>
            <w:tcW w:w="8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(59,750,602)</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Capital Transactions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dividend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30,151,363</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713,389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524,595</w:t>
            </w:r>
          </w:p>
        </w:tc>
        <w:tc>
          <w:tcPr>
            <w:tcW w:w="80" w:type="dxa"/>
            <w:vAlign w:val="bottom"/>
            <w:shd w:val="clear" w:color="auto" w:fill="CCEEFF"/>
          </w:tcPr>
          <w:p>
            <w:pPr>
              <w:spacing w:after="0"/>
              <w:rPr>
                <w:sz w:val="18"/>
                <w:szCs w:val="18"/>
                <w:color w:val="auto"/>
              </w:rPr>
            </w:pPr>
          </w:p>
        </w:tc>
      </w:tr>
      <w:tr>
        <w:trPr>
          <w:trHeight w:val="237"/>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(13,200,000)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Capital Transactions</w:t>
            </w: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(12,486,611</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30,675,958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Change in Net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(58,388,861</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(13,826,240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at September 30</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221,783,611</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425,766,489</w:t>
            </w:r>
          </w:p>
        </w:tc>
        <w:tc>
          <w:tcPr>
            <w:tcW w:w="80" w:type="dxa"/>
            <w:vAlign w:val="bottom"/>
            <w:shd w:val="clear" w:color="auto" w:fill="CCEEFF"/>
          </w:tcPr>
          <w:p>
            <w:pPr>
              <w:spacing w:after="0"/>
              <w:rPr>
                <w:sz w:val="21"/>
                <w:szCs w:val="2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7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at beginning of year</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31,118,556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19,914,023</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public offering</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17,807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under restricted stock plan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205,974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208,465</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conversion of 4.75% Convertible Notes due 2023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4,097,808</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dividend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4,560,720</w:t>
            </w:r>
          </w:p>
        </w:tc>
        <w:tc>
          <w:tcPr>
            <w:tcW w:w="80" w:type="dxa"/>
            <w:vAlign w:val="bottom"/>
          </w:tcPr>
          <w:p>
            <w:pPr>
              <w:spacing w:after="0"/>
              <w:rPr>
                <w:sz w:val="18"/>
                <w:szCs w:val="18"/>
                <w:color w:val="auto"/>
              </w:rPr>
            </w:pPr>
          </w:p>
        </w:tc>
      </w:tr>
      <w:tr>
        <w:trPr>
          <w:trHeight w:val="25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repurchased</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(3,008,676)</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Shares Outstanding at End of Period</w:t>
            </w: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28,333,661</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28,781,016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6"/>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74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5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(119,785,483)</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156,607,831</w:t>
            </w:r>
          </w:p>
        </w:tc>
      </w:tr>
      <w:tr>
        <w:trPr>
          <w:trHeight w:val="198"/>
        </w:trPr>
        <w:tc>
          <w:tcPr>
            <w:tcW w:w="7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change in net assets resulting from operations to net cash provided</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by/(used in) operating activities:</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4,011,047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(172,306,990)</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103,929,610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8,598,363</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4.75% Convertible Senior Notes due 2023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76,925</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6.00% Notes due 2026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318,289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1,386,939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935,143</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escrow proceeds receivable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(855,758)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1,566,467</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interest on 4.75% Convertible Senior Notes due 2023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102,917</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investments in: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(12,526,206)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(70,713,313)</w:t>
            </w: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(99,173,075)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or maturity of investments in: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7,776,744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197,820,004</w:t>
            </w: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150,000,000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48,810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(66,959)</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(35,953)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(150,957)</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receivable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52,493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(295,554)</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Escrow proceeds receivable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1,392,854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(1,563,783)</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(134,250,000)</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2,556,347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1,881,403</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(35,850)</w:t>
            </w:r>
          </w:p>
        </w:tc>
      </w:tr>
      <w:tr>
        <w:trPr>
          <w:trHeight w:val="250"/>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(175,000)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(453,803)</w:t>
            </w:r>
          </w:p>
        </w:tc>
      </w:tr>
      <w:tr>
        <w:trPr>
          <w:trHeight w:val="210"/>
        </w:trPr>
        <w:tc>
          <w:tcPr>
            <w:tcW w:w="7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4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(111,078,342</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137,751,844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229,896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4.75% Convertible Senior Notes due 2023</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r>
      <w:tr>
        <w:trPr>
          <w:trHeight w:val="24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(21,452,541)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(26,481,943)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(74,963,356)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fractional shares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(43,056)</w:t>
            </w:r>
          </w:p>
        </w:tc>
      </w:tr>
      <w:tr>
        <w:trPr>
          <w:trHeight w:val="210"/>
        </w:trPr>
        <w:tc>
          <w:tcPr>
            <w:tcW w:w="7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4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(47,706,128</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(75,296,697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Increase/(Decrease) in Cash Balance</w:t>
            </w: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(158,784,470</w:t>
            </w: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62,455,147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74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Balance at Beginning of Year</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198,437,078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45,793,724</w:t>
            </w:r>
          </w:p>
        </w:tc>
        <w:tc>
          <w:tcPr>
            <w:tcW w:w="100" w:type="dxa"/>
            <w:vAlign w:val="bottom"/>
            <w:tcBorders>
              <w:bottom w:val="single" w:sz="8" w:color="CCEEFF"/>
            </w:tcBorders>
          </w:tcPr>
          <w:p>
            <w:pPr>
              <w:spacing w:after="0"/>
              <w:rPr>
                <w:sz w:val="18"/>
                <w:szCs w:val="18"/>
                <w:color w:val="auto"/>
              </w:rPr>
            </w:pPr>
          </w:p>
        </w:tc>
      </w:tr>
      <w:tr>
        <w:trPr>
          <w:trHeight w:val="236"/>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Balance at End of Period</w:t>
            </w: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39,652,608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108,248,871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74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794,206</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Taxes paid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7,569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41,524</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4.75% Convertible Senior Notes due 2023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37,925,000</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(UNAUDITED) September 30, 2022</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r>
              <w:rPr>
                <w:rFonts w:ascii="Times New Roman" w:cs="Times New Roman" w:eastAsia="Times New Roman" w:hAnsi="Times New Roman"/>
                <w:sz w:val="29"/>
                <w:szCs w:val="29"/>
                <w:b w:val="1"/>
                <w:bCs w:val="1"/>
                <w:color w:val="auto"/>
                <w:vertAlign w:val="superscript"/>
              </w:rPr>
              <w:t>*</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2000" w:type="dxa"/>
            <w:vAlign w:val="bottom"/>
            <w:gridSpan w:val="16"/>
            <w:vMerge w:val="continue"/>
          </w:tcPr>
          <w:p>
            <w:pPr>
              <w:spacing w:after="0"/>
              <w:rPr>
                <w:sz w:val="21"/>
                <w:szCs w:val="21"/>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1"/>
                <w:szCs w:val="21"/>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75"/>
        </w:trPr>
        <w:tc>
          <w:tcPr>
            <w:tcW w:w="1820" w:type="dxa"/>
            <w:vAlign w:val="bottom"/>
            <w:tcBorders>
              <w:top w:val="single" w:sz="8" w:color="auto"/>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auto"/>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CONTROLLED/NON-</w:t>
            </w: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0" w:type="dxa"/>
            <w:vAlign w:val="bottom"/>
            <w:tcBorders>
              <w:bottom w:val="single" w:sz="8" w:color="auto"/>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AFFILIATE</w:t>
            </w:r>
          </w:p>
        </w:tc>
        <w:tc>
          <w:tcPr>
            <w:tcW w:w="1020" w:type="dxa"/>
            <w:vAlign w:val="bottom"/>
            <w:tcBorders>
              <w:bottom w:val="single" w:sz="8" w:color="CCEEFF"/>
            </w:tcBorders>
            <w:gridSpan w:val="11"/>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Course Hero, Inc.</w:t>
            </w:r>
          </w:p>
        </w:tc>
        <w:tc>
          <w:tcPr>
            <w:tcW w:w="16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Redwood City, CA</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00" w:type="dxa"/>
            <w:vAlign w:val="bottom"/>
            <w:gridSpan w:val="1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Series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A 8%</w:t>
            </w: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9/18/2014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2,145,509</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46,707,731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198"/>
        </w:trPr>
        <w:tc>
          <w:tcPr>
            <w:tcW w:w="200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color w:val="auto"/>
              </w:rPr>
              <w:t>Preferred shares, Series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0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C 8%</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11/5/2021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275,659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9,999,971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9,999,971</w:t>
            </w:r>
          </w:p>
        </w:tc>
        <w:tc>
          <w:tcPr>
            <w:tcW w:w="12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60" w:type="dxa"/>
            <w:vAlign w:val="bottom"/>
            <w:gridSpan w:val="2"/>
          </w:tcPr>
          <w:p>
            <w:pPr>
              <w:jc w:val="right"/>
              <w:ind w:right="70"/>
              <w:spacing w:after="0" w:line="68" w:lineRule="exact"/>
              <w:rPr>
                <w:sz w:val="20"/>
                <w:szCs w:val="20"/>
                <w:color w:val="auto"/>
              </w:rPr>
            </w:pPr>
            <w:r>
              <w:rPr>
                <w:rFonts w:ascii="Times New Roman" w:cs="Times New Roman" w:eastAsia="Times New Roman" w:hAnsi="Times New Roman"/>
                <w:sz w:val="7"/>
                <w:szCs w:val="7"/>
                <w:color w:val="auto"/>
              </w:rPr>
              <w:t>4.51</w:t>
            </w:r>
          </w:p>
        </w:tc>
        <w:tc>
          <w:tcPr>
            <w:tcW w:w="0" w:type="dxa"/>
            <w:vAlign w:val="bottom"/>
          </w:tcPr>
          <w:p>
            <w:pPr>
              <w:spacing w:after="0"/>
              <w:rPr>
                <w:sz w:val="1"/>
                <w:szCs w:val="1"/>
                <w:color w:val="auto"/>
              </w:rPr>
            </w:pPr>
          </w:p>
        </w:tc>
      </w:tr>
      <w:tr>
        <w:trPr>
          <w:trHeight w:val="236"/>
        </w:trPr>
        <w:tc>
          <w:tcPr>
            <w:tcW w:w="2000" w:type="dxa"/>
            <w:vAlign w:val="bottom"/>
            <w:tcBorders>
              <w:top w:val="single" w:sz="8" w:color="CCEEFF"/>
              <w:bottom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14,999,972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56,707,702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2"/>
        </w:trPr>
        <w:tc>
          <w:tcPr>
            <w:tcW w:w="2000" w:type="dxa"/>
            <w:vAlign w:val="bottom"/>
            <w:gridSpan w:val="16"/>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Blink Health, Inc.</w:t>
            </w:r>
          </w:p>
        </w:tc>
        <w:tc>
          <w:tcPr>
            <w:tcW w:w="1640" w:type="dxa"/>
            <w:vAlign w:val="bottom"/>
            <w:gridSpan w:val="2"/>
          </w:tcPr>
          <w:p>
            <w:pPr>
              <w:jc w:val="center"/>
              <w:ind w:right="220"/>
              <w:spacing w:after="0" w:line="163" w:lineRule="exact"/>
              <w:rPr>
                <w:sz w:val="20"/>
                <w:szCs w:val="20"/>
                <w:color w:val="auto"/>
              </w:rPr>
            </w:pPr>
            <w:r>
              <w:rPr>
                <w:rFonts w:ascii="Times New Roman" w:cs="Times New Roman" w:eastAsia="Times New Roman" w:hAnsi="Times New Roman"/>
                <w:sz w:val="18"/>
                <w:szCs w:val="18"/>
                <w:color w:val="auto"/>
                <w:w w:val="99"/>
              </w:rPr>
              <w:t>New York, NY</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00" w:type="dxa"/>
            <w:vAlign w:val="bottom"/>
            <w:gridSpan w:val="1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Series</w:t>
            </w:r>
          </w:p>
        </w:tc>
        <w:tc>
          <w:tcPr>
            <w:tcW w:w="16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Pharmaceutical</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Technology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238,095</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5,000,423</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754,159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198"/>
        </w:trPr>
        <w:tc>
          <w:tcPr>
            <w:tcW w:w="200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color w:val="auto"/>
              </w:rPr>
              <w:t>Preferred shares, Series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w:t>
            </w: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261,944</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10,003,917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9,999,974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6"/>
        </w:trPr>
        <w:tc>
          <w:tcPr>
            <w:tcW w:w="2000" w:type="dxa"/>
            <w:vAlign w:val="bottom"/>
            <w:tcBorders>
              <w:top w:val="single" w:sz="8" w:color="CCEEFF"/>
              <w:bottom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15,004,340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10,754,133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49"/>
        </w:trPr>
        <w:tc>
          <w:tcPr>
            <w:tcW w:w="2000" w:type="dxa"/>
            <w:vAlign w:val="bottom"/>
            <w:gridSpan w:val="16"/>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Orchard Technologies,</w:t>
            </w: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260" w:type="dxa"/>
            <w:vAlign w:val="bottom"/>
            <w:gridSpan w:val="3"/>
          </w:tcPr>
          <w:p>
            <w:pPr>
              <w:spacing w:after="0"/>
              <w:rPr>
                <w:sz w:val="17"/>
                <w:szCs w:val="17"/>
                <w:color w:val="auto"/>
              </w:rPr>
            </w:pPr>
          </w:p>
        </w:tc>
        <w:tc>
          <w:tcPr>
            <w:tcW w:w="16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New York, NY</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00" w:type="dxa"/>
            <w:vAlign w:val="bottom"/>
            <w:gridSpan w:val="1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Series</w:t>
            </w:r>
          </w:p>
        </w:tc>
        <w:tc>
          <w:tcPr>
            <w:tcW w:w="16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Real Estate</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Platform</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1,488,139</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10,004,034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9,999,996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98"/>
        </w:trPr>
        <w:tc>
          <w:tcPr>
            <w:tcW w:w="200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color w:val="auto"/>
              </w:rPr>
              <w:t>Simple Agreement for</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501,663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500,000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8"/>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Future Equity</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00" w:type="dxa"/>
            <w:vAlign w:val="bottom"/>
            <w:tcBorders>
              <w:top w:val="single" w:sz="8" w:color="CCEEFF"/>
              <w:bottom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10,505,697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10,499,996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2000" w:type="dxa"/>
            <w:vAlign w:val="bottom"/>
            <w:gridSpan w:val="16"/>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Whoop, Inc.</w:t>
            </w:r>
          </w:p>
        </w:tc>
        <w:tc>
          <w:tcPr>
            <w:tcW w:w="1640" w:type="dxa"/>
            <w:vAlign w:val="bottom"/>
            <w:gridSpan w:val="2"/>
          </w:tcPr>
          <w:p>
            <w:pPr>
              <w:jc w:val="center"/>
              <w:ind w:right="220"/>
              <w:spacing w:after="0" w:line="163" w:lineRule="exact"/>
              <w:rPr>
                <w:sz w:val="20"/>
                <w:szCs w:val="20"/>
                <w:color w:val="auto"/>
              </w:rPr>
            </w:pPr>
            <w:r>
              <w:rPr>
                <w:rFonts w:ascii="Times New Roman" w:cs="Times New Roman" w:eastAsia="Times New Roman" w:hAnsi="Times New Roman"/>
                <w:sz w:val="18"/>
                <w:szCs w:val="18"/>
                <w:color w:val="auto"/>
              </w:rPr>
              <w:t>Boston, MA</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00" w:type="dxa"/>
            <w:vAlign w:val="bottom"/>
            <w:gridSpan w:val="1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Series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6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Fitness Technology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6/30/2022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13,293,450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10,011,460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8,286,482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175"/>
        </w:trPr>
        <w:tc>
          <w:tcPr>
            <w:tcW w:w="20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Aspiration Partners,</w:t>
            </w:r>
          </w:p>
        </w:tc>
        <w:tc>
          <w:tcPr>
            <w:tcW w:w="16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7"/>
              </w:rPr>
              <w:t>Marina Del Rey,</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80" w:type="dxa"/>
            <w:vAlign w:val="bottom"/>
            <w:tcBorders>
              <w:top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420" w:type="dxa"/>
            <w:vAlign w:val="bottom"/>
            <w:gridSpan w:val="5"/>
          </w:tcPr>
          <w:p>
            <w:pPr>
              <w:spacing w:after="0"/>
              <w:rPr>
                <w:sz w:val="17"/>
                <w:szCs w:val="17"/>
                <w:color w:val="auto"/>
              </w:rPr>
            </w:pPr>
          </w:p>
        </w:tc>
        <w:tc>
          <w:tcPr>
            <w:tcW w:w="16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CA</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00" w:type="dxa"/>
            <w:vAlign w:val="bottom"/>
            <w:gridSpan w:val="1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Series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Financial Services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8/11/2015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540,270</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1,001,815</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6,397,614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198"/>
        </w:trPr>
        <w:tc>
          <w:tcPr>
            <w:tcW w:w="200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color w:val="auto"/>
              </w:rPr>
              <w:t>Preferred shares, Series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C-3</w:t>
            </w: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8/12/2019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24,912</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281,190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374,020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6"/>
        </w:trPr>
        <w:tc>
          <w:tcPr>
            <w:tcW w:w="2000" w:type="dxa"/>
            <w:vAlign w:val="bottom"/>
            <w:tcBorders>
              <w:top w:val="single" w:sz="8" w:color="CCEEFF"/>
              <w:bottom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1,283,005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6,771,634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49"/>
        </w:trPr>
        <w:tc>
          <w:tcPr>
            <w:tcW w:w="2000" w:type="dxa"/>
            <w:vAlign w:val="bottom"/>
            <w:gridSpan w:val="16"/>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Nextdoor Holdings,</w:t>
            </w: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500" w:type="dxa"/>
            <w:vAlign w:val="bottom"/>
            <w:gridSpan w:val="7"/>
          </w:tcPr>
          <w:p>
            <w:pPr>
              <w:spacing w:after="0"/>
              <w:rPr>
                <w:sz w:val="17"/>
                <w:szCs w:val="17"/>
                <w:color w:val="auto"/>
              </w:rPr>
            </w:pPr>
          </w:p>
        </w:tc>
        <w:tc>
          <w:tcPr>
            <w:tcW w:w="16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8"/>
              </w:rPr>
              <w:t>San Francisco, CA</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00" w:type="dxa"/>
            <w:vAlign w:val="bottom"/>
            <w:gridSpan w:val="16"/>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shares, Class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00" w:type="dxa"/>
            <w:vAlign w:val="bottom"/>
            <w:gridSpan w:val="16"/>
            <w:shd w:val="clear" w:color="auto" w:fill="CCEEFF"/>
          </w:tcPr>
          <w:p>
            <w:pPr>
              <w:spacing w:after="0" w:line="271" w:lineRule="exact"/>
              <w:rPr>
                <w:sz w:val="20"/>
                <w:szCs w:val="20"/>
                <w:color w:val="auto"/>
              </w:rPr>
            </w:pPr>
            <w:r>
              <w:rPr>
                <w:rFonts w:ascii="Times New Roman" w:cs="Times New Roman" w:eastAsia="Times New Roman" w:hAnsi="Times New Roman"/>
                <w:sz w:val="31"/>
                <w:szCs w:val="31"/>
                <w:color w:val="auto"/>
                <w:vertAlign w:val="subscript"/>
              </w:rPr>
              <w:t>B</w:t>
            </w:r>
            <w:r>
              <w:rPr>
                <w:rFonts w:ascii="Times New Roman" w:cs="Times New Roman" w:eastAsia="Times New Roman" w:hAnsi="Times New Roman"/>
                <w:sz w:val="14"/>
                <w:szCs w:val="14"/>
                <w:color w:val="auto"/>
              </w:rPr>
              <w:t>(3)</w:t>
            </w: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Social Networking</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9/27/2018</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1,802,416</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10,002,666</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5,028,741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175"/>
        </w:trPr>
        <w:tc>
          <w:tcPr>
            <w:tcW w:w="20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Forge Global, Inc.**</w:t>
            </w:r>
          </w:p>
        </w:tc>
        <w:tc>
          <w:tcPr>
            <w:tcW w:w="16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Online</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16"/>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(3)(17)</w:t>
            </w: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Marketplace</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16"/>
            <w:vMerge w:val="continue"/>
            <w:shd w:val="clear" w:color="auto" w:fill="CCEEFF"/>
          </w:tcPr>
          <w:p>
            <w:pPr>
              <w:spacing w:after="0"/>
              <w:rPr>
                <w:sz w:val="20"/>
                <w:szCs w:val="20"/>
                <w:color w:val="auto"/>
              </w:rPr>
            </w:pP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Finance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7/20/2011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2,508,074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3,441,299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4,389,130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76"/>
        </w:trPr>
        <w:tc>
          <w:tcPr>
            <w:tcW w:w="20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Shogun Enterprises,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60" w:type="dxa"/>
            <w:vAlign w:val="bottom"/>
            <w:tcBorders>
              <w:top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440" w:type="dxa"/>
            <w:vAlign w:val="bottom"/>
            <w:gridSpan w:val="6"/>
          </w:tcPr>
          <w:p>
            <w:pPr>
              <w:spacing w:after="0"/>
              <w:rPr>
                <w:sz w:val="17"/>
                <w:szCs w:val="17"/>
                <w:color w:val="auto"/>
              </w:rPr>
            </w:pPr>
          </w:p>
        </w:tc>
        <w:tc>
          <w:tcPr>
            <w:tcW w:w="16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Austin, TX</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Home</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Improvement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B-1</w:t>
            </w: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Finance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436,844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3,501,657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1,504,360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198"/>
        </w:trPr>
        <w:tc>
          <w:tcPr>
            <w:tcW w:w="200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color w:val="auto"/>
              </w:rPr>
              <w:t>Preferred shares, Series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B-2</w:t>
            </w: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301,750</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3,501,661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1,504,361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198"/>
        </w:trPr>
        <w:tc>
          <w:tcPr>
            <w:tcW w:w="2000" w:type="dxa"/>
            <w:vAlign w:val="bottom"/>
            <w:gridSpan w:val="1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Note 0.5%,</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0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Due 4/18/2024***</w:t>
            </w: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5/2/2022</w:t>
            </w:r>
          </w:p>
        </w:tc>
        <w:tc>
          <w:tcPr>
            <w:tcW w:w="2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500,000</w:t>
            </w:r>
          </w:p>
        </w:tc>
        <w:tc>
          <w:tcPr>
            <w:tcW w:w="12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30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gridSpan w:val="2"/>
            <w:vMerge w:val="continue"/>
            <w:shd w:val="clear" w:color="auto" w:fill="CCEEFF"/>
          </w:tcPr>
          <w:p>
            <w:pPr>
              <w:spacing w:after="0"/>
              <w:rPr>
                <w:sz w:val="7"/>
                <w:szCs w:val="7"/>
                <w:color w:val="auto"/>
              </w:rPr>
            </w:pPr>
          </w:p>
        </w:tc>
        <w:tc>
          <w:tcPr>
            <w:tcW w:w="1260" w:type="dxa"/>
            <w:vAlign w:val="bottom"/>
            <w:gridSpan w:val="2"/>
            <w:shd w:val="clear" w:color="auto" w:fill="CCEEFF"/>
          </w:tcPr>
          <w:p>
            <w:pPr>
              <w:jc w:val="right"/>
              <w:ind w:right="70"/>
              <w:spacing w:after="0" w:line="68" w:lineRule="exact"/>
              <w:rPr>
                <w:sz w:val="20"/>
                <w:szCs w:val="20"/>
                <w:color w:val="auto"/>
              </w:rPr>
            </w:pPr>
            <w:r>
              <w:rPr>
                <w:rFonts w:ascii="Times New Roman" w:cs="Times New Roman" w:eastAsia="Times New Roman" w:hAnsi="Times New Roman"/>
                <w:sz w:val="7"/>
                <w:szCs w:val="7"/>
                <w:color w:val="auto"/>
              </w:rPr>
              <w:t>0.23</w:t>
            </w: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bottom w:val="single" w:sz="8" w:color="CCEEFF"/>
            </w:tcBorders>
            <w:gridSpan w:val="16"/>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7,503,318</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3,508,721</w:t>
            </w:r>
          </w:p>
        </w:tc>
        <w:tc>
          <w:tcPr>
            <w:tcW w:w="3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2000" w:type="dxa"/>
            <w:vAlign w:val="bottom"/>
            <w:gridSpan w:val="16"/>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Trax Ltd.**</w:t>
            </w:r>
          </w:p>
        </w:tc>
        <w:tc>
          <w:tcPr>
            <w:tcW w:w="1640" w:type="dxa"/>
            <w:vAlign w:val="bottom"/>
            <w:gridSpan w:val="2"/>
            <w:shd w:val="clear" w:color="auto" w:fill="CCEEFF"/>
          </w:tcPr>
          <w:p>
            <w:pPr>
              <w:jc w:val="center"/>
              <w:ind w:right="220"/>
              <w:spacing w:after="0" w:line="184" w:lineRule="exact"/>
              <w:rPr>
                <w:sz w:val="20"/>
                <w:szCs w:val="20"/>
                <w:color w:val="auto"/>
              </w:rPr>
            </w:pPr>
            <w:r>
              <w:rPr>
                <w:rFonts w:ascii="Times New Roman" w:cs="Times New Roman" w:eastAsia="Times New Roman" w:hAnsi="Times New Roman"/>
                <w:sz w:val="18"/>
                <w:szCs w:val="18"/>
                <w:color w:val="auto"/>
              </w:rPr>
              <w:t>Singapore,</w:t>
            </w: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0" w:type="dxa"/>
            <w:vAlign w:val="bottom"/>
            <w:gridSpan w:val="16"/>
            <w:vMerge w:val="continue"/>
            <w:shd w:val="clear" w:color="auto" w:fill="CCEEFF"/>
          </w:tcPr>
          <w:p>
            <w:pPr>
              <w:spacing w:after="0"/>
              <w:rPr>
                <w:sz w:val="16"/>
                <w:szCs w:val="16"/>
                <w:color w:val="auto"/>
              </w:rPr>
            </w:pPr>
          </w:p>
        </w:tc>
        <w:tc>
          <w:tcPr>
            <w:tcW w:w="16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color w:val="auto"/>
              </w:rPr>
              <w:t>Singapore</w:t>
            </w: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Retail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55,591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2,781,148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583,726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198"/>
        </w:trPr>
        <w:tc>
          <w:tcPr>
            <w:tcW w:w="2000" w:type="dxa"/>
            <w:vAlign w:val="bottom"/>
            <w:gridSpan w:val="1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0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Investec Series</w:t>
            </w: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6/9/2021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144,409</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7,224,600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2,647,017</w:t>
            </w:r>
          </w:p>
        </w:tc>
        <w:tc>
          <w:tcPr>
            <w:tcW w:w="12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30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gridSpan w:val="2"/>
            <w:vMerge w:val="continue"/>
            <w:shd w:val="clear" w:color="auto" w:fill="CCEEFF"/>
          </w:tcPr>
          <w:p>
            <w:pPr>
              <w:spacing w:after="0"/>
              <w:rPr>
                <w:sz w:val="7"/>
                <w:szCs w:val="7"/>
                <w:color w:val="auto"/>
              </w:rPr>
            </w:pPr>
          </w:p>
        </w:tc>
        <w:tc>
          <w:tcPr>
            <w:tcW w:w="1260" w:type="dxa"/>
            <w:vAlign w:val="bottom"/>
            <w:gridSpan w:val="2"/>
            <w:shd w:val="clear" w:color="auto" w:fill="CCEEFF"/>
          </w:tcPr>
          <w:p>
            <w:pPr>
              <w:jc w:val="right"/>
              <w:ind w:right="70"/>
              <w:spacing w:after="0" w:line="68" w:lineRule="exact"/>
              <w:rPr>
                <w:sz w:val="20"/>
                <w:szCs w:val="20"/>
                <w:color w:val="auto"/>
              </w:rPr>
            </w:pPr>
            <w:r>
              <w:rPr>
                <w:rFonts w:ascii="Times New Roman" w:cs="Times New Roman" w:eastAsia="Times New Roman" w:hAnsi="Times New Roman"/>
                <w:sz w:val="7"/>
                <w:szCs w:val="7"/>
                <w:color w:val="auto"/>
              </w:rPr>
              <w:t>1.19</w:t>
            </w: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bottom w:val="single" w:sz="8" w:color="CCEEFF"/>
            </w:tcBorders>
            <w:gridSpan w:val="16"/>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10,005,748</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3,230,743</w:t>
            </w:r>
          </w:p>
        </w:tc>
        <w:tc>
          <w:tcPr>
            <w:tcW w:w="3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2"/>
        </w:trPr>
        <w:tc>
          <w:tcPr>
            <w:tcW w:w="1720" w:type="dxa"/>
            <w:vAlign w:val="bottom"/>
            <w:tcBorders>
              <w:bottom w:val="single" w:sz="8" w:color="auto"/>
            </w:tcBorders>
            <w:gridSpan w:val="12"/>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9"/>
              </w:rPr>
              <w:t>Residential Homes for</w:t>
            </w:r>
          </w:p>
        </w:tc>
        <w:tc>
          <w:tcPr>
            <w:tcW w:w="280" w:type="dxa"/>
            <w:vAlign w:val="bottom"/>
            <w:tcBorders>
              <w:bottom w:val="single" w:sz="8" w:color="CCEEFF"/>
            </w:tcBorders>
            <w:gridSpan w:val="4"/>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Rent, LLC (d/b/a</w:t>
            </w:r>
          </w:p>
        </w:tc>
        <w:tc>
          <w:tcPr>
            <w:tcW w:w="660" w:type="dxa"/>
            <w:vAlign w:val="bottom"/>
            <w:tcBorders>
              <w:bottom w:val="single" w:sz="8" w:color="CCEEFF"/>
            </w:tcBorders>
            <w:gridSpan w:val="9"/>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Second Avenue)</w:t>
            </w:r>
          </w:p>
        </w:tc>
        <w:tc>
          <w:tcPr>
            <w:tcW w:w="1640" w:type="dxa"/>
            <w:vAlign w:val="bottom"/>
            <w:gridSpan w:val="2"/>
            <w:shd w:val="clear" w:color="auto" w:fill="CCEEFF"/>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Chicago, IL</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Preferred shares, Series</w:t>
            </w:r>
          </w:p>
        </w:tc>
        <w:tc>
          <w:tcPr>
            <w:tcW w:w="16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rPr>
              <w:t>Real Estate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16"/>
          </w:tcPr>
          <w:p>
            <w:pPr>
              <w:spacing w:after="0" w:line="216"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2"/>
                <w:szCs w:val="12"/>
                <w:color w:val="auto"/>
              </w:rPr>
              <w:t>(6)</w:t>
            </w: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Platform</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1,966,970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60" w:type="dxa"/>
            <w:vAlign w:val="bottom"/>
            <w:gridSpan w:val="2"/>
          </w:tcPr>
          <w:p>
            <w:pPr>
              <w:jc w:val="right"/>
              <w:ind w:right="70"/>
              <w:spacing w:after="0" w:line="81" w:lineRule="exact"/>
              <w:rPr>
                <w:sz w:val="20"/>
                <w:szCs w:val="20"/>
                <w:color w:val="auto"/>
              </w:rPr>
            </w:pPr>
            <w:r>
              <w:rPr>
                <w:rFonts w:ascii="Times New Roman" w:cs="Times New Roman" w:eastAsia="Times New Roman" w:hAnsi="Times New Roman"/>
                <w:sz w:val="9"/>
                <w:szCs w:val="9"/>
                <w:color w:val="auto"/>
              </w:rPr>
              <w:t>0.89</w:t>
            </w:r>
          </w:p>
        </w:tc>
        <w:tc>
          <w:tcPr>
            <w:tcW w:w="0" w:type="dxa"/>
            <w:vAlign w:val="bottom"/>
          </w:tcPr>
          <w:p>
            <w:pPr>
              <w:spacing w:after="0"/>
              <w:rPr>
                <w:sz w:val="1"/>
                <w:szCs w:val="1"/>
                <w:color w:val="auto"/>
              </w:rPr>
            </w:pPr>
          </w:p>
        </w:tc>
      </w:tr>
      <w:tr>
        <w:trPr>
          <w:trHeight w:val="201"/>
        </w:trPr>
        <w:tc>
          <w:tcPr>
            <w:tcW w:w="2000" w:type="dxa"/>
            <w:vAlign w:val="bottom"/>
            <w:gridSpan w:val="16"/>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Term loan 15%, Due</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80" w:type="dxa"/>
            <w:vAlign w:val="bottom"/>
            <w:gridSpan w:val="8"/>
            <w:shd w:val="clear" w:color="auto" w:fill="CCEEFF"/>
          </w:tcPr>
          <w:p>
            <w:pPr>
              <w:spacing w:after="0" w:line="217" w:lineRule="exact"/>
              <w:rPr>
                <w:sz w:val="20"/>
                <w:szCs w:val="20"/>
                <w:color w:val="auto"/>
              </w:rPr>
            </w:pPr>
            <w:r>
              <w:rPr>
                <w:rFonts w:ascii="Times New Roman" w:cs="Times New Roman" w:eastAsia="Times New Roman" w:hAnsi="Times New Roman"/>
                <w:sz w:val="16"/>
                <w:szCs w:val="16"/>
                <w:color w:val="auto"/>
              </w:rPr>
              <w:t>12/23/2023***</w:t>
            </w:r>
            <w:r>
              <w:rPr>
                <w:rFonts w:ascii="Times New Roman" w:cs="Times New Roman" w:eastAsia="Times New Roman" w:hAnsi="Times New Roman"/>
                <w:sz w:val="25"/>
                <w:szCs w:val="25"/>
                <w:color w:val="auto"/>
                <w:vertAlign w:val="superscript"/>
              </w:rPr>
              <w:t>(13)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2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0" w:type="dxa"/>
            <w:vAlign w:val="bottom"/>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1260" w:type="dxa"/>
            <w:vAlign w:val="bottom"/>
            <w:gridSpan w:val="2"/>
            <w:shd w:val="clear" w:color="auto" w:fill="CCEEFF"/>
          </w:tcPr>
          <w:p>
            <w:pPr>
              <w:jc w:val="right"/>
              <w:ind w:right="70"/>
              <w:spacing w:after="0" w:line="68" w:lineRule="exact"/>
              <w:rPr>
                <w:sz w:val="20"/>
                <w:szCs w:val="20"/>
                <w:color w:val="auto"/>
              </w:rPr>
            </w:pPr>
            <w:r>
              <w:rPr>
                <w:rFonts w:ascii="Times New Roman" w:cs="Times New Roman" w:eastAsia="Times New Roman" w:hAnsi="Times New Roman"/>
                <w:sz w:val="7"/>
                <w:szCs w:val="7"/>
                <w:color w:val="auto"/>
              </w:rPr>
              <w:t>0.56</w:t>
            </w:r>
          </w:p>
        </w:tc>
        <w:tc>
          <w:tcPr>
            <w:tcW w:w="0" w:type="dxa"/>
            <w:vAlign w:val="bottom"/>
          </w:tcPr>
          <w:p>
            <w:pPr>
              <w:spacing w:after="0"/>
              <w:rPr>
                <w:sz w:val="1"/>
                <w:szCs w:val="1"/>
                <w:color w:val="auto"/>
              </w:rPr>
            </w:pPr>
          </w:p>
        </w:tc>
      </w:tr>
      <w:tr>
        <w:trPr>
          <w:trHeight w:val="27"/>
        </w:trPr>
        <w:tc>
          <w:tcPr>
            <w:tcW w:w="3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84"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2,750,000</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3,216,970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75"/>
        </w:trPr>
        <w:tc>
          <w:tcPr>
            <w:tcW w:w="1360" w:type="dxa"/>
            <w:vAlign w:val="bottom"/>
            <w:tcBorders>
              <w:bottom w:val="single" w:sz="8" w:color="auto"/>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NewLake Capital</w:t>
            </w:r>
          </w:p>
        </w:tc>
        <w:tc>
          <w:tcPr>
            <w:tcW w:w="540" w:type="dxa"/>
            <w:vAlign w:val="bottom"/>
            <w:tcBorders>
              <w:bottom w:val="single" w:sz="8" w:color="CCEEFF"/>
            </w:tcBorders>
            <w:gridSpan w:val="5"/>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auto"/>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Partners, Inc. (f/k/a</w:t>
            </w:r>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GreenAcreage Real</w:t>
            </w:r>
          </w:p>
        </w:tc>
        <w:tc>
          <w:tcPr>
            <w:tcW w:w="1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Borders>
              <w:top w:val="single" w:sz="8" w:color="auto"/>
              <w:bottom w:val="single" w:sz="8" w:color="auto"/>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Estate Corp.)**</w:t>
            </w:r>
          </w:p>
        </w:tc>
        <w:tc>
          <w:tcPr>
            <w:tcW w:w="280" w:type="dxa"/>
            <w:vAlign w:val="bottom"/>
            <w:tcBorders>
              <w:top w:val="single" w:sz="8" w:color="auto"/>
              <w:bottom w:val="single" w:sz="8" w:color="CCEEFF"/>
            </w:tcBorders>
            <w:gridSpan w:val="5"/>
            <w:shd w:val="clear" w:color="auto" w:fill="CCEEFF"/>
          </w:tcPr>
          <w:p>
            <w:pPr>
              <w:spacing w:after="0"/>
              <w:rPr>
                <w:sz w:val="18"/>
                <w:szCs w:val="18"/>
                <w:color w:val="auto"/>
              </w:rPr>
            </w:pPr>
          </w:p>
        </w:tc>
        <w:tc>
          <w:tcPr>
            <w:tcW w:w="4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800" w:type="dxa"/>
            <w:vAlign w:val="bottom"/>
            <w:tcBorders>
              <w:top w:val="single" w:sz="8" w:color="CCEEFF"/>
              <w:bottom w:val="single" w:sz="8" w:color="CCEEFF"/>
            </w:tcBorders>
            <w:shd w:val="clear" w:color="auto" w:fill="CCEEFF"/>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New York, NY</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00" w:type="dxa"/>
            <w:vAlign w:val="bottom"/>
            <w:gridSpan w:val="13"/>
          </w:tcPr>
          <w:p>
            <w:pPr>
              <w:ind w:left="180"/>
              <w:spacing w:after="0" w:line="242" w:lineRule="exact"/>
              <w:rPr>
                <w:sz w:val="20"/>
                <w:szCs w:val="20"/>
                <w:color w:val="auto"/>
              </w:rPr>
            </w:pPr>
            <w:r>
              <w:rPr>
                <w:rFonts w:ascii="Times New Roman" w:cs="Times New Roman" w:eastAsia="Times New Roman" w:hAnsi="Times New Roman"/>
                <w:sz w:val="17"/>
                <w:szCs w:val="17"/>
                <w:color w:val="auto"/>
              </w:rPr>
              <w:t>Common shares***</w:t>
            </w:r>
            <w:r>
              <w:rPr>
                <w:rFonts w:ascii="Times New Roman" w:cs="Times New Roman" w:eastAsia="Times New Roman" w:hAnsi="Times New Roman"/>
                <w:sz w:val="28"/>
                <w:szCs w:val="28"/>
                <w:color w:val="auto"/>
                <w:vertAlign w:val="superscript"/>
              </w:rPr>
              <w:t>(3)</w:t>
            </w:r>
          </w:p>
        </w:tc>
        <w:tc>
          <w:tcPr>
            <w:tcW w:w="18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Cannabis REIT</w:t>
            </w:r>
          </w:p>
        </w:tc>
        <w:tc>
          <w:tcPr>
            <w:tcW w:w="16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8/12/2019</w:t>
            </w:r>
          </w:p>
        </w:tc>
        <w:tc>
          <w:tcPr>
            <w:tcW w:w="16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232,133</w:t>
            </w:r>
          </w:p>
        </w:tc>
        <w:tc>
          <w:tcPr>
            <w:tcW w:w="1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4,726,207</w:t>
            </w:r>
          </w:p>
        </w:tc>
        <w:tc>
          <w:tcPr>
            <w:tcW w:w="16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3,133,796</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7"/>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00" w:type="dxa"/>
            <w:vAlign w:val="bottom"/>
            <w:tcBorders>
              <w:bottom w:val="single" w:sz="8" w:color="auto"/>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True Global Ventures 4</w:t>
            </w:r>
          </w:p>
        </w:tc>
        <w:tc>
          <w:tcPr>
            <w:tcW w:w="100" w:type="dxa"/>
            <w:vAlign w:val="bottom"/>
            <w:tcBorders>
              <w:bottom w:val="single" w:sz="8" w:color="CCEEFF"/>
            </w:tcBorders>
            <w:vMerge w:val="restart"/>
            <w:shd w:val="clear" w:color="auto" w:fill="CCEEFF"/>
          </w:tcPr>
          <w:p>
            <w:pPr>
              <w:spacing w:after="0"/>
              <w:rPr>
                <w:sz w:val="15"/>
                <w:szCs w:val="15"/>
                <w:color w:val="auto"/>
              </w:rPr>
            </w:pPr>
          </w:p>
        </w:tc>
        <w:tc>
          <w:tcPr>
            <w:tcW w:w="1800" w:type="dxa"/>
            <w:vAlign w:val="bottom"/>
            <w:tcBorders>
              <w:bottom w:val="single" w:sz="8" w:color="CCEEFF"/>
            </w:tcBorders>
            <w:vMerge w:val="restart"/>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Singapore,</w:t>
            </w:r>
          </w:p>
        </w:tc>
        <w:tc>
          <w:tcPr>
            <w:tcW w:w="16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1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Plus Pte Ltd**</w:t>
            </w:r>
          </w:p>
        </w:tc>
        <w:tc>
          <w:tcPr>
            <w:tcW w:w="180" w:type="dxa"/>
            <w:vAlign w:val="bottom"/>
            <w:gridSpan w:val="4"/>
            <w:vMerge w:val="restart"/>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(8)</w:t>
            </w:r>
          </w:p>
        </w:tc>
        <w:tc>
          <w:tcPr>
            <w:tcW w:w="100" w:type="dxa"/>
            <w:vAlign w:val="bottom"/>
            <w:gridSpan w:val="2"/>
            <w:shd w:val="clear" w:color="auto" w:fill="CCEEFF"/>
          </w:tcPr>
          <w:p>
            <w:pPr>
              <w:spacing w:after="0"/>
              <w:rPr>
                <w:sz w:val="3"/>
                <w:szCs w:val="3"/>
                <w:color w:val="auto"/>
              </w:rPr>
            </w:pPr>
          </w:p>
        </w:tc>
        <w:tc>
          <w:tcPr>
            <w:tcW w:w="380" w:type="dxa"/>
            <w:vAlign w:val="bottom"/>
            <w:gridSpan w:val="3"/>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1800" w:type="dxa"/>
            <w:vAlign w:val="bottom"/>
            <w:vMerge w:val="continue"/>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1140" w:type="dxa"/>
            <w:vAlign w:val="bottom"/>
            <w:tcBorders>
              <w:bottom w:val="single" w:sz="8" w:color="CCEEFF"/>
            </w:tcBorders>
            <w:gridSpan w:val="3"/>
            <w:vMerge w:val="continue"/>
            <w:shd w:val="clear" w:color="auto" w:fill="CCEEFF"/>
          </w:tcPr>
          <w:p>
            <w:pPr>
              <w:spacing w:after="0"/>
              <w:rPr>
                <w:sz w:val="10"/>
                <w:szCs w:val="10"/>
                <w:color w:val="auto"/>
              </w:rPr>
            </w:pPr>
          </w:p>
        </w:tc>
        <w:tc>
          <w:tcPr>
            <w:tcW w:w="180" w:type="dxa"/>
            <w:vAlign w:val="bottom"/>
            <w:tcBorders>
              <w:bottom w:val="single" w:sz="8" w:color="auto"/>
            </w:tcBorders>
            <w:gridSpan w:val="4"/>
            <w:vMerge w:val="continue"/>
            <w:shd w:val="clear" w:color="auto" w:fill="CCEEFF"/>
          </w:tcPr>
          <w:p>
            <w:pPr>
              <w:spacing w:after="0"/>
              <w:rPr>
                <w:sz w:val="10"/>
                <w:szCs w:val="10"/>
                <w:color w:val="auto"/>
              </w:rPr>
            </w:pPr>
          </w:p>
        </w:tc>
        <w:tc>
          <w:tcPr>
            <w:tcW w:w="100" w:type="dxa"/>
            <w:vAlign w:val="bottom"/>
            <w:tcBorders>
              <w:bottom w:val="single" w:sz="8" w:color="CCEEFF"/>
            </w:tcBorders>
            <w:gridSpan w:val="2"/>
            <w:vMerge w:val="restart"/>
            <w:shd w:val="clear" w:color="auto" w:fill="CCEEFF"/>
          </w:tcPr>
          <w:p>
            <w:pPr>
              <w:spacing w:after="0"/>
              <w:rPr>
                <w:sz w:val="10"/>
                <w:szCs w:val="10"/>
                <w:color w:val="auto"/>
              </w:rPr>
            </w:pPr>
          </w:p>
        </w:tc>
        <w:tc>
          <w:tcPr>
            <w:tcW w:w="480" w:type="dxa"/>
            <w:vAlign w:val="bottom"/>
            <w:tcBorders>
              <w:bottom w:val="single" w:sz="8" w:color="CCEEFF"/>
            </w:tcBorders>
            <w:gridSpan w:val="4"/>
            <w:vMerge w:val="restart"/>
            <w:shd w:val="clear" w:color="auto" w:fill="CCEEFF"/>
          </w:tcPr>
          <w:p>
            <w:pPr>
              <w:spacing w:after="0"/>
              <w:rPr>
                <w:sz w:val="10"/>
                <w:szCs w:val="10"/>
                <w:color w:val="auto"/>
              </w:rPr>
            </w:pPr>
          </w:p>
        </w:tc>
        <w:tc>
          <w:tcPr>
            <w:tcW w:w="1800" w:type="dxa"/>
            <w:vAlign w:val="bottom"/>
            <w:tcBorders>
              <w:bottom w:val="single" w:sz="8" w:color="CCEEFF"/>
            </w:tcBorders>
            <w:vMerge w:val="restart"/>
            <w:shd w:val="clear" w:color="auto" w:fill="CCEEFF"/>
          </w:tcPr>
          <w:p>
            <w:pPr>
              <w:jc w:val="center"/>
              <w:ind w:right="90"/>
              <w:spacing w:after="0" w:line="194" w:lineRule="exact"/>
              <w:rPr>
                <w:sz w:val="20"/>
                <w:szCs w:val="20"/>
                <w:color w:val="auto"/>
              </w:rPr>
            </w:pPr>
            <w:r>
              <w:rPr>
                <w:rFonts w:ascii="Times New Roman" w:cs="Times New Roman" w:eastAsia="Times New Roman" w:hAnsi="Times New Roman"/>
                <w:sz w:val="18"/>
                <w:szCs w:val="18"/>
                <w:color w:val="auto"/>
              </w:rPr>
              <w:t>Singapore</w:t>
            </w:r>
          </w:p>
        </w:tc>
        <w:tc>
          <w:tcPr>
            <w:tcW w:w="1660" w:type="dxa"/>
            <w:vAlign w:val="bottom"/>
            <w:tcBorders>
              <w:bottom w:val="single" w:sz="8" w:color="CCEEFF"/>
            </w:tcBorders>
            <w:shd w:val="clear" w:color="auto" w:fill="CCEEFF"/>
          </w:tcPr>
          <w:p>
            <w:pPr>
              <w:spacing w:after="0"/>
              <w:rPr>
                <w:sz w:val="10"/>
                <w:szCs w:val="10"/>
                <w:color w:val="auto"/>
              </w:rPr>
            </w:pPr>
          </w:p>
        </w:tc>
        <w:tc>
          <w:tcPr>
            <w:tcW w:w="164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c>
          <w:tcPr>
            <w:tcW w:w="16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140" w:type="dxa"/>
            <w:vAlign w:val="bottom"/>
            <w:tcBorders>
              <w:bottom w:val="single" w:sz="8" w:color="auto"/>
            </w:tcBorders>
            <w:gridSpan w:val="3"/>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gridSpan w:val="2"/>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480" w:type="dxa"/>
            <w:vAlign w:val="bottom"/>
            <w:tcBorders>
              <w:bottom w:val="single" w:sz="8" w:color="CCEEFF"/>
            </w:tcBorders>
            <w:gridSpan w:val="4"/>
            <w:vMerge w:val="continue"/>
            <w:shd w:val="clear" w:color="auto" w:fill="CCEEFF"/>
          </w:tcPr>
          <w:p>
            <w:pPr>
              <w:spacing w:after="0"/>
              <w:rPr>
                <w:sz w:val="5"/>
                <w:szCs w:val="5"/>
                <w:color w:val="auto"/>
              </w:rPr>
            </w:pPr>
          </w:p>
        </w:tc>
        <w:tc>
          <w:tcPr>
            <w:tcW w:w="1800" w:type="dxa"/>
            <w:vAlign w:val="bottom"/>
            <w:tcBorders>
              <w:bottom w:val="single" w:sz="8" w:color="CCEEFF"/>
            </w:tcBorders>
            <w:vMerge w:val="continue"/>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1640" w:type="dxa"/>
            <w:vAlign w:val="bottom"/>
            <w:tcBorders>
              <w:bottom w:val="single" w:sz="8" w:color="CCEEFF"/>
            </w:tcBorders>
            <w:shd w:val="clear" w:color="auto" w:fill="CCEEFF"/>
          </w:tcPr>
          <w:p>
            <w:pPr>
              <w:spacing w:after="0"/>
              <w:rPr>
                <w:sz w:val="5"/>
                <w:szCs w:val="5"/>
                <w:color w:val="auto"/>
              </w:rPr>
            </w:pPr>
          </w:p>
        </w:tc>
        <w:tc>
          <w:tcPr>
            <w:tcW w:w="1540" w:type="dxa"/>
            <w:vAlign w:val="bottom"/>
            <w:tcBorders>
              <w:bottom w:val="single" w:sz="8" w:color="CCEEFF"/>
            </w:tcBorders>
            <w:shd w:val="clear" w:color="auto" w:fill="CCEEFF"/>
          </w:tcPr>
          <w:p>
            <w:pPr>
              <w:spacing w:after="0"/>
              <w:rPr>
                <w:sz w:val="5"/>
                <w:szCs w:val="5"/>
                <w:color w:val="auto"/>
              </w:rPr>
            </w:pPr>
          </w:p>
        </w:tc>
        <w:tc>
          <w:tcPr>
            <w:tcW w:w="168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900" w:type="dxa"/>
            <w:vAlign w:val="bottom"/>
            <w:tcBorders>
              <w:top w:val="single" w:sz="8" w:color="CCEEFF"/>
            </w:tcBorders>
            <w:gridSpan w:val="13"/>
          </w:tcPr>
          <w:p>
            <w:pPr>
              <w:spacing w:after="0" w:line="198" w:lineRule="exact"/>
              <w:rPr>
                <w:sz w:val="20"/>
                <w:szCs w:val="20"/>
                <w:color w:val="auto"/>
              </w:rPr>
            </w:pPr>
            <w:r>
              <w:rPr>
                <w:rFonts w:ascii="Times New Roman" w:cs="Times New Roman" w:eastAsia="Times New Roman" w:hAnsi="Times New Roman"/>
                <w:sz w:val="18"/>
                <w:szCs w:val="18"/>
                <w:color w:val="auto"/>
              </w:rPr>
              <w:t>Limited Partner Fund</w:t>
            </w:r>
          </w:p>
        </w:tc>
        <w:tc>
          <w:tcPr>
            <w:tcW w:w="1800" w:type="dxa"/>
            <w:vAlign w:val="bottom"/>
            <w:tcBorders>
              <w:top w:val="single" w:sz="8" w:color="CCEEFF"/>
            </w:tcBorders>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Venture Investment</w:t>
            </w:r>
          </w:p>
        </w:tc>
        <w:tc>
          <w:tcPr>
            <w:tcW w:w="166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Investment</w:t>
            </w: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Fund</w:t>
            </w:r>
          </w:p>
        </w:tc>
        <w:tc>
          <w:tcPr>
            <w:tcW w:w="16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8/27/2021</w:t>
            </w: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3,063,358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1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PayJoy, Inc.</w:t>
            </w:r>
          </w:p>
        </w:tc>
        <w:tc>
          <w:tcPr>
            <w:tcW w:w="1800" w:type="dxa"/>
            <w:vAlign w:val="bottom"/>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16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Mobile Access</w:t>
            </w:r>
          </w:p>
        </w:tc>
        <w:tc>
          <w:tcPr>
            <w:tcW w:w="166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Technology</w:t>
            </w:r>
          </w:p>
        </w:tc>
        <w:tc>
          <w:tcPr>
            <w:tcW w:w="16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7/23/2021</w:t>
            </w: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244,117</w:t>
            </w: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2,501,570</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2,500,002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75"/>
        </w:trPr>
        <w:tc>
          <w:tcPr>
            <w:tcW w:w="1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Skillsoft Corp.**</w:t>
            </w:r>
          </w:p>
        </w:tc>
        <w:tc>
          <w:tcPr>
            <w:tcW w:w="1800" w:type="dxa"/>
            <w:vAlign w:val="bottom"/>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Nashua, NH</w:t>
            </w:r>
          </w:p>
        </w:tc>
        <w:tc>
          <w:tcPr>
            <w:tcW w:w="16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900" w:type="dxa"/>
            <w:vAlign w:val="bottom"/>
            <w:gridSpan w:val="13"/>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6/8/2021</w:t>
            </w: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981,843</w:t>
            </w: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9,818,430</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1,796,773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Aventine Property</w:t>
            </w:r>
          </w:p>
        </w:tc>
        <w:tc>
          <w:tcPr>
            <w:tcW w:w="480" w:type="dxa"/>
            <w:vAlign w:val="bottom"/>
            <w:tcBorders>
              <w:bottom w:val="single" w:sz="8" w:color="CCEEFF"/>
            </w:tcBorders>
            <w:gridSpan w:val="4"/>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0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Group, Inc.</w:t>
            </w:r>
          </w:p>
        </w:tc>
        <w:tc>
          <w:tcPr>
            <w:tcW w:w="26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87"/>
              </w:rPr>
              <w:t>(11)</w:t>
            </w:r>
          </w:p>
        </w:tc>
        <w:tc>
          <w:tcPr>
            <w:tcW w:w="740" w:type="dxa"/>
            <w:vAlign w:val="bottom"/>
            <w:tcBorders>
              <w:bottom w:val="single" w:sz="8" w:color="CCEEFF"/>
            </w:tcBorders>
            <w:gridSpan w:val="9"/>
            <w:vMerge w:val="restart"/>
            <w:shd w:val="clear" w:color="auto" w:fill="CCEEFF"/>
          </w:tcPr>
          <w:p>
            <w:pPr>
              <w:spacing w:after="0"/>
              <w:rPr>
                <w:sz w:val="14"/>
                <w:szCs w:val="14"/>
                <w:color w:val="auto"/>
              </w:rPr>
            </w:pPr>
          </w:p>
        </w:tc>
        <w:tc>
          <w:tcPr>
            <w:tcW w:w="1800" w:type="dxa"/>
            <w:vAlign w:val="bottom"/>
            <w:tcBorders>
              <w:bottom w:val="single" w:sz="8" w:color="CCEEFF"/>
            </w:tcBorders>
            <w:vMerge w:val="restart"/>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Chicago, IL</w:t>
            </w:r>
          </w:p>
        </w:tc>
        <w:tc>
          <w:tcPr>
            <w:tcW w:w="166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900" w:type="dxa"/>
            <w:vAlign w:val="bottom"/>
            <w:tcBorders>
              <w:bottom w:val="single" w:sz="8" w:color="auto"/>
            </w:tcBorders>
            <w:vMerge w:val="continue"/>
            <w:shd w:val="clear" w:color="auto" w:fill="CCEEFF"/>
          </w:tcPr>
          <w:p>
            <w:pPr>
              <w:spacing w:after="0"/>
              <w:rPr>
                <w:sz w:val="5"/>
                <w:szCs w:val="5"/>
                <w:color w:val="auto"/>
              </w:rPr>
            </w:pPr>
          </w:p>
        </w:tc>
        <w:tc>
          <w:tcPr>
            <w:tcW w:w="260" w:type="dxa"/>
            <w:vAlign w:val="bottom"/>
            <w:tcBorders>
              <w:bottom w:val="single" w:sz="8" w:color="CCEEFF"/>
            </w:tcBorders>
            <w:gridSpan w:val="3"/>
            <w:shd w:val="clear" w:color="auto" w:fill="CCEEFF"/>
          </w:tcPr>
          <w:p>
            <w:pPr>
              <w:spacing w:after="0"/>
              <w:rPr>
                <w:sz w:val="5"/>
                <w:szCs w:val="5"/>
                <w:color w:val="auto"/>
              </w:rPr>
            </w:pPr>
          </w:p>
        </w:tc>
        <w:tc>
          <w:tcPr>
            <w:tcW w:w="740" w:type="dxa"/>
            <w:vAlign w:val="bottom"/>
            <w:tcBorders>
              <w:bottom w:val="single" w:sz="8" w:color="CCEEFF"/>
            </w:tcBorders>
            <w:gridSpan w:val="9"/>
            <w:vMerge w:val="continue"/>
            <w:shd w:val="clear" w:color="auto" w:fill="CCEEFF"/>
          </w:tcPr>
          <w:p>
            <w:pPr>
              <w:spacing w:after="0"/>
              <w:rPr>
                <w:sz w:val="5"/>
                <w:szCs w:val="5"/>
                <w:color w:val="auto"/>
              </w:rPr>
            </w:pPr>
          </w:p>
        </w:tc>
        <w:tc>
          <w:tcPr>
            <w:tcW w:w="1800" w:type="dxa"/>
            <w:vAlign w:val="bottom"/>
            <w:tcBorders>
              <w:bottom w:val="single" w:sz="8" w:color="CCEEFF"/>
            </w:tcBorders>
            <w:vMerge w:val="continue"/>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1640" w:type="dxa"/>
            <w:vAlign w:val="bottom"/>
            <w:tcBorders>
              <w:bottom w:val="single" w:sz="8" w:color="CCEEFF"/>
            </w:tcBorders>
            <w:shd w:val="clear" w:color="auto" w:fill="CCEEFF"/>
          </w:tcPr>
          <w:p>
            <w:pPr>
              <w:spacing w:after="0"/>
              <w:rPr>
                <w:sz w:val="5"/>
                <w:szCs w:val="5"/>
                <w:color w:val="auto"/>
              </w:rPr>
            </w:pPr>
          </w:p>
        </w:tc>
        <w:tc>
          <w:tcPr>
            <w:tcW w:w="1540" w:type="dxa"/>
            <w:vAlign w:val="bottom"/>
            <w:tcBorders>
              <w:bottom w:val="single" w:sz="8" w:color="CCEEFF"/>
            </w:tcBorders>
            <w:shd w:val="clear" w:color="auto" w:fill="CCEEFF"/>
          </w:tcPr>
          <w:p>
            <w:pPr>
              <w:spacing w:after="0"/>
              <w:rPr>
                <w:sz w:val="5"/>
                <w:szCs w:val="5"/>
                <w:color w:val="auto"/>
              </w:rPr>
            </w:pPr>
          </w:p>
        </w:tc>
        <w:tc>
          <w:tcPr>
            <w:tcW w:w="168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94"/>
        </w:trPr>
        <w:tc>
          <w:tcPr>
            <w:tcW w:w="1900" w:type="dxa"/>
            <w:vAlign w:val="bottom"/>
            <w:tcBorders>
              <w:top w:val="single" w:sz="8" w:color="CCEEFF"/>
            </w:tcBorders>
            <w:gridSpan w:val="13"/>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w:t>
            </w:r>
          </w:p>
        </w:tc>
        <w:tc>
          <w:tcPr>
            <w:tcW w:w="1800" w:type="dxa"/>
            <w:vAlign w:val="bottom"/>
            <w:tcBorders>
              <w:top w:val="single" w:sz="8" w:color="CCEEFF"/>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Cannabis REIT</w:t>
            </w:r>
          </w:p>
        </w:tc>
        <w:tc>
          <w:tcPr>
            <w:tcW w:w="1660" w:type="dxa"/>
            <w:vAlign w:val="bottom"/>
            <w:tcBorders>
              <w:top w:val="single" w:sz="8" w:color="CCEEFF"/>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9/11/2019</w:t>
            </w:r>
          </w:p>
        </w:tc>
        <w:tc>
          <w:tcPr>
            <w:tcW w:w="1640" w:type="dxa"/>
            <w:vAlign w:val="bottom"/>
            <w:tcBorders>
              <w:top w:val="single" w:sz="8" w:color="CCEE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312,500</w:t>
            </w:r>
          </w:p>
        </w:tc>
        <w:tc>
          <w:tcPr>
            <w:tcW w:w="1540" w:type="dxa"/>
            <w:vAlign w:val="bottom"/>
            <w:tcBorders>
              <w:top w:val="single" w:sz="8" w:color="CCEE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2,580,750</w:t>
            </w:r>
          </w:p>
        </w:tc>
        <w:tc>
          <w:tcPr>
            <w:tcW w:w="1680" w:type="dxa"/>
            <w:vAlign w:val="bottom"/>
            <w:tcBorders>
              <w:top w:val="single" w:sz="8" w:color="CCEEFF"/>
            </w:tcBorders>
          </w:tcPr>
          <w:p>
            <w:pPr>
              <w:jc w:val="right"/>
              <w:ind w:right="470"/>
              <w:spacing w:after="0"/>
              <w:rPr>
                <w:sz w:val="20"/>
                <w:szCs w:val="20"/>
                <w:color w:val="auto"/>
              </w:rPr>
            </w:pPr>
            <w:r>
              <w:rPr>
                <w:rFonts w:ascii="Times New Roman" w:cs="Times New Roman" w:eastAsia="Times New Roman" w:hAnsi="Times New Roman"/>
                <w:sz w:val="18"/>
                <w:szCs w:val="18"/>
                <w:color w:val="auto"/>
              </w:rPr>
              <w:t>1,602,490</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of Initial</w:t>
            </w:r>
          </w:p>
        </w:tc>
        <w:tc>
          <w:tcPr>
            <w:tcW w:w="2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200" w:type="dxa"/>
            <w:vAlign w:val="bottom"/>
          </w:tcPr>
          <w:p>
            <w:pPr>
              <w:spacing w:after="0"/>
              <w:rPr>
                <w:sz w:val="21"/>
                <w:szCs w:val="21"/>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96"/>
        </w:trPr>
        <w:tc>
          <w:tcPr>
            <w:tcW w:w="1580" w:type="dxa"/>
            <w:vAlign w:val="bottom"/>
            <w:tcBorders>
              <w:top w:val="single" w:sz="8" w:color="auto"/>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Varo Money, Inc.**</w:t>
            </w: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320" w:type="dxa"/>
            <w:vAlign w:val="bottom"/>
            <w:tcBorders>
              <w:top w:val="single" w:sz="8" w:color="CCEEFF"/>
            </w:tcBorders>
            <w:gridSpan w:val="5"/>
          </w:tcPr>
          <w:p>
            <w:pPr>
              <w:spacing w:after="0"/>
              <w:rPr>
                <w:sz w:val="18"/>
                <w:szCs w:val="18"/>
                <w:color w:val="auto"/>
              </w:rPr>
            </w:pPr>
          </w:p>
        </w:tc>
        <w:tc>
          <w:tcPr>
            <w:tcW w:w="168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14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1,079,266</w:t>
            </w:r>
          </w:p>
        </w:tc>
        <w:tc>
          <w:tcPr>
            <w:tcW w:w="156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10,005,548</w:t>
            </w:r>
          </w:p>
        </w:tc>
        <w:tc>
          <w:tcPr>
            <w:tcW w:w="13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1,456,486</w:t>
            </w: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175"/>
        </w:trPr>
        <w:tc>
          <w:tcPr>
            <w:tcW w:w="960" w:type="dxa"/>
            <w:vAlign w:val="bottom"/>
            <w:tcBorders>
              <w:bottom w:val="single" w:sz="8" w:color="auto"/>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860" w:type="dxa"/>
            <w:vAlign w:val="bottom"/>
            <w:tcBorders>
              <w:bottom w:val="single" w:sz="8" w:color="CCEEFF"/>
            </w:tcBorders>
            <w:gridSpan w:val="16"/>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auto"/>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Streaming Solutions</w:t>
            </w: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Inc. (d/b/a</w:t>
            </w:r>
          </w:p>
        </w:tc>
        <w:tc>
          <w:tcPr>
            <w:tcW w:w="1020" w:type="dxa"/>
            <w:vAlign w:val="bottom"/>
            <w:tcBorders>
              <w:bottom w:val="single" w:sz="8" w:color="CCEEFF"/>
            </w:tcBorders>
            <w:gridSpan w:val="21"/>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40" w:type="dxa"/>
            <w:vAlign w:val="bottom"/>
            <w:tcBorders>
              <w:bottom w:val="single" w:sz="8" w:color="CCEEFF"/>
            </w:tcBorders>
            <w:gridSpan w:val="11"/>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rPr>
              <w:t>BettorView)</w:t>
            </w:r>
          </w:p>
        </w:tc>
        <w:tc>
          <w:tcPr>
            <w:tcW w:w="180" w:type="dxa"/>
            <w:vAlign w:val="bottom"/>
            <w:tcBorders>
              <w:bottom w:val="single" w:sz="8" w:color="auto"/>
            </w:tcBorders>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right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gridSpan w:val="2"/>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80" w:type="dxa"/>
            <w:vAlign w:val="bottom"/>
            <w:tcBorders>
              <w:bottom w:val="single" w:sz="8" w:color="CCEEFF"/>
            </w:tcBorders>
            <w:gridSpan w:val="3"/>
            <w:vMerge w:val="restart"/>
            <w:shd w:val="clear" w:color="auto" w:fill="CCEEFF"/>
          </w:tcPr>
          <w:p>
            <w:pPr>
              <w:spacing w:after="0"/>
              <w:rPr>
                <w:sz w:val="14"/>
                <w:szCs w:val="14"/>
                <w:color w:val="auto"/>
              </w:rPr>
            </w:pPr>
          </w:p>
        </w:tc>
        <w:tc>
          <w:tcPr>
            <w:tcW w:w="16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Las Vegas, NV</w:t>
            </w:r>
          </w:p>
        </w:tc>
        <w:tc>
          <w:tcPr>
            <w:tcW w:w="14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940" w:type="dxa"/>
            <w:vAlign w:val="bottom"/>
            <w:tcBorders>
              <w:bottom w:val="single" w:sz="8" w:color="auto"/>
            </w:tcBorders>
            <w:gridSpan w:val="11"/>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80" w:type="dxa"/>
            <w:vAlign w:val="bottom"/>
            <w:tcBorders>
              <w:bottom w:val="single" w:sz="8" w:color="CCEEFF"/>
            </w:tcBorders>
            <w:gridSpan w:val="3"/>
            <w:vMerge w:val="continue"/>
            <w:shd w:val="clear" w:color="auto" w:fill="CCEEFF"/>
          </w:tcPr>
          <w:p>
            <w:pPr>
              <w:spacing w:after="0"/>
              <w:rPr>
                <w:sz w:val="5"/>
                <w:szCs w:val="5"/>
                <w:color w:val="auto"/>
              </w:rPr>
            </w:pPr>
          </w:p>
        </w:tc>
        <w:tc>
          <w:tcPr>
            <w:tcW w:w="1680" w:type="dxa"/>
            <w:vAlign w:val="bottom"/>
            <w:tcBorders>
              <w:bottom w:val="single" w:sz="8" w:color="CCEEFF"/>
            </w:tcBorders>
            <w:gridSpan w:val="2"/>
            <w:vMerge w:val="continue"/>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820" w:type="dxa"/>
            <w:vAlign w:val="bottom"/>
            <w:tcBorders>
              <w:top w:val="single" w:sz="8" w:color="CCEEFF"/>
            </w:tcBorders>
            <w:gridSpan w:val="28"/>
          </w:tcPr>
          <w:p>
            <w:pPr>
              <w:spacing w:after="0" w:line="198" w:lineRule="exact"/>
              <w:rPr>
                <w:sz w:val="20"/>
                <w:szCs w:val="20"/>
                <w:color w:val="auto"/>
              </w:rPr>
            </w:pPr>
            <w:r>
              <w:rPr>
                <w:rFonts w:ascii="Times New Roman" w:cs="Times New Roman" w:eastAsia="Times New Roman" w:hAnsi="Times New Roman"/>
                <w:sz w:val="18"/>
                <w:szCs w:val="18"/>
                <w:color w:val="auto"/>
              </w:rPr>
              <w:t>Simple Agreement</w:t>
            </w:r>
          </w:p>
        </w:tc>
        <w:tc>
          <w:tcPr>
            <w:tcW w:w="1680" w:type="dxa"/>
            <w:vAlign w:val="bottom"/>
            <w:tcBorders>
              <w:top w:val="single" w:sz="8" w:color="CCEEFF"/>
            </w:tcBorders>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Interactive Media</w:t>
            </w:r>
          </w:p>
        </w:tc>
        <w:tc>
          <w:tcPr>
            <w:tcW w:w="1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for Future Equity</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&amp; Services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1,004,240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176"/>
        </w:trPr>
        <w:tc>
          <w:tcPr>
            <w:tcW w:w="18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Rebric, Inc. (d/b/a</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auto"/>
              <w:bottom w:val="single" w:sz="8" w:color="auto"/>
            </w:tcBorders>
            <w:gridSpan w:val="1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Compliable)</w:t>
            </w:r>
          </w:p>
        </w:tc>
        <w:tc>
          <w:tcPr>
            <w:tcW w:w="200" w:type="dxa"/>
            <w:vAlign w:val="bottom"/>
            <w:tcBorders>
              <w:top w:val="single" w:sz="8" w:color="auto"/>
              <w:bottom w:val="single" w:sz="8" w:color="auto"/>
            </w:tcBorders>
            <w:gridSpan w:val="6"/>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60" w:type="dxa"/>
            <w:vAlign w:val="bottom"/>
            <w:tcBorders>
              <w:top w:val="single" w:sz="8" w:color="auto"/>
              <w:bottom w:val="single" w:sz="8" w:color="auto"/>
              <w:right w:val="single" w:sz="8" w:color="CCEEFF"/>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280" w:type="dxa"/>
            <w:vAlign w:val="bottom"/>
            <w:tcBorders>
              <w:top w:val="single" w:sz="8" w:color="CCEEFF"/>
              <w:bottom w:val="single" w:sz="8" w:color="CCEEFF"/>
            </w:tcBorders>
            <w:gridSpan w:val="3"/>
            <w:vMerge w:val="restart"/>
            <w:shd w:val="clear" w:color="auto" w:fill="CCEEFF"/>
          </w:tcPr>
          <w:p>
            <w:pPr>
              <w:spacing w:after="0"/>
              <w:rPr>
                <w:sz w:val="14"/>
                <w:szCs w:val="14"/>
                <w:color w:val="auto"/>
              </w:rPr>
            </w:pPr>
          </w:p>
        </w:tc>
        <w:tc>
          <w:tcPr>
            <w:tcW w:w="1680" w:type="dxa"/>
            <w:vAlign w:val="bottom"/>
            <w:tcBorders>
              <w:top w:val="single" w:sz="8" w:color="CCEEFF"/>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Denver, CO</w:t>
            </w:r>
          </w:p>
        </w:tc>
        <w:tc>
          <w:tcPr>
            <w:tcW w:w="14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960" w:type="dxa"/>
            <w:vAlign w:val="bottom"/>
            <w:tcBorders>
              <w:bottom w:val="single" w:sz="8" w:color="auto"/>
            </w:tcBorders>
            <w:gridSpan w:val="12"/>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gridSpan w:val="2"/>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80" w:type="dxa"/>
            <w:vAlign w:val="bottom"/>
            <w:tcBorders>
              <w:bottom w:val="single" w:sz="8" w:color="CCEEFF"/>
            </w:tcBorders>
            <w:gridSpan w:val="3"/>
            <w:vMerge w:val="continue"/>
            <w:shd w:val="clear" w:color="auto" w:fill="CCEEFF"/>
          </w:tcPr>
          <w:p>
            <w:pPr>
              <w:spacing w:after="0"/>
              <w:rPr>
                <w:sz w:val="5"/>
                <w:szCs w:val="5"/>
                <w:color w:val="auto"/>
              </w:rPr>
            </w:pPr>
          </w:p>
        </w:tc>
        <w:tc>
          <w:tcPr>
            <w:tcW w:w="1680" w:type="dxa"/>
            <w:vAlign w:val="bottom"/>
            <w:tcBorders>
              <w:bottom w:val="single" w:sz="8" w:color="CCEEFF"/>
            </w:tcBorders>
            <w:gridSpan w:val="2"/>
            <w:vMerge w:val="continue"/>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820" w:type="dxa"/>
            <w:vAlign w:val="bottom"/>
            <w:tcBorders>
              <w:top w:val="single" w:sz="8" w:color="CCEEFF"/>
            </w:tcBorders>
            <w:gridSpan w:val="28"/>
          </w:tcPr>
          <w:p>
            <w:pPr>
              <w:spacing w:after="0" w:line="198" w:lineRule="exact"/>
              <w:rPr>
                <w:sz w:val="20"/>
                <w:szCs w:val="20"/>
                <w:color w:val="auto"/>
              </w:rPr>
            </w:pPr>
            <w:r>
              <w:rPr>
                <w:rFonts w:ascii="Times New Roman" w:cs="Times New Roman" w:eastAsia="Times New Roman" w:hAnsi="Times New Roman"/>
                <w:sz w:val="18"/>
                <w:szCs w:val="18"/>
                <w:color w:val="auto"/>
              </w:rPr>
              <w:t>Preferred shares,</w:t>
            </w:r>
          </w:p>
        </w:tc>
        <w:tc>
          <w:tcPr>
            <w:tcW w:w="1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Series Seed-4</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Gaming Licensing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10/12/2021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2,064,409</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1,002,755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175"/>
        </w:trPr>
        <w:tc>
          <w:tcPr>
            <w:tcW w:w="18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Xgroup Holdings</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tcBorders>
              <w:bottom w:val="single" w:sz="8" w:color="CCEEFF"/>
            </w:tcBorders>
            <w:gridSpan w:val="6"/>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920" w:type="dxa"/>
            <w:vAlign w:val="bottom"/>
            <w:tcBorders>
              <w:bottom w:val="single" w:sz="8" w:color="auto"/>
            </w:tcBorders>
            <w:gridSpan w:val="19"/>
            <w:shd w:val="clear" w:color="auto" w:fill="CCEEFF"/>
          </w:tcPr>
          <w:p>
            <w:pPr>
              <w:jc w:val="center"/>
              <w:ind w:right="20"/>
              <w:spacing w:after="0" w:line="156" w:lineRule="exact"/>
              <w:rPr>
                <w:sz w:val="20"/>
                <w:szCs w:val="20"/>
                <w:color w:val="auto"/>
              </w:rPr>
            </w:pPr>
            <w:r>
              <w:rPr>
                <w:rFonts w:ascii="Times New Roman" w:cs="Times New Roman" w:eastAsia="Times New Roman" w:hAnsi="Times New Roman"/>
                <w:sz w:val="15"/>
                <w:szCs w:val="15"/>
                <w:b w:val="1"/>
                <w:bCs w:val="1"/>
                <w:color w:val="auto"/>
                <w:w w:val="99"/>
              </w:rPr>
              <w:t>(d/b/a Xpoint)</w:t>
            </w:r>
          </w:p>
        </w:tc>
        <w:tc>
          <w:tcPr>
            <w:tcW w:w="280" w:type="dxa"/>
            <w:vAlign w:val="bottom"/>
            <w:tcBorders>
              <w:bottom w:val="single" w:sz="8" w:color="CCEEFF"/>
            </w:tcBorders>
            <w:gridSpan w:val="3"/>
            <w:vMerge w:val="restart"/>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20" w:type="dxa"/>
            <w:vAlign w:val="bottom"/>
            <w:tcBorders>
              <w:bottom w:val="single" w:sz="8" w:color="auto"/>
            </w:tcBorders>
            <w:gridSpan w:val="6"/>
            <w:vMerge w:val="continue"/>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gridSpan w:val="3"/>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gridSpan w:val="2"/>
            <w:shd w:val="clear" w:color="auto" w:fill="CCEEFF"/>
          </w:tcPr>
          <w:p>
            <w:pPr>
              <w:spacing w:after="0"/>
              <w:rPr>
                <w:sz w:val="4"/>
                <w:szCs w:val="4"/>
                <w:color w:val="auto"/>
              </w:rPr>
            </w:pPr>
          </w:p>
        </w:tc>
        <w:tc>
          <w:tcPr>
            <w:tcW w:w="80" w:type="dxa"/>
            <w:vAlign w:val="bottom"/>
            <w:tcBorders>
              <w:bottom w:val="single" w:sz="8" w:color="CCEEFF"/>
            </w:tcBorders>
            <w:gridSpan w:val="2"/>
            <w:shd w:val="clear" w:color="auto" w:fill="CCEEFF"/>
          </w:tcPr>
          <w:p>
            <w:pPr>
              <w:spacing w:after="0"/>
              <w:rPr>
                <w:sz w:val="4"/>
                <w:szCs w:val="4"/>
                <w:color w:val="auto"/>
              </w:rPr>
            </w:pPr>
          </w:p>
        </w:tc>
        <w:tc>
          <w:tcPr>
            <w:tcW w:w="160" w:type="dxa"/>
            <w:vAlign w:val="bottom"/>
            <w:tcBorders>
              <w:bottom w:val="single" w:sz="8" w:color="CCEEFF"/>
              <w:right w:val="single" w:sz="8" w:color="CCEEFF"/>
            </w:tcBorders>
            <w:shd w:val="clear" w:color="auto" w:fill="CCEEFF"/>
          </w:tcPr>
          <w:p>
            <w:pPr>
              <w:spacing w:after="0"/>
              <w:rPr>
                <w:sz w:val="4"/>
                <w:szCs w:val="4"/>
                <w:color w:val="auto"/>
              </w:rPr>
            </w:pPr>
          </w:p>
        </w:tc>
        <w:tc>
          <w:tcPr>
            <w:tcW w:w="40" w:type="dxa"/>
            <w:vAlign w:val="bottom"/>
            <w:tcBorders>
              <w:bottom w:val="single" w:sz="8" w:color="CCEEFF"/>
            </w:tcBorders>
            <w:gridSpan w:val="2"/>
            <w:shd w:val="clear" w:color="auto" w:fill="CCEEFF"/>
          </w:tcPr>
          <w:p>
            <w:pPr>
              <w:spacing w:after="0"/>
              <w:rPr>
                <w:sz w:val="4"/>
                <w:szCs w:val="4"/>
                <w:color w:val="auto"/>
              </w:rPr>
            </w:pPr>
          </w:p>
        </w:tc>
        <w:tc>
          <w:tcPr>
            <w:tcW w:w="10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gridSpan w:val="3"/>
            <w:vMerge w:val="continue"/>
            <w:shd w:val="clear" w:color="auto" w:fill="CCEEFF"/>
          </w:tcPr>
          <w:p>
            <w:pPr>
              <w:spacing w:after="0"/>
              <w:rPr>
                <w:sz w:val="4"/>
                <w:szCs w:val="4"/>
                <w:color w:val="auto"/>
              </w:rPr>
            </w:pPr>
          </w:p>
        </w:tc>
        <w:tc>
          <w:tcPr>
            <w:tcW w:w="168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Dubai, UAE</w:t>
            </w:r>
          </w:p>
        </w:tc>
        <w:tc>
          <w:tcPr>
            <w:tcW w:w="14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vMerge w:val="continue"/>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820" w:type="dxa"/>
            <w:vAlign w:val="bottom"/>
            <w:gridSpan w:val="28"/>
          </w:tcPr>
          <w:p>
            <w:pPr>
              <w:spacing w:after="0" w:line="198" w:lineRule="exact"/>
              <w:rPr>
                <w:sz w:val="20"/>
                <w:szCs w:val="20"/>
                <w:color w:val="auto"/>
              </w:rPr>
            </w:pPr>
            <w:r>
              <w:rPr>
                <w:rFonts w:ascii="Times New Roman" w:cs="Times New Roman" w:eastAsia="Times New Roman" w:hAnsi="Times New Roman"/>
                <w:sz w:val="18"/>
                <w:szCs w:val="18"/>
                <w:color w:val="auto"/>
              </w:rPr>
              <w:t>Convertible Note 6%,</w:t>
            </w:r>
          </w:p>
        </w:tc>
        <w:tc>
          <w:tcPr>
            <w:tcW w:w="16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Geolocation</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Due 8/17/2023 ***</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Technology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8/17/2022</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1,009,093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175"/>
        </w:trPr>
        <w:tc>
          <w:tcPr>
            <w:tcW w:w="18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Rent the Runway,</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00" w:type="dxa"/>
            <w:vAlign w:val="bottom"/>
            <w:tcBorders>
              <w:top w:val="single" w:sz="8" w:color="auto"/>
              <w:bottom w:val="single" w:sz="8" w:color="auto"/>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880" w:type="dxa"/>
            <w:vAlign w:val="bottom"/>
            <w:tcBorders>
              <w:top w:val="single" w:sz="8" w:color="auto"/>
              <w:bottom w:val="single" w:sz="8" w:color="CCEEFF"/>
              <w:right w:val="single" w:sz="8" w:color="CCEEFF"/>
            </w:tcBorders>
            <w:gridSpan w:val="16"/>
            <w:shd w:val="clear" w:color="auto" w:fill="CCEEFF"/>
          </w:tcPr>
          <w:p>
            <w:pPr>
              <w:spacing w:after="0"/>
              <w:rPr>
                <w:sz w:val="21"/>
                <w:szCs w:val="21"/>
                <w:color w:val="auto"/>
              </w:rPr>
            </w:pPr>
          </w:p>
        </w:tc>
        <w:tc>
          <w:tcPr>
            <w:tcW w:w="440" w:type="dxa"/>
            <w:vAlign w:val="bottom"/>
            <w:tcBorders>
              <w:top w:val="single" w:sz="8" w:color="CCEEFF"/>
              <w:bottom w:val="single" w:sz="8" w:color="CCEEFF"/>
            </w:tcBorders>
            <w:gridSpan w:val="8"/>
            <w:shd w:val="clear" w:color="auto" w:fill="CCEEFF"/>
          </w:tcPr>
          <w:p>
            <w:pPr>
              <w:spacing w:after="0"/>
              <w:rPr>
                <w:sz w:val="21"/>
                <w:szCs w:val="21"/>
                <w:color w:val="auto"/>
              </w:rPr>
            </w:pPr>
          </w:p>
        </w:tc>
        <w:tc>
          <w:tcPr>
            <w:tcW w:w="1680" w:type="dxa"/>
            <w:vAlign w:val="bottom"/>
            <w:tcBorders>
              <w:top w:val="single" w:sz="8" w:color="CCEEFF"/>
              <w:bottom w:val="single" w:sz="8" w:color="CCEEFF"/>
            </w:tcBorders>
            <w:gridSpan w:val="2"/>
            <w:shd w:val="clear" w:color="auto" w:fill="CCEEFF"/>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New York, NY</w:t>
            </w: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2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6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Subscription</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8"/>
            <w:vMerge w:val="continue"/>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Fashion Rental</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229,191</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3,482,515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504,220</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76"/>
        </w:trPr>
        <w:tc>
          <w:tcPr>
            <w:tcW w:w="1380" w:type="dxa"/>
            <w:vAlign w:val="bottom"/>
            <w:tcBorders>
              <w:bottom w:val="single" w:sz="8" w:color="auto"/>
              <w:right w:val="single" w:sz="8" w:color="CCEEFF"/>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EDGE Markets,</w:t>
            </w:r>
          </w:p>
        </w:tc>
        <w:tc>
          <w:tcPr>
            <w:tcW w:w="440" w:type="dxa"/>
            <w:vAlign w:val="bottom"/>
            <w:tcBorders>
              <w:bottom w:val="single" w:sz="8" w:color="CCEEFF"/>
            </w:tcBorders>
            <w:gridSpan w:val="8"/>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8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(7)</w:t>
            </w:r>
          </w:p>
        </w:tc>
        <w:tc>
          <w:tcPr>
            <w:tcW w:w="80" w:type="dxa"/>
            <w:vAlign w:val="bottom"/>
            <w:tcBorders>
              <w:bottom w:val="single" w:sz="8" w:color="CCEEFF"/>
            </w:tcBorders>
            <w:gridSpan w:val="2"/>
            <w:vMerge w:val="restart"/>
            <w:shd w:val="clear" w:color="auto" w:fill="CCEEFF"/>
          </w:tcPr>
          <w:p>
            <w:pPr>
              <w:spacing w:after="0"/>
              <w:rPr>
                <w:sz w:val="14"/>
                <w:szCs w:val="14"/>
                <w:color w:val="auto"/>
              </w:rPr>
            </w:pPr>
          </w:p>
        </w:tc>
        <w:tc>
          <w:tcPr>
            <w:tcW w:w="240" w:type="dxa"/>
            <w:vAlign w:val="bottom"/>
            <w:tcBorders>
              <w:bottom w:val="single" w:sz="8" w:color="CCEEFF"/>
            </w:tcBorders>
            <w:gridSpan w:val="2"/>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gridSpan w:val="3"/>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gridSpan w:val="2"/>
            <w:vMerge w:val="restart"/>
            <w:shd w:val="clear" w:color="auto" w:fill="CCEEFF"/>
          </w:tcPr>
          <w:p>
            <w:pPr>
              <w:spacing w:after="0"/>
              <w:rPr>
                <w:sz w:val="14"/>
                <w:szCs w:val="14"/>
                <w:color w:val="auto"/>
              </w:rPr>
            </w:pPr>
          </w:p>
        </w:tc>
        <w:tc>
          <w:tcPr>
            <w:tcW w:w="8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right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100" w:type="dxa"/>
            <w:vAlign w:val="bottom"/>
            <w:tcBorders>
              <w:bottom w:val="single" w:sz="8" w:color="CCEEFF"/>
            </w:tcBorders>
            <w:gridSpan w:val="2"/>
            <w:vMerge w:val="restart"/>
            <w:shd w:val="clear" w:color="auto" w:fill="CCEEFF"/>
          </w:tcPr>
          <w:p>
            <w:pPr>
              <w:spacing w:after="0"/>
              <w:rPr>
                <w:sz w:val="14"/>
                <w:szCs w:val="14"/>
                <w:color w:val="auto"/>
              </w:rPr>
            </w:pPr>
          </w:p>
        </w:tc>
        <w:tc>
          <w:tcPr>
            <w:tcW w:w="300" w:type="dxa"/>
            <w:vAlign w:val="bottom"/>
            <w:tcBorders>
              <w:bottom w:val="single" w:sz="8" w:color="CCEEFF"/>
            </w:tcBorders>
            <w:gridSpan w:val="4"/>
            <w:vMerge w:val="restart"/>
            <w:shd w:val="clear" w:color="auto" w:fill="CCEEFF"/>
          </w:tcPr>
          <w:p>
            <w:pPr>
              <w:spacing w:after="0"/>
              <w:rPr>
                <w:sz w:val="14"/>
                <w:szCs w:val="14"/>
                <w:color w:val="auto"/>
              </w:rPr>
            </w:pPr>
          </w:p>
        </w:tc>
        <w:tc>
          <w:tcPr>
            <w:tcW w:w="168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San Diego, CA</w:t>
            </w:r>
          </w:p>
        </w:tc>
        <w:tc>
          <w:tcPr>
            <w:tcW w:w="14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300" w:type="dxa"/>
            <w:vAlign w:val="bottom"/>
            <w:tcBorders>
              <w:bottom w:val="single" w:sz="8" w:color="auto"/>
            </w:tcBorders>
            <w:gridSpan w:val="2"/>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gridSpan w:val="2"/>
            <w:vMerge w:val="continue"/>
            <w:shd w:val="clear" w:color="auto" w:fill="CCEEFF"/>
          </w:tcPr>
          <w:p>
            <w:pPr>
              <w:spacing w:after="0"/>
              <w:rPr>
                <w:sz w:val="5"/>
                <w:szCs w:val="5"/>
                <w:color w:val="auto"/>
              </w:rPr>
            </w:pPr>
          </w:p>
        </w:tc>
        <w:tc>
          <w:tcPr>
            <w:tcW w:w="24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gridSpan w:val="3"/>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300" w:type="dxa"/>
            <w:vAlign w:val="bottom"/>
            <w:tcBorders>
              <w:bottom w:val="single" w:sz="8" w:color="CCEEFF"/>
            </w:tcBorders>
            <w:gridSpan w:val="4"/>
            <w:vMerge w:val="continue"/>
            <w:shd w:val="clear" w:color="auto" w:fill="CCEEFF"/>
          </w:tcPr>
          <w:p>
            <w:pPr>
              <w:spacing w:after="0"/>
              <w:rPr>
                <w:sz w:val="5"/>
                <w:szCs w:val="5"/>
                <w:color w:val="auto"/>
              </w:rPr>
            </w:pPr>
          </w:p>
        </w:tc>
        <w:tc>
          <w:tcPr>
            <w:tcW w:w="1680" w:type="dxa"/>
            <w:vAlign w:val="bottom"/>
            <w:tcBorders>
              <w:bottom w:val="single" w:sz="8" w:color="CCEEFF"/>
            </w:tcBorders>
            <w:gridSpan w:val="2"/>
            <w:vMerge w:val="continue"/>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820" w:type="dxa"/>
            <w:vAlign w:val="bottom"/>
            <w:tcBorders>
              <w:top w:val="single" w:sz="8" w:color="CCEEFF"/>
            </w:tcBorders>
            <w:gridSpan w:val="28"/>
          </w:tcPr>
          <w:p>
            <w:pPr>
              <w:spacing w:after="0" w:line="198" w:lineRule="exact"/>
              <w:rPr>
                <w:sz w:val="20"/>
                <w:szCs w:val="20"/>
                <w:color w:val="auto"/>
              </w:rPr>
            </w:pPr>
            <w:r>
              <w:rPr>
                <w:rFonts w:ascii="Times New Roman" w:cs="Times New Roman" w:eastAsia="Times New Roman" w:hAnsi="Times New Roman"/>
                <w:sz w:val="18"/>
                <w:szCs w:val="18"/>
                <w:color w:val="auto"/>
              </w:rPr>
              <w:t>Preferred Shares,</w:t>
            </w:r>
          </w:p>
        </w:tc>
        <w:tc>
          <w:tcPr>
            <w:tcW w:w="1680" w:type="dxa"/>
            <w:vAlign w:val="bottom"/>
            <w:tcBorders>
              <w:top w:val="single" w:sz="8" w:color="CCEEFF"/>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Gaming</w:t>
            </w:r>
          </w:p>
        </w:tc>
        <w:tc>
          <w:tcPr>
            <w:tcW w:w="1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Series Seed</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Technology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5/18/2022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456,704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501,330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75"/>
        </w:trPr>
        <w:tc>
          <w:tcPr>
            <w:tcW w:w="18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YouBet Technology,</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auto"/>
              <w:bottom w:val="single" w:sz="8" w:color="auto"/>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Inc. (d/b/a</w:t>
            </w:r>
          </w:p>
        </w:tc>
        <w:tc>
          <w:tcPr>
            <w:tcW w:w="720" w:type="dxa"/>
            <w:vAlign w:val="bottom"/>
            <w:tcBorders>
              <w:top w:val="single" w:sz="8" w:color="auto"/>
              <w:bottom w:val="single" w:sz="8" w:color="CCEEFF"/>
            </w:tcBorders>
            <w:gridSpan w:val="17"/>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60" w:type="dxa"/>
            <w:vAlign w:val="bottom"/>
            <w:tcBorders>
              <w:bottom w:val="single" w:sz="8" w:color="CCEEFF"/>
            </w:tcBorders>
            <w:gridSpan w:val="9"/>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FanPower)</w:t>
            </w:r>
          </w:p>
        </w:tc>
        <w:tc>
          <w:tcPr>
            <w:tcW w:w="18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gridSpan w:val="2"/>
            <w:vMerge w:val="restart"/>
            <w:shd w:val="clear" w:color="auto" w:fill="CCEEFF"/>
          </w:tcPr>
          <w:p>
            <w:pPr>
              <w:spacing w:after="0"/>
              <w:rPr>
                <w:sz w:val="14"/>
                <w:szCs w:val="14"/>
                <w:color w:val="auto"/>
              </w:rPr>
            </w:pPr>
          </w:p>
        </w:tc>
        <w:tc>
          <w:tcPr>
            <w:tcW w:w="8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right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400" w:type="dxa"/>
            <w:vAlign w:val="bottom"/>
            <w:tcBorders>
              <w:bottom w:val="single" w:sz="8" w:color="CCEEFF"/>
            </w:tcBorders>
            <w:gridSpan w:val="6"/>
            <w:vMerge w:val="restart"/>
            <w:shd w:val="clear" w:color="auto" w:fill="CCEEFF"/>
          </w:tcPr>
          <w:p>
            <w:pPr>
              <w:spacing w:after="0"/>
              <w:rPr>
                <w:sz w:val="14"/>
                <w:szCs w:val="14"/>
                <w:color w:val="auto"/>
              </w:rPr>
            </w:pPr>
          </w:p>
        </w:tc>
        <w:tc>
          <w:tcPr>
            <w:tcW w:w="16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New York, NY</w:t>
            </w:r>
          </w:p>
        </w:tc>
        <w:tc>
          <w:tcPr>
            <w:tcW w:w="14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60" w:type="dxa"/>
            <w:vAlign w:val="bottom"/>
            <w:tcBorders>
              <w:bottom w:val="single" w:sz="8" w:color="auto"/>
            </w:tcBorders>
            <w:gridSpan w:val="9"/>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gridSpan w:val="3"/>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400" w:type="dxa"/>
            <w:vAlign w:val="bottom"/>
            <w:tcBorders>
              <w:bottom w:val="single" w:sz="8" w:color="CCEEFF"/>
            </w:tcBorders>
            <w:gridSpan w:val="6"/>
            <w:vMerge w:val="continue"/>
            <w:shd w:val="clear" w:color="auto" w:fill="CCEEFF"/>
          </w:tcPr>
          <w:p>
            <w:pPr>
              <w:spacing w:after="0"/>
              <w:rPr>
                <w:sz w:val="5"/>
                <w:szCs w:val="5"/>
                <w:color w:val="auto"/>
              </w:rPr>
            </w:pPr>
          </w:p>
        </w:tc>
        <w:tc>
          <w:tcPr>
            <w:tcW w:w="1680" w:type="dxa"/>
            <w:vAlign w:val="bottom"/>
            <w:tcBorders>
              <w:bottom w:val="single" w:sz="8" w:color="CCEEFF"/>
            </w:tcBorders>
            <w:gridSpan w:val="2"/>
            <w:vMerge w:val="continue"/>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820" w:type="dxa"/>
            <w:vAlign w:val="bottom"/>
            <w:tcBorders>
              <w:top w:val="single" w:sz="8" w:color="CCEEFF"/>
            </w:tcBorders>
            <w:gridSpan w:val="28"/>
          </w:tcPr>
          <w:p>
            <w:pPr>
              <w:spacing w:after="0" w:line="198" w:lineRule="exact"/>
              <w:rPr>
                <w:sz w:val="20"/>
                <w:szCs w:val="20"/>
                <w:color w:val="auto"/>
              </w:rPr>
            </w:pPr>
            <w:r>
              <w:rPr>
                <w:rFonts w:ascii="Times New Roman" w:cs="Times New Roman" w:eastAsia="Times New Roman" w:hAnsi="Times New Roman"/>
                <w:sz w:val="18"/>
                <w:szCs w:val="18"/>
                <w:color w:val="auto"/>
              </w:rPr>
              <w:t>Preferred shares,</w:t>
            </w:r>
          </w:p>
        </w:tc>
        <w:tc>
          <w:tcPr>
            <w:tcW w:w="1680" w:type="dxa"/>
            <w:vAlign w:val="bottom"/>
            <w:tcBorders>
              <w:top w:val="single" w:sz="8" w:color="CCEEFF"/>
            </w:tcBorders>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Digital Media</w:t>
            </w:r>
          </w:p>
        </w:tc>
        <w:tc>
          <w:tcPr>
            <w:tcW w:w="1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Series Seed-2</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Technology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385,353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502,232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499,999</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75"/>
        </w:trPr>
        <w:tc>
          <w:tcPr>
            <w:tcW w:w="1080" w:type="dxa"/>
            <w:vAlign w:val="bottom"/>
            <w:tcBorders>
              <w:bottom w:val="single" w:sz="8" w:color="auto"/>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Rover Group,</w:t>
            </w:r>
          </w:p>
        </w:tc>
        <w:tc>
          <w:tcPr>
            <w:tcW w:w="740" w:type="dxa"/>
            <w:vAlign w:val="bottom"/>
            <w:tcBorders>
              <w:bottom w:val="single" w:sz="8" w:color="CCEEFF"/>
            </w:tcBorders>
            <w:gridSpan w:val="13"/>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auto"/>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1320" w:type="dxa"/>
            <w:vAlign w:val="bottom"/>
            <w:tcBorders>
              <w:bottom w:val="single" w:sz="8" w:color="CCEEFF"/>
            </w:tcBorders>
            <w:gridSpan w:val="24"/>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7"/>
              </w:rPr>
              <w:t>Seattle, WA</w:t>
            </w:r>
          </w:p>
        </w:tc>
        <w:tc>
          <w:tcPr>
            <w:tcW w:w="1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6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Peer-to-Peer Pet</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8"/>
            <w:vMerge w:val="continue"/>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Services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106,854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319,412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356,892</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76"/>
        </w:trPr>
        <w:tc>
          <w:tcPr>
            <w:tcW w:w="18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Churchill Sponsor</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bottom w:val="single" w:sz="8" w:color="auto"/>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VII LLC**</w:t>
            </w:r>
          </w:p>
        </w:tc>
        <w:tc>
          <w:tcPr>
            <w:tcW w:w="260" w:type="dxa"/>
            <w:vAlign w:val="bottom"/>
            <w:tcBorders>
              <w:top w:val="single" w:sz="8" w:color="auto"/>
              <w:bottom w:val="single" w:sz="8" w:color="auto"/>
            </w:tcBorders>
            <w:gridSpan w:val="7"/>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w w:val="87"/>
              </w:rPr>
              <w:t>(15)</w:t>
            </w:r>
          </w:p>
        </w:tc>
        <w:tc>
          <w:tcPr>
            <w:tcW w:w="8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160" w:type="dxa"/>
            <w:vAlign w:val="bottom"/>
            <w:tcBorders>
              <w:top w:val="single" w:sz="8" w:color="auto"/>
              <w:bottom w:val="single" w:sz="8" w:color="auto"/>
              <w:right w:val="single" w:sz="8" w:color="CCEEFF"/>
            </w:tcBorders>
            <w:vMerge w:val="restart"/>
            <w:shd w:val="clear" w:color="auto" w:fill="CCEEFF"/>
          </w:tcPr>
          <w:p>
            <w:pPr>
              <w:spacing w:after="0"/>
              <w:rPr>
                <w:sz w:val="14"/>
                <w:szCs w:val="14"/>
                <w:color w:val="auto"/>
              </w:rPr>
            </w:pPr>
          </w:p>
        </w:tc>
        <w:tc>
          <w:tcPr>
            <w:tcW w:w="4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400" w:type="dxa"/>
            <w:vAlign w:val="bottom"/>
            <w:tcBorders>
              <w:top w:val="single" w:sz="8" w:color="CCEEFF"/>
              <w:bottom w:val="single" w:sz="8" w:color="CCEEFF"/>
            </w:tcBorders>
            <w:gridSpan w:val="6"/>
            <w:vMerge w:val="restart"/>
            <w:shd w:val="clear" w:color="auto" w:fill="CCEEFF"/>
          </w:tcPr>
          <w:p>
            <w:pPr>
              <w:spacing w:after="0"/>
              <w:rPr>
                <w:sz w:val="14"/>
                <w:szCs w:val="14"/>
                <w:color w:val="auto"/>
              </w:rPr>
            </w:pPr>
          </w:p>
        </w:tc>
        <w:tc>
          <w:tcPr>
            <w:tcW w:w="1680" w:type="dxa"/>
            <w:vAlign w:val="bottom"/>
            <w:tcBorders>
              <w:top w:val="single" w:sz="8" w:color="CCEEFF"/>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New York, NY</w:t>
            </w:r>
          </w:p>
        </w:tc>
        <w:tc>
          <w:tcPr>
            <w:tcW w:w="14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80" w:type="dxa"/>
            <w:vAlign w:val="bottom"/>
            <w:tcBorders>
              <w:bottom w:val="single" w:sz="8" w:color="auto"/>
            </w:tcBorders>
            <w:gridSpan w:val="10"/>
            <w:vMerge w:val="continue"/>
            <w:shd w:val="clear" w:color="auto" w:fill="CCEEFF"/>
          </w:tcPr>
          <w:p>
            <w:pPr>
              <w:spacing w:after="0"/>
              <w:rPr>
                <w:sz w:val="5"/>
                <w:szCs w:val="5"/>
                <w:color w:val="auto"/>
              </w:rPr>
            </w:pPr>
          </w:p>
        </w:tc>
        <w:tc>
          <w:tcPr>
            <w:tcW w:w="180" w:type="dxa"/>
            <w:vAlign w:val="bottom"/>
            <w:tcBorders>
              <w:bottom w:val="single" w:sz="8" w:color="CCEEFF"/>
            </w:tcBorders>
            <w:gridSpan w:val="4"/>
            <w:shd w:val="clear" w:color="auto" w:fill="CCEEFF"/>
          </w:tcPr>
          <w:p>
            <w:pPr>
              <w:spacing w:after="0"/>
              <w:rPr>
                <w:sz w:val="5"/>
                <w:szCs w:val="5"/>
                <w:color w:val="auto"/>
              </w:rPr>
            </w:pPr>
          </w:p>
        </w:tc>
        <w:tc>
          <w:tcPr>
            <w:tcW w:w="80" w:type="dxa"/>
            <w:vAlign w:val="bottom"/>
            <w:tcBorders>
              <w:bottom w:val="single" w:sz="8" w:color="CCEEFF"/>
            </w:tcBorders>
            <w:gridSpan w:val="3"/>
            <w:shd w:val="clear" w:color="auto" w:fill="CCEEFF"/>
          </w:tcPr>
          <w:p>
            <w:pPr>
              <w:spacing w:after="0"/>
              <w:rPr>
                <w:sz w:val="5"/>
                <w:szCs w:val="5"/>
                <w:color w:val="auto"/>
              </w:rPr>
            </w:pPr>
          </w:p>
        </w:tc>
        <w:tc>
          <w:tcPr>
            <w:tcW w:w="8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400" w:type="dxa"/>
            <w:vAlign w:val="bottom"/>
            <w:tcBorders>
              <w:bottom w:val="single" w:sz="8" w:color="CCEEFF"/>
            </w:tcBorders>
            <w:gridSpan w:val="6"/>
            <w:vMerge w:val="continue"/>
            <w:shd w:val="clear" w:color="auto" w:fill="CCEEFF"/>
          </w:tcPr>
          <w:p>
            <w:pPr>
              <w:spacing w:after="0"/>
              <w:rPr>
                <w:sz w:val="5"/>
                <w:szCs w:val="5"/>
                <w:color w:val="auto"/>
              </w:rPr>
            </w:pPr>
          </w:p>
        </w:tc>
        <w:tc>
          <w:tcPr>
            <w:tcW w:w="1680" w:type="dxa"/>
            <w:vAlign w:val="bottom"/>
            <w:tcBorders>
              <w:bottom w:val="single" w:sz="8" w:color="CCEEFF"/>
            </w:tcBorders>
            <w:gridSpan w:val="2"/>
            <w:vMerge w:val="continue"/>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Special Purpose</w:t>
            </w:r>
          </w:p>
        </w:tc>
        <w:tc>
          <w:tcPr>
            <w:tcW w:w="1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Acquisition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Company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292,100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205,820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205,820</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62"/>
        </w:trPr>
        <w:tc>
          <w:tcPr>
            <w:tcW w:w="1820" w:type="dxa"/>
            <w:vAlign w:val="bottom"/>
            <w:gridSpan w:val="2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Warrant units</w:t>
            </w: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8"/>
              </w:rPr>
              <w:t>2/25/2021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277,000</w:t>
            </w:r>
          </w:p>
        </w:tc>
        <w:tc>
          <w:tcPr>
            <w:tcW w:w="15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94,180</w:t>
            </w:r>
          </w:p>
        </w:tc>
        <w:tc>
          <w:tcPr>
            <w:tcW w:w="1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94,180</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6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134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00" w:type="dxa"/>
            <w:vAlign w:val="bottom"/>
            <w:gridSpan w:val="2"/>
            <w:shd w:val="clear" w:color="auto" w:fill="CCEEFF"/>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0.04</w:t>
            </w: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bottom w:val="single" w:sz="8" w:color="CCEEFF"/>
            </w:tcBorders>
          </w:tcPr>
          <w:p>
            <w:pPr>
              <w:spacing w:after="0"/>
              <w:rPr>
                <w:sz w:val="18"/>
                <w:szCs w:val="18"/>
                <w:color w:val="auto"/>
              </w:rPr>
            </w:pPr>
          </w:p>
        </w:tc>
        <w:tc>
          <w:tcPr>
            <w:tcW w:w="1640" w:type="dxa"/>
            <w:vAlign w:val="bottom"/>
            <w:tcBorders>
              <w:top w:val="single" w:sz="8" w:color="CCEEFF"/>
              <w:bottom w:val="single" w:sz="8" w:color="CCEEFF"/>
            </w:tcBorders>
            <w:gridSpan w:val="27"/>
          </w:tcPr>
          <w:p>
            <w:pPr>
              <w:jc w:val="center"/>
              <w:ind w:right="1260"/>
              <w:spacing w:after="0" w:line="203" w:lineRule="exact"/>
              <w:rPr>
                <w:sz w:val="20"/>
                <w:szCs w:val="20"/>
                <w:color w:val="auto"/>
              </w:rPr>
            </w:pPr>
            <w:r>
              <w:rPr>
                <w:rFonts w:ascii="Times New Roman" w:cs="Times New Roman" w:eastAsia="Times New Roman" w:hAnsi="Times New Roman"/>
                <w:sz w:val="18"/>
                <w:szCs w:val="18"/>
                <w:color w:val="auto"/>
                <w:w w:val="99"/>
              </w:rPr>
              <w:t>Total</w:t>
            </w:r>
          </w:p>
        </w:tc>
        <w:tc>
          <w:tcPr>
            <w:tcW w:w="14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3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2"/>
        </w:trPr>
        <w:tc>
          <w:tcPr>
            <w:tcW w:w="1060" w:type="dxa"/>
            <w:vAlign w:val="bottom"/>
            <w:tcBorders>
              <w:bottom w:val="single" w:sz="8" w:color="auto"/>
            </w:tcBorders>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9"/>
              </w:rPr>
              <w:t>AltC Sponsor</w:t>
            </w:r>
          </w:p>
        </w:tc>
        <w:tc>
          <w:tcPr>
            <w:tcW w:w="760" w:type="dxa"/>
            <w:vAlign w:val="bottom"/>
            <w:tcBorders>
              <w:bottom w:val="single" w:sz="8" w:color="CCEEFF"/>
            </w:tcBorders>
            <w:gridSpan w:val="14"/>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 w:type="dxa"/>
            <w:vAlign w:val="bottom"/>
            <w:tcBorders>
              <w:bottom w:val="single" w:sz="8" w:color="CCEEFF"/>
            </w:tcBorders>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LLC**</w:t>
            </w:r>
          </w:p>
        </w:tc>
        <w:tc>
          <w:tcPr>
            <w:tcW w:w="26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87"/>
              </w:rPr>
              <w:t>(15)</w:t>
            </w:r>
          </w:p>
        </w:tc>
        <w:tc>
          <w:tcPr>
            <w:tcW w:w="400" w:type="dxa"/>
            <w:vAlign w:val="bottom"/>
            <w:tcBorders>
              <w:bottom w:val="single" w:sz="8" w:color="CCEEFF"/>
            </w:tcBorders>
            <w:gridSpan w:val="11"/>
            <w:vMerge w:val="restart"/>
            <w:shd w:val="clear" w:color="auto" w:fill="CCEEFF"/>
          </w:tcPr>
          <w:p>
            <w:pPr>
              <w:spacing w:after="0"/>
              <w:rPr>
                <w:sz w:val="14"/>
                <w:szCs w:val="14"/>
                <w:color w:val="auto"/>
              </w:rPr>
            </w:pPr>
          </w:p>
        </w:tc>
        <w:tc>
          <w:tcPr>
            <w:tcW w:w="160" w:type="dxa"/>
            <w:vAlign w:val="bottom"/>
            <w:tcBorders>
              <w:bottom w:val="single" w:sz="8" w:color="CCEEFF"/>
              <w:right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400" w:type="dxa"/>
            <w:vAlign w:val="bottom"/>
            <w:tcBorders>
              <w:bottom w:val="single" w:sz="8" w:color="CCEEFF"/>
            </w:tcBorders>
            <w:gridSpan w:val="6"/>
            <w:vMerge w:val="restart"/>
            <w:shd w:val="clear" w:color="auto" w:fill="CCEEFF"/>
          </w:tcPr>
          <w:p>
            <w:pPr>
              <w:spacing w:after="0"/>
              <w:rPr>
                <w:sz w:val="14"/>
                <w:szCs w:val="14"/>
                <w:color w:val="auto"/>
              </w:rPr>
            </w:pPr>
          </w:p>
        </w:tc>
        <w:tc>
          <w:tcPr>
            <w:tcW w:w="16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New York, NY</w:t>
            </w:r>
          </w:p>
        </w:tc>
        <w:tc>
          <w:tcPr>
            <w:tcW w:w="14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60" w:type="dxa"/>
            <w:vAlign w:val="bottom"/>
            <w:tcBorders>
              <w:bottom w:val="single" w:sz="8" w:color="auto"/>
            </w:tcBorders>
            <w:gridSpan w:val="5"/>
            <w:vMerge w:val="continue"/>
            <w:shd w:val="clear" w:color="auto" w:fill="CCEEFF"/>
          </w:tcPr>
          <w:p>
            <w:pPr>
              <w:spacing w:after="0"/>
              <w:rPr>
                <w:sz w:val="5"/>
                <w:szCs w:val="5"/>
                <w:color w:val="auto"/>
              </w:rPr>
            </w:pPr>
          </w:p>
        </w:tc>
        <w:tc>
          <w:tcPr>
            <w:tcW w:w="240" w:type="dxa"/>
            <w:vAlign w:val="bottom"/>
            <w:tcBorders>
              <w:bottom w:val="single" w:sz="8" w:color="CCEEFF"/>
            </w:tcBorders>
            <w:gridSpan w:val="2"/>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gridSpan w:val="11"/>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400" w:type="dxa"/>
            <w:vAlign w:val="bottom"/>
            <w:tcBorders>
              <w:bottom w:val="single" w:sz="8" w:color="CCEEFF"/>
            </w:tcBorders>
            <w:gridSpan w:val="6"/>
            <w:vMerge w:val="continue"/>
            <w:shd w:val="clear" w:color="auto" w:fill="CCEEFF"/>
          </w:tcPr>
          <w:p>
            <w:pPr>
              <w:spacing w:after="0"/>
              <w:rPr>
                <w:sz w:val="5"/>
                <w:szCs w:val="5"/>
                <w:color w:val="auto"/>
              </w:rPr>
            </w:pPr>
          </w:p>
        </w:tc>
        <w:tc>
          <w:tcPr>
            <w:tcW w:w="1680" w:type="dxa"/>
            <w:vAlign w:val="bottom"/>
            <w:tcBorders>
              <w:bottom w:val="single" w:sz="8" w:color="CCEEFF"/>
            </w:tcBorders>
            <w:gridSpan w:val="2"/>
            <w:vMerge w:val="continue"/>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Special Purpose</w:t>
            </w:r>
          </w:p>
        </w:tc>
        <w:tc>
          <w:tcPr>
            <w:tcW w:w="1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Acquisition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Share units</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Company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7/21/2021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239,300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250,855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76"/>
        </w:trPr>
        <w:tc>
          <w:tcPr>
            <w:tcW w:w="18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Churchill Sponsor</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Borders>
              <w:top w:val="single" w:sz="8" w:color="auto"/>
              <w:bottom w:val="single" w:sz="8" w:color="auto"/>
            </w:tcBorders>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VI LLC**</w:t>
            </w:r>
          </w:p>
        </w:tc>
        <w:tc>
          <w:tcPr>
            <w:tcW w:w="260" w:type="dxa"/>
            <w:vAlign w:val="bottom"/>
            <w:tcBorders>
              <w:top w:val="single" w:sz="8" w:color="auto"/>
              <w:bottom w:val="single" w:sz="8" w:color="auto"/>
            </w:tcBorders>
            <w:gridSpan w:val="7"/>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5"/>
              </w:rPr>
              <w:t>(15)</w:t>
            </w:r>
          </w:p>
        </w:tc>
        <w:tc>
          <w:tcPr>
            <w:tcW w:w="160" w:type="dxa"/>
            <w:vAlign w:val="bottom"/>
            <w:tcBorders>
              <w:top w:val="single" w:sz="8" w:color="auto"/>
              <w:bottom w:val="single" w:sz="8" w:color="auto"/>
            </w:tcBorders>
            <w:gridSpan w:val="5"/>
            <w:vMerge w:val="restart"/>
            <w:shd w:val="clear" w:color="auto" w:fill="CCEEFF"/>
          </w:tcPr>
          <w:p>
            <w:pPr>
              <w:spacing w:after="0"/>
              <w:rPr>
                <w:sz w:val="14"/>
                <w:szCs w:val="14"/>
                <w:color w:val="auto"/>
              </w:rPr>
            </w:pPr>
          </w:p>
        </w:tc>
        <w:tc>
          <w:tcPr>
            <w:tcW w:w="160" w:type="dxa"/>
            <w:vAlign w:val="bottom"/>
            <w:tcBorders>
              <w:top w:val="single" w:sz="8" w:color="auto"/>
              <w:bottom w:val="single" w:sz="8" w:color="auto"/>
              <w:right w:val="single" w:sz="8" w:color="CCEEFF"/>
            </w:tcBorders>
            <w:vMerge w:val="restart"/>
            <w:shd w:val="clear" w:color="auto" w:fill="CCEEFF"/>
          </w:tcPr>
          <w:p>
            <w:pPr>
              <w:spacing w:after="0"/>
              <w:rPr>
                <w:sz w:val="14"/>
                <w:szCs w:val="14"/>
                <w:color w:val="auto"/>
              </w:rPr>
            </w:pPr>
          </w:p>
        </w:tc>
        <w:tc>
          <w:tcPr>
            <w:tcW w:w="4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400" w:type="dxa"/>
            <w:vAlign w:val="bottom"/>
            <w:tcBorders>
              <w:top w:val="single" w:sz="8" w:color="CCEEFF"/>
              <w:bottom w:val="single" w:sz="8" w:color="CCEEFF"/>
            </w:tcBorders>
            <w:gridSpan w:val="6"/>
            <w:vMerge w:val="restart"/>
            <w:shd w:val="clear" w:color="auto" w:fill="CCEEFF"/>
          </w:tcPr>
          <w:p>
            <w:pPr>
              <w:spacing w:after="0"/>
              <w:rPr>
                <w:sz w:val="14"/>
                <w:szCs w:val="14"/>
                <w:color w:val="auto"/>
              </w:rPr>
            </w:pPr>
          </w:p>
        </w:tc>
        <w:tc>
          <w:tcPr>
            <w:tcW w:w="1680" w:type="dxa"/>
            <w:vAlign w:val="bottom"/>
            <w:tcBorders>
              <w:top w:val="single" w:sz="8" w:color="CCEEFF"/>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New York, NY</w:t>
            </w:r>
          </w:p>
        </w:tc>
        <w:tc>
          <w:tcPr>
            <w:tcW w:w="14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00" w:type="dxa"/>
            <w:vAlign w:val="bottom"/>
            <w:tcBorders>
              <w:bottom w:val="single" w:sz="8" w:color="auto"/>
            </w:tcBorders>
            <w:gridSpan w:val="7"/>
            <w:vMerge w:val="continue"/>
            <w:shd w:val="clear" w:color="auto" w:fill="CCEEFF"/>
          </w:tcPr>
          <w:p>
            <w:pPr>
              <w:spacing w:after="0"/>
              <w:rPr>
                <w:sz w:val="5"/>
                <w:szCs w:val="5"/>
                <w:color w:val="auto"/>
              </w:rPr>
            </w:pPr>
          </w:p>
        </w:tc>
        <w:tc>
          <w:tcPr>
            <w:tcW w:w="260" w:type="dxa"/>
            <w:vAlign w:val="bottom"/>
            <w:tcBorders>
              <w:bottom w:val="single" w:sz="8" w:color="CCEEFF"/>
            </w:tcBorders>
            <w:gridSpan w:val="7"/>
            <w:shd w:val="clear" w:color="auto" w:fill="CCEEFF"/>
          </w:tcPr>
          <w:p>
            <w:pPr>
              <w:spacing w:after="0"/>
              <w:rPr>
                <w:sz w:val="5"/>
                <w:szCs w:val="5"/>
                <w:color w:val="auto"/>
              </w:rPr>
            </w:pPr>
          </w:p>
        </w:tc>
        <w:tc>
          <w:tcPr>
            <w:tcW w:w="160" w:type="dxa"/>
            <w:vAlign w:val="bottom"/>
            <w:tcBorders>
              <w:bottom w:val="single" w:sz="8" w:color="CCEEFF"/>
            </w:tcBorders>
            <w:gridSpan w:val="5"/>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400" w:type="dxa"/>
            <w:vAlign w:val="bottom"/>
            <w:tcBorders>
              <w:bottom w:val="single" w:sz="8" w:color="CCEEFF"/>
            </w:tcBorders>
            <w:gridSpan w:val="6"/>
            <w:vMerge w:val="continue"/>
            <w:shd w:val="clear" w:color="auto" w:fill="CCEEFF"/>
          </w:tcPr>
          <w:p>
            <w:pPr>
              <w:spacing w:after="0"/>
              <w:rPr>
                <w:sz w:val="5"/>
                <w:szCs w:val="5"/>
                <w:color w:val="auto"/>
              </w:rPr>
            </w:pPr>
          </w:p>
        </w:tc>
        <w:tc>
          <w:tcPr>
            <w:tcW w:w="1680" w:type="dxa"/>
            <w:vAlign w:val="bottom"/>
            <w:tcBorders>
              <w:bottom w:val="single" w:sz="8" w:color="CCEEFF"/>
            </w:tcBorders>
            <w:gridSpan w:val="2"/>
            <w:vMerge w:val="continue"/>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Special Purpose</w:t>
            </w:r>
          </w:p>
        </w:tc>
        <w:tc>
          <w:tcPr>
            <w:tcW w:w="1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Acquisition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Company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134,297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134,297</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62"/>
        </w:trPr>
        <w:tc>
          <w:tcPr>
            <w:tcW w:w="1820" w:type="dxa"/>
            <w:vAlign w:val="bottom"/>
            <w:gridSpan w:val="2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Warrant units</w:t>
            </w: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8"/>
              </w:rPr>
              <w:t>2/25/2021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199,100</w:t>
            </w:r>
          </w:p>
        </w:tc>
        <w:tc>
          <w:tcPr>
            <w:tcW w:w="15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65,703</w:t>
            </w:r>
          </w:p>
        </w:tc>
        <w:tc>
          <w:tcPr>
            <w:tcW w:w="1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65,703</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6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134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00" w:type="dxa"/>
            <w:vAlign w:val="bottom"/>
            <w:gridSpan w:val="2"/>
            <w:shd w:val="clear" w:color="auto" w:fill="CCEEFF"/>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0.03</w:t>
            </w: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bottom w:val="single" w:sz="8" w:color="CCEEFF"/>
            </w:tcBorders>
          </w:tcPr>
          <w:p>
            <w:pPr>
              <w:spacing w:after="0"/>
              <w:rPr>
                <w:sz w:val="18"/>
                <w:szCs w:val="18"/>
                <w:color w:val="auto"/>
              </w:rPr>
            </w:pPr>
          </w:p>
        </w:tc>
        <w:tc>
          <w:tcPr>
            <w:tcW w:w="1640" w:type="dxa"/>
            <w:vAlign w:val="bottom"/>
            <w:tcBorders>
              <w:top w:val="single" w:sz="8" w:color="CCEEFF"/>
              <w:bottom w:val="single" w:sz="8" w:color="CCEEFF"/>
            </w:tcBorders>
            <w:gridSpan w:val="27"/>
          </w:tcPr>
          <w:p>
            <w:pPr>
              <w:jc w:val="center"/>
              <w:ind w:right="1260"/>
              <w:spacing w:after="0" w:line="203" w:lineRule="exact"/>
              <w:rPr>
                <w:sz w:val="20"/>
                <w:szCs w:val="20"/>
                <w:color w:val="auto"/>
              </w:rPr>
            </w:pPr>
            <w:r>
              <w:rPr>
                <w:rFonts w:ascii="Times New Roman" w:cs="Times New Roman" w:eastAsia="Times New Roman" w:hAnsi="Times New Roman"/>
                <w:sz w:val="18"/>
                <w:szCs w:val="18"/>
                <w:color w:val="auto"/>
                <w:w w:val="99"/>
              </w:rPr>
              <w:t>Total</w:t>
            </w:r>
          </w:p>
        </w:tc>
        <w:tc>
          <w:tcPr>
            <w:tcW w:w="14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3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2"/>
        </w:trPr>
        <w:tc>
          <w:tcPr>
            <w:tcW w:w="1820" w:type="dxa"/>
            <w:vAlign w:val="bottom"/>
            <w:gridSpan w:val="28"/>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Kahoot! ASA**</w:t>
            </w:r>
          </w:p>
        </w:tc>
        <w:tc>
          <w:tcPr>
            <w:tcW w:w="1680" w:type="dxa"/>
            <w:vAlign w:val="bottom"/>
            <w:gridSpan w:val="2"/>
            <w:shd w:val="clear" w:color="auto" w:fill="CCEEFF"/>
          </w:tcPr>
          <w:p>
            <w:pPr>
              <w:jc w:val="center"/>
              <w:ind w:right="220"/>
              <w:spacing w:after="0" w:line="162" w:lineRule="exact"/>
              <w:rPr>
                <w:sz w:val="20"/>
                <w:szCs w:val="20"/>
                <w:color w:val="auto"/>
              </w:rPr>
            </w:pPr>
            <w:r>
              <w:rPr>
                <w:rFonts w:ascii="Times New Roman" w:cs="Times New Roman" w:eastAsia="Times New Roman" w:hAnsi="Times New Roman"/>
                <w:sz w:val="18"/>
                <w:szCs w:val="18"/>
                <w:color w:val="auto"/>
              </w:rPr>
              <w:t>Oslo, Norway</w:t>
            </w: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820" w:type="dxa"/>
            <w:vAlign w:val="bottom"/>
            <w:gridSpan w:val="28"/>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Education Software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12/5/2014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99,672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458,138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181,677</w:t>
            </w:r>
          </w:p>
        </w:tc>
        <w:tc>
          <w:tcPr>
            <w:tcW w:w="2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76"/>
        </w:trPr>
        <w:tc>
          <w:tcPr>
            <w:tcW w:w="18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Neutron Holdings,</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top w:val="single" w:sz="8" w:color="auto"/>
              <w:bottom w:val="single" w:sz="8" w:color="auto"/>
              <w:right w:val="single" w:sz="8" w:color="CCEEFF"/>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Inc. (d/b/a/ Lime)</w:t>
            </w:r>
          </w:p>
        </w:tc>
        <w:tc>
          <w:tcPr>
            <w:tcW w:w="4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40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1680" w:type="dxa"/>
            <w:vAlign w:val="bottom"/>
            <w:tcBorders>
              <w:top w:val="single" w:sz="8" w:color="CCEEFF"/>
              <w:bottom w:val="single" w:sz="8" w:color="CCEEFF"/>
            </w:tcBorders>
            <w:gridSpan w:val="2"/>
            <w:shd w:val="clear" w:color="auto" w:fill="CCEEFF"/>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San Francisco, CA</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gridSpan w:val="28"/>
          </w:tcPr>
          <w:p>
            <w:pPr>
              <w:spacing w:after="0" w:line="198" w:lineRule="exact"/>
              <w:rPr>
                <w:sz w:val="20"/>
                <w:szCs w:val="20"/>
                <w:color w:val="auto"/>
              </w:rPr>
            </w:pPr>
            <w:r>
              <w:rPr>
                <w:rFonts w:ascii="Times New Roman" w:cs="Times New Roman" w:eastAsia="Times New Roman" w:hAnsi="Times New Roman"/>
                <w:sz w:val="18"/>
                <w:szCs w:val="18"/>
                <w:color w:val="auto"/>
              </w:rPr>
              <w:t>Junior Preferred</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shares, Series 1-D</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Micromobility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41,237,113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10,007,322</w:t>
            </w: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20" w:type="dxa"/>
            <w:vAlign w:val="bottom"/>
            <w:gridSpan w:val="2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Junior Preferred</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8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4%</w:t>
            </w: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820" w:type="dxa"/>
            <w:vAlign w:val="bottom"/>
            <w:gridSpan w:val="28"/>
            <w:shd w:val="clear" w:color="auto" w:fill="CCEEFF"/>
          </w:tcPr>
          <w:p>
            <w:pPr>
              <w:spacing w:after="0" w:line="298" w:lineRule="exact"/>
              <w:rPr>
                <w:sz w:val="20"/>
                <w:szCs w:val="20"/>
                <w:color w:val="auto"/>
              </w:rPr>
            </w:pPr>
            <w:r>
              <w:rPr>
                <w:rFonts w:ascii="Times New Roman" w:cs="Times New Roman" w:eastAsia="Times New Roman" w:hAnsi="Times New Roman"/>
                <w:sz w:val="18"/>
                <w:szCs w:val="18"/>
                <w:color w:val="auto"/>
              </w:rPr>
              <w:t>Due 5/11/2027</w:t>
            </w:r>
            <w:r>
              <w:rPr>
                <w:rFonts w:ascii="Times New Roman" w:cs="Times New Roman" w:eastAsia="Times New Roman" w:hAnsi="Times New Roman"/>
                <w:sz w:val="29"/>
                <w:szCs w:val="29"/>
                <w:color w:val="auto"/>
                <w:vertAlign w:val="superscript"/>
              </w:rPr>
              <w:t>(4)</w:t>
            </w:r>
          </w:p>
        </w:tc>
        <w:tc>
          <w:tcPr>
            <w:tcW w:w="1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506,339</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506,339</w:t>
            </w:r>
          </w:p>
        </w:tc>
        <w:tc>
          <w:tcPr>
            <w:tcW w:w="15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20" w:type="dxa"/>
            <w:vAlign w:val="bottom"/>
            <w:gridSpan w:val="28"/>
          </w:tcPr>
          <w:p>
            <w:pPr>
              <w:spacing w:after="0" w:line="198" w:lineRule="exact"/>
              <w:rPr>
                <w:sz w:val="20"/>
                <w:szCs w:val="20"/>
                <w:color w:val="auto"/>
              </w:rPr>
            </w:pPr>
            <w:r>
              <w:rPr>
                <w:rFonts w:ascii="Times New Roman" w:cs="Times New Roman" w:eastAsia="Times New Roman" w:hAnsi="Times New Roman"/>
                <w:sz w:val="18"/>
                <w:szCs w:val="18"/>
                <w:color w:val="auto"/>
              </w:rPr>
              <w:t>Common Warrants,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5/11/2020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2,032,967</w:t>
            </w:r>
          </w:p>
        </w:tc>
        <w:tc>
          <w:tcPr>
            <w:tcW w:w="156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Strike Price $0.01,</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5/11/2027</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62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10,513,661</w:t>
            </w:r>
          </w:p>
        </w:tc>
        <w:tc>
          <w:tcPr>
            <w:tcW w:w="3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162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Fullbridge, Inc.</w:t>
            </w:r>
          </w:p>
        </w:tc>
        <w:tc>
          <w:tcPr>
            <w:tcW w:w="194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99"/>
              </w:rPr>
              <w:t>Cambridge, MA</w:t>
            </w: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Business Education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5/13/2012</w:t>
            </w: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517,917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6,150,506</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Promissory Note</w:t>
            </w: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1.47%, Due</w:t>
            </w: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180" w:type="dxa"/>
            <w:vAlign w:val="bottom"/>
            <w:gridSpan w:val="4"/>
          </w:tcPr>
          <w:p>
            <w:pPr>
              <w:spacing w:after="0" w:line="284" w:lineRule="exact"/>
              <w:rPr>
                <w:sz w:val="20"/>
                <w:szCs w:val="20"/>
                <w:color w:val="auto"/>
              </w:rPr>
            </w:pPr>
            <w:r>
              <w:rPr>
                <w:rFonts w:ascii="Times New Roman" w:cs="Times New Roman" w:eastAsia="Times New Roman" w:hAnsi="Times New Roman"/>
                <w:sz w:val="18"/>
                <w:szCs w:val="18"/>
                <w:color w:val="auto"/>
                <w:w w:val="90"/>
              </w:rPr>
              <w:t>11/9/2021</w:t>
            </w:r>
            <w:r>
              <w:rPr>
                <w:rFonts w:ascii="Times New Roman" w:cs="Times New Roman" w:eastAsia="Times New Roman" w:hAnsi="Times New Roman"/>
                <w:sz w:val="29"/>
                <w:szCs w:val="29"/>
                <w:color w:val="auto"/>
                <w:w w:val="90"/>
                <w:vertAlign w:val="superscript"/>
              </w:rPr>
              <w:t>(4)(16)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3/3/2016</w:t>
            </w: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2,270,458</w:t>
            </w:r>
          </w:p>
        </w:tc>
        <w:tc>
          <w:tcPr>
            <w:tcW w:w="2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2,270,858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620" w:type="dxa"/>
            <w:vAlign w:val="bottom"/>
            <w:tcBorders>
              <w:top w:val="single" w:sz="8" w:color="CCEEFF"/>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8,421,364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49"/>
        </w:trPr>
        <w:tc>
          <w:tcPr>
            <w:tcW w:w="1620" w:type="dxa"/>
            <w:vAlign w:val="bottom"/>
            <w:gridSpan w:val="8"/>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Treehouse Real</w:t>
            </w:r>
          </w:p>
        </w:tc>
        <w:tc>
          <w:tcPr>
            <w:tcW w:w="1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Estate Investment</w:t>
            </w: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Trust, Inc.</w:t>
            </w:r>
          </w:p>
        </w:tc>
        <w:tc>
          <w:tcPr>
            <w:tcW w:w="2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5"/>
              </w:rPr>
              <w:t>(12)</w:t>
            </w:r>
          </w:p>
        </w:tc>
        <w:tc>
          <w:tcPr>
            <w:tcW w:w="300" w:type="dxa"/>
            <w:vAlign w:val="bottom"/>
            <w:gridSpan w:val="3"/>
            <w:vMerge w:val="restart"/>
          </w:tcPr>
          <w:p>
            <w:pPr>
              <w:spacing w:after="0"/>
              <w:rPr>
                <w:sz w:val="14"/>
                <w:szCs w:val="14"/>
                <w:color w:val="auto"/>
              </w:rPr>
            </w:pPr>
          </w:p>
        </w:tc>
        <w:tc>
          <w:tcPr>
            <w:tcW w:w="260" w:type="dxa"/>
            <w:vAlign w:val="bottom"/>
            <w:gridSpan w:val="2"/>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Chicago, IL</w:t>
            </w: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800" w:type="dxa"/>
            <w:vAlign w:val="bottom"/>
            <w:tcBorders>
              <w:bottom w:val="single" w:sz="8" w:color="auto"/>
            </w:tcBorders>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Cannabis REIT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312,500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4,919,250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6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Kinetiq Holdings,</w:t>
            </w:r>
          </w:p>
        </w:tc>
        <w:tc>
          <w:tcPr>
            <w:tcW w:w="1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Borders>
              <w:top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LLC</w:t>
            </w:r>
          </w:p>
        </w:tc>
        <w:tc>
          <w:tcPr>
            <w:tcW w:w="260" w:type="dxa"/>
            <w:vAlign w:val="bottom"/>
            <w:gridSpan w:val="2"/>
          </w:tcPr>
          <w:p>
            <w:pPr>
              <w:spacing w:after="0"/>
              <w:rPr>
                <w:sz w:val="17"/>
                <w:szCs w:val="17"/>
                <w:color w:val="auto"/>
              </w:rPr>
            </w:pPr>
          </w:p>
        </w:tc>
        <w:tc>
          <w:tcPr>
            <w:tcW w:w="194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Philadelphia, PA</w:t>
            </w: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62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w:t>
            </w:r>
          </w:p>
        </w:tc>
        <w:tc>
          <w:tcPr>
            <w:tcW w:w="194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Social Data</w:t>
            </w:r>
          </w:p>
        </w:tc>
        <w:tc>
          <w:tcPr>
            <w:tcW w:w="1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Platform</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3/30/2012</w:t>
            </w:r>
          </w:p>
        </w:tc>
        <w:tc>
          <w:tcPr>
            <w:tcW w:w="6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112,374</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20" w:type="dxa"/>
            <w:vAlign w:val="bottom"/>
            <w:gridSpan w:val="8"/>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Total Non-</w:t>
            </w:r>
          </w:p>
        </w:tc>
        <w:tc>
          <w:tcPr>
            <w:tcW w:w="19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controlled/Non-</w:t>
            </w:r>
          </w:p>
        </w:tc>
        <w:tc>
          <w:tcPr>
            <w:tcW w:w="1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2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19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148,024,855</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131,739,945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 of Initial</w:t>
            </w:r>
          </w:p>
        </w:tc>
        <w:tc>
          <w:tcPr>
            <w:tcW w:w="1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1"/>
                <w:szCs w:val="21"/>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40" w:type="dxa"/>
            <w:vAlign w:val="bottom"/>
          </w:tcPr>
          <w:p>
            <w:pPr>
              <w:spacing w:after="0"/>
              <w:rPr>
                <w:sz w:val="21"/>
                <w:szCs w:val="21"/>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1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97"/>
        </w:trPr>
        <w:tc>
          <w:tcPr>
            <w:tcW w:w="2500" w:type="dxa"/>
            <w:vAlign w:val="bottom"/>
            <w:tcBorders>
              <w:top w:val="single" w:sz="8" w:color="auto"/>
            </w:tcBorders>
            <w:gridSpan w:val="14"/>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NON-</w:t>
            </w: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800" w:type="dxa"/>
            <w:vAlign w:val="bottom"/>
            <w:gridSpan w:val="15"/>
            <w:shd w:val="clear" w:color="auto" w:fill="CCEEFF"/>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CONTROLLED/AFFILIATE</w:t>
            </w:r>
            <w:r>
              <w:rPr>
                <w:rFonts w:ascii="Times New Roman" w:cs="Times New Roman" w:eastAsia="Times New Roman" w:hAnsi="Times New Roman"/>
                <w:sz w:val="29"/>
                <w:szCs w:val="29"/>
                <w:b w:val="1"/>
                <w:bCs w:val="1"/>
                <w:color w:val="auto"/>
                <w:vertAlign w:val="superscript"/>
              </w:rPr>
              <w:t>(1)</w:t>
            </w: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3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StormWind, LLC</w:t>
            </w:r>
          </w:p>
        </w:tc>
        <w:tc>
          <w:tcPr>
            <w:tcW w:w="1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(5)</w:t>
            </w:r>
          </w:p>
        </w:tc>
        <w:tc>
          <w:tcPr>
            <w:tcW w:w="1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Scottsdale, AZ</w:t>
            </w: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80" w:type="dxa"/>
            <w:vAlign w:val="bottom"/>
            <w:tcBorders>
              <w:bottom w:val="single" w:sz="8" w:color="auto"/>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8"/>
              </w:rPr>
              <w:t>Interactive</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13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Learning</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11/26/2019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329,337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257,267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522,785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2,779,134</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4,000,787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5,575,318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8%</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3,279,629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2,019,687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3,444,636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6"/>
        </w:trPr>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366,666</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179,843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6"/>
        </w:trPr>
        <w:tc>
          <w:tcPr>
            <w:tcW w:w="2800" w:type="dxa"/>
            <w:vAlign w:val="bottom"/>
            <w:tcBorders>
              <w:top w:val="single" w:sz="8" w:color="CCEEFF"/>
              <w:bottom w:val="single" w:sz="8" w:color="CCEEFF"/>
            </w:tcBorders>
            <w:gridSpan w:val="1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6,387,741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9,722,582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49"/>
        </w:trPr>
        <w:tc>
          <w:tcPr>
            <w:tcW w:w="2800" w:type="dxa"/>
            <w:vAlign w:val="bottom"/>
            <w:gridSpan w:val="15"/>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OneValley, Inc. (f/k/a NestGSV,</w:t>
            </w: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00" w:type="dxa"/>
            <w:vAlign w:val="bottom"/>
            <w:tcBorders>
              <w:top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400" w:type="dxa"/>
            <w:vAlign w:val="bottom"/>
            <w:gridSpan w:val="2"/>
          </w:tcPr>
          <w:p>
            <w:pPr>
              <w:spacing w:after="0"/>
              <w:rPr>
                <w:sz w:val="17"/>
                <w:szCs w:val="17"/>
                <w:color w:val="auto"/>
              </w:rPr>
            </w:pPr>
          </w:p>
        </w:tc>
        <w:tc>
          <w:tcPr>
            <w:tcW w:w="138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rPr>
              <w:t>San Mateo, CA</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0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Security, Expiration</w:t>
            </w:r>
          </w:p>
        </w:tc>
        <w:tc>
          <w:tcPr>
            <w:tcW w:w="138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7"/>
              </w:rPr>
              <w:t>Global</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800" w:type="dxa"/>
            <w:vAlign w:val="bottom"/>
            <w:gridSpan w:val="15"/>
            <w:vMerge w:val="continue"/>
            <w:shd w:val="clear" w:color="auto" w:fill="CCEEFF"/>
          </w:tcPr>
          <w:p>
            <w:pPr>
              <w:spacing w:after="0"/>
              <w:rPr>
                <w:sz w:val="15"/>
                <w:szCs w:val="15"/>
                <w:color w:val="auto"/>
              </w:rPr>
            </w:pPr>
          </w:p>
        </w:tc>
        <w:tc>
          <w:tcPr>
            <w:tcW w:w="1380" w:type="dxa"/>
            <w:vAlign w:val="bottom"/>
            <w:gridSpan w:val="2"/>
            <w:shd w:val="clear" w:color="auto" w:fill="CCEEFF"/>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w w:val="99"/>
              </w:rPr>
              <w:t>Innovation</w:t>
            </w: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00" w:type="dxa"/>
            <w:vAlign w:val="bottom"/>
            <w:gridSpan w:val="15"/>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Date 8/23/2024</w:t>
            </w:r>
            <w:r>
              <w:rPr>
                <w:rFonts w:ascii="Times New Roman" w:cs="Times New Roman" w:eastAsia="Times New Roman" w:hAnsi="Times New Roman"/>
                <w:sz w:val="29"/>
                <w:szCs w:val="29"/>
                <w:color w:val="auto"/>
                <w:vertAlign w:val="superscript"/>
              </w:rPr>
              <w:t>(10)</w:t>
            </w:r>
          </w:p>
        </w:tc>
        <w:tc>
          <w:tcPr>
            <w:tcW w:w="13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Platform</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8/23/2019</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8,555,124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629,735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1"/>
        </w:trPr>
        <w:tc>
          <w:tcPr>
            <w:tcW w:w="2800" w:type="dxa"/>
            <w:vAlign w:val="bottom"/>
            <w:gridSpan w:val="15"/>
          </w:tcPr>
          <w:p>
            <w:pPr>
              <w:spacing w:after="0" w:line="201" w:lineRule="exact"/>
              <w:rPr>
                <w:sz w:val="20"/>
                <w:szCs w:val="20"/>
                <w:color w:val="auto"/>
              </w:rPr>
            </w:pPr>
            <w:r>
              <w:rPr>
                <w:rFonts w:ascii="Times New Roman" w:cs="Times New Roman" w:eastAsia="Times New Roman" w:hAnsi="Times New Roman"/>
                <w:sz w:val="18"/>
                <w:szCs w:val="18"/>
                <w:color w:val="auto"/>
              </w:rPr>
              <w:t>Convertible Promissory Note 8%</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800" w:type="dxa"/>
            <w:vAlign w:val="bottom"/>
            <w:gridSpan w:val="15"/>
          </w:tcPr>
          <w:p>
            <w:pPr>
              <w:spacing w:after="0" w:line="271" w:lineRule="exact"/>
              <w:rPr>
                <w:sz w:val="20"/>
                <w:szCs w:val="20"/>
                <w:color w:val="auto"/>
              </w:rPr>
            </w:pPr>
            <w:r>
              <w:rPr>
                <w:rFonts w:ascii="Times New Roman" w:cs="Times New Roman" w:eastAsia="Times New Roman" w:hAnsi="Times New Roman"/>
                <w:sz w:val="18"/>
                <w:szCs w:val="18"/>
                <w:color w:val="auto"/>
              </w:rPr>
              <w:t>Due 8/23/2024</w:t>
            </w:r>
            <w:r>
              <w:rPr>
                <w:rFonts w:ascii="Times New Roman" w:cs="Times New Roman" w:eastAsia="Times New Roman" w:hAnsi="Times New Roman"/>
                <w:sz w:val="29"/>
                <w:szCs w:val="29"/>
                <w:color w:val="auto"/>
                <w:vertAlign w:val="superscript"/>
              </w:rPr>
              <w:t>(4)(10)</w:t>
            </w: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2/17/2016</w:t>
            </w:r>
          </w:p>
        </w:tc>
        <w:tc>
          <w:tcPr>
            <w:tcW w:w="180" w:type="dxa"/>
            <w:vAlign w:val="bottom"/>
          </w:tcPr>
          <w:p>
            <w:pPr>
              <w:spacing w:after="0"/>
              <w:rPr>
                <w:sz w:val="23"/>
                <w:szCs w:val="23"/>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1,010,198</w:t>
            </w:r>
          </w:p>
        </w:tc>
        <w:tc>
          <w:tcPr>
            <w:tcW w:w="24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1,030,176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1,958,284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198"/>
        </w:trPr>
        <w:tc>
          <w:tcPr>
            <w:tcW w:w="280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Warrant Series B, Strike</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$2.31, Expiration Date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12/31/2023</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5,080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gridSpan w:val="15"/>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CCEEFF"/>
              <w:bottom w:val="single" w:sz="8" w:color="CCEEFF"/>
            </w:tcBorders>
            <w:gridSpan w:val="2"/>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9,590,380</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2,588,019</w:t>
            </w:r>
          </w:p>
        </w:tc>
        <w:tc>
          <w:tcPr>
            <w:tcW w:w="28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280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Ozy Media, Inc.</w:t>
            </w:r>
          </w:p>
        </w:tc>
        <w:tc>
          <w:tcPr>
            <w:tcW w:w="1380" w:type="dxa"/>
            <w:vAlign w:val="bottom"/>
            <w:gridSpan w:val="2"/>
            <w:shd w:val="clear" w:color="auto" w:fill="CCEEFF"/>
          </w:tcPr>
          <w:p>
            <w:pPr>
              <w:jc w:val="center"/>
              <w:ind w:right="180"/>
              <w:spacing w:after="0" w:line="184" w:lineRule="exact"/>
              <w:rPr>
                <w:sz w:val="20"/>
                <w:szCs w:val="20"/>
                <w:color w:val="auto"/>
              </w:rPr>
            </w:pPr>
            <w:r>
              <w:rPr>
                <w:rFonts w:ascii="Times New Roman" w:cs="Times New Roman" w:eastAsia="Times New Roman" w:hAnsi="Times New Roman"/>
                <w:sz w:val="18"/>
                <w:szCs w:val="18"/>
                <w:color w:val="auto"/>
                <w:w w:val="98"/>
              </w:rPr>
              <w:t>Mountain View,</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0" w:type="dxa"/>
            <w:vAlign w:val="bottom"/>
            <w:gridSpan w:val="15"/>
            <w:vMerge w:val="continue"/>
            <w:shd w:val="clear" w:color="auto" w:fill="CCEEFF"/>
          </w:tcPr>
          <w:p>
            <w:pPr>
              <w:spacing w:after="0"/>
              <w:rPr>
                <w:sz w:val="18"/>
                <w:szCs w:val="18"/>
                <w:color w:val="auto"/>
              </w:rPr>
            </w:pPr>
          </w:p>
        </w:tc>
        <w:tc>
          <w:tcPr>
            <w:tcW w:w="1380" w:type="dxa"/>
            <w:vAlign w:val="bottom"/>
            <w:gridSpan w:val="2"/>
            <w:shd w:val="clear" w:color="auto" w:fill="CCEEFF"/>
          </w:tcPr>
          <w:p>
            <w:pPr>
              <w:jc w:val="center"/>
              <w:ind w:right="180"/>
              <w:spacing w:after="0" w:line="194" w:lineRule="exact"/>
              <w:rPr>
                <w:sz w:val="20"/>
                <w:szCs w:val="20"/>
                <w:color w:val="auto"/>
              </w:rPr>
            </w:pPr>
            <w:r>
              <w:rPr>
                <w:rFonts w:ascii="Times New Roman" w:cs="Times New Roman" w:eastAsia="Times New Roman" w:hAnsi="Times New Roman"/>
                <w:sz w:val="18"/>
                <w:szCs w:val="18"/>
                <w:color w:val="auto"/>
                <w:w w:val="95"/>
              </w:rPr>
              <w:t>CA</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Digital Media</w:t>
            </w:r>
          </w:p>
        </w:tc>
        <w:tc>
          <w:tcPr>
            <w:tcW w:w="1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Preferred shares, Series C-2 6%</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Platform</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8/31/2016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683,482</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2,414,178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6%</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10/3/2014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922,509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4,999,999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Preferred shares, Series A 6%</w:t>
            </w: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12/11/2013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1,090,909</w:t>
            </w:r>
          </w:p>
        </w:tc>
        <w:tc>
          <w:tcPr>
            <w:tcW w:w="2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3,000,200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Seed 6%</w:t>
            </w: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11/2/2012</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800" w:type="dxa"/>
            <w:vAlign w:val="bottom"/>
            <w:tcBorders>
              <w:top w:val="single" w:sz="8" w:color="CCEEFF"/>
            </w:tcBorders>
            <w:gridSpan w:val="15"/>
          </w:tcPr>
          <w:p>
            <w:pPr>
              <w:spacing w:after="0" w:line="171" w:lineRule="exact"/>
              <w:rPr>
                <w:sz w:val="20"/>
                <w:szCs w:val="20"/>
                <w:color w:val="auto"/>
              </w:rPr>
            </w:pPr>
            <w:r>
              <w:rPr>
                <w:rFonts w:ascii="Times New Roman" w:cs="Times New Roman" w:eastAsia="Times New Roman" w:hAnsi="Times New Roman"/>
                <w:sz w:val="18"/>
                <w:szCs w:val="18"/>
                <w:color w:val="auto"/>
              </w:rPr>
              <w:t>Common Warrants, Strike Price</w:t>
            </w:r>
          </w:p>
        </w:tc>
        <w:tc>
          <w:tcPr>
            <w:tcW w:w="1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3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$0.01, Expiration Date 4/9/2028</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295,565</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00" w:type="dxa"/>
            <w:vAlign w:val="bottom"/>
            <w:tcBorders>
              <w:bottom w:val="single" w:sz="8" w:color="CCEEFF"/>
            </w:tcBorders>
            <w:gridSpan w:val="15"/>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10,945,024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280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Maven Research, Inc.</w:t>
            </w:r>
          </w:p>
        </w:tc>
        <w:tc>
          <w:tcPr>
            <w:tcW w:w="1380" w:type="dxa"/>
            <w:vAlign w:val="bottom"/>
            <w:gridSpan w:val="2"/>
            <w:shd w:val="clear" w:color="auto" w:fill="CCEEFF"/>
          </w:tcPr>
          <w:p>
            <w:pPr>
              <w:jc w:val="center"/>
              <w:ind w:right="160"/>
              <w:spacing w:after="0" w:line="184" w:lineRule="exact"/>
              <w:rPr>
                <w:sz w:val="20"/>
                <w:szCs w:val="20"/>
                <w:color w:val="auto"/>
              </w:rPr>
            </w:pPr>
            <w:r>
              <w:rPr>
                <w:rFonts w:ascii="Times New Roman" w:cs="Times New Roman" w:eastAsia="Times New Roman" w:hAnsi="Times New Roman"/>
                <w:sz w:val="18"/>
                <w:szCs w:val="18"/>
                <w:color w:val="auto"/>
                <w:w w:val="99"/>
              </w:rPr>
              <w:t>San Francisco,</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0" w:type="dxa"/>
            <w:vAlign w:val="bottom"/>
            <w:gridSpan w:val="15"/>
            <w:vMerge w:val="continue"/>
            <w:shd w:val="clear" w:color="auto" w:fill="CCEEFF"/>
          </w:tcPr>
          <w:p>
            <w:pPr>
              <w:spacing w:after="0"/>
              <w:rPr>
                <w:sz w:val="18"/>
                <w:szCs w:val="18"/>
                <w:color w:val="auto"/>
              </w:rPr>
            </w:pPr>
          </w:p>
        </w:tc>
        <w:tc>
          <w:tcPr>
            <w:tcW w:w="1380" w:type="dxa"/>
            <w:vAlign w:val="bottom"/>
            <w:gridSpan w:val="2"/>
            <w:shd w:val="clear" w:color="auto" w:fill="CCEEFF"/>
          </w:tcPr>
          <w:p>
            <w:pPr>
              <w:jc w:val="center"/>
              <w:ind w:right="180"/>
              <w:spacing w:after="0" w:line="194" w:lineRule="exact"/>
              <w:rPr>
                <w:sz w:val="20"/>
                <w:szCs w:val="20"/>
                <w:color w:val="auto"/>
              </w:rPr>
            </w:pPr>
            <w:r>
              <w:rPr>
                <w:rFonts w:ascii="Times New Roman" w:cs="Times New Roman" w:eastAsia="Times New Roman" w:hAnsi="Times New Roman"/>
                <w:sz w:val="18"/>
                <w:szCs w:val="18"/>
                <w:color w:val="auto"/>
                <w:w w:val="95"/>
              </w:rPr>
              <w:t>CA</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Knowledge</w:t>
            </w:r>
          </w:p>
        </w:tc>
        <w:tc>
          <w:tcPr>
            <w:tcW w:w="1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Networks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7/2/2012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318,979</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2,000,447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w:t>
            </w: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2/28/2012</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49,505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217,206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gridSpan w:val="15"/>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CCEEFF"/>
              <w:bottom w:val="single" w:sz="8" w:color="CCEEFF"/>
            </w:tcBorders>
            <w:gridSpan w:val="2"/>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2,217,653</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28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Curious.com, Inc.</w:t>
            </w:r>
          </w:p>
        </w:tc>
        <w:tc>
          <w:tcPr>
            <w:tcW w:w="138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9"/>
              </w:rPr>
              <w:t>Menlo Park, CA</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7"/>
              </w:rPr>
              <w:t>Online</w:t>
            </w:r>
          </w:p>
        </w:tc>
        <w:tc>
          <w:tcPr>
            <w:tcW w:w="1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Education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1,135,944</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12,000,006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15"/>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41,140,804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12,310,601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00" w:type="dxa"/>
            <w:vAlign w:val="bottom"/>
            <w:gridSpan w:val="15"/>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29"/>
                <w:szCs w:val="29"/>
                <w:b w:val="1"/>
                <w:bCs w:val="1"/>
                <w:color w:val="auto"/>
                <w:vertAlign w:val="superscript"/>
              </w:rPr>
              <w:t>(2)</w:t>
            </w: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360" w:type="dxa"/>
            <w:vAlign w:val="bottom"/>
            <w:tcBorders>
              <w:bottom w:val="single" w:sz="8" w:color="auto"/>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Architect Capital PayJoy SPV,</w:t>
            </w:r>
          </w:p>
        </w:tc>
        <w:tc>
          <w:tcPr>
            <w:tcW w:w="440" w:type="dxa"/>
            <w:vAlign w:val="bottom"/>
            <w:tcBorders>
              <w:bottom w:val="single" w:sz="8" w:color="CCEEFF"/>
            </w:tcBorders>
            <w:gridSpan w:val="3"/>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9"/>
              </w:rPr>
              <w:t>San Francisco,</w:t>
            </w:r>
          </w:p>
        </w:tc>
        <w:tc>
          <w:tcPr>
            <w:tcW w:w="1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LLC**</w:t>
            </w:r>
          </w:p>
        </w:tc>
        <w:tc>
          <w:tcPr>
            <w:tcW w:w="2240" w:type="dxa"/>
            <w:vAlign w:val="bottom"/>
            <w:tcBorders>
              <w:bottom w:val="single" w:sz="8" w:color="CCEEFF"/>
            </w:tcBorders>
            <w:gridSpan w:val="13"/>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5"/>
              </w:rPr>
              <w:t>CA</w:t>
            </w: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Membership Interest in Lending</w:t>
            </w:r>
          </w:p>
        </w:tc>
        <w:tc>
          <w:tcPr>
            <w:tcW w:w="138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color w:val="auto"/>
              </w:rPr>
              <w:t>Mobile Finance</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800" w:type="dxa"/>
            <w:vAlign w:val="bottom"/>
            <w:gridSpan w:val="15"/>
          </w:tcPr>
          <w:p>
            <w:pPr>
              <w:spacing w:after="0" w:line="270" w:lineRule="exact"/>
              <w:rPr>
                <w:sz w:val="20"/>
                <w:szCs w:val="20"/>
                <w:color w:val="auto"/>
              </w:rPr>
            </w:pPr>
            <w:r>
              <w:rPr>
                <w:rFonts w:ascii="Times New Roman" w:cs="Times New Roman" w:eastAsia="Times New Roman" w:hAnsi="Times New Roman"/>
                <w:sz w:val="18"/>
                <w:szCs w:val="18"/>
                <w:color w:val="auto"/>
              </w:rPr>
              <w:t>SPV</w:t>
            </w:r>
            <w:r>
              <w:rPr>
                <w:rFonts w:ascii="Times New Roman" w:cs="Times New Roman" w:eastAsia="Times New Roman" w:hAnsi="Times New Roman"/>
                <w:sz w:val="29"/>
                <w:szCs w:val="29"/>
                <w:color w:val="auto"/>
                <w:vertAlign w:val="superscript"/>
              </w:rPr>
              <w:t>***</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Technology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3/24/2021</w:t>
            </w:r>
          </w:p>
        </w:tc>
        <w:tc>
          <w:tcPr>
            <w:tcW w:w="180" w:type="dxa"/>
            <w:vAlign w:val="bottom"/>
          </w:tcPr>
          <w:p>
            <w:pPr>
              <w:spacing w:after="0"/>
              <w:rPr>
                <w:sz w:val="23"/>
                <w:szCs w:val="23"/>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10,006,745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CCEEFF"/>
            </w:tcBorders>
            <w:gridSpan w:val="9"/>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Colombier Sponsor LLC**</w:t>
            </w:r>
          </w:p>
        </w:tc>
        <w:tc>
          <w:tcPr>
            <w:tcW w:w="2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(15)</w:t>
            </w:r>
          </w:p>
        </w:tc>
        <w:tc>
          <w:tcPr>
            <w:tcW w:w="460" w:type="dxa"/>
            <w:vAlign w:val="bottom"/>
            <w:tcBorders>
              <w:bottom w:val="single" w:sz="8" w:color="CCEEFF"/>
            </w:tcBorders>
            <w:gridSpan w:val="4"/>
            <w:vMerge w:val="restart"/>
            <w:shd w:val="clear" w:color="auto" w:fill="CCEEFF"/>
          </w:tcPr>
          <w:p>
            <w:pPr>
              <w:spacing w:after="0"/>
              <w:rPr>
                <w:sz w:val="12"/>
                <w:szCs w:val="12"/>
                <w:color w:val="auto"/>
              </w:rPr>
            </w:pPr>
          </w:p>
        </w:tc>
        <w:tc>
          <w:tcPr>
            <w:tcW w:w="1380" w:type="dxa"/>
            <w:vAlign w:val="bottom"/>
            <w:tcBorders>
              <w:bottom w:val="single" w:sz="8" w:color="CCEEFF"/>
            </w:tcBorders>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New York, NY</w:t>
            </w:r>
          </w:p>
        </w:tc>
        <w:tc>
          <w:tcPr>
            <w:tcW w:w="13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100" w:type="dxa"/>
            <w:vAlign w:val="bottom"/>
            <w:tcBorders>
              <w:bottom w:val="single" w:sz="8" w:color="auto"/>
            </w:tcBorders>
            <w:gridSpan w:val="9"/>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CCEEFF"/>
            </w:tcBorders>
            <w:gridSpan w:val="4"/>
            <w:vMerge w:val="continue"/>
            <w:shd w:val="clear" w:color="auto" w:fill="CCEEFF"/>
          </w:tcPr>
          <w:p>
            <w:pPr>
              <w:spacing w:after="0"/>
              <w:rPr>
                <w:sz w:val="5"/>
                <w:szCs w:val="5"/>
                <w:color w:val="auto"/>
              </w:rPr>
            </w:pPr>
          </w:p>
        </w:tc>
        <w:tc>
          <w:tcPr>
            <w:tcW w:w="1380" w:type="dxa"/>
            <w:vAlign w:val="bottom"/>
            <w:tcBorders>
              <w:bottom w:val="single" w:sz="8" w:color="CCEEFF"/>
            </w:tcBorders>
            <w:gridSpan w:val="2"/>
            <w:vMerge w:val="continue"/>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Special Purpose</w:t>
            </w:r>
          </w:p>
        </w:tc>
        <w:tc>
          <w:tcPr>
            <w:tcW w:w="1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Acquisition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Class B Units</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Company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1,976,033</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1,556,587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1,554,354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43"/>
        </w:trPr>
        <w:tc>
          <w:tcPr>
            <w:tcW w:w="2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W Units</w:t>
            </w: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2,700,000</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1,159,150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1,157,487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459"/>
        </w:trPr>
        <w:tc>
          <w:tcPr>
            <w:tcW w:w="280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2,715,737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2,711,841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76"/>
        </w:trPr>
        <w:tc>
          <w:tcPr>
            <w:tcW w:w="1940" w:type="dxa"/>
            <w:vAlign w:val="bottom"/>
            <w:tcBorders>
              <w:bottom w:val="single" w:sz="8" w:color="auto"/>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SPBRX, INC. (f/k/a GSV</w:t>
            </w:r>
          </w:p>
        </w:tc>
        <w:tc>
          <w:tcPr>
            <w:tcW w:w="860" w:type="dxa"/>
            <w:vAlign w:val="bottom"/>
            <w:tcBorders>
              <w:bottom w:val="single" w:sz="8" w:color="CCEEFF"/>
            </w:tcBorders>
            <w:gridSpan w:val="7"/>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Sustainability Partners, Inc.)</w:t>
            </w:r>
          </w:p>
        </w:tc>
        <w:tc>
          <w:tcPr>
            <w:tcW w:w="1380" w:type="dxa"/>
            <w:vAlign w:val="bottom"/>
            <w:gridSpan w:val="2"/>
            <w:shd w:val="clear" w:color="auto" w:fill="CCEEFF"/>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Cupertino, CA</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20" w:type="dxa"/>
            <w:vAlign w:val="bottom"/>
            <w:tcBorders>
              <w:top w:val="single" w:sz="8" w:color="auto"/>
            </w:tcBorders>
            <w:gridSpan w:val="10"/>
            <w:vMerge w:val="restart"/>
          </w:tcPr>
          <w:p>
            <w:pPr>
              <w:spacing w:after="0"/>
              <w:rPr>
                <w:sz w:val="20"/>
                <w:szCs w:val="20"/>
                <w:color w:val="auto"/>
              </w:rPr>
            </w:pPr>
            <w:r>
              <w:rPr>
                <w:rFonts w:ascii="Times New Roman" w:cs="Times New Roman" w:eastAsia="Times New Roman" w:hAnsi="Times New Roman"/>
                <w:sz w:val="18"/>
                <w:szCs w:val="18"/>
                <w:color w:val="auto"/>
              </w:rPr>
              <w:t>Preferred shares, Class A</w:t>
            </w:r>
            <w:r>
              <w:rPr>
                <w:rFonts w:ascii="Times New Roman" w:cs="Times New Roman" w:eastAsia="Times New Roman" w:hAnsi="Times New Roman"/>
                <w:sz w:val="29"/>
                <w:szCs w:val="29"/>
                <w:color w:val="auto"/>
                <w:vertAlign w:val="superscript"/>
              </w:rPr>
              <w:t>(9)</w:t>
            </w:r>
          </w:p>
        </w:tc>
        <w:tc>
          <w:tcPr>
            <w:tcW w:w="580" w:type="dxa"/>
            <w:vAlign w:val="bottom"/>
            <w:tcBorders>
              <w:top w:val="single" w:sz="8" w:color="CCEEFF"/>
            </w:tcBorders>
            <w:gridSpan w:val="5"/>
            <w:vMerge w:val="restart"/>
          </w:tcPr>
          <w:p>
            <w:pPr>
              <w:spacing w:after="0"/>
              <w:rPr>
                <w:sz w:val="17"/>
                <w:szCs w:val="17"/>
                <w:color w:val="auto"/>
              </w:rPr>
            </w:pPr>
          </w:p>
        </w:tc>
        <w:tc>
          <w:tcPr>
            <w:tcW w:w="1380" w:type="dxa"/>
            <w:vAlign w:val="bottom"/>
            <w:tcBorders>
              <w:top w:val="single" w:sz="8" w:color="CCEEFF"/>
            </w:tcBorders>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Clean</w:t>
            </w:r>
          </w:p>
        </w:tc>
        <w:tc>
          <w:tcPr>
            <w:tcW w:w="1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10"/>
            <w:vMerge w:val="continue"/>
          </w:tcPr>
          <w:p>
            <w:pPr>
              <w:spacing w:after="0"/>
              <w:rPr>
                <w:sz w:val="20"/>
                <w:szCs w:val="20"/>
                <w:color w:val="auto"/>
              </w:rPr>
            </w:pPr>
          </w:p>
        </w:tc>
        <w:tc>
          <w:tcPr>
            <w:tcW w:w="580" w:type="dxa"/>
            <w:vAlign w:val="bottom"/>
            <w:gridSpan w:val="5"/>
            <w:vMerge w:val="continue"/>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Technology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4/15/2014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14,300,000</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7,151,412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985,505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162"/>
        </w:trPr>
        <w:tc>
          <w:tcPr>
            <w:tcW w:w="2800" w:type="dxa"/>
            <w:vAlign w:val="bottom"/>
            <w:gridSpan w:val="1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Common shares</w:t>
            </w: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4/15/2014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4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160" w:type="dxa"/>
            <w:vAlign w:val="bottom"/>
            <w:gridSpan w:val="2"/>
            <w:shd w:val="clear" w:color="auto" w:fill="CCEEFF"/>
          </w:tcPr>
          <w:p>
            <w:pPr>
              <w:jc w:val="right"/>
              <w:ind w:right="11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gridSpan w:val="15"/>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7,161,412</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985,505</w:t>
            </w:r>
          </w:p>
        </w:tc>
        <w:tc>
          <w:tcPr>
            <w:tcW w:w="28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20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00" w:type="dxa"/>
            <w:vAlign w:val="bottom"/>
            <w:gridSpan w:val="15"/>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Controlled</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19,883,894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13,697,346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6.18%</w:t>
            </w:r>
          </w:p>
        </w:tc>
        <w:tc>
          <w:tcPr>
            <w:tcW w:w="0" w:type="dxa"/>
            <w:vAlign w:val="bottom"/>
          </w:tcPr>
          <w:p>
            <w:pPr>
              <w:spacing w:after="0"/>
              <w:rPr>
                <w:sz w:val="1"/>
                <w:szCs w:val="1"/>
                <w:color w:val="auto"/>
              </w:rPr>
            </w:pPr>
          </w:p>
        </w:tc>
      </w:tr>
      <w:tr>
        <w:trPr>
          <w:trHeight w:val="229"/>
        </w:trPr>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209,049,553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157,747,892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71.13%</w:t>
            </w:r>
          </w:p>
        </w:tc>
      </w:tr>
      <w:tr>
        <w:trPr>
          <w:trHeight w:val="67"/>
        </w:trPr>
        <w:tc>
          <w:tcPr>
            <w:tcW w:w="2640" w:type="dxa"/>
            <w:vAlign w:val="bottom"/>
            <w:tcBorders>
              <w:bottom w:val="single" w:sz="8" w:color="CCEEFF"/>
            </w:tcBorders>
          </w:tcPr>
          <w:p>
            <w:pPr>
              <w:spacing w:after="0"/>
              <w:rPr>
                <w:sz w:val="5"/>
                <w:szCs w:val="5"/>
                <w:color w:val="auto"/>
              </w:rPr>
            </w:pPr>
          </w:p>
        </w:tc>
        <w:tc>
          <w:tcPr>
            <w:tcW w:w="274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r>
      <w:tr>
        <w:trPr>
          <w:trHeight w:val="197"/>
        </w:trPr>
        <w:tc>
          <w:tcPr>
            <w:tcW w:w="264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Treasury</w:t>
            </w:r>
          </w:p>
        </w:tc>
        <w:tc>
          <w:tcPr>
            <w:tcW w:w="2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bill, 0%, due</w:t>
            </w:r>
          </w:p>
        </w:tc>
        <w:tc>
          <w:tcPr>
            <w:tcW w:w="2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12/29/2022***(3)</w:t>
            </w:r>
          </w:p>
        </w:tc>
        <w:tc>
          <w:tcPr>
            <w:tcW w:w="2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9/26/2022</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100,000,000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99,173,075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99,226,000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44.74%</w:t>
            </w:r>
          </w:p>
        </w:tc>
      </w:tr>
      <w:tr>
        <w:trPr>
          <w:trHeight w:val="216"/>
        </w:trPr>
        <w:tc>
          <w:tcPr>
            <w:tcW w:w="2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308,222,628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256,973,892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115.87%</w:t>
            </w:r>
          </w:p>
        </w:tc>
      </w:tr>
      <w:tr>
        <w:trPr>
          <w:trHeight w:val="432"/>
        </w:trPr>
        <w:tc>
          <w:tcPr>
            <w:tcW w:w="2640" w:type="dxa"/>
            <w:vAlign w:val="bottom"/>
          </w:tcPr>
          <w:p>
            <w:pPr>
              <w:spacing w:after="0"/>
              <w:rPr>
                <w:sz w:val="24"/>
                <w:szCs w:val="24"/>
                <w:color w:val="auto"/>
              </w:rPr>
            </w:pPr>
          </w:p>
        </w:tc>
        <w:tc>
          <w:tcPr>
            <w:tcW w:w="586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9"/>
        </w:trPr>
        <w:tc>
          <w:tcPr>
            <w:tcW w:w="26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jc w:val="both"/>
        <w:ind w:left="34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w:t>
      </w:r>
    </w:p>
    <w:p>
      <w:pPr>
        <w:spacing w:after="0" w:line="187" w:lineRule="exact"/>
        <w:rPr>
          <w:sz w:val="20"/>
          <w:szCs w:val="20"/>
          <w:color w:val="auto"/>
        </w:rPr>
      </w:pPr>
    </w:p>
    <w:p>
      <w:pPr>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September 30, 2022, 14.63% of its total investments are non-qualifying assets.</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342" w:lineRule="exact"/>
        <w:rPr>
          <w:sz w:val="20"/>
          <w:szCs w:val="20"/>
          <w:color w:val="auto"/>
        </w:rPr>
      </w:pPr>
    </w:p>
    <w:p>
      <w:pPr>
        <w:jc w:val="both"/>
        <w:ind w:left="460" w:hanging="452"/>
        <w:spacing w:after="0" w:line="261"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preferred shares of Residential Homes for Rent, LLC (d/b/a Second Avenue) are held through SuRo Capital Corp.’s wholly owned subsidiary, GSVC AV Holdings, Inc.</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Commercial Streaming Solutions Inc. (d/b/a BettorView), YouBet Technology, Inc. (d/b/a FanPower), Rebric Inc. (d/b/a Compliable), EDGE Markets, Inc., and Xgroup Holdings Limited (d/b/a Xpoint) are held through SuRo Capital Corp.’s wholly owned subsidiary, SuRo Capital Sports, LLC (“SuRo Sports”).</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True Global Ventures 4 Plus Pte Ltd are held through SuRo Capital Corp.’s wholly owned subsidiary, GSVC SVDS Holdings, Inc. As of September 30, 2022, $0.7 million of a $2.0 million capital commitment to True Global Ventures 4 Plus Fund LP had been called and funded.</w:t>
      </w:r>
    </w:p>
    <w:p>
      <w:pPr>
        <w:spacing w:after="0" w:line="175" w:lineRule="exact"/>
        <w:rPr>
          <w:rFonts w:ascii="Times New Roman" w:cs="Times New Roman" w:eastAsia="Times New Roman" w:hAnsi="Times New Roman"/>
          <w:sz w:val="18"/>
          <w:szCs w:val="18"/>
          <w:color w:val="auto"/>
        </w:rPr>
      </w:pPr>
    </w:p>
    <w:p>
      <w:pPr>
        <w:jc w:val="both"/>
        <w:ind w:left="460" w:right="2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2022, Aventine Property Group, Inc. declared an aggregate of less than $0.1 million in dividend distributions.</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2022, Treehouse Real Estate Investment Trust, Inc. declared an aggregate of less than $0.1 million in dividend distributions.</w:t>
      </w:r>
    </w:p>
    <w:p>
      <w:pPr>
        <w:spacing w:after="0" w:line="161" w:lineRule="exact"/>
        <w:rPr>
          <w:rFonts w:ascii="Times New Roman" w:cs="Times New Roman" w:eastAsia="Times New Roman" w:hAnsi="Times New Roman"/>
          <w:sz w:val="18"/>
          <w:szCs w:val="18"/>
          <w:color w:val="auto"/>
        </w:rPr>
      </w:pPr>
    </w:p>
    <w:p>
      <w:pPr>
        <w:jc w:val="both"/>
        <w:ind w:left="460" w:right="2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2022, approximately $0.9 million has been received from Residential Homes for Rent, LLC (d/b/a Second Avenue) related to the 15% term loan due December 23, 2023. Of the proceeds received, approximately $0.8 million repaid a portion of the outstanding principal and the remaining was attributed to interest.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2022, NewLake Capital Partners, Inc. (f/k/a GreenAcreage Real Estate Corp.) declared an aggregate of $0.3 million in dividend distributions.</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9, 2021, Fullbridge, Inc.’s obligations under its financing arrangements with the Company became past due.</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22, 2022, Forge Global Holdings, Inc., completed its business combination with Motive Capital Corp. As a result of the transaction, each share of Forge Global, Inc.’s capital stock outstanding prior to the business combination was exchanged at the designated exchange ratio of approximately 3.123. In addition, each warrant of Forge Global, Inc. was exchanged into warrants exercisable into common stock based on the</w:t>
      </w:r>
    </w:p>
    <w:p>
      <w:pPr>
        <w:sectPr>
          <w:pgSz w:w="11900" w:h="16872" w:orient="portrait"/>
          <w:cols w:equalWidth="0" w:num="1">
            <w:col w:w="11240"/>
          </w:cols>
          <w:pgMar w:left="320" w:top="684" w:right="339" w:bottom="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exchange ratio of 3.123. The exercise price of each converted warrant was determined by dividing the exercise price of the respective Forge Global, Inc. warrants by the exchange ratio, rounded to the nearest whole cent. On and effective August 5, 2022, SuRo Capital notified Forge Global, Inc. of its intent to net exercise via cashless settlement its 230,144 common warrants in Forge Global, Inc. into 53,283 shares of Forge Global, Inc.’s public common stock, pursuant to the net exercise formula in the warrant agreement. The exercise was effectuated on September 30, 2022.</w:t>
      </w:r>
    </w:p>
    <w:p>
      <w:pPr>
        <w:spacing w:after="0" w:line="1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121" w:right="339" w:bottom="1440" w:gutter="0" w:footer="0" w:header="0"/>
        </w:sectPr>
      </w:pPr>
    </w:p>
    <w:bookmarkStart w:id="15" w:name="page16"/>
    <w:bookmarkEnd w:id="15"/>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ectPr>
          <w:pgSz w:w="11900" w:h="16900" w:orient="portrait"/>
          <w:cols w:equalWidth="0" w:num="1">
            <w:col w:w="11240"/>
          </w:cols>
          <w:pgMar w:left="320" w:top="684" w:right="339" w:bottom="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r>
              <w:rPr>
                <w:rFonts w:ascii="Times New Roman" w:cs="Times New Roman" w:eastAsia="Times New Roman" w:hAnsi="Times New Roman"/>
                <w:sz w:val="29"/>
                <w:szCs w:val="29"/>
                <w:b w:val="1"/>
                <w:bCs w:val="1"/>
                <w:color w:val="auto"/>
                <w:vertAlign w:val="superscript"/>
              </w:rPr>
              <w:t>*</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Initial</w:t>
            </w:r>
          </w:p>
        </w:tc>
        <w:tc>
          <w:tcPr>
            <w:tcW w:w="0" w:type="dxa"/>
            <w:vAlign w:val="bottom"/>
          </w:tcPr>
          <w:p>
            <w:pPr>
              <w:spacing w:after="0"/>
              <w:rPr>
                <w:sz w:val="1"/>
                <w:szCs w:val="1"/>
                <w:color w:val="auto"/>
              </w:rPr>
            </w:pPr>
          </w:p>
        </w:tc>
      </w:tr>
      <w:tr>
        <w:trPr>
          <w:trHeight w:val="245"/>
        </w:trPr>
        <w:tc>
          <w:tcPr>
            <w:tcW w:w="2000" w:type="dxa"/>
            <w:vAlign w:val="bottom"/>
            <w:gridSpan w:val="16"/>
            <w:vMerge w:val="continue"/>
          </w:tcPr>
          <w:p>
            <w:pPr>
              <w:spacing w:after="0"/>
              <w:rPr>
                <w:sz w:val="21"/>
                <w:szCs w:val="21"/>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194"/>
        </w:trPr>
        <w:tc>
          <w:tcPr>
            <w:tcW w:w="1800" w:type="dxa"/>
            <w:vAlign w:val="bottom"/>
            <w:tcBorders>
              <w:top w:val="single" w:sz="8" w:color="auto"/>
            </w:tcBorders>
            <w:gridSpan w:val="1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w:t>
            </w:r>
          </w:p>
        </w:tc>
        <w:tc>
          <w:tcPr>
            <w:tcW w:w="2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CONTROLLED/NON-</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80" w:type="dxa"/>
            <w:vAlign w:val="bottom"/>
            <w:tcBorders>
              <w:bottom w:val="single" w:sz="8" w:color="auto"/>
            </w:tcBorders>
            <w:gridSpan w:val="8"/>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Course Hero, Inc.</w:t>
            </w:r>
          </w:p>
        </w:tc>
        <w:tc>
          <w:tcPr>
            <w:tcW w:w="620" w:type="dxa"/>
            <w:vAlign w:val="bottom"/>
            <w:gridSpan w:val="8"/>
          </w:tcPr>
          <w:p>
            <w:pPr>
              <w:spacing w:after="0"/>
              <w:rPr>
                <w:sz w:val="17"/>
                <w:szCs w:val="17"/>
                <w:color w:val="auto"/>
              </w:rPr>
            </w:pPr>
          </w:p>
        </w:tc>
        <w:tc>
          <w:tcPr>
            <w:tcW w:w="16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Redwood City, CA</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 8%</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Online Education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9/18/2014</w:t>
            </w:r>
          </w:p>
        </w:tc>
        <w:tc>
          <w:tcPr>
            <w:tcW w:w="0" w:type="dxa"/>
            <w:vAlign w:val="bottom"/>
          </w:tcPr>
          <w:p>
            <w:pPr>
              <w:spacing w:after="0"/>
              <w:rPr>
                <w:sz w:val="1"/>
                <w:szCs w:val="1"/>
                <w:color w:val="auto"/>
              </w:rPr>
            </w:pPr>
          </w:p>
        </w:tc>
      </w:tr>
      <w:tr>
        <w:trPr>
          <w:trHeight w:val="216"/>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 8%</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11/5/2021</w:t>
            </w:r>
          </w:p>
        </w:tc>
        <w:tc>
          <w:tcPr>
            <w:tcW w:w="0" w:type="dxa"/>
            <w:vAlign w:val="bottom"/>
          </w:tcPr>
          <w:p>
            <w:pPr>
              <w:spacing w:after="0"/>
              <w:rPr>
                <w:sz w:val="1"/>
                <w:szCs w:val="1"/>
                <w:color w:val="auto"/>
              </w:rPr>
            </w:pPr>
          </w:p>
        </w:tc>
      </w:tr>
      <w:tr>
        <w:trPr>
          <w:trHeight w:val="243"/>
        </w:trPr>
        <w:tc>
          <w:tcPr>
            <w:tcW w:w="2000" w:type="dxa"/>
            <w:vAlign w:val="bottom"/>
            <w:gridSpan w:val="16"/>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Forge Global, Inc.</w:t>
            </w:r>
          </w:p>
        </w:tc>
        <w:tc>
          <w:tcPr>
            <w:tcW w:w="16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rPr>
              <w:t>San Francisco, CA</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Online</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Common shares, Class</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Marketplace</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AA</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Finance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7/20/2011</w:t>
            </w:r>
          </w:p>
        </w:tc>
        <w:tc>
          <w:tcPr>
            <w:tcW w:w="0" w:type="dxa"/>
            <w:vAlign w:val="bottom"/>
          </w:tcPr>
          <w:p>
            <w:pPr>
              <w:spacing w:after="0"/>
              <w:rPr>
                <w:sz w:val="1"/>
                <w:szCs w:val="1"/>
                <w:color w:val="auto"/>
              </w:rPr>
            </w:pPr>
          </w:p>
        </w:tc>
      </w:tr>
      <w:tr>
        <w:trPr>
          <w:trHeight w:val="243"/>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Junior Preferred shares</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7/19/2011</w:t>
            </w:r>
          </w:p>
        </w:tc>
        <w:tc>
          <w:tcPr>
            <w:tcW w:w="0" w:type="dxa"/>
            <w:vAlign w:val="bottom"/>
          </w:tcPr>
          <w:p>
            <w:pPr>
              <w:spacing w:after="0"/>
              <w:rPr>
                <w:sz w:val="1"/>
                <w:szCs w:val="1"/>
                <w:color w:val="auto"/>
              </w:rPr>
            </w:pPr>
          </w:p>
        </w:tc>
      </w:tr>
      <w:tr>
        <w:trPr>
          <w:trHeight w:val="225"/>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Junior Preferred</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warrants, Strike Price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$12.42, Expiration Date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11/9/2025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7/19/2011</w:t>
            </w:r>
          </w:p>
        </w:tc>
        <w:tc>
          <w:tcPr>
            <w:tcW w:w="0" w:type="dxa"/>
            <w:vAlign w:val="bottom"/>
          </w:tcPr>
          <w:p>
            <w:pPr>
              <w:spacing w:after="0"/>
              <w:rPr>
                <w:sz w:val="1"/>
                <w:szCs w:val="1"/>
                <w:color w:val="auto"/>
              </w:rPr>
            </w:pPr>
          </w:p>
        </w:tc>
      </w:tr>
      <w:tr>
        <w:trPr>
          <w:trHeight w:val="243"/>
        </w:trPr>
        <w:tc>
          <w:tcPr>
            <w:tcW w:w="2000" w:type="dxa"/>
            <w:vAlign w:val="bottom"/>
            <w:gridSpan w:val="16"/>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Blink Health, Inc.</w:t>
            </w:r>
          </w:p>
        </w:tc>
        <w:tc>
          <w:tcPr>
            <w:tcW w:w="620" w:type="dxa"/>
            <w:vAlign w:val="bottom"/>
            <w:gridSpan w:val="8"/>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New York, NY</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Pharmaceutical</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Technology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0" w:type="dxa"/>
            <w:vAlign w:val="bottom"/>
          </w:tcPr>
          <w:p>
            <w:pPr>
              <w:spacing w:after="0"/>
              <w:rPr>
                <w:sz w:val="1"/>
                <w:szCs w:val="1"/>
                <w:color w:val="auto"/>
              </w:rPr>
            </w:pPr>
          </w:p>
        </w:tc>
      </w:tr>
      <w:tr>
        <w:trPr>
          <w:trHeight w:val="225"/>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0" w:type="dxa"/>
            <w:vAlign w:val="bottom"/>
          </w:tcPr>
          <w:p>
            <w:pPr>
              <w:spacing w:after="0"/>
              <w:rPr>
                <w:sz w:val="1"/>
                <w:szCs w:val="1"/>
                <w:color w:val="auto"/>
              </w:rPr>
            </w:pPr>
          </w:p>
        </w:tc>
      </w:tr>
      <w:tr>
        <w:trPr>
          <w:trHeight w:val="243"/>
        </w:trPr>
        <w:tc>
          <w:tcPr>
            <w:tcW w:w="2000" w:type="dxa"/>
            <w:vAlign w:val="bottom"/>
            <w:gridSpan w:val="16"/>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20" w:type="dxa"/>
            <w:vAlign w:val="bottom"/>
            <w:tcBorders>
              <w:bottom w:val="single" w:sz="8" w:color="auto"/>
            </w:tcBorders>
            <w:gridSpan w:val="11"/>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Nextdoor Holdings,</w:t>
            </w:r>
          </w:p>
        </w:tc>
        <w:tc>
          <w:tcPr>
            <w:tcW w:w="480" w:type="dxa"/>
            <w:vAlign w:val="bottom"/>
            <w:gridSpan w:val="5"/>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16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San Francisco, CA</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00" w:type="dxa"/>
            <w:vAlign w:val="bottom"/>
            <w:gridSpan w:val="16"/>
          </w:tcPr>
          <w:p>
            <w:pPr>
              <w:spacing w:after="0" w:line="255"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Social Networking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9/27/2018</w:t>
            </w:r>
          </w:p>
        </w:tc>
        <w:tc>
          <w:tcPr>
            <w:tcW w:w="0" w:type="dxa"/>
            <w:vAlign w:val="bottom"/>
          </w:tcPr>
          <w:p>
            <w:pPr>
              <w:spacing w:after="0"/>
              <w:rPr>
                <w:sz w:val="1"/>
                <w:szCs w:val="1"/>
                <w:color w:val="auto"/>
              </w:rPr>
            </w:pPr>
          </w:p>
        </w:tc>
      </w:tr>
      <w:tr>
        <w:trPr>
          <w:trHeight w:val="198"/>
        </w:trPr>
        <w:tc>
          <w:tcPr>
            <w:tcW w:w="200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Aspiration Partners,</w:t>
            </w:r>
          </w:p>
        </w:tc>
        <w:tc>
          <w:tcPr>
            <w:tcW w:w="16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Marina Del Rey,</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top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420" w:type="dxa"/>
            <w:vAlign w:val="bottom"/>
            <w:gridSpan w:val="3"/>
          </w:tcPr>
          <w:p>
            <w:pPr>
              <w:spacing w:after="0"/>
              <w:rPr>
                <w:sz w:val="17"/>
                <w:szCs w:val="17"/>
                <w:color w:val="auto"/>
              </w:rPr>
            </w:pPr>
          </w:p>
        </w:tc>
        <w:tc>
          <w:tcPr>
            <w:tcW w:w="16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5"/>
              </w:rPr>
              <w:t>CA</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8/11/2015</w:t>
            </w:r>
          </w:p>
        </w:tc>
        <w:tc>
          <w:tcPr>
            <w:tcW w:w="0" w:type="dxa"/>
            <w:vAlign w:val="bottom"/>
          </w:tcPr>
          <w:p>
            <w:pPr>
              <w:spacing w:after="0"/>
              <w:rPr>
                <w:sz w:val="1"/>
                <w:szCs w:val="1"/>
                <w:color w:val="auto"/>
              </w:rPr>
            </w:pPr>
          </w:p>
        </w:tc>
      </w:tr>
      <w:tr>
        <w:trPr>
          <w:trHeight w:val="225"/>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C-3</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8/12/2019</w:t>
            </w:r>
          </w:p>
        </w:tc>
        <w:tc>
          <w:tcPr>
            <w:tcW w:w="0" w:type="dxa"/>
            <w:vAlign w:val="bottom"/>
          </w:tcPr>
          <w:p>
            <w:pPr>
              <w:spacing w:after="0"/>
              <w:rPr>
                <w:sz w:val="1"/>
                <w:szCs w:val="1"/>
                <w:color w:val="auto"/>
              </w:rPr>
            </w:pPr>
          </w:p>
        </w:tc>
      </w:tr>
      <w:tr>
        <w:trPr>
          <w:trHeight w:val="243"/>
        </w:trPr>
        <w:tc>
          <w:tcPr>
            <w:tcW w:w="2000" w:type="dxa"/>
            <w:vAlign w:val="bottom"/>
            <w:gridSpan w:val="16"/>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Trax Ltd.**</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00" w:type="dxa"/>
            <w:vAlign w:val="bottom"/>
            <w:gridSpan w:val="16"/>
            <w:vMerge w:val="continue"/>
          </w:tcPr>
          <w:p>
            <w:pPr>
              <w:spacing w:after="0"/>
              <w:rPr>
                <w:sz w:val="16"/>
                <w:szCs w:val="16"/>
                <w:color w:val="auto"/>
              </w:rPr>
            </w:pPr>
          </w:p>
        </w:tc>
        <w:tc>
          <w:tcPr>
            <w:tcW w:w="16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color w:val="auto"/>
                <w:w w:val="98"/>
              </w:rPr>
              <w:t>Singapore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Retail Technology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0" w:type="dxa"/>
            <w:vAlign w:val="bottom"/>
          </w:tcPr>
          <w:p>
            <w:pPr>
              <w:spacing w:after="0"/>
              <w:rPr>
                <w:sz w:val="1"/>
                <w:szCs w:val="1"/>
                <w:color w:val="auto"/>
              </w:rPr>
            </w:pPr>
          </w:p>
        </w:tc>
      </w:tr>
      <w:tr>
        <w:trPr>
          <w:trHeight w:val="225"/>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Investec series</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0" w:type="dxa"/>
            <w:vAlign w:val="bottom"/>
          </w:tcPr>
          <w:p>
            <w:pPr>
              <w:spacing w:after="0"/>
              <w:rPr>
                <w:sz w:val="1"/>
                <w:szCs w:val="1"/>
                <w:color w:val="auto"/>
              </w:rPr>
            </w:pPr>
          </w:p>
        </w:tc>
      </w:tr>
      <w:tr>
        <w:trPr>
          <w:trHeight w:val="243"/>
        </w:trPr>
        <w:tc>
          <w:tcPr>
            <w:tcW w:w="2000" w:type="dxa"/>
            <w:vAlign w:val="bottom"/>
            <w:gridSpan w:val="16"/>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Orchard Technologies,</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260" w:type="dxa"/>
            <w:vAlign w:val="bottom"/>
            <w:gridSpan w:val="2"/>
          </w:tcPr>
          <w:p>
            <w:pPr>
              <w:spacing w:after="0"/>
              <w:rPr>
                <w:sz w:val="17"/>
                <w:szCs w:val="17"/>
                <w:color w:val="auto"/>
              </w:rPr>
            </w:pPr>
          </w:p>
        </w:tc>
        <w:tc>
          <w:tcPr>
            <w:tcW w:w="16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7"/>
              </w:rPr>
              <w:t>New York, NY</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Real Estate</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Platform</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0" w:type="dxa"/>
            <w:vAlign w:val="bottom"/>
          </w:tcPr>
          <w:p>
            <w:pPr>
              <w:spacing w:after="0"/>
              <w:rPr>
                <w:sz w:val="1"/>
                <w:szCs w:val="1"/>
                <w:color w:val="auto"/>
              </w:rPr>
            </w:pPr>
          </w:p>
        </w:tc>
      </w:tr>
      <w:tr>
        <w:trPr>
          <w:trHeight w:val="167"/>
        </w:trPr>
        <w:tc>
          <w:tcPr>
            <w:tcW w:w="13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Skillsoft Corp.**</w:t>
            </w:r>
          </w:p>
        </w:tc>
        <w:tc>
          <w:tcPr>
            <w:tcW w:w="260" w:type="dxa"/>
            <w:vAlign w:val="bottom"/>
            <w:tcBorders>
              <w:bottom w:val="single" w:sz="8" w:color="auto"/>
            </w:tcBorders>
            <w:gridSpan w:val="7"/>
          </w:tcPr>
          <w:p>
            <w:pPr>
              <w:jc w:val="right"/>
              <w:spacing w:after="0" w:line="147" w:lineRule="exact"/>
              <w:rPr>
                <w:sz w:val="20"/>
                <w:szCs w:val="20"/>
                <w:color w:val="auto"/>
              </w:rPr>
            </w:pPr>
            <w:r>
              <w:rPr>
                <w:rFonts w:ascii="Times New Roman" w:cs="Times New Roman" w:eastAsia="Times New Roman" w:hAnsi="Times New Roman"/>
                <w:sz w:val="15"/>
                <w:szCs w:val="15"/>
                <w:b w:val="1"/>
                <w:bCs w:val="1"/>
                <w:color w:val="auto"/>
                <w:w w:val="95"/>
              </w:rPr>
              <w:t>(18)</w:t>
            </w:r>
          </w:p>
        </w:tc>
        <w:tc>
          <w:tcPr>
            <w:tcW w:w="440" w:type="dxa"/>
            <w:vAlign w:val="bottom"/>
            <w:gridSpan w:val="4"/>
            <w:vMerge w:val="restart"/>
          </w:tcPr>
          <w:p>
            <w:pPr>
              <w:spacing w:after="0"/>
              <w:rPr>
                <w:sz w:val="14"/>
                <w:szCs w:val="14"/>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Nashua, NH</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00" w:type="dxa"/>
            <w:vAlign w:val="bottom"/>
            <w:tcBorders>
              <w:bottom w:val="single" w:sz="8" w:color="auto"/>
            </w:tcBorders>
            <w:gridSpan w:val="5"/>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000" w:type="dxa"/>
            <w:vAlign w:val="bottom"/>
            <w:gridSpan w:val="16"/>
          </w:tcPr>
          <w:p>
            <w:pPr>
              <w:spacing w:after="0" w:line="281"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Online Education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6/8/2021</w:t>
            </w:r>
          </w:p>
        </w:tc>
        <w:tc>
          <w:tcPr>
            <w:tcW w:w="0" w:type="dxa"/>
            <w:vAlign w:val="bottom"/>
          </w:tcPr>
          <w:p>
            <w:pPr>
              <w:spacing w:after="0"/>
              <w:rPr>
                <w:sz w:val="1"/>
                <w:szCs w:val="1"/>
                <w:color w:val="auto"/>
              </w:rPr>
            </w:pPr>
          </w:p>
        </w:tc>
      </w:tr>
      <w:tr>
        <w:trPr>
          <w:trHeight w:val="198"/>
        </w:trPr>
        <w:tc>
          <w:tcPr>
            <w:tcW w:w="200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Varo Money, Inc.</w:t>
            </w:r>
          </w:p>
        </w:tc>
        <w:tc>
          <w:tcPr>
            <w:tcW w:w="16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San Francisco, CA</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3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680" w:type="dxa"/>
            <w:vAlign w:val="bottom"/>
            <w:gridSpan w:val="10"/>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c>
          <w:tcPr>
            <w:tcW w:w="0" w:type="dxa"/>
            <w:vAlign w:val="bottom"/>
          </w:tcPr>
          <w:p>
            <w:pPr>
              <w:spacing w:after="0"/>
              <w:rPr>
                <w:sz w:val="1"/>
                <w:szCs w:val="1"/>
                <w:color w:val="auto"/>
              </w:rPr>
            </w:pPr>
          </w:p>
        </w:tc>
      </w:tr>
      <w:tr>
        <w:trPr>
          <w:trHeight w:val="198"/>
        </w:trPr>
        <w:tc>
          <w:tcPr>
            <w:tcW w:w="1360" w:type="dxa"/>
            <w:vAlign w:val="bottom"/>
            <w:tcBorders>
              <w:bottom w:val="single" w:sz="8" w:color="auto"/>
            </w:tcBorders>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NewLake Capital</w:t>
            </w:r>
          </w:p>
        </w:tc>
        <w:tc>
          <w:tcPr>
            <w:tcW w:w="640" w:type="dxa"/>
            <w:vAlign w:val="bottom"/>
            <w:gridSpan w:val="9"/>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Partners, Inc. (f/k/a</w:t>
            </w:r>
          </w:p>
        </w:tc>
        <w:tc>
          <w:tcPr>
            <w:tcW w:w="480" w:type="dxa"/>
            <w:vAlign w:val="bottom"/>
            <w:gridSpan w:val="5"/>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GreenAcreage Real</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Borders>
              <w:top w:val="single" w:sz="8" w:color="auto"/>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Estate Corp.)**</w:t>
            </w:r>
          </w:p>
        </w:tc>
        <w:tc>
          <w:tcPr>
            <w:tcW w:w="280" w:type="dxa"/>
            <w:vAlign w:val="bottom"/>
            <w:tcBorders>
              <w:top w:val="single" w:sz="8" w:color="auto"/>
            </w:tcBorders>
            <w:gridSpan w:val="6"/>
          </w:tcPr>
          <w:p>
            <w:pPr>
              <w:spacing w:after="0"/>
              <w:rPr>
                <w:sz w:val="17"/>
                <w:szCs w:val="17"/>
                <w:color w:val="auto"/>
              </w:rPr>
            </w:pPr>
          </w:p>
        </w:tc>
        <w:tc>
          <w:tcPr>
            <w:tcW w:w="500" w:type="dxa"/>
            <w:vAlign w:val="bottom"/>
            <w:gridSpan w:val="6"/>
          </w:tcPr>
          <w:p>
            <w:pPr>
              <w:spacing w:after="0"/>
              <w:rPr>
                <w:sz w:val="17"/>
                <w:szCs w:val="17"/>
                <w:color w:val="auto"/>
              </w:rPr>
            </w:pPr>
          </w:p>
        </w:tc>
        <w:tc>
          <w:tcPr>
            <w:tcW w:w="16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7"/>
              </w:rPr>
              <w:t>New York, NY</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00" w:type="dxa"/>
            <w:vAlign w:val="bottom"/>
            <w:gridSpan w:val="16"/>
          </w:tcPr>
          <w:p>
            <w:pPr>
              <w:spacing w:after="0" w:line="265"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Net</w:t>
            </w:r>
          </w:p>
        </w:tc>
      </w:tr>
      <w:tr>
        <w:trPr>
          <w:trHeight w:val="245"/>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320" w:type="dxa"/>
            <w:vAlign w:val="bottom"/>
          </w:tcPr>
          <w:p>
            <w:pPr>
              <w:spacing w:after="0"/>
              <w:rPr>
                <w:sz w:val="21"/>
                <w:szCs w:val="21"/>
                <w:color w:val="auto"/>
              </w:rPr>
            </w:pP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20" w:type="dxa"/>
            <w:vAlign w:val="bottom"/>
          </w:tcPr>
          <w:p>
            <w:pPr>
              <w:spacing w:after="0"/>
              <w:rPr>
                <w:sz w:val="21"/>
                <w:szCs w:val="21"/>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-7620</wp:posOffset>
            </wp:positionV>
            <wp:extent cx="713232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548640</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2,145,509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5,000,001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77,831,772</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378"/>
        </w:trPr>
        <w:tc>
          <w:tcPr>
            <w:tcW w:w="10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275,659</w:t>
            </w:r>
          </w:p>
        </w:tc>
        <w:tc>
          <w:tcPr>
            <w:tcW w:w="240" w:type="dxa"/>
            <w:vAlign w:val="bottom"/>
          </w:tcPr>
          <w:p>
            <w:pPr>
              <w:spacing w:after="0"/>
              <w:rPr>
                <w:sz w:val="24"/>
                <w:szCs w:val="24"/>
                <w:color w:val="auto"/>
              </w:rPr>
            </w:pP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9,999,971</w:t>
            </w:r>
          </w:p>
        </w:tc>
        <w:tc>
          <w:tcPr>
            <w:tcW w:w="240" w:type="dxa"/>
            <w:vAlign w:val="bottom"/>
          </w:tcPr>
          <w:p>
            <w:pPr>
              <w:spacing w:after="0"/>
              <w:rPr>
                <w:sz w:val="24"/>
                <w:szCs w:val="24"/>
                <w:color w:val="auto"/>
              </w:rPr>
            </w:pP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9,999,971</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0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2.74</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14,999,972</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87,831,743</w:t>
            </w: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886"/>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625,520</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266,507</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16,430,555</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61"/>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160,534</w:t>
            </w:r>
          </w:p>
        </w:tc>
        <w:tc>
          <w:tcPr>
            <w:tcW w:w="24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2,259,716</w:t>
            </w:r>
          </w:p>
        </w:tc>
        <w:tc>
          <w:tcPr>
            <w:tcW w:w="24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4,216,752</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884"/>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73,695</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368,474</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2,526,223</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21,015,781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675"/>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238,095</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5,000,423</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4,315,552</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45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261,944</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10,003,917</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9,999,974</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15,004,340</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14,315,526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675"/>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1,801,850</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10,002,666</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12,439,522</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918"/>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540,270</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1,001,815</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10,556,306</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378"/>
        </w:trPr>
        <w:tc>
          <w:tcPr>
            <w:tcW w:w="10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24,912</w:t>
            </w:r>
          </w:p>
        </w:tc>
        <w:tc>
          <w:tcPr>
            <w:tcW w:w="240" w:type="dxa"/>
            <w:vAlign w:val="bottom"/>
          </w:tcPr>
          <w:p>
            <w:pPr>
              <w:spacing w:after="0"/>
              <w:rPr>
                <w:sz w:val="24"/>
                <w:szCs w:val="24"/>
                <w:color w:val="auto"/>
              </w:rPr>
            </w:pP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281,190</w:t>
            </w:r>
          </w:p>
        </w:tc>
        <w:tc>
          <w:tcPr>
            <w:tcW w:w="240" w:type="dxa"/>
            <w:vAlign w:val="bottom"/>
          </w:tcPr>
          <w:p>
            <w:pPr>
              <w:spacing w:after="0"/>
              <w:rPr>
                <w:sz w:val="24"/>
                <w:szCs w:val="24"/>
                <w:color w:val="auto"/>
              </w:rPr>
            </w:pP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499,437</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0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0.14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1,283,005</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11,055,743</w:t>
            </w:r>
          </w:p>
        </w:tc>
        <w:tc>
          <w:tcPr>
            <w:tcW w:w="320" w:type="dxa"/>
            <w:vAlign w:val="bottom"/>
          </w:tcPr>
          <w:p>
            <w:pPr>
              <w:spacing w:after="0"/>
              <w:rPr>
                <w:sz w:val="19"/>
                <w:szCs w:val="19"/>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9"/>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55,591</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2,781,148</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2,882,476</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378"/>
        </w:trPr>
        <w:tc>
          <w:tcPr>
            <w:tcW w:w="10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144,409</w:t>
            </w:r>
          </w:p>
        </w:tc>
        <w:tc>
          <w:tcPr>
            <w:tcW w:w="240" w:type="dxa"/>
            <w:vAlign w:val="bottom"/>
          </w:tcPr>
          <w:p>
            <w:pPr>
              <w:spacing w:after="0"/>
              <w:rPr>
                <w:sz w:val="24"/>
                <w:szCs w:val="24"/>
                <w:color w:val="auto"/>
              </w:rPr>
            </w:pP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7,224,600</w:t>
            </w:r>
          </w:p>
        </w:tc>
        <w:tc>
          <w:tcPr>
            <w:tcW w:w="240" w:type="dxa"/>
            <w:vAlign w:val="bottom"/>
          </w:tcPr>
          <w:p>
            <w:pPr>
              <w:spacing w:after="0"/>
              <w:rPr>
                <w:sz w:val="24"/>
                <w:szCs w:val="24"/>
                <w:color w:val="auto"/>
              </w:rPr>
            </w:pP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7,487,823</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0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2.05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10,005,748</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10,370,299</w:t>
            </w:r>
          </w:p>
        </w:tc>
        <w:tc>
          <w:tcPr>
            <w:tcW w:w="320" w:type="dxa"/>
            <w:vAlign w:val="bottom"/>
          </w:tcPr>
          <w:p>
            <w:pPr>
              <w:spacing w:after="0"/>
              <w:rPr>
                <w:sz w:val="19"/>
                <w:szCs w:val="19"/>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1,488,139</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10,004,034</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9,999,996</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540"/>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981,843</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9,818,430</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8,983,863</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432"/>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1,079,266</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10,005,548</w:t>
            </w:r>
          </w:p>
        </w:tc>
        <w:tc>
          <w:tcPr>
            <w:tcW w:w="2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8,541,676</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-6017260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-5708650</wp:posOffset>
            </wp:positionV>
            <wp:extent cx="7132320"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-5125720</wp:posOffset>
            </wp:positionV>
            <wp:extent cx="7132320" cy="565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-4405630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-3968115</wp:posOffset>
            </wp:positionV>
            <wp:extent cx="713232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-3522345</wp:posOffset>
            </wp:positionV>
            <wp:extent cx="71323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-3085465</wp:posOffset>
            </wp:positionV>
            <wp:extent cx="7132320"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-2502535</wp:posOffset>
            </wp:positionV>
            <wp:extent cx="713232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-2056765</wp:posOffset>
            </wp:positionV>
            <wp:extent cx="7132320"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-1610995</wp:posOffset>
            </wp:positionV>
            <wp:extent cx="713232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-1165225</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-616585</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-273685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0</wp:posOffset>
            </wp:positionV>
            <wp:extent cx="7132320" cy="548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109" w:lineRule="exact"/>
        <w:rPr>
          <w:sz w:val="20"/>
          <w:szCs w:val="20"/>
          <w:color w:val="auto"/>
        </w:rPr>
      </w:pPr>
    </w:p>
    <w:p>
      <w:pPr>
        <w:sectPr>
          <w:pgSz w:w="11900" w:h="16900" w:orient="portrait"/>
          <w:cols w:equalWidth="0" w:num="2">
            <w:col w:w="5020" w:space="200"/>
            <w:col w:w="6020"/>
          </w:cols>
          <w:pgMar w:left="320" w:top="684" w:right="339" w:bottom="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(16)</w:t>
            </w: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Cannabis REIT</w:t>
            </w:r>
          </w:p>
        </w:tc>
        <w:tc>
          <w:tcPr>
            <w:tcW w:w="17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8/12/2019</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278,471</w:t>
            </w: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5,653,375</w:t>
            </w: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7,986,548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75"/>
        </w:trPr>
        <w:tc>
          <w:tcPr>
            <w:tcW w:w="19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Rover Group, Inc.**</w:t>
            </w:r>
          </w:p>
        </w:tc>
        <w:tc>
          <w:tcPr>
            <w:tcW w:w="172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Seattle, WA</w:t>
            </w:r>
          </w:p>
        </w:tc>
        <w:tc>
          <w:tcPr>
            <w:tcW w:w="1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95"/>
              </w:rPr>
              <w:t>(13)</w:t>
            </w: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7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Peer-to-Peer Pet</w:t>
            </w:r>
          </w:p>
        </w:tc>
        <w:tc>
          <w:tcPr>
            <w:tcW w:w="1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gridSpan w:val="5"/>
            <w:vMerge w:val="continue"/>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Services</w:t>
            </w:r>
          </w:p>
        </w:tc>
        <w:tc>
          <w:tcPr>
            <w:tcW w:w="17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11/3/2014</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838,381</w:t>
            </w: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2,506,119</w:t>
            </w: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7,765,504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75"/>
        </w:trPr>
        <w:tc>
          <w:tcPr>
            <w:tcW w:w="19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Shogun Enterprises,</w:t>
            </w:r>
          </w:p>
        </w:tc>
        <w:tc>
          <w:tcPr>
            <w:tcW w:w="17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60" w:type="dxa"/>
            <w:vAlign w:val="bottom"/>
            <w:tcBorders>
              <w:top w:val="single" w:sz="8" w:color="auto"/>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Austin, TX</w:t>
            </w:r>
          </w:p>
        </w:tc>
        <w:tc>
          <w:tcPr>
            <w:tcW w:w="17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Home</w:t>
            </w:r>
          </w:p>
        </w:tc>
        <w:tc>
          <w:tcPr>
            <w:tcW w:w="170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Improvement</w:t>
            </w:r>
          </w:p>
        </w:tc>
        <w:tc>
          <w:tcPr>
            <w:tcW w:w="1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B-1</w:t>
            </w: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Finance</w:t>
            </w:r>
          </w:p>
        </w:tc>
        <w:tc>
          <w:tcPr>
            <w:tcW w:w="17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2/26/2021</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436,844</w:t>
            </w: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3,501,657</w:t>
            </w: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3,531,447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184"/>
        </w:trPr>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84" w:right="339" w:bottom="0" w:gutter="0" w:footer="0" w:header="0"/>
          <w:type w:val="continuous"/>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w:t>
            </w:r>
          </w:p>
        </w:tc>
        <w:tc>
          <w:tcPr>
            <w:tcW w:w="17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301,750</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3,501,661</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3,499,998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61"/>
        </w:trPr>
        <w:tc>
          <w:tcPr>
            <w:tcW w:w="19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B-2</w:t>
            </w:r>
          </w:p>
        </w:tc>
        <w:tc>
          <w:tcPr>
            <w:tcW w:w="17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7,003,318</w:t>
            </w: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7,031,445</w:t>
            </w: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2"/>
        </w:trPr>
        <w:tc>
          <w:tcPr>
            <w:tcW w:w="190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Enjoy Technology,</w:t>
            </w:r>
          </w:p>
        </w:tc>
        <w:tc>
          <w:tcPr>
            <w:tcW w:w="17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20" w:type="dxa"/>
            <w:vAlign w:val="bottom"/>
            <w:tcBorders>
              <w:top w:val="single" w:sz="8" w:color="auto"/>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480" w:type="dxa"/>
            <w:vAlign w:val="bottom"/>
            <w:tcBorders>
              <w:top w:val="single" w:sz="8" w:color="CCEEFF"/>
            </w:tcBorders>
            <w:gridSpan w:val="2"/>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Menlo Park, CA</w:t>
            </w:r>
          </w:p>
        </w:tc>
        <w:tc>
          <w:tcPr>
            <w:tcW w:w="1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9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74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On-Demand</w:t>
            </w: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gridSpan w:val="5"/>
            <w:vMerge w:val="continue"/>
          </w:tcPr>
          <w:p>
            <w:pPr>
              <w:spacing w:after="0"/>
              <w:rPr>
                <w:sz w:val="20"/>
                <w:szCs w:val="20"/>
                <w:color w:val="auto"/>
              </w:rPr>
            </w:pPr>
          </w:p>
        </w:tc>
        <w:tc>
          <w:tcPr>
            <w:tcW w:w="1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Commerce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10/16/2014</w:t>
            </w:r>
          </w:p>
        </w:tc>
        <w:tc>
          <w:tcPr>
            <w:tcW w:w="54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1,070,919</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5,526,777</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4,576,572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75"/>
        </w:trPr>
        <w:tc>
          <w:tcPr>
            <w:tcW w:w="19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Neutron Holdings, Inc.</w:t>
            </w:r>
          </w:p>
        </w:tc>
        <w:tc>
          <w:tcPr>
            <w:tcW w:w="17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0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(d/b/a/ Lime)</w:t>
            </w:r>
          </w:p>
        </w:tc>
        <w:tc>
          <w:tcPr>
            <w:tcW w:w="740" w:type="dxa"/>
            <w:vAlign w:val="bottom"/>
            <w:tcBorders>
              <w:top w:val="single" w:sz="8" w:color="auto"/>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CCEEFF"/>
              <w:bottom w:val="single" w:sz="8" w:color="CCEEFF"/>
            </w:tcBorders>
            <w:shd w:val="clear" w:color="auto" w:fill="CCEEFF"/>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San Francisco, CA</w:t>
            </w: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9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Junior Preferred shares,</w:t>
            </w: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Series 1-D</w:t>
            </w:r>
          </w:p>
        </w:tc>
        <w:tc>
          <w:tcPr>
            <w:tcW w:w="1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Micromobility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1/25/2019</w:t>
            </w:r>
          </w:p>
        </w:tc>
        <w:tc>
          <w:tcPr>
            <w:tcW w:w="54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41,237,113</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10,007,322</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3,485,014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198"/>
        </w:trPr>
        <w:tc>
          <w:tcPr>
            <w:tcW w:w="190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Junior Preferred</w:t>
            </w:r>
          </w:p>
        </w:tc>
        <w:tc>
          <w:tcPr>
            <w:tcW w:w="1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4%</w:t>
            </w:r>
          </w:p>
        </w:tc>
        <w:tc>
          <w:tcPr>
            <w:tcW w:w="1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5/11/2027***</w:t>
            </w:r>
          </w:p>
        </w:tc>
        <w:tc>
          <w:tcPr>
            <w:tcW w:w="174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506,339</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506,339</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506,339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8"/>
        </w:trPr>
        <w:tc>
          <w:tcPr>
            <w:tcW w:w="19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Common Warrants,</w:t>
            </w: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Strike Price $0.01,</w:t>
            </w: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5/11/2027</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540" w:type="dxa"/>
            <w:vAlign w:val="bottom"/>
          </w:tcPr>
          <w:p>
            <w:pPr>
              <w:spacing w:after="0"/>
              <w:rPr>
                <w:sz w:val="22"/>
                <w:szCs w:val="22"/>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2,032,967</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3,991,353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 of Initial</w:t>
            </w:r>
          </w:p>
        </w:tc>
        <w:tc>
          <w:tcPr>
            <w:tcW w:w="2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94"/>
        </w:trPr>
        <w:tc>
          <w:tcPr>
            <w:tcW w:w="1500" w:type="dxa"/>
            <w:vAlign w:val="bottom"/>
            <w:tcBorders>
              <w:top w:val="single" w:sz="8" w:color="auto"/>
            </w:tcBorders>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Residential Homes</w:t>
            </w:r>
          </w:p>
        </w:tc>
        <w:tc>
          <w:tcPr>
            <w:tcW w:w="5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Rent, LLC</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(d/b/a Second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Avenue)</w:t>
            </w:r>
          </w:p>
        </w:tc>
        <w:tc>
          <w:tcPr>
            <w:tcW w:w="13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Chicago, IL</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4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auto"/>
              </w:rPr>
              <w:t>Preferred shares,</w:t>
            </w:r>
          </w:p>
        </w:tc>
        <w:tc>
          <w:tcPr>
            <w:tcW w:w="134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rPr>
              <w:t>Real Estate</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40" w:type="dxa"/>
            <w:vAlign w:val="bottom"/>
            <w:gridSpan w:val="27"/>
          </w:tcPr>
          <w:p>
            <w:pPr>
              <w:spacing w:after="0" w:line="296" w:lineRule="exact"/>
              <w:rPr>
                <w:sz w:val="20"/>
                <w:szCs w:val="20"/>
                <w:color w:val="auto"/>
              </w:rPr>
            </w:pPr>
            <w:r>
              <w:rPr>
                <w:rFonts w:ascii="Times New Roman" w:cs="Times New Roman" w:eastAsia="Times New Roman" w:hAnsi="Times New Roman"/>
                <w:sz w:val="18"/>
                <w:szCs w:val="18"/>
                <w:color w:val="auto"/>
              </w:rPr>
              <w:t>Series A</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Platform</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198"/>
        </w:trPr>
        <w:tc>
          <w:tcPr>
            <w:tcW w:w="2040" w:type="dxa"/>
            <w:vAlign w:val="bottom"/>
            <w:gridSpan w:val="2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15%,</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12/23/2023***</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2,000,000</w:t>
            </w:r>
          </w:p>
        </w:tc>
        <w:tc>
          <w:tcPr>
            <w:tcW w:w="1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bottom w:val="single" w:sz="8" w:color="CCEEFF"/>
            </w:tcBorders>
            <w:gridSpan w:val="27"/>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3,500,000</w:t>
            </w:r>
          </w:p>
        </w:tc>
        <w:tc>
          <w:tcPr>
            <w:tcW w:w="3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3,500,000</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0.96</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2040" w:type="dxa"/>
            <w:vAlign w:val="bottom"/>
            <w:gridSpan w:val="27"/>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PayJoy, Inc.</w:t>
            </w:r>
          </w:p>
        </w:tc>
        <w:tc>
          <w:tcPr>
            <w:tcW w:w="1340" w:type="dxa"/>
            <w:vAlign w:val="bottom"/>
            <w:gridSpan w:val="2"/>
            <w:shd w:val="clear" w:color="auto" w:fill="CCEEFF"/>
          </w:tcPr>
          <w:p>
            <w:pPr>
              <w:jc w:val="center"/>
              <w:ind w:right="200"/>
              <w:spacing w:after="0" w:line="184" w:lineRule="exact"/>
              <w:rPr>
                <w:sz w:val="20"/>
                <w:szCs w:val="20"/>
                <w:color w:val="auto"/>
              </w:rPr>
            </w:pPr>
            <w:r>
              <w:rPr>
                <w:rFonts w:ascii="Times New Roman" w:cs="Times New Roman" w:eastAsia="Times New Roman" w:hAnsi="Times New Roman"/>
                <w:sz w:val="18"/>
                <w:szCs w:val="18"/>
                <w:color w:val="auto"/>
                <w:w w:val="99"/>
              </w:rPr>
              <w:t>San Francisco,</w:t>
            </w: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40" w:type="dxa"/>
            <w:vAlign w:val="bottom"/>
            <w:gridSpan w:val="27"/>
            <w:vMerge w:val="continue"/>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color w:val="auto"/>
              </w:rPr>
              <w:t>CA</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Mobile Access</w:t>
            </w:r>
          </w:p>
        </w:tc>
        <w:tc>
          <w:tcPr>
            <w:tcW w:w="1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Technology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7/23/2021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244,117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2,501,570</w:t>
            </w: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175"/>
        </w:trPr>
        <w:tc>
          <w:tcPr>
            <w:tcW w:w="20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Rent the Runway,</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660" w:type="dxa"/>
            <w:vAlign w:val="bottom"/>
            <w:tcBorders>
              <w:top w:val="single" w:sz="8" w:color="CCEEFF"/>
            </w:tcBorders>
            <w:gridSpan w:val="6"/>
            <w:shd w:val="clear" w:color="auto" w:fill="CCEEFF"/>
          </w:tcPr>
          <w:p>
            <w:pPr>
              <w:spacing w:after="0"/>
              <w:rPr>
                <w:sz w:val="17"/>
                <w:szCs w:val="17"/>
                <w:color w:val="auto"/>
              </w:rPr>
            </w:pPr>
          </w:p>
        </w:tc>
        <w:tc>
          <w:tcPr>
            <w:tcW w:w="1340" w:type="dxa"/>
            <w:vAlign w:val="bottom"/>
            <w:tcBorders>
              <w:top w:val="single" w:sz="8" w:color="CCEEFF"/>
            </w:tcBorders>
            <w:gridSpan w:val="2"/>
            <w:shd w:val="clear" w:color="auto" w:fill="CCEEFF"/>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7"/>
              </w:rPr>
              <w:t>New York, NY</w:t>
            </w:r>
          </w:p>
        </w:tc>
        <w:tc>
          <w:tcPr>
            <w:tcW w:w="1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4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Subscription</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7"/>
            <w:vMerge w:val="continue"/>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Fashion Rental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6/17/2020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339,191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5,153,945</w:t>
            </w: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2,418,856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175"/>
        </w:trPr>
        <w:tc>
          <w:tcPr>
            <w:tcW w:w="20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Aventine Property</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00" w:type="dxa"/>
            <w:vAlign w:val="bottom"/>
            <w:tcBorders>
              <w:top w:val="single" w:sz="8" w:color="auto"/>
              <w:bottom w:val="single" w:sz="8" w:color="auto"/>
            </w:tcBorders>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Group, Inc.</w:t>
            </w:r>
          </w:p>
        </w:tc>
        <w:tc>
          <w:tcPr>
            <w:tcW w:w="280" w:type="dxa"/>
            <w:vAlign w:val="bottom"/>
            <w:tcBorders>
              <w:top w:val="single" w:sz="8" w:color="auto"/>
              <w:bottom w:val="single" w:sz="8" w:color="auto"/>
            </w:tcBorders>
            <w:gridSpan w:val="9"/>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87"/>
              </w:rPr>
              <w:t>(12)</w:t>
            </w: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60" w:type="dxa"/>
            <w:vAlign w:val="bottom"/>
            <w:tcBorders>
              <w:top w:val="single" w:sz="8" w:color="auto"/>
              <w:bottom w:val="single" w:sz="8" w:color="auto"/>
              <w:right w:val="single" w:sz="8" w:color="CCEEFF"/>
            </w:tcBorders>
            <w:vMerge w:val="restart"/>
            <w:shd w:val="clear" w:color="auto" w:fill="CCEEFF"/>
          </w:tcPr>
          <w:p>
            <w:pPr>
              <w:spacing w:after="0"/>
              <w:rPr>
                <w:sz w:val="14"/>
                <w:szCs w:val="14"/>
                <w:color w:val="auto"/>
              </w:rPr>
            </w:pPr>
          </w:p>
        </w:tc>
        <w:tc>
          <w:tcPr>
            <w:tcW w:w="8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4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56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1340" w:type="dxa"/>
            <w:vAlign w:val="bottom"/>
            <w:tcBorders>
              <w:top w:val="single" w:sz="8" w:color="CCEEFF"/>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Chicago, IL</w:t>
            </w: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900" w:type="dxa"/>
            <w:vAlign w:val="bottom"/>
            <w:tcBorders>
              <w:bottom w:val="single" w:sz="8" w:color="auto"/>
            </w:tcBorders>
            <w:gridSpan w:val="7"/>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tcBorders>
            <w:gridSpan w:val="2"/>
            <w:vMerge w:val="continue"/>
            <w:shd w:val="clear" w:color="auto" w:fill="CCEEFF"/>
          </w:tcPr>
          <w:p>
            <w:pPr>
              <w:spacing w:after="0"/>
              <w:rPr>
                <w:sz w:val="5"/>
                <w:szCs w:val="5"/>
                <w:color w:val="auto"/>
              </w:rPr>
            </w:pPr>
          </w:p>
        </w:tc>
        <w:tc>
          <w:tcPr>
            <w:tcW w:w="1340" w:type="dxa"/>
            <w:vAlign w:val="bottom"/>
            <w:tcBorders>
              <w:bottom w:val="single" w:sz="8" w:color="CCEEFF"/>
            </w:tcBorders>
            <w:gridSpan w:val="2"/>
            <w:vMerge w:val="continue"/>
            <w:shd w:val="clear" w:color="auto" w:fill="CCEEFF"/>
          </w:tcPr>
          <w:p>
            <w:pPr>
              <w:spacing w:after="0"/>
              <w:rPr>
                <w:sz w:val="5"/>
                <w:szCs w:val="5"/>
                <w:color w:val="auto"/>
              </w:rPr>
            </w:pPr>
          </w:p>
        </w:tc>
        <w:tc>
          <w:tcPr>
            <w:tcW w:w="1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gridSpan w:val="2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34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Cannabis REIT</w:t>
            </w:r>
          </w:p>
        </w:tc>
        <w:tc>
          <w:tcPr>
            <w:tcW w:w="14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312,500</w:t>
            </w: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2,580,750</w:t>
            </w: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2,190,978</w:t>
            </w:r>
          </w:p>
        </w:tc>
        <w:tc>
          <w:tcPr>
            <w:tcW w:w="1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175"/>
        </w:trPr>
        <w:tc>
          <w:tcPr>
            <w:tcW w:w="980" w:type="dxa"/>
            <w:vAlign w:val="bottom"/>
            <w:tcBorders>
              <w:bottom w:val="single" w:sz="8" w:color="auto"/>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1060" w:type="dxa"/>
            <w:vAlign w:val="bottom"/>
            <w:tcBorders>
              <w:bottom w:val="single" w:sz="8" w:color="CCEEFF"/>
            </w:tcBorders>
            <w:gridSpan w:val="17"/>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Streaming</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auto"/>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Solutions Inc.</w:t>
            </w:r>
          </w:p>
        </w:tc>
        <w:tc>
          <w:tcPr>
            <w:tcW w:w="96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(d/b/a BettorView)</w:t>
            </w:r>
          </w:p>
        </w:tc>
        <w:tc>
          <w:tcPr>
            <w:tcW w:w="13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Las Vegas, NV</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(7)</w:t>
            </w: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gridSpan w:val="2"/>
            <w:vMerge w:val="continue"/>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Interactive</w:t>
            </w:r>
          </w:p>
        </w:tc>
        <w:tc>
          <w:tcPr>
            <w:tcW w:w="1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Simple Agreement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Media &amp;</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for Future Equity</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Services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3/26/2021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1,002,720</w:t>
            </w:r>
          </w:p>
        </w:tc>
        <w:tc>
          <w:tcPr>
            <w:tcW w:w="16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175"/>
        </w:trPr>
        <w:tc>
          <w:tcPr>
            <w:tcW w:w="20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Rebric, Inc. (d/b/a</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auto"/>
              <w:bottom w:val="single" w:sz="8" w:color="auto"/>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Compliable)</w:t>
            </w:r>
          </w:p>
        </w:tc>
        <w:tc>
          <w:tcPr>
            <w:tcW w:w="160" w:type="dxa"/>
            <w:vAlign w:val="bottom"/>
            <w:tcBorders>
              <w:top w:val="single" w:sz="8" w:color="auto"/>
              <w:bottom w:val="single" w:sz="8" w:color="auto"/>
            </w:tcBorders>
            <w:gridSpan w:val="4"/>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(7)</w:t>
            </w: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4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60" w:type="dxa"/>
            <w:vAlign w:val="bottom"/>
            <w:tcBorders>
              <w:top w:val="single" w:sz="8" w:color="auto"/>
              <w:bottom w:val="single" w:sz="8" w:color="auto"/>
              <w:right w:val="single" w:sz="8" w:color="CCEEFF"/>
            </w:tcBorders>
            <w:vMerge w:val="restart"/>
            <w:shd w:val="clear" w:color="auto" w:fill="CCEEFF"/>
          </w:tcPr>
          <w:p>
            <w:pPr>
              <w:spacing w:after="0"/>
              <w:rPr>
                <w:sz w:val="14"/>
                <w:szCs w:val="14"/>
                <w:color w:val="auto"/>
              </w:rPr>
            </w:pPr>
          </w:p>
        </w:tc>
        <w:tc>
          <w:tcPr>
            <w:tcW w:w="8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56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1340" w:type="dxa"/>
            <w:vAlign w:val="bottom"/>
            <w:tcBorders>
              <w:top w:val="single" w:sz="8" w:color="CCEEFF"/>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Denver, CO</w:t>
            </w: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auto"/>
            </w:tcBorders>
            <w:gridSpan w:val="10"/>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gridSpan w:val="2"/>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560" w:type="dxa"/>
            <w:vAlign w:val="bottom"/>
            <w:tcBorders>
              <w:bottom w:val="single" w:sz="8" w:color="CCEEFF"/>
            </w:tcBorders>
            <w:gridSpan w:val="2"/>
            <w:vMerge w:val="continue"/>
            <w:shd w:val="clear" w:color="auto" w:fill="CCEEFF"/>
          </w:tcPr>
          <w:p>
            <w:pPr>
              <w:spacing w:after="0"/>
              <w:rPr>
                <w:sz w:val="5"/>
                <w:szCs w:val="5"/>
                <w:color w:val="auto"/>
              </w:rPr>
            </w:pPr>
          </w:p>
        </w:tc>
        <w:tc>
          <w:tcPr>
            <w:tcW w:w="1340" w:type="dxa"/>
            <w:vAlign w:val="bottom"/>
            <w:tcBorders>
              <w:bottom w:val="single" w:sz="8" w:color="CCEEFF"/>
            </w:tcBorders>
            <w:gridSpan w:val="2"/>
            <w:vMerge w:val="continue"/>
            <w:shd w:val="clear" w:color="auto" w:fill="CCEEFF"/>
          </w:tcPr>
          <w:p>
            <w:pPr>
              <w:spacing w:after="0"/>
              <w:rPr>
                <w:sz w:val="5"/>
                <w:szCs w:val="5"/>
                <w:color w:val="auto"/>
              </w:rPr>
            </w:pPr>
          </w:p>
        </w:tc>
        <w:tc>
          <w:tcPr>
            <w:tcW w:w="1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CCEEFF"/>
            </w:tcBorders>
            <w:gridSpan w:val="27"/>
          </w:tcPr>
          <w:p>
            <w:pPr>
              <w:spacing w:after="0" w:line="198" w:lineRule="exact"/>
              <w:rPr>
                <w:sz w:val="20"/>
                <w:szCs w:val="20"/>
                <w:color w:val="auto"/>
              </w:rPr>
            </w:pPr>
            <w:r>
              <w:rPr>
                <w:rFonts w:ascii="Times New Roman" w:cs="Times New Roman" w:eastAsia="Times New Roman" w:hAnsi="Times New Roman"/>
                <w:sz w:val="18"/>
                <w:szCs w:val="18"/>
                <w:color w:val="auto"/>
              </w:rPr>
              <w:t>Preferred shares,</w:t>
            </w:r>
          </w:p>
        </w:tc>
        <w:tc>
          <w:tcPr>
            <w:tcW w:w="134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Gaming</w:t>
            </w:r>
          </w:p>
        </w:tc>
        <w:tc>
          <w:tcPr>
            <w:tcW w:w="1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Series Seed-4</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Licensing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2,064,409</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1,002,755</w:t>
            </w:r>
          </w:p>
        </w:tc>
        <w:tc>
          <w:tcPr>
            <w:tcW w:w="16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175"/>
        </w:trPr>
        <w:tc>
          <w:tcPr>
            <w:tcW w:w="20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Palantir Lending</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CCEEFF"/>
          </w:tcPr>
          <w:p>
            <w:pPr>
              <w:spacing w:after="0" w:line="20" w:lineRule="exact"/>
              <w:rPr>
                <w:sz w:val="1"/>
                <w:szCs w:val="1"/>
                <w:color w:val="auto"/>
              </w:rPr>
            </w:pPr>
          </w:p>
        </w:tc>
        <w:tc>
          <w:tcPr>
            <w:tcW w:w="1340" w:type="dxa"/>
            <w:vAlign w:val="bottom"/>
            <w:gridSpan w:val="2"/>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CCEEFF"/>
            </w:tcBorders>
            <w:gridSpan w:val="16"/>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Trust SPV I **</w:t>
            </w:r>
          </w:p>
        </w:tc>
        <w:tc>
          <w:tcPr>
            <w:tcW w:w="220" w:type="dxa"/>
            <w:vAlign w:val="bottom"/>
            <w:tcBorders>
              <w:bottom w:val="single" w:sz="8" w:color="auto"/>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79"/>
              </w:rPr>
              <w:t>(11)</w:t>
            </w: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gridSpan w:val="2"/>
            <w:vMerge w:val="restart"/>
            <w:shd w:val="clear" w:color="auto" w:fill="CCEEFF"/>
          </w:tcPr>
          <w:p>
            <w:pPr>
              <w:spacing w:after="0"/>
              <w:rPr>
                <w:sz w:val="14"/>
                <w:szCs w:val="14"/>
                <w:color w:val="auto"/>
              </w:rPr>
            </w:pPr>
          </w:p>
        </w:tc>
        <w:tc>
          <w:tcPr>
            <w:tcW w:w="560" w:type="dxa"/>
            <w:vAlign w:val="bottom"/>
            <w:tcBorders>
              <w:bottom w:val="single" w:sz="8" w:color="CCEEFF"/>
            </w:tcBorders>
            <w:gridSpan w:val="2"/>
            <w:vMerge w:val="restart"/>
            <w:shd w:val="clear" w:color="auto" w:fill="CCEEFF"/>
          </w:tcPr>
          <w:p>
            <w:pPr>
              <w:spacing w:after="0"/>
              <w:rPr>
                <w:sz w:val="14"/>
                <w:szCs w:val="14"/>
                <w:color w:val="auto"/>
              </w:rPr>
            </w:pPr>
          </w:p>
        </w:tc>
        <w:tc>
          <w:tcPr>
            <w:tcW w:w="134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Palo Alto, CA</w:t>
            </w: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180" w:type="dxa"/>
            <w:vAlign w:val="bottom"/>
            <w:tcBorders>
              <w:bottom w:val="single" w:sz="8" w:color="auto"/>
            </w:tcBorders>
            <w:gridSpan w:val="16"/>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right w:val="single" w:sz="8" w:color="CCEEFF"/>
            </w:tcBorders>
            <w:shd w:val="clear" w:color="auto" w:fill="CCEEFF"/>
          </w:tcPr>
          <w:p>
            <w:pPr>
              <w:spacing w:after="0"/>
              <w:rPr>
                <w:sz w:val="8"/>
                <w:szCs w:val="8"/>
                <w:color w:val="auto"/>
              </w:rPr>
            </w:pPr>
          </w:p>
        </w:tc>
        <w:tc>
          <w:tcPr>
            <w:tcW w:w="80" w:type="dxa"/>
            <w:vAlign w:val="bottom"/>
            <w:tcBorders>
              <w:bottom w:val="single" w:sz="8" w:color="CCEEFF"/>
            </w:tcBorders>
            <w:gridSpan w:val="2"/>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gridSpan w:val="2"/>
            <w:vMerge w:val="continue"/>
            <w:shd w:val="clear" w:color="auto" w:fill="CCEEFF"/>
          </w:tcPr>
          <w:p>
            <w:pPr>
              <w:spacing w:after="0"/>
              <w:rPr>
                <w:sz w:val="8"/>
                <w:szCs w:val="8"/>
                <w:color w:val="auto"/>
              </w:rPr>
            </w:pPr>
          </w:p>
        </w:tc>
        <w:tc>
          <w:tcPr>
            <w:tcW w:w="1340" w:type="dxa"/>
            <w:vAlign w:val="bottom"/>
            <w:tcBorders>
              <w:bottom w:val="single" w:sz="8" w:color="CCEEFF"/>
            </w:tcBorders>
            <w:gridSpan w:val="2"/>
            <w:vMerge w:val="continue"/>
            <w:shd w:val="clear" w:color="auto" w:fill="CCEEFF"/>
          </w:tcPr>
          <w:p>
            <w:pPr>
              <w:spacing w:after="0"/>
              <w:rPr>
                <w:sz w:val="8"/>
                <w:szCs w:val="8"/>
                <w:color w:val="auto"/>
              </w:rPr>
            </w:pPr>
          </w:p>
        </w:tc>
        <w:tc>
          <w:tcPr>
            <w:tcW w:w="14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08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CCEEFF"/>
            </w:tcBorders>
            <w:gridSpan w:val="27"/>
          </w:tcPr>
          <w:p>
            <w:pPr>
              <w:spacing w:after="0" w:line="198" w:lineRule="exact"/>
              <w:rPr>
                <w:sz w:val="20"/>
                <w:szCs w:val="20"/>
                <w:color w:val="auto"/>
              </w:rPr>
            </w:pPr>
            <w:r>
              <w:rPr>
                <w:rFonts w:ascii="Times New Roman" w:cs="Times New Roman" w:eastAsia="Times New Roman" w:hAnsi="Times New Roman"/>
                <w:sz w:val="18"/>
                <w:szCs w:val="18"/>
                <w:color w:val="auto"/>
              </w:rPr>
              <w:t>Equity Participation</w:t>
            </w:r>
          </w:p>
        </w:tc>
        <w:tc>
          <w:tcPr>
            <w:tcW w:w="1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 Underlying</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40" w:type="dxa"/>
            <w:vAlign w:val="bottom"/>
            <w:gridSpan w:val="27"/>
          </w:tcPr>
          <w:p>
            <w:pPr>
              <w:spacing w:after="0" w:line="271" w:lineRule="exact"/>
              <w:rPr>
                <w:sz w:val="20"/>
                <w:szCs w:val="20"/>
                <w:color w:val="auto"/>
              </w:rPr>
            </w:pPr>
            <w:r>
              <w:rPr>
                <w:rFonts w:ascii="Times New Roman" w:cs="Times New Roman" w:eastAsia="Times New Roman" w:hAnsi="Times New Roman"/>
                <w:sz w:val="18"/>
                <w:szCs w:val="18"/>
                <w:color w:val="auto"/>
              </w:rPr>
              <w:t>Collateral</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Data Analysis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6/19/2020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930,524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175"/>
        </w:trPr>
        <w:tc>
          <w:tcPr>
            <w:tcW w:w="960" w:type="dxa"/>
            <w:vAlign w:val="bottom"/>
            <w:tcBorders>
              <w:bottom w:val="single" w:sz="8" w:color="auto"/>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True Global</w:t>
            </w:r>
          </w:p>
        </w:tc>
        <w:tc>
          <w:tcPr>
            <w:tcW w:w="1080" w:type="dxa"/>
            <w:vAlign w:val="bottom"/>
            <w:tcBorders>
              <w:bottom w:val="single" w:sz="8" w:color="CCEEFF"/>
            </w:tcBorders>
            <w:gridSpan w:val="18"/>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7"/>
              </w:rPr>
              <w:t>Ventures 4 Plus</w:t>
            </w: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40" w:type="dxa"/>
            <w:vAlign w:val="bottom"/>
            <w:tcBorders>
              <w:bottom w:val="single" w:sz="8" w:color="CCEEFF"/>
            </w:tcBorders>
            <w:vMerge w:val="restart"/>
            <w:shd w:val="clear" w:color="auto" w:fill="CCEEFF"/>
          </w:tcPr>
          <w:p>
            <w:pPr>
              <w:spacing w:after="0"/>
              <w:rPr>
                <w:sz w:val="17"/>
                <w:szCs w:val="17"/>
                <w:color w:val="auto"/>
              </w:rPr>
            </w:pPr>
          </w:p>
        </w:tc>
        <w:tc>
          <w:tcPr>
            <w:tcW w:w="60" w:type="dxa"/>
            <w:vAlign w:val="bottom"/>
            <w:tcBorders>
              <w:bottom w:val="single" w:sz="8" w:color="CCEEFF"/>
              <w:right w:val="single" w:sz="8" w:color="CCEEFF"/>
            </w:tcBorders>
            <w:vMerge w:val="restart"/>
            <w:shd w:val="clear" w:color="auto" w:fill="CCEEFF"/>
          </w:tcPr>
          <w:p>
            <w:pPr>
              <w:spacing w:after="0"/>
              <w:rPr>
                <w:sz w:val="17"/>
                <w:szCs w:val="17"/>
                <w:color w:val="auto"/>
              </w:rPr>
            </w:pPr>
          </w:p>
        </w:tc>
        <w:tc>
          <w:tcPr>
            <w:tcW w:w="100" w:type="dxa"/>
            <w:vAlign w:val="bottom"/>
            <w:tcBorders>
              <w:bottom w:val="single" w:sz="8" w:color="CCEEFF"/>
            </w:tcBorders>
            <w:gridSpan w:val="3"/>
            <w:vMerge w:val="restart"/>
            <w:shd w:val="clear" w:color="auto" w:fill="CCEEFF"/>
          </w:tcPr>
          <w:p>
            <w:pPr>
              <w:spacing w:after="0"/>
              <w:rPr>
                <w:sz w:val="17"/>
                <w:szCs w:val="17"/>
                <w:color w:val="auto"/>
              </w:rPr>
            </w:pPr>
          </w:p>
        </w:tc>
        <w:tc>
          <w:tcPr>
            <w:tcW w:w="60" w:type="dxa"/>
            <w:vAlign w:val="bottom"/>
            <w:tcBorders>
              <w:bottom w:val="single" w:sz="8" w:color="CCEEFF"/>
            </w:tcBorders>
            <w:gridSpan w:val="2"/>
            <w:vMerge w:val="restart"/>
            <w:shd w:val="clear" w:color="auto" w:fill="CCEEFF"/>
          </w:tcPr>
          <w:p>
            <w:pPr>
              <w:spacing w:after="0"/>
              <w:rPr>
                <w:sz w:val="17"/>
                <w:szCs w:val="17"/>
                <w:color w:val="auto"/>
              </w:rPr>
            </w:pPr>
          </w:p>
        </w:tc>
        <w:tc>
          <w:tcPr>
            <w:tcW w:w="560" w:type="dxa"/>
            <w:vAlign w:val="bottom"/>
            <w:tcBorders>
              <w:bottom w:val="single" w:sz="8" w:color="CCEEFF"/>
            </w:tcBorders>
            <w:gridSpan w:val="2"/>
            <w:vMerge w:val="restart"/>
            <w:shd w:val="clear" w:color="auto" w:fill="CCEEFF"/>
          </w:tcPr>
          <w:p>
            <w:pPr>
              <w:spacing w:after="0"/>
              <w:rPr>
                <w:sz w:val="17"/>
                <w:szCs w:val="17"/>
                <w:color w:val="auto"/>
              </w:rPr>
            </w:pPr>
          </w:p>
        </w:tc>
        <w:tc>
          <w:tcPr>
            <w:tcW w:w="134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Singapore,</w:t>
            </w: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800" w:type="dxa"/>
            <w:vAlign w:val="bottom"/>
            <w:tcBorders>
              <w:right w:val="single" w:sz="8" w:color="CCEEFF"/>
            </w:tcBorders>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Pte Ltd**</w:t>
            </w:r>
          </w:p>
        </w:tc>
        <w:tc>
          <w:tcPr>
            <w:tcW w:w="140" w:type="dxa"/>
            <w:vAlign w:val="bottom"/>
            <w:gridSpan w:val="3"/>
            <w:vMerge w:val="restart"/>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73"/>
              </w:rPr>
              <w:t>(8)</w:t>
            </w:r>
          </w:p>
        </w:tc>
        <w:tc>
          <w:tcPr>
            <w:tcW w:w="120" w:type="dxa"/>
            <w:vAlign w:val="bottom"/>
            <w:gridSpan w:val="3"/>
            <w:shd w:val="clear" w:color="auto" w:fill="CCEEFF"/>
          </w:tcPr>
          <w:p>
            <w:pPr>
              <w:spacing w:after="0"/>
              <w:rPr>
                <w:sz w:val="3"/>
                <w:szCs w:val="3"/>
                <w:color w:val="auto"/>
              </w:rPr>
            </w:pPr>
          </w:p>
        </w:tc>
        <w:tc>
          <w:tcPr>
            <w:tcW w:w="60" w:type="dxa"/>
            <w:vAlign w:val="bottom"/>
            <w:gridSpan w:val="2"/>
            <w:shd w:val="clear" w:color="auto" w:fill="CCEEFF"/>
          </w:tcPr>
          <w:p>
            <w:pPr>
              <w:spacing w:after="0"/>
              <w:rPr>
                <w:sz w:val="3"/>
                <w:szCs w:val="3"/>
                <w:color w:val="auto"/>
              </w:rPr>
            </w:pPr>
          </w:p>
        </w:tc>
        <w:tc>
          <w:tcPr>
            <w:tcW w:w="40" w:type="dxa"/>
            <w:vAlign w:val="bottom"/>
            <w:gridSpan w:val="2"/>
            <w:shd w:val="clear" w:color="auto" w:fill="CCEEFF"/>
          </w:tcPr>
          <w:p>
            <w:pPr>
              <w:spacing w:after="0"/>
              <w:rPr>
                <w:sz w:val="3"/>
                <w:szCs w:val="3"/>
                <w:color w:val="auto"/>
              </w:rPr>
            </w:pPr>
          </w:p>
        </w:tc>
        <w:tc>
          <w:tcPr>
            <w:tcW w:w="40" w:type="dxa"/>
            <w:vAlign w:val="bottom"/>
            <w:gridSpan w:val="2"/>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60" w:type="dxa"/>
            <w:vAlign w:val="bottom"/>
            <w:tcBorders>
              <w:right w:val="single" w:sz="8" w:color="CCEEFF"/>
            </w:tcBorders>
            <w:vMerge w:val="continue"/>
            <w:shd w:val="clear" w:color="auto" w:fill="CCEEFF"/>
          </w:tcPr>
          <w:p>
            <w:pPr>
              <w:spacing w:after="0"/>
              <w:rPr>
                <w:sz w:val="3"/>
                <w:szCs w:val="3"/>
                <w:color w:val="auto"/>
              </w:rPr>
            </w:pPr>
          </w:p>
        </w:tc>
        <w:tc>
          <w:tcPr>
            <w:tcW w:w="100" w:type="dxa"/>
            <w:vAlign w:val="bottom"/>
            <w:gridSpan w:val="3"/>
            <w:vMerge w:val="continue"/>
            <w:shd w:val="clear" w:color="auto" w:fill="CCEEFF"/>
          </w:tcPr>
          <w:p>
            <w:pPr>
              <w:spacing w:after="0"/>
              <w:rPr>
                <w:sz w:val="3"/>
                <w:szCs w:val="3"/>
                <w:color w:val="auto"/>
              </w:rPr>
            </w:pPr>
          </w:p>
        </w:tc>
        <w:tc>
          <w:tcPr>
            <w:tcW w:w="60" w:type="dxa"/>
            <w:vAlign w:val="bottom"/>
            <w:gridSpan w:val="2"/>
            <w:vMerge w:val="continue"/>
            <w:shd w:val="clear" w:color="auto" w:fill="CCEEFF"/>
          </w:tcPr>
          <w:p>
            <w:pPr>
              <w:spacing w:after="0"/>
              <w:rPr>
                <w:sz w:val="3"/>
                <w:szCs w:val="3"/>
                <w:color w:val="auto"/>
              </w:rPr>
            </w:pPr>
          </w:p>
        </w:tc>
        <w:tc>
          <w:tcPr>
            <w:tcW w:w="560" w:type="dxa"/>
            <w:vAlign w:val="bottom"/>
            <w:gridSpan w:val="2"/>
            <w:vMerge w:val="continue"/>
            <w:shd w:val="clear" w:color="auto" w:fill="CCEEFF"/>
          </w:tcPr>
          <w:p>
            <w:pPr>
              <w:spacing w:after="0"/>
              <w:rPr>
                <w:sz w:val="3"/>
                <w:szCs w:val="3"/>
                <w:color w:val="auto"/>
              </w:rPr>
            </w:pPr>
          </w:p>
        </w:tc>
        <w:tc>
          <w:tcPr>
            <w:tcW w:w="1340" w:type="dxa"/>
            <w:vAlign w:val="bottom"/>
            <w:gridSpan w:val="2"/>
            <w:vMerge w:val="continue"/>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800" w:type="dxa"/>
            <w:vAlign w:val="bottom"/>
            <w:tcBorders>
              <w:bottom w:val="single" w:sz="8" w:color="CCEEFF"/>
              <w:right w:val="single" w:sz="8" w:color="CCEEFF"/>
            </w:tcBorders>
            <w:gridSpan w:val="5"/>
            <w:vMerge w:val="continue"/>
            <w:shd w:val="clear" w:color="auto" w:fill="CCEEFF"/>
          </w:tcPr>
          <w:p>
            <w:pPr>
              <w:spacing w:after="0"/>
              <w:rPr>
                <w:sz w:val="10"/>
                <w:szCs w:val="10"/>
                <w:color w:val="auto"/>
              </w:rPr>
            </w:pPr>
          </w:p>
        </w:tc>
        <w:tc>
          <w:tcPr>
            <w:tcW w:w="140" w:type="dxa"/>
            <w:vAlign w:val="bottom"/>
            <w:tcBorders>
              <w:bottom w:val="single" w:sz="8" w:color="auto"/>
            </w:tcBorders>
            <w:gridSpan w:val="3"/>
            <w:vMerge w:val="continue"/>
            <w:shd w:val="clear" w:color="auto" w:fill="CCEEFF"/>
          </w:tcPr>
          <w:p>
            <w:pPr>
              <w:spacing w:after="0"/>
              <w:rPr>
                <w:sz w:val="10"/>
                <w:szCs w:val="10"/>
                <w:color w:val="auto"/>
              </w:rPr>
            </w:pPr>
          </w:p>
        </w:tc>
        <w:tc>
          <w:tcPr>
            <w:tcW w:w="120" w:type="dxa"/>
            <w:vAlign w:val="bottom"/>
            <w:tcBorders>
              <w:bottom w:val="single" w:sz="8" w:color="CCEEFF"/>
            </w:tcBorders>
            <w:gridSpan w:val="3"/>
            <w:vMerge w:val="restart"/>
            <w:shd w:val="clear" w:color="auto" w:fill="CCEEFF"/>
          </w:tcPr>
          <w:p>
            <w:pPr>
              <w:spacing w:after="0"/>
              <w:rPr>
                <w:sz w:val="10"/>
                <w:szCs w:val="10"/>
                <w:color w:val="auto"/>
              </w:rPr>
            </w:pPr>
          </w:p>
        </w:tc>
        <w:tc>
          <w:tcPr>
            <w:tcW w:w="60" w:type="dxa"/>
            <w:vAlign w:val="bottom"/>
            <w:tcBorders>
              <w:bottom w:val="single" w:sz="8" w:color="CCEEFF"/>
            </w:tcBorders>
            <w:gridSpan w:val="2"/>
            <w:vMerge w:val="restart"/>
            <w:shd w:val="clear" w:color="auto" w:fill="CCEEFF"/>
          </w:tcPr>
          <w:p>
            <w:pPr>
              <w:spacing w:after="0"/>
              <w:rPr>
                <w:sz w:val="10"/>
                <w:szCs w:val="10"/>
                <w:color w:val="auto"/>
              </w:rPr>
            </w:pPr>
          </w:p>
        </w:tc>
        <w:tc>
          <w:tcPr>
            <w:tcW w:w="40" w:type="dxa"/>
            <w:vAlign w:val="bottom"/>
            <w:tcBorders>
              <w:bottom w:val="single" w:sz="8" w:color="CCEEFF"/>
            </w:tcBorders>
            <w:gridSpan w:val="2"/>
            <w:vMerge w:val="restart"/>
            <w:shd w:val="clear" w:color="auto" w:fill="CCEEFF"/>
          </w:tcPr>
          <w:p>
            <w:pPr>
              <w:spacing w:after="0"/>
              <w:rPr>
                <w:sz w:val="10"/>
                <w:szCs w:val="10"/>
                <w:color w:val="auto"/>
              </w:rPr>
            </w:pPr>
          </w:p>
        </w:tc>
        <w:tc>
          <w:tcPr>
            <w:tcW w:w="60" w:type="dxa"/>
            <w:vAlign w:val="bottom"/>
            <w:tcBorders>
              <w:bottom w:val="single" w:sz="8" w:color="CCEEFF"/>
            </w:tcBorders>
            <w:gridSpan w:val="3"/>
            <w:vMerge w:val="restart"/>
            <w:shd w:val="clear" w:color="auto" w:fill="CCEEFF"/>
          </w:tcPr>
          <w:p>
            <w:pPr>
              <w:spacing w:after="0"/>
              <w:rPr>
                <w:sz w:val="10"/>
                <w:szCs w:val="10"/>
                <w:color w:val="auto"/>
              </w:rPr>
            </w:pPr>
          </w:p>
        </w:tc>
        <w:tc>
          <w:tcPr>
            <w:tcW w:w="40" w:type="dxa"/>
            <w:vAlign w:val="bottom"/>
            <w:tcBorders>
              <w:bottom w:val="single" w:sz="8" w:color="CCEEFF"/>
            </w:tcBorders>
            <w:vMerge w:val="restart"/>
            <w:shd w:val="clear" w:color="auto" w:fill="CCEEFF"/>
          </w:tcPr>
          <w:p>
            <w:pPr>
              <w:spacing w:after="0"/>
              <w:rPr>
                <w:sz w:val="10"/>
                <w:szCs w:val="10"/>
                <w:color w:val="auto"/>
              </w:rPr>
            </w:pPr>
          </w:p>
        </w:tc>
        <w:tc>
          <w:tcPr>
            <w:tcW w:w="60" w:type="dxa"/>
            <w:vAlign w:val="bottom"/>
            <w:tcBorders>
              <w:bottom w:val="single" w:sz="8" w:color="CCEEFF"/>
              <w:right w:val="single" w:sz="8" w:color="CCEEFF"/>
            </w:tcBorders>
            <w:vMerge w:val="restart"/>
            <w:shd w:val="clear" w:color="auto" w:fill="CCEEFF"/>
          </w:tcPr>
          <w:p>
            <w:pPr>
              <w:spacing w:after="0"/>
              <w:rPr>
                <w:sz w:val="10"/>
                <w:szCs w:val="10"/>
                <w:color w:val="auto"/>
              </w:rPr>
            </w:pPr>
          </w:p>
        </w:tc>
        <w:tc>
          <w:tcPr>
            <w:tcW w:w="100" w:type="dxa"/>
            <w:vAlign w:val="bottom"/>
            <w:tcBorders>
              <w:bottom w:val="single" w:sz="8" w:color="CCEEFF"/>
            </w:tcBorders>
            <w:gridSpan w:val="3"/>
            <w:vMerge w:val="restart"/>
            <w:shd w:val="clear" w:color="auto" w:fill="CCEEFF"/>
          </w:tcPr>
          <w:p>
            <w:pPr>
              <w:spacing w:after="0"/>
              <w:rPr>
                <w:sz w:val="10"/>
                <w:szCs w:val="10"/>
                <w:color w:val="auto"/>
              </w:rPr>
            </w:pPr>
          </w:p>
        </w:tc>
        <w:tc>
          <w:tcPr>
            <w:tcW w:w="60" w:type="dxa"/>
            <w:vAlign w:val="bottom"/>
            <w:tcBorders>
              <w:bottom w:val="single" w:sz="8" w:color="CCEEFF"/>
            </w:tcBorders>
            <w:gridSpan w:val="2"/>
            <w:vMerge w:val="restart"/>
            <w:shd w:val="clear" w:color="auto" w:fill="CCEEFF"/>
          </w:tcPr>
          <w:p>
            <w:pPr>
              <w:spacing w:after="0"/>
              <w:rPr>
                <w:sz w:val="10"/>
                <w:szCs w:val="10"/>
                <w:color w:val="auto"/>
              </w:rPr>
            </w:pPr>
          </w:p>
        </w:tc>
        <w:tc>
          <w:tcPr>
            <w:tcW w:w="560" w:type="dxa"/>
            <w:vAlign w:val="bottom"/>
            <w:tcBorders>
              <w:bottom w:val="single" w:sz="8" w:color="CCEEFF"/>
            </w:tcBorders>
            <w:gridSpan w:val="2"/>
            <w:vMerge w:val="restart"/>
            <w:shd w:val="clear" w:color="auto" w:fill="CCEEFF"/>
          </w:tcPr>
          <w:p>
            <w:pPr>
              <w:spacing w:after="0"/>
              <w:rPr>
                <w:sz w:val="10"/>
                <w:szCs w:val="10"/>
                <w:color w:val="auto"/>
              </w:rPr>
            </w:pPr>
          </w:p>
        </w:tc>
        <w:tc>
          <w:tcPr>
            <w:tcW w:w="1340" w:type="dxa"/>
            <w:vAlign w:val="bottom"/>
            <w:tcBorders>
              <w:bottom w:val="single" w:sz="8" w:color="CCEEFF"/>
            </w:tcBorders>
            <w:gridSpan w:val="2"/>
            <w:vMerge w:val="restart"/>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color w:val="auto"/>
              </w:rPr>
              <w:t>Singapore</w:t>
            </w:r>
          </w:p>
        </w:tc>
        <w:tc>
          <w:tcPr>
            <w:tcW w:w="14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bottom w:val="single" w:sz="8" w:color="auto"/>
              <w:right w:val="single" w:sz="8" w:color="CCEEFF"/>
            </w:tcBorders>
            <w:gridSpan w:val="5"/>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gridSpan w:val="2"/>
            <w:shd w:val="clear" w:color="auto" w:fill="CCEEFF"/>
          </w:tcPr>
          <w:p>
            <w:pPr>
              <w:spacing w:after="0"/>
              <w:rPr>
                <w:sz w:val="5"/>
                <w:szCs w:val="5"/>
                <w:color w:val="auto"/>
              </w:rPr>
            </w:pPr>
          </w:p>
        </w:tc>
        <w:tc>
          <w:tcPr>
            <w:tcW w:w="120" w:type="dxa"/>
            <w:vAlign w:val="bottom"/>
            <w:tcBorders>
              <w:bottom w:val="single" w:sz="8" w:color="CCEEFF"/>
            </w:tcBorders>
            <w:gridSpan w:val="3"/>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gridSpan w:val="3"/>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gridSpan w:val="3"/>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560" w:type="dxa"/>
            <w:vAlign w:val="bottom"/>
            <w:tcBorders>
              <w:bottom w:val="single" w:sz="8" w:color="CCEEFF"/>
            </w:tcBorders>
            <w:gridSpan w:val="2"/>
            <w:vMerge w:val="continue"/>
            <w:shd w:val="clear" w:color="auto" w:fill="CCEEFF"/>
          </w:tcPr>
          <w:p>
            <w:pPr>
              <w:spacing w:after="0"/>
              <w:rPr>
                <w:sz w:val="5"/>
                <w:szCs w:val="5"/>
                <w:color w:val="auto"/>
              </w:rPr>
            </w:pPr>
          </w:p>
        </w:tc>
        <w:tc>
          <w:tcPr>
            <w:tcW w:w="1340" w:type="dxa"/>
            <w:vAlign w:val="bottom"/>
            <w:tcBorders>
              <w:bottom w:val="single" w:sz="8" w:color="CCEEFF"/>
            </w:tcBorders>
            <w:gridSpan w:val="2"/>
            <w:vMerge w:val="continue"/>
            <w:shd w:val="clear" w:color="auto" w:fill="CCEEFF"/>
          </w:tcPr>
          <w:p>
            <w:pPr>
              <w:spacing w:after="0"/>
              <w:rPr>
                <w:sz w:val="5"/>
                <w:szCs w:val="5"/>
                <w:color w:val="auto"/>
              </w:rPr>
            </w:pPr>
          </w:p>
        </w:tc>
        <w:tc>
          <w:tcPr>
            <w:tcW w:w="1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6"/>
              </w:rPr>
              <w:t>Venture</w:t>
            </w:r>
          </w:p>
        </w:tc>
        <w:tc>
          <w:tcPr>
            <w:tcW w:w="1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Limited Partner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Investment</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Fund Investment</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Fund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8/27/2021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713,505</w:t>
            </w:r>
          </w:p>
        </w:tc>
        <w:tc>
          <w:tcPr>
            <w:tcW w:w="16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175"/>
        </w:trPr>
        <w:tc>
          <w:tcPr>
            <w:tcW w:w="58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6"/>
              </w:rPr>
              <w:t>YouBet</w:t>
            </w:r>
          </w:p>
        </w:tc>
        <w:tc>
          <w:tcPr>
            <w:tcW w:w="1460" w:type="dxa"/>
            <w:vAlign w:val="bottom"/>
            <w:tcBorders>
              <w:bottom w:val="single" w:sz="8" w:color="CCEEFF"/>
            </w:tcBorders>
            <w:gridSpan w:val="23"/>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Technology, Inc.</w:t>
            </w:r>
          </w:p>
        </w:tc>
        <w:tc>
          <w:tcPr>
            <w:tcW w:w="78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60" w:type="dxa"/>
            <w:vAlign w:val="bottom"/>
            <w:tcBorders>
              <w:bottom w:val="single" w:sz="8" w:color="CCEEFF"/>
            </w:tcBorders>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(d/b/a PickUp)</w:t>
            </w:r>
          </w:p>
        </w:tc>
        <w:tc>
          <w:tcPr>
            <w:tcW w:w="160" w:type="dxa"/>
            <w:vAlign w:val="bottom"/>
            <w:tcBorders>
              <w:bottom w:val="single" w:sz="8" w:color="auto"/>
              <w:right w:val="single" w:sz="8" w:color="CCEE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73"/>
              </w:rPr>
              <w:t>(7)</w:t>
            </w:r>
          </w:p>
        </w:tc>
        <w:tc>
          <w:tcPr>
            <w:tcW w:w="100" w:type="dxa"/>
            <w:vAlign w:val="bottom"/>
            <w:tcBorders>
              <w:bottom w:val="single" w:sz="8" w:color="CCEEFF"/>
            </w:tcBorders>
            <w:gridSpan w:val="3"/>
            <w:vMerge w:val="restart"/>
            <w:shd w:val="clear" w:color="auto" w:fill="CCEEFF"/>
          </w:tcPr>
          <w:p>
            <w:pPr>
              <w:spacing w:after="0"/>
              <w:rPr>
                <w:sz w:val="14"/>
                <w:szCs w:val="14"/>
                <w:color w:val="auto"/>
              </w:rPr>
            </w:pPr>
          </w:p>
        </w:tc>
        <w:tc>
          <w:tcPr>
            <w:tcW w:w="60" w:type="dxa"/>
            <w:vAlign w:val="bottom"/>
            <w:tcBorders>
              <w:bottom w:val="single" w:sz="8" w:color="CCEEFF"/>
            </w:tcBorders>
            <w:gridSpan w:val="2"/>
            <w:vMerge w:val="restart"/>
            <w:shd w:val="clear" w:color="auto" w:fill="CCEEFF"/>
          </w:tcPr>
          <w:p>
            <w:pPr>
              <w:spacing w:after="0"/>
              <w:rPr>
                <w:sz w:val="14"/>
                <w:szCs w:val="14"/>
                <w:color w:val="auto"/>
              </w:rPr>
            </w:pPr>
          </w:p>
        </w:tc>
        <w:tc>
          <w:tcPr>
            <w:tcW w:w="560" w:type="dxa"/>
            <w:vAlign w:val="bottom"/>
            <w:tcBorders>
              <w:bottom w:val="single" w:sz="8" w:color="CCEEFF"/>
            </w:tcBorders>
            <w:gridSpan w:val="2"/>
            <w:vMerge w:val="restart"/>
            <w:shd w:val="clear" w:color="auto" w:fill="CCEEFF"/>
          </w:tcPr>
          <w:p>
            <w:pPr>
              <w:spacing w:after="0"/>
              <w:rPr>
                <w:sz w:val="14"/>
                <w:szCs w:val="14"/>
                <w:color w:val="auto"/>
              </w:rPr>
            </w:pPr>
          </w:p>
        </w:tc>
        <w:tc>
          <w:tcPr>
            <w:tcW w:w="134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New York, NY</w:t>
            </w: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160" w:type="dxa"/>
            <w:vAlign w:val="bottom"/>
            <w:tcBorders>
              <w:bottom w:val="single" w:sz="8" w:color="auto"/>
            </w:tcBorders>
            <w:gridSpan w:val="15"/>
            <w:vMerge w:val="continue"/>
            <w:shd w:val="clear" w:color="auto" w:fill="CCEEFF"/>
          </w:tcPr>
          <w:p>
            <w:pPr>
              <w:spacing w:after="0"/>
              <w:rPr>
                <w:sz w:val="5"/>
                <w:szCs w:val="5"/>
                <w:color w:val="auto"/>
              </w:rPr>
            </w:pPr>
          </w:p>
        </w:tc>
        <w:tc>
          <w:tcPr>
            <w:tcW w:w="60" w:type="dxa"/>
            <w:vAlign w:val="bottom"/>
            <w:tcBorders>
              <w:bottom w:val="single" w:sz="8" w:color="CCEEFF"/>
            </w:tcBorders>
            <w:gridSpan w:val="3"/>
            <w:shd w:val="clear" w:color="auto" w:fill="CCEEFF"/>
          </w:tcPr>
          <w:p>
            <w:pPr>
              <w:spacing w:after="0"/>
              <w:rPr>
                <w:sz w:val="5"/>
                <w:szCs w:val="5"/>
                <w:color w:val="auto"/>
              </w:rPr>
            </w:pPr>
          </w:p>
        </w:tc>
        <w:tc>
          <w:tcPr>
            <w:tcW w:w="100" w:type="dxa"/>
            <w:vAlign w:val="bottom"/>
            <w:tcBorders>
              <w:bottom w:val="single" w:sz="8" w:color="CCEEFF"/>
              <w:right w:val="single" w:sz="8" w:color="CCEEFF"/>
            </w:tcBorders>
            <w:gridSpan w:val="2"/>
            <w:shd w:val="clear" w:color="auto" w:fill="CCEEFF"/>
          </w:tcPr>
          <w:p>
            <w:pPr>
              <w:spacing w:after="0"/>
              <w:rPr>
                <w:sz w:val="5"/>
                <w:szCs w:val="5"/>
                <w:color w:val="auto"/>
              </w:rPr>
            </w:pPr>
          </w:p>
        </w:tc>
        <w:tc>
          <w:tcPr>
            <w:tcW w:w="100" w:type="dxa"/>
            <w:vAlign w:val="bottom"/>
            <w:tcBorders>
              <w:bottom w:val="single" w:sz="8" w:color="CCEEFF"/>
            </w:tcBorders>
            <w:gridSpan w:val="3"/>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560" w:type="dxa"/>
            <w:vAlign w:val="bottom"/>
            <w:tcBorders>
              <w:bottom w:val="single" w:sz="8" w:color="CCEEFF"/>
            </w:tcBorders>
            <w:gridSpan w:val="2"/>
            <w:vMerge w:val="continue"/>
            <w:shd w:val="clear" w:color="auto" w:fill="CCEEFF"/>
          </w:tcPr>
          <w:p>
            <w:pPr>
              <w:spacing w:after="0"/>
              <w:rPr>
                <w:sz w:val="5"/>
                <w:szCs w:val="5"/>
                <w:color w:val="auto"/>
              </w:rPr>
            </w:pPr>
          </w:p>
        </w:tc>
        <w:tc>
          <w:tcPr>
            <w:tcW w:w="1340" w:type="dxa"/>
            <w:vAlign w:val="bottom"/>
            <w:tcBorders>
              <w:bottom w:val="single" w:sz="8" w:color="CCEEFF"/>
            </w:tcBorders>
            <w:gridSpan w:val="2"/>
            <w:vMerge w:val="continue"/>
            <w:shd w:val="clear" w:color="auto" w:fill="CCEEFF"/>
          </w:tcPr>
          <w:p>
            <w:pPr>
              <w:spacing w:after="0"/>
              <w:rPr>
                <w:sz w:val="5"/>
                <w:szCs w:val="5"/>
                <w:color w:val="auto"/>
              </w:rPr>
            </w:pPr>
          </w:p>
        </w:tc>
        <w:tc>
          <w:tcPr>
            <w:tcW w:w="1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CCEEFF"/>
            </w:tcBorders>
            <w:gridSpan w:val="27"/>
          </w:tcPr>
          <w:p>
            <w:pPr>
              <w:spacing w:after="0" w:line="198" w:lineRule="exact"/>
              <w:rPr>
                <w:sz w:val="20"/>
                <w:szCs w:val="20"/>
                <w:color w:val="auto"/>
              </w:rPr>
            </w:pPr>
            <w:r>
              <w:rPr>
                <w:rFonts w:ascii="Times New Roman" w:cs="Times New Roman" w:eastAsia="Times New Roman" w:hAnsi="Times New Roman"/>
                <w:sz w:val="18"/>
                <w:szCs w:val="18"/>
                <w:color w:val="auto"/>
              </w:rPr>
              <w:t>Preferred shares,</w:t>
            </w:r>
          </w:p>
        </w:tc>
        <w:tc>
          <w:tcPr>
            <w:tcW w:w="1340" w:type="dxa"/>
            <w:vAlign w:val="bottom"/>
            <w:tcBorders>
              <w:top w:val="single" w:sz="8" w:color="CCEEFF"/>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Digital Media</w:t>
            </w:r>
          </w:p>
        </w:tc>
        <w:tc>
          <w:tcPr>
            <w:tcW w:w="1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Series Seed-2</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Technology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8/26/2021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385,353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502,232</w:t>
            </w: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499,999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49"/>
        </w:trPr>
        <w:tc>
          <w:tcPr>
            <w:tcW w:w="1220" w:type="dxa"/>
            <w:vAlign w:val="bottom"/>
            <w:tcBorders>
              <w:bottom w:val="single" w:sz="8" w:color="CCEEFF"/>
            </w:tcBorders>
            <w:gridSpan w:val="18"/>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Kahoot! ASA**</w:t>
            </w:r>
          </w:p>
        </w:tc>
        <w:tc>
          <w:tcPr>
            <w:tcW w:w="260" w:type="dxa"/>
            <w:vAlign w:val="bottom"/>
            <w:tcBorders>
              <w:bottom w:val="single" w:sz="8" w:color="auto"/>
            </w:tcBorders>
            <w:gridSpan w:val="7"/>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(19)</w:t>
            </w:r>
          </w:p>
        </w:tc>
        <w:tc>
          <w:tcPr>
            <w:tcW w:w="560" w:type="dxa"/>
            <w:vAlign w:val="bottom"/>
            <w:tcBorders>
              <w:bottom w:val="single" w:sz="8" w:color="CCEEFF"/>
            </w:tcBorders>
            <w:gridSpan w:val="2"/>
            <w:vMerge w:val="restart"/>
            <w:shd w:val="clear" w:color="auto" w:fill="CCEEFF"/>
          </w:tcPr>
          <w:p>
            <w:pPr>
              <w:spacing w:after="0"/>
              <w:rPr>
                <w:sz w:val="12"/>
                <w:szCs w:val="12"/>
                <w:color w:val="auto"/>
              </w:rPr>
            </w:pPr>
          </w:p>
        </w:tc>
        <w:tc>
          <w:tcPr>
            <w:tcW w:w="134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Oslo, Norway</w:t>
            </w:r>
          </w:p>
        </w:tc>
        <w:tc>
          <w:tcPr>
            <w:tcW w:w="14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220" w:type="dxa"/>
            <w:vAlign w:val="bottom"/>
            <w:tcBorders>
              <w:bottom w:val="single" w:sz="8" w:color="auto"/>
            </w:tcBorders>
            <w:gridSpan w:val="18"/>
            <w:vMerge w:val="continue"/>
            <w:shd w:val="clear" w:color="auto" w:fill="CCEEFF"/>
          </w:tcPr>
          <w:p>
            <w:pPr>
              <w:spacing w:after="0"/>
              <w:rPr>
                <w:sz w:val="8"/>
                <w:szCs w:val="8"/>
                <w:color w:val="auto"/>
              </w:rPr>
            </w:pPr>
          </w:p>
        </w:tc>
        <w:tc>
          <w:tcPr>
            <w:tcW w:w="200" w:type="dxa"/>
            <w:vAlign w:val="bottom"/>
            <w:tcBorders>
              <w:bottom w:val="single" w:sz="8" w:color="CCEEFF"/>
            </w:tcBorders>
            <w:gridSpan w:val="5"/>
            <w:shd w:val="clear" w:color="auto" w:fill="CCEEFF"/>
          </w:tcPr>
          <w:p>
            <w:pPr>
              <w:spacing w:after="0"/>
              <w:rPr>
                <w:sz w:val="8"/>
                <w:szCs w:val="8"/>
                <w:color w:val="auto"/>
              </w:rPr>
            </w:pPr>
          </w:p>
        </w:tc>
        <w:tc>
          <w:tcPr>
            <w:tcW w:w="60" w:type="dxa"/>
            <w:vAlign w:val="bottom"/>
            <w:tcBorders>
              <w:bottom w:val="single" w:sz="8" w:color="CCEEFF"/>
            </w:tcBorders>
            <w:gridSpan w:val="2"/>
            <w:shd w:val="clear" w:color="auto" w:fill="CCEEFF"/>
          </w:tcPr>
          <w:p>
            <w:pPr>
              <w:spacing w:after="0"/>
              <w:rPr>
                <w:sz w:val="8"/>
                <w:szCs w:val="8"/>
                <w:color w:val="auto"/>
              </w:rPr>
            </w:pPr>
          </w:p>
        </w:tc>
        <w:tc>
          <w:tcPr>
            <w:tcW w:w="560" w:type="dxa"/>
            <w:vAlign w:val="bottom"/>
            <w:tcBorders>
              <w:bottom w:val="single" w:sz="8" w:color="CCEEFF"/>
            </w:tcBorders>
            <w:gridSpan w:val="2"/>
            <w:vMerge w:val="continue"/>
            <w:shd w:val="clear" w:color="auto" w:fill="CCEEFF"/>
          </w:tcPr>
          <w:p>
            <w:pPr>
              <w:spacing w:after="0"/>
              <w:rPr>
                <w:sz w:val="8"/>
                <w:szCs w:val="8"/>
                <w:color w:val="auto"/>
              </w:rPr>
            </w:pPr>
          </w:p>
        </w:tc>
        <w:tc>
          <w:tcPr>
            <w:tcW w:w="1340" w:type="dxa"/>
            <w:vAlign w:val="bottom"/>
            <w:tcBorders>
              <w:bottom w:val="single" w:sz="8" w:color="CCEEFF"/>
            </w:tcBorders>
            <w:gridSpan w:val="2"/>
            <w:vMerge w:val="continue"/>
            <w:shd w:val="clear" w:color="auto" w:fill="CCEEFF"/>
          </w:tcPr>
          <w:p>
            <w:pPr>
              <w:spacing w:after="0"/>
              <w:rPr>
                <w:sz w:val="8"/>
                <w:szCs w:val="8"/>
                <w:color w:val="auto"/>
              </w:rPr>
            </w:pPr>
          </w:p>
        </w:tc>
        <w:tc>
          <w:tcPr>
            <w:tcW w:w="14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08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CCEEFF"/>
            </w:tcBorders>
            <w:gridSpan w:val="27"/>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34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Education</w:t>
            </w:r>
          </w:p>
        </w:tc>
        <w:tc>
          <w:tcPr>
            <w:tcW w:w="1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7"/>
            <w:vMerge w:val="continue"/>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86,800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458,138</w:t>
            </w: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402,360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Churchill Sponsor</w:t>
            </w:r>
          </w:p>
        </w:tc>
        <w:tc>
          <w:tcPr>
            <w:tcW w:w="620" w:type="dxa"/>
            <w:vAlign w:val="bottom"/>
            <w:tcBorders>
              <w:bottom w:val="single" w:sz="8" w:color="CCEEFF"/>
            </w:tcBorders>
            <w:gridSpan w:val="4"/>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tcBorders>
              <w:bottom w:val="single" w:sz="8" w:color="CCEEFF"/>
            </w:tcBorders>
            <w:gridSpan w:val="6"/>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VII LLC**</w:t>
            </w:r>
          </w:p>
        </w:tc>
        <w:tc>
          <w:tcPr>
            <w:tcW w:w="240" w:type="dxa"/>
            <w:vAlign w:val="bottom"/>
            <w:tcBorders>
              <w:bottom w:val="single" w:sz="8" w:color="auto"/>
            </w:tcBorders>
            <w:gridSpan w:val="7"/>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87"/>
              </w:rPr>
              <w:t>(17)</w:t>
            </w:r>
          </w:p>
        </w:tc>
        <w:tc>
          <w:tcPr>
            <w:tcW w:w="920" w:type="dxa"/>
            <w:vAlign w:val="bottom"/>
            <w:tcBorders>
              <w:bottom w:val="single" w:sz="8" w:color="CCEEFF"/>
            </w:tcBorders>
            <w:gridSpan w:val="14"/>
            <w:vMerge w:val="restart"/>
            <w:shd w:val="clear" w:color="auto" w:fill="CCEEFF"/>
          </w:tcPr>
          <w:p>
            <w:pPr>
              <w:spacing w:after="0"/>
              <w:rPr>
                <w:sz w:val="14"/>
                <w:szCs w:val="14"/>
                <w:color w:val="auto"/>
              </w:rPr>
            </w:pPr>
          </w:p>
        </w:tc>
        <w:tc>
          <w:tcPr>
            <w:tcW w:w="134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New York, NY</w:t>
            </w: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80" w:type="dxa"/>
            <w:vAlign w:val="bottom"/>
            <w:tcBorders>
              <w:bottom w:val="single" w:sz="8" w:color="auto"/>
            </w:tcBorders>
            <w:gridSpan w:val="6"/>
            <w:vMerge w:val="continue"/>
            <w:shd w:val="clear" w:color="auto" w:fill="CCEEFF"/>
          </w:tcPr>
          <w:p>
            <w:pPr>
              <w:spacing w:after="0"/>
              <w:rPr>
                <w:sz w:val="5"/>
                <w:szCs w:val="5"/>
                <w:color w:val="auto"/>
              </w:rPr>
            </w:pPr>
          </w:p>
        </w:tc>
        <w:tc>
          <w:tcPr>
            <w:tcW w:w="180" w:type="dxa"/>
            <w:vAlign w:val="bottom"/>
            <w:tcBorders>
              <w:bottom w:val="single" w:sz="8" w:color="CCEEFF"/>
            </w:tcBorders>
            <w:gridSpan w:val="5"/>
            <w:shd w:val="clear" w:color="auto" w:fill="CCEEFF"/>
          </w:tcPr>
          <w:p>
            <w:pPr>
              <w:spacing w:after="0"/>
              <w:rPr>
                <w:sz w:val="5"/>
                <w:szCs w:val="5"/>
                <w:color w:val="auto"/>
              </w:rPr>
            </w:pPr>
          </w:p>
        </w:tc>
        <w:tc>
          <w:tcPr>
            <w:tcW w:w="60" w:type="dxa"/>
            <w:vAlign w:val="bottom"/>
            <w:tcBorders>
              <w:bottom w:val="single" w:sz="8" w:color="CCEEFF"/>
            </w:tcBorders>
            <w:gridSpan w:val="2"/>
            <w:shd w:val="clear" w:color="auto" w:fill="CCEEFF"/>
          </w:tcPr>
          <w:p>
            <w:pPr>
              <w:spacing w:after="0"/>
              <w:rPr>
                <w:sz w:val="5"/>
                <w:szCs w:val="5"/>
                <w:color w:val="auto"/>
              </w:rPr>
            </w:pPr>
          </w:p>
        </w:tc>
        <w:tc>
          <w:tcPr>
            <w:tcW w:w="920" w:type="dxa"/>
            <w:vAlign w:val="bottom"/>
            <w:tcBorders>
              <w:bottom w:val="single" w:sz="8" w:color="CCEEFF"/>
            </w:tcBorders>
            <w:gridSpan w:val="14"/>
            <w:vMerge w:val="continue"/>
            <w:shd w:val="clear" w:color="auto" w:fill="CCEEFF"/>
          </w:tcPr>
          <w:p>
            <w:pPr>
              <w:spacing w:after="0"/>
              <w:rPr>
                <w:sz w:val="5"/>
                <w:szCs w:val="5"/>
                <w:color w:val="auto"/>
              </w:rPr>
            </w:pPr>
          </w:p>
        </w:tc>
        <w:tc>
          <w:tcPr>
            <w:tcW w:w="1340" w:type="dxa"/>
            <w:vAlign w:val="bottom"/>
            <w:tcBorders>
              <w:bottom w:val="single" w:sz="8" w:color="CCEEFF"/>
            </w:tcBorders>
            <w:gridSpan w:val="2"/>
            <w:vMerge w:val="continue"/>
            <w:shd w:val="clear" w:color="auto" w:fill="CCEEFF"/>
          </w:tcPr>
          <w:p>
            <w:pPr>
              <w:spacing w:after="0"/>
              <w:rPr>
                <w:sz w:val="5"/>
                <w:szCs w:val="5"/>
                <w:color w:val="auto"/>
              </w:rPr>
            </w:pPr>
          </w:p>
        </w:tc>
        <w:tc>
          <w:tcPr>
            <w:tcW w:w="1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Special</w:t>
            </w:r>
          </w:p>
        </w:tc>
        <w:tc>
          <w:tcPr>
            <w:tcW w:w="1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Purpose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Common share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Acquisition</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units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292,100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205,820</w:t>
            </w: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205,820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62"/>
        </w:trPr>
        <w:tc>
          <w:tcPr>
            <w:tcW w:w="2040" w:type="dxa"/>
            <w:vAlign w:val="bottom"/>
            <w:gridSpan w:val="27"/>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Warrant units</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2/25/2021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277,000</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94,180</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94,180</w:t>
            </w:r>
          </w:p>
        </w:tc>
        <w:tc>
          <w:tcPr>
            <w:tcW w:w="14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1420" w:type="dxa"/>
            <w:vAlign w:val="bottom"/>
            <w:gridSpan w:val="2"/>
            <w:shd w:val="clear" w:color="auto" w:fill="CCEEFF"/>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0.03</w:t>
            </w: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bottom w:val="single" w:sz="8" w:color="CCEEFF"/>
            </w:tcBorders>
          </w:tcPr>
          <w:p>
            <w:pPr>
              <w:spacing w:after="0"/>
              <w:rPr>
                <w:sz w:val="18"/>
                <w:szCs w:val="18"/>
                <w:color w:val="auto"/>
              </w:rPr>
            </w:pPr>
          </w:p>
        </w:tc>
        <w:tc>
          <w:tcPr>
            <w:tcW w:w="1860" w:type="dxa"/>
            <w:vAlign w:val="bottom"/>
            <w:tcBorders>
              <w:top w:val="single" w:sz="8" w:color="CCEEFF"/>
              <w:bottom w:val="single" w:sz="8" w:color="CCEEFF"/>
            </w:tcBorders>
            <w:gridSpan w:val="26"/>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3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2"/>
        </w:trPr>
        <w:tc>
          <w:tcPr>
            <w:tcW w:w="1060" w:type="dxa"/>
            <w:vAlign w:val="bottom"/>
            <w:tcBorders>
              <w:bottom w:val="single" w:sz="8" w:color="auto"/>
            </w:tcBorders>
            <w:gridSpan w:val="11"/>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9"/>
              </w:rPr>
              <w:t>AltC Sponsor</w:t>
            </w:r>
          </w:p>
        </w:tc>
        <w:tc>
          <w:tcPr>
            <w:tcW w:w="980" w:type="dxa"/>
            <w:vAlign w:val="bottom"/>
            <w:tcBorders>
              <w:bottom w:val="single" w:sz="8" w:color="CCEEFF"/>
            </w:tcBorders>
            <w:gridSpan w:val="16"/>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LLC**</w:t>
            </w:r>
          </w:p>
        </w:tc>
        <w:tc>
          <w:tcPr>
            <w:tcW w:w="240" w:type="dxa"/>
            <w:vAlign w:val="bottom"/>
            <w:tcBorders>
              <w:bottom w:val="single" w:sz="8" w:color="auto"/>
              <w:right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87"/>
              </w:rPr>
              <w:t>(17)</w:t>
            </w:r>
          </w:p>
        </w:tc>
        <w:tc>
          <w:tcPr>
            <w:tcW w:w="1240" w:type="dxa"/>
            <w:vAlign w:val="bottom"/>
            <w:tcBorders>
              <w:bottom w:val="single" w:sz="8" w:color="CCEEFF"/>
            </w:tcBorders>
            <w:gridSpan w:val="22"/>
            <w:vMerge w:val="restart"/>
            <w:shd w:val="clear" w:color="auto" w:fill="CCEEFF"/>
          </w:tcPr>
          <w:p>
            <w:pPr>
              <w:spacing w:after="0"/>
              <w:rPr>
                <w:sz w:val="14"/>
                <w:szCs w:val="14"/>
                <w:color w:val="auto"/>
              </w:rPr>
            </w:pPr>
          </w:p>
        </w:tc>
        <w:tc>
          <w:tcPr>
            <w:tcW w:w="134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New York, NY</w:t>
            </w:r>
          </w:p>
        </w:tc>
        <w:tc>
          <w:tcPr>
            <w:tcW w:w="1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60" w:type="dxa"/>
            <w:vAlign w:val="bottom"/>
            <w:tcBorders>
              <w:bottom w:val="single" w:sz="8" w:color="auto"/>
            </w:tcBorders>
            <w:gridSpan w:val="3"/>
            <w:vMerge w:val="continue"/>
            <w:shd w:val="clear" w:color="auto" w:fill="CCEEFF"/>
          </w:tcPr>
          <w:p>
            <w:pPr>
              <w:spacing w:after="0"/>
              <w:rPr>
                <w:sz w:val="5"/>
                <w:szCs w:val="5"/>
                <w:color w:val="auto"/>
              </w:rPr>
            </w:pPr>
          </w:p>
        </w:tc>
        <w:tc>
          <w:tcPr>
            <w:tcW w:w="240" w:type="dxa"/>
            <w:vAlign w:val="bottom"/>
            <w:tcBorders>
              <w:bottom w:val="single" w:sz="8" w:color="CCEEFF"/>
              <w:right w:val="single" w:sz="8" w:color="CCEEFF"/>
            </w:tcBorders>
            <w:gridSpan w:val="2"/>
            <w:shd w:val="clear" w:color="auto" w:fill="CCEEFF"/>
          </w:tcPr>
          <w:p>
            <w:pPr>
              <w:spacing w:after="0"/>
              <w:rPr>
                <w:sz w:val="5"/>
                <w:szCs w:val="5"/>
                <w:color w:val="auto"/>
              </w:rPr>
            </w:pPr>
          </w:p>
        </w:tc>
        <w:tc>
          <w:tcPr>
            <w:tcW w:w="1240" w:type="dxa"/>
            <w:vAlign w:val="bottom"/>
            <w:tcBorders>
              <w:bottom w:val="single" w:sz="8" w:color="CCEEFF"/>
            </w:tcBorders>
            <w:gridSpan w:val="22"/>
            <w:vMerge w:val="continue"/>
            <w:shd w:val="clear" w:color="auto" w:fill="CCEEFF"/>
          </w:tcPr>
          <w:p>
            <w:pPr>
              <w:spacing w:after="0"/>
              <w:rPr>
                <w:sz w:val="5"/>
                <w:szCs w:val="5"/>
                <w:color w:val="auto"/>
              </w:rPr>
            </w:pPr>
          </w:p>
        </w:tc>
        <w:tc>
          <w:tcPr>
            <w:tcW w:w="1340" w:type="dxa"/>
            <w:vAlign w:val="bottom"/>
            <w:tcBorders>
              <w:bottom w:val="single" w:sz="8" w:color="CCEEFF"/>
            </w:tcBorders>
            <w:gridSpan w:val="2"/>
            <w:vMerge w:val="continue"/>
            <w:shd w:val="clear" w:color="auto" w:fill="CCEEFF"/>
          </w:tcPr>
          <w:p>
            <w:pPr>
              <w:spacing w:after="0"/>
              <w:rPr>
                <w:sz w:val="5"/>
                <w:szCs w:val="5"/>
                <w:color w:val="auto"/>
              </w:rPr>
            </w:pPr>
          </w:p>
        </w:tc>
        <w:tc>
          <w:tcPr>
            <w:tcW w:w="1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CCEEFF"/>
            </w:tcBorders>
            <w:gridSpan w:val="27"/>
          </w:tcPr>
          <w:p>
            <w:pPr>
              <w:spacing w:after="0" w:line="198" w:lineRule="exact"/>
              <w:rPr>
                <w:sz w:val="20"/>
                <w:szCs w:val="20"/>
                <w:color w:val="auto"/>
              </w:rPr>
            </w:pPr>
            <w:r>
              <w:rPr>
                <w:rFonts w:ascii="Times New Roman" w:cs="Times New Roman" w:eastAsia="Times New Roman" w:hAnsi="Times New Roman"/>
                <w:sz w:val="18"/>
                <w:szCs w:val="18"/>
                <w:color w:val="auto"/>
              </w:rPr>
              <w:t>Share units</w:t>
            </w:r>
          </w:p>
        </w:tc>
        <w:tc>
          <w:tcPr>
            <w:tcW w:w="1340" w:type="dxa"/>
            <w:vAlign w:val="bottom"/>
            <w:tcBorders>
              <w:top w:val="single" w:sz="8" w:color="CCEEFF"/>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Special</w:t>
            </w:r>
          </w:p>
        </w:tc>
        <w:tc>
          <w:tcPr>
            <w:tcW w:w="1460" w:type="dxa"/>
            <w:vAlign w:val="bottom"/>
            <w:tcBorders>
              <w:top w:val="single" w:sz="8" w:color="CCEEFF"/>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7/21/2021</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239,300</w:t>
            </w: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250,855</w:t>
            </w:r>
          </w:p>
        </w:tc>
        <w:tc>
          <w:tcPr>
            <w:tcW w:w="16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250,000</w:t>
            </w:r>
          </w:p>
        </w:tc>
        <w:tc>
          <w:tcPr>
            <w:tcW w:w="1420" w:type="dxa"/>
            <w:vAlign w:val="bottom"/>
            <w:tcBorders>
              <w:top w:val="single" w:sz="8" w:color="CCEEFF"/>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Purpose</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Acquisition</w:t>
            </w: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20" w:type="dxa"/>
            <w:vAlign w:val="bottom"/>
            <w:tcBorders>
              <w:bottom w:val="single" w:sz="8" w:color="auto"/>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Churchill Sponsor</w:t>
            </w:r>
          </w:p>
        </w:tc>
        <w:tc>
          <w:tcPr>
            <w:tcW w:w="3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VI LLC**</w:t>
            </w:r>
          </w:p>
        </w:tc>
        <w:tc>
          <w:tcPr>
            <w:tcW w:w="26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5"/>
              </w:rPr>
              <w:t>(17)</w:t>
            </w: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gridSpan w:val="2"/>
            <w:vMerge w:val="restart"/>
            <w:shd w:val="clear" w:color="auto" w:fill="CCEEFF"/>
          </w:tcPr>
          <w:p>
            <w:pPr>
              <w:spacing w:after="0"/>
              <w:rPr>
                <w:sz w:val="14"/>
                <w:szCs w:val="14"/>
                <w:color w:val="auto"/>
              </w:rPr>
            </w:pPr>
          </w:p>
        </w:tc>
        <w:tc>
          <w:tcPr>
            <w:tcW w:w="17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 NY</w:t>
            </w:r>
          </w:p>
        </w:tc>
        <w:tc>
          <w:tcPr>
            <w:tcW w:w="13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00" w:type="dxa"/>
            <w:vAlign w:val="bottom"/>
            <w:tcBorders>
              <w:bottom w:val="single" w:sz="8" w:color="auto"/>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gridSpan w:val="2"/>
            <w:vMerge w:val="continue"/>
            <w:shd w:val="clear" w:color="auto" w:fill="CCEEFF"/>
          </w:tcPr>
          <w:p>
            <w:pPr>
              <w:spacing w:after="0"/>
              <w:rPr>
                <w:sz w:val="5"/>
                <w:szCs w:val="5"/>
                <w:color w:val="auto"/>
              </w:rPr>
            </w:pPr>
          </w:p>
        </w:tc>
        <w:tc>
          <w:tcPr>
            <w:tcW w:w="1720" w:type="dxa"/>
            <w:vAlign w:val="bottom"/>
            <w:tcBorders>
              <w:bottom w:val="single" w:sz="8" w:color="CCEEFF"/>
            </w:tcBorders>
            <w:vMerge w:val="continue"/>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Special</w:t>
            </w:r>
          </w:p>
        </w:tc>
        <w:tc>
          <w:tcPr>
            <w:tcW w:w="13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Purpose</w:t>
            </w: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Common 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Acquisition</w:t>
            </w: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units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66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195,000</w:t>
            </w:r>
          </w:p>
        </w:tc>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134,297</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134,297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378"/>
        </w:trPr>
        <w:tc>
          <w:tcPr>
            <w:tcW w:w="1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units</w:t>
            </w:r>
          </w:p>
        </w:tc>
        <w:tc>
          <w:tcPr>
            <w:tcW w:w="172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66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199,100</w:t>
            </w:r>
          </w:p>
        </w:tc>
        <w:tc>
          <w:tcPr>
            <w:tcW w:w="200" w:type="dxa"/>
            <w:vAlign w:val="bottom"/>
            <w:shd w:val="clear" w:color="auto" w:fill="CCEEFF"/>
          </w:tcPr>
          <w:p>
            <w:pPr>
              <w:spacing w:after="0"/>
              <w:rPr>
                <w:sz w:val="24"/>
                <w:szCs w:val="24"/>
                <w:color w:val="auto"/>
              </w:rPr>
            </w:pPr>
          </w:p>
        </w:tc>
        <w:tc>
          <w:tcPr>
            <w:tcW w:w="13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65,703</w:t>
            </w:r>
          </w:p>
        </w:tc>
        <w:tc>
          <w:tcPr>
            <w:tcW w:w="15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65,703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3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4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1420" w:type="dxa"/>
            <w:vAlign w:val="bottom"/>
            <w:gridSpan w:val="2"/>
            <w:shd w:val="clear" w:color="auto" w:fill="CCEEFF"/>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0.02</w:t>
            </w:r>
          </w:p>
        </w:tc>
        <w:tc>
          <w:tcPr>
            <w:tcW w:w="0" w:type="dxa"/>
            <w:vAlign w:val="bottom"/>
          </w:tcPr>
          <w:p>
            <w:pPr>
              <w:spacing w:after="0"/>
              <w:rPr>
                <w:sz w:val="1"/>
                <w:szCs w:val="1"/>
                <w:color w:val="auto"/>
              </w:rPr>
            </w:pPr>
          </w:p>
        </w:tc>
      </w:tr>
      <w:tr>
        <w:trPr>
          <w:trHeight w:val="210"/>
        </w:trPr>
        <w:tc>
          <w:tcPr>
            <w:tcW w:w="1740" w:type="dxa"/>
            <w:vAlign w:val="bottom"/>
            <w:tcBorders>
              <w:top w:val="single" w:sz="8" w:color="CCEEFF"/>
              <w:bottom w:val="single" w:sz="8" w:color="CCEEFF"/>
            </w:tcBorders>
            <w:gridSpan w:val="11"/>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1740" w:type="dxa"/>
            <w:vAlign w:val="bottom"/>
            <w:gridSpan w:val="11"/>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Fullbridge, Inc.</w:t>
            </w:r>
          </w:p>
        </w:tc>
        <w:tc>
          <w:tcPr>
            <w:tcW w:w="17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Cambridge,</w:t>
            </w:r>
          </w:p>
        </w:tc>
        <w:tc>
          <w:tcPr>
            <w:tcW w:w="1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40" w:type="dxa"/>
            <w:vAlign w:val="bottom"/>
            <w:gridSpan w:val="11"/>
            <w:vMerge w:val="continue"/>
            <w:shd w:val="clear" w:color="auto" w:fill="CCEEFF"/>
          </w:tcPr>
          <w:p>
            <w:pPr>
              <w:spacing w:after="0"/>
              <w:rPr>
                <w:sz w:val="18"/>
                <w:szCs w:val="18"/>
                <w:color w:val="auto"/>
              </w:rPr>
            </w:pPr>
          </w:p>
        </w:tc>
        <w:tc>
          <w:tcPr>
            <w:tcW w:w="17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rPr>
              <w:t>MA</w:t>
            </w: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Business</w:t>
            </w:r>
          </w:p>
        </w:tc>
        <w:tc>
          <w:tcPr>
            <w:tcW w:w="13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Education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5/13/2012</w:t>
            </w:r>
          </w:p>
        </w:tc>
        <w:tc>
          <w:tcPr>
            <w:tcW w:w="66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517,917</w:t>
            </w:r>
          </w:p>
        </w:tc>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6,150,506</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40" w:type="dxa"/>
            <w:vAlign w:val="bottom"/>
            <w:gridSpan w:val="11"/>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Promissory Note</w:t>
            </w:r>
          </w:p>
        </w:tc>
        <w:tc>
          <w:tcPr>
            <w:tcW w:w="17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1.47%, Due</w:t>
            </w:r>
          </w:p>
        </w:tc>
        <w:tc>
          <w:tcPr>
            <w:tcW w:w="1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180" w:type="dxa"/>
            <w:vAlign w:val="bottom"/>
            <w:gridSpan w:val="6"/>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w w:val="90"/>
              </w:rPr>
              <w:t>11/9/2021</w:t>
            </w:r>
            <w:r>
              <w:rPr>
                <w:rFonts w:ascii="Times New Roman" w:cs="Times New Roman" w:eastAsia="Times New Roman" w:hAnsi="Times New Roman"/>
                <w:sz w:val="29"/>
                <w:szCs w:val="29"/>
                <w:color w:val="auto"/>
                <w:w w:val="90"/>
                <w:vertAlign w:val="superscript"/>
              </w:rPr>
              <w:t>(4)(20)</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3/3/2016</w:t>
            </w:r>
          </w:p>
        </w:tc>
        <w:tc>
          <w:tcPr>
            <w:tcW w:w="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2,270,458</w:t>
            </w:r>
          </w:p>
        </w:tc>
        <w:tc>
          <w:tcPr>
            <w:tcW w:w="2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2,270,858</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740" w:type="dxa"/>
            <w:vAlign w:val="bottom"/>
            <w:tcBorders>
              <w:top w:val="single" w:sz="8" w:color="CCEEFF"/>
              <w:bottom w:val="single" w:sz="8" w:color="CCEEFF"/>
            </w:tcBorders>
            <w:gridSpan w:val="11"/>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8,421,364</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2"/>
        </w:trPr>
        <w:tc>
          <w:tcPr>
            <w:tcW w:w="1740" w:type="dxa"/>
            <w:vAlign w:val="bottom"/>
            <w:gridSpan w:val="11"/>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Treehouse Real</w:t>
            </w:r>
          </w:p>
        </w:tc>
        <w:tc>
          <w:tcPr>
            <w:tcW w:w="17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auto"/>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Estate Investment</w:t>
            </w: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Trust, Inc.</w:t>
            </w:r>
          </w:p>
        </w:tc>
        <w:tc>
          <w:tcPr>
            <w:tcW w:w="260" w:type="dxa"/>
            <w:vAlign w:val="bottom"/>
            <w:tcBorders>
              <w:bottom w:val="single" w:sz="8" w:color="auto"/>
            </w:tcBorders>
            <w:gridSpan w:val="2"/>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w w:val="87"/>
              </w:rPr>
              <w:t>(12)</w:t>
            </w:r>
          </w:p>
        </w:tc>
        <w:tc>
          <w:tcPr>
            <w:tcW w:w="280" w:type="dxa"/>
            <w:vAlign w:val="bottom"/>
            <w:tcBorders>
              <w:bottom w:val="single" w:sz="8" w:color="CCEEFF"/>
            </w:tcBorders>
            <w:gridSpan w:val="3"/>
            <w:vMerge w:val="restart"/>
            <w:shd w:val="clear" w:color="auto" w:fill="CCEEFF"/>
          </w:tcPr>
          <w:p>
            <w:pPr>
              <w:spacing w:after="0"/>
              <w:rPr>
                <w:sz w:val="14"/>
                <w:szCs w:val="14"/>
                <w:color w:val="auto"/>
              </w:rPr>
            </w:pPr>
          </w:p>
        </w:tc>
        <w:tc>
          <w:tcPr>
            <w:tcW w:w="380" w:type="dxa"/>
            <w:vAlign w:val="bottom"/>
            <w:tcBorders>
              <w:bottom w:val="single" w:sz="8" w:color="CCEEFF"/>
            </w:tcBorders>
            <w:gridSpan w:val="3"/>
            <w:vMerge w:val="restart"/>
            <w:shd w:val="clear" w:color="auto" w:fill="CCEEFF"/>
          </w:tcPr>
          <w:p>
            <w:pPr>
              <w:spacing w:after="0"/>
              <w:rPr>
                <w:sz w:val="14"/>
                <w:szCs w:val="14"/>
                <w:color w:val="auto"/>
              </w:rPr>
            </w:pPr>
          </w:p>
        </w:tc>
        <w:tc>
          <w:tcPr>
            <w:tcW w:w="17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Chicago, IL</w:t>
            </w:r>
          </w:p>
        </w:tc>
        <w:tc>
          <w:tcPr>
            <w:tcW w:w="13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20" w:type="dxa"/>
            <w:vAlign w:val="bottom"/>
            <w:tcBorders>
              <w:bottom w:val="single" w:sz="8" w:color="auto"/>
            </w:tcBorders>
            <w:gridSpan w:val="3"/>
            <w:vMerge w:val="continue"/>
            <w:shd w:val="clear" w:color="auto" w:fill="CCEEFF"/>
          </w:tcPr>
          <w:p>
            <w:pPr>
              <w:spacing w:after="0"/>
              <w:rPr>
                <w:sz w:val="5"/>
                <w:szCs w:val="5"/>
                <w:color w:val="auto"/>
              </w:rPr>
            </w:pPr>
          </w:p>
        </w:tc>
        <w:tc>
          <w:tcPr>
            <w:tcW w:w="260" w:type="dxa"/>
            <w:vAlign w:val="bottom"/>
            <w:tcBorders>
              <w:bottom w:val="single" w:sz="8" w:color="CCEEFF"/>
            </w:tcBorders>
            <w:gridSpan w:val="2"/>
            <w:shd w:val="clear" w:color="auto" w:fill="CCEEFF"/>
          </w:tcPr>
          <w:p>
            <w:pPr>
              <w:spacing w:after="0"/>
              <w:rPr>
                <w:sz w:val="5"/>
                <w:szCs w:val="5"/>
                <w:color w:val="auto"/>
              </w:rPr>
            </w:pPr>
          </w:p>
        </w:tc>
        <w:tc>
          <w:tcPr>
            <w:tcW w:w="280" w:type="dxa"/>
            <w:vAlign w:val="bottom"/>
            <w:tcBorders>
              <w:bottom w:val="single" w:sz="8" w:color="CCEEFF"/>
            </w:tcBorders>
            <w:gridSpan w:val="3"/>
            <w:vMerge w:val="continue"/>
            <w:shd w:val="clear" w:color="auto" w:fill="CCEEFF"/>
          </w:tcPr>
          <w:p>
            <w:pPr>
              <w:spacing w:after="0"/>
              <w:rPr>
                <w:sz w:val="5"/>
                <w:szCs w:val="5"/>
                <w:color w:val="auto"/>
              </w:rPr>
            </w:pPr>
          </w:p>
        </w:tc>
        <w:tc>
          <w:tcPr>
            <w:tcW w:w="380" w:type="dxa"/>
            <w:vAlign w:val="bottom"/>
            <w:tcBorders>
              <w:bottom w:val="single" w:sz="8" w:color="CCEEFF"/>
            </w:tcBorders>
            <w:gridSpan w:val="3"/>
            <w:vMerge w:val="continue"/>
            <w:shd w:val="clear" w:color="auto" w:fill="CCEEFF"/>
          </w:tcPr>
          <w:p>
            <w:pPr>
              <w:spacing w:after="0"/>
              <w:rPr>
                <w:sz w:val="5"/>
                <w:szCs w:val="5"/>
                <w:color w:val="auto"/>
              </w:rPr>
            </w:pPr>
          </w:p>
        </w:tc>
        <w:tc>
          <w:tcPr>
            <w:tcW w:w="1720" w:type="dxa"/>
            <w:vAlign w:val="bottom"/>
            <w:tcBorders>
              <w:bottom w:val="single" w:sz="8" w:color="CCEEFF"/>
            </w:tcBorders>
            <w:vMerge w:val="continue"/>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CCEEFF"/>
            </w:tcBorders>
            <w:gridSpan w:val="11"/>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7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Cannabis REIT</w:t>
            </w:r>
          </w:p>
        </w:tc>
        <w:tc>
          <w:tcPr>
            <w:tcW w:w="13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312,500</w:t>
            </w:r>
          </w:p>
        </w:tc>
        <w:tc>
          <w:tcPr>
            <w:tcW w:w="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4,919,250</w:t>
            </w:r>
          </w:p>
        </w:tc>
        <w:tc>
          <w:tcPr>
            <w:tcW w:w="156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7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Kinetiq Holdings,</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Philadelphia,</w:t>
            </w: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LLC</w:t>
            </w:r>
          </w:p>
        </w:tc>
        <w:tc>
          <w:tcPr>
            <w:tcW w:w="980" w:type="dxa"/>
            <w:vAlign w:val="bottom"/>
            <w:tcBorders>
              <w:top w:val="single" w:sz="8" w:color="auto"/>
              <w:bottom w:val="single" w:sz="8" w:color="CCEEFF"/>
            </w:tcBorders>
            <w:gridSpan w:val="7"/>
            <w:shd w:val="clear" w:color="auto" w:fill="CCEEFF"/>
          </w:tcPr>
          <w:p>
            <w:pPr>
              <w:spacing w:after="0"/>
              <w:rPr>
                <w:sz w:val="18"/>
                <w:szCs w:val="18"/>
                <w:color w:val="auto"/>
              </w:rPr>
            </w:pPr>
          </w:p>
        </w:tc>
        <w:tc>
          <w:tcPr>
            <w:tcW w:w="3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PA</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gridSpan w:val="11"/>
          </w:tcPr>
          <w:p>
            <w:pPr>
              <w:spacing w:after="0" w:line="198" w:lineRule="exact"/>
              <w:rPr>
                <w:sz w:val="20"/>
                <w:szCs w:val="20"/>
                <w:color w:val="auto"/>
              </w:rPr>
            </w:pPr>
            <w:r>
              <w:rPr>
                <w:rFonts w:ascii="Times New Roman" w:cs="Times New Roman" w:eastAsia="Times New Roman" w:hAnsi="Times New Roman"/>
                <w:sz w:val="18"/>
                <w:szCs w:val="18"/>
                <w:color w:val="auto"/>
              </w:rPr>
              <w:t>Common shares,</w:t>
            </w: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Social Data</w:t>
            </w: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Class A</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Platform</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3/30/2012</w:t>
            </w:r>
          </w:p>
        </w:tc>
        <w:tc>
          <w:tcPr>
            <w:tcW w:w="66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112,374</w:t>
            </w:r>
          </w:p>
        </w:tc>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40" w:type="dxa"/>
            <w:vAlign w:val="bottom"/>
            <w:gridSpan w:val="11"/>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Total Non-</w:t>
            </w:r>
          </w:p>
        </w:tc>
        <w:tc>
          <w:tcPr>
            <w:tcW w:w="1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controlled/Non-</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4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146,360,300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231,768,290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63.53%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line="62" w:lineRule="exact"/>
        <w:rPr>
          <w:sz w:val="20"/>
          <w:szCs w:val="20"/>
          <w:color w:val="auto"/>
        </w:rPr>
      </w:pPr>
    </w:p>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Initial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97"/>
        </w:trPr>
        <w:tc>
          <w:tcPr>
            <w:tcW w:w="2500" w:type="dxa"/>
            <w:vAlign w:val="bottom"/>
            <w:tcBorders>
              <w:top w:val="single" w:sz="8" w:color="auto"/>
            </w:tcBorders>
            <w:gridSpan w:val="13"/>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NON-</w:t>
            </w:r>
          </w:p>
        </w:tc>
        <w:tc>
          <w:tcPr>
            <w:tcW w:w="5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080" w:type="dxa"/>
            <w:vAlign w:val="bottom"/>
            <w:gridSpan w:val="14"/>
            <w:shd w:val="clear" w:color="auto" w:fill="CCEEFF"/>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CONTROLLED/AFFILIATE</w:t>
            </w:r>
            <w:r>
              <w:rPr>
                <w:rFonts w:ascii="Times New Roman" w:cs="Times New Roman" w:eastAsia="Times New Roman" w:hAnsi="Times New Roman"/>
                <w:sz w:val="29"/>
                <w:szCs w:val="29"/>
                <w:b w:val="1"/>
                <w:bCs w:val="1"/>
                <w:color w:val="auto"/>
                <w:vertAlign w:val="superscript"/>
              </w:rPr>
              <w:t>(1)</w:t>
            </w: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3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StormWind, LLC</w:t>
            </w:r>
          </w:p>
        </w:tc>
        <w:tc>
          <w:tcPr>
            <w:tcW w:w="1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(5)</w:t>
            </w:r>
          </w:p>
        </w:tc>
        <w:tc>
          <w:tcPr>
            <w:tcW w:w="1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Scottsdale, AZ</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380" w:type="dxa"/>
            <w:vAlign w:val="bottom"/>
            <w:tcBorders>
              <w:bottom w:val="single" w:sz="8" w:color="auto"/>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Interactive</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12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Learning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11/26/2019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329,337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257,267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621,093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432"/>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1/7/2014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2,779,134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4,000,787</w:t>
            </w:r>
          </w:p>
        </w:tc>
        <w:tc>
          <w:tcPr>
            <w:tcW w:w="14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6,496,729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432"/>
        </w:trPr>
        <w:tc>
          <w:tcPr>
            <w:tcW w:w="3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8%</w:t>
            </w: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12/16/2011</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3,279,629</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2,019,687</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4,423,607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378"/>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2/25/2014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366,666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4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289,293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80" w:type="dxa"/>
            <w:vAlign w:val="bottom"/>
            <w:gridSpan w:val="2"/>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0.08</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2"/>
        </w:trPr>
        <w:tc>
          <w:tcPr>
            <w:tcW w:w="3080" w:type="dxa"/>
            <w:vAlign w:val="bottom"/>
            <w:gridSpan w:val="1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6,387,741</w:t>
            </w: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11,830,722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49"/>
        </w:trPr>
        <w:tc>
          <w:tcPr>
            <w:tcW w:w="3080" w:type="dxa"/>
            <w:vAlign w:val="bottom"/>
            <w:tcBorders>
              <w:top w:val="single" w:sz="8" w:color="CCEEFF"/>
            </w:tcBorders>
            <w:gridSpan w:val="14"/>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OneValley, Inc. (f/k/a NestGSV,</w:t>
            </w:r>
          </w:p>
        </w:tc>
        <w:tc>
          <w:tcPr>
            <w:tcW w:w="1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00" w:type="dxa"/>
            <w:vAlign w:val="bottom"/>
            <w:tcBorders>
              <w:top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680" w:type="dxa"/>
            <w:vAlign w:val="bottom"/>
            <w:gridSpan w:val="2"/>
          </w:tcPr>
          <w:p>
            <w:pPr>
              <w:spacing w:after="0"/>
              <w:rPr>
                <w:sz w:val="17"/>
                <w:szCs w:val="17"/>
                <w:color w:val="auto"/>
              </w:rPr>
            </w:pPr>
          </w:p>
        </w:tc>
        <w:tc>
          <w:tcPr>
            <w:tcW w:w="128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San Mateo, CA</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80" w:type="dxa"/>
            <w:vAlign w:val="bottom"/>
            <w:gridSpan w:val="1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Security, Expiration</w:t>
            </w:r>
          </w:p>
        </w:tc>
        <w:tc>
          <w:tcPr>
            <w:tcW w:w="12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Global</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80" w:type="dxa"/>
            <w:vAlign w:val="bottom"/>
            <w:gridSpan w:val="14"/>
            <w:vMerge w:val="continue"/>
            <w:shd w:val="clear" w:color="auto" w:fill="CCEEFF"/>
          </w:tcPr>
          <w:p>
            <w:pPr>
              <w:spacing w:after="0"/>
              <w:rPr>
                <w:sz w:val="15"/>
                <w:szCs w:val="15"/>
                <w:color w:val="auto"/>
              </w:rPr>
            </w:pPr>
          </w:p>
        </w:tc>
        <w:tc>
          <w:tcPr>
            <w:tcW w:w="1280" w:type="dxa"/>
            <w:vAlign w:val="bottom"/>
            <w:gridSpan w:val="2"/>
            <w:shd w:val="clear" w:color="auto" w:fill="CCEEFF"/>
          </w:tcPr>
          <w:p>
            <w:pPr>
              <w:jc w:val="center"/>
              <w:ind w:right="140"/>
              <w:spacing w:after="0" w:line="181" w:lineRule="exact"/>
              <w:rPr>
                <w:sz w:val="20"/>
                <w:szCs w:val="20"/>
                <w:color w:val="auto"/>
              </w:rPr>
            </w:pPr>
            <w:r>
              <w:rPr>
                <w:rFonts w:ascii="Times New Roman" w:cs="Times New Roman" w:eastAsia="Times New Roman" w:hAnsi="Times New Roman"/>
                <w:sz w:val="18"/>
                <w:szCs w:val="18"/>
                <w:color w:val="auto"/>
                <w:w w:val="99"/>
              </w:rPr>
              <w:t>Innovation</w:t>
            </w: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080" w:type="dxa"/>
            <w:vAlign w:val="bottom"/>
            <w:gridSpan w:val="14"/>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Date 8/23/2024</w:t>
            </w:r>
            <w:r>
              <w:rPr>
                <w:rFonts w:ascii="Times New Roman" w:cs="Times New Roman" w:eastAsia="Times New Roman" w:hAnsi="Times New Roman"/>
                <w:sz w:val="29"/>
                <w:szCs w:val="29"/>
                <w:color w:val="auto"/>
                <w:vertAlign w:val="superscript"/>
              </w:rPr>
              <w:t>(10)</w:t>
            </w:r>
          </w:p>
        </w:tc>
        <w:tc>
          <w:tcPr>
            <w:tcW w:w="12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Platform</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8/23/2019</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8,555,124</w:t>
            </w: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2,268,268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1"/>
        </w:trPr>
        <w:tc>
          <w:tcPr>
            <w:tcW w:w="3080" w:type="dxa"/>
            <w:vAlign w:val="bottom"/>
            <w:gridSpan w:val="14"/>
          </w:tcPr>
          <w:p>
            <w:pPr>
              <w:spacing w:after="0" w:line="201" w:lineRule="exact"/>
              <w:rPr>
                <w:sz w:val="20"/>
                <w:szCs w:val="20"/>
                <w:color w:val="auto"/>
              </w:rPr>
            </w:pPr>
            <w:r>
              <w:rPr>
                <w:rFonts w:ascii="Times New Roman" w:cs="Times New Roman" w:eastAsia="Times New Roman" w:hAnsi="Times New Roman"/>
                <w:sz w:val="18"/>
                <w:szCs w:val="18"/>
                <w:color w:val="auto"/>
              </w:rPr>
              <w:t>Convertible Promissory Note 8%</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80" w:type="dxa"/>
            <w:vAlign w:val="bottom"/>
            <w:gridSpan w:val="14"/>
          </w:tcPr>
          <w:p>
            <w:pPr>
              <w:spacing w:after="0" w:line="271" w:lineRule="exact"/>
              <w:rPr>
                <w:sz w:val="20"/>
                <w:szCs w:val="20"/>
                <w:color w:val="auto"/>
              </w:rPr>
            </w:pPr>
            <w:r>
              <w:rPr>
                <w:rFonts w:ascii="Times New Roman" w:cs="Times New Roman" w:eastAsia="Times New Roman" w:hAnsi="Times New Roman"/>
                <w:sz w:val="18"/>
                <w:szCs w:val="18"/>
                <w:color w:val="auto"/>
              </w:rPr>
              <w:t>Due 8/23/2024</w:t>
            </w:r>
            <w:r>
              <w:rPr>
                <w:rFonts w:ascii="Times New Roman" w:cs="Times New Roman" w:eastAsia="Times New Roman" w:hAnsi="Times New Roman"/>
                <w:sz w:val="29"/>
                <w:szCs w:val="29"/>
                <w:color w:val="auto"/>
                <w:vertAlign w:val="superscript"/>
              </w:rPr>
              <w:t>(4)(10)</w:t>
            </w: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2/17/2016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1,010,198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1,030,176</w:t>
            </w:r>
          </w:p>
        </w:tc>
        <w:tc>
          <w:tcPr>
            <w:tcW w:w="14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505,099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8"/>
        </w:trPr>
        <w:tc>
          <w:tcPr>
            <w:tcW w:w="3080" w:type="dxa"/>
            <w:vAlign w:val="bottom"/>
            <w:gridSpan w:val="1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Warrant Series B, Strike</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$2.31, Expiration Date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5/29/2022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5/29/2017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70,379</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gridSpan w:val="14"/>
          </w:tcPr>
          <w:p>
            <w:pPr>
              <w:spacing w:after="0" w:line="198" w:lineRule="exact"/>
              <w:rPr>
                <w:sz w:val="20"/>
                <w:szCs w:val="20"/>
                <w:color w:val="auto"/>
              </w:rPr>
            </w:pPr>
            <w:r>
              <w:rPr>
                <w:rFonts w:ascii="Times New Roman" w:cs="Times New Roman" w:eastAsia="Times New Roman" w:hAnsi="Times New Roman"/>
                <w:sz w:val="18"/>
                <w:szCs w:val="18"/>
                <w:color w:val="auto"/>
              </w:rPr>
              <w:t>Preferred Warrant Series B, Strike</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Price $2.31, Expiration Date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12/31/2023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12/31/2018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5,080</w:t>
            </w:r>
          </w:p>
        </w:tc>
        <w:tc>
          <w:tcPr>
            <w:tcW w:w="140" w:type="dxa"/>
            <w:vAlign w:val="bottom"/>
          </w:tcPr>
          <w:p>
            <w:pPr>
              <w:spacing w:after="0"/>
              <w:rPr>
                <w:sz w:val="15"/>
                <w:szCs w:val="15"/>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5,000</w:t>
            </w:r>
          </w:p>
        </w:tc>
        <w:tc>
          <w:tcPr>
            <w:tcW w:w="11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80" w:type="dxa"/>
            <w:vAlign w:val="bottom"/>
            <w:gridSpan w:val="2"/>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0.01</w:t>
            </w:r>
          </w:p>
        </w:tc>
        <w:tc>
          <w:tcPr>
            <w:tcW w:w="0" w:type="dxa"/>
            <w:vAlign w:val="bottom"/>
          </w:tcPr>
          <w:p>
            <w:pPr>
              <w:spacing w:after="0"/>
              <w:rPr>
                <w:sz w:val="1"/>
                <w:szCs w:val="1"/>
                <w:color w:val="auto"/>
              </w:rPr>
            </w:pPr>
          </w:p>
        </w:tc>
      </w:tr>
      <w:tr>
        <w:trPr>
          <w:trHeight w:val="236"/>
        </w:trPr>
        <w:tc>
          <w:tcPr>
            <w:tcW w:w="3080" w:type="dxa"/>
            <w:vAlign w:val="bottom"/>
            <w:tcBorders>
              <w:top w:val="single" w:sz="8" w:color="CCEEFF"/>
              <w:bottom w:val="single" w:sz="8" w:color="CCEEFF"/>
            </w:tcBorders>
            <w:gridSpan w:val="1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9,660,759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2,778,367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71"/>
        </w:trPr>
        <w:tc>
          <w:tcPr>
            <w:tcW w:w="30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Ozy Media, Inc.</w:t>
            </w:r>
          </w:p>
        </w:tc>
        <w:tc>
          <w:tcPr>
            <w:tcW w:w="1280" w:type="dxa"/>
            <w:vAlign w:val="bottom"/>
            <w:gridSpan w:val="2"/>
          </w:tcPr>
          <w:p>
            <w:pPr>
              <w:jc w:val="center"/>
              <w:ind w:right="140"/>
              <w:spacing w:after="0" w:line="171" w:lineRule="exact"/>
              <w:rPr>
                <w:sz w:val="20"/>
                <w:szCs w:val="20"/>
                <w:color w:val="auto"/>
              </w:rPr>
            </w:pPr>
            <w:r>
              <w:rPr>
                <w:rFonts w:ascii="Times New Roman" w:cs="Times New Roman" w:eastAsia="Times New Roman" w:hAnsi="Times New Roman"/>
                <w:sz w:val="18"/>
                <w:szCs w:val="18"/>
                <w:color w:val="auto"/>
                <w:w w:val="99"/>
              </w:rPr>
              <w:t>Mountain</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gridSpan w:val="14"/>
            <w:vMerge w:val="continue"/>
          </w:tcPr>
          <w:p>
            <w:pPr>
              <w:spacing w:after="0"/>
              <w:rPr>
                <w:sz w:val="16"/>
                <w:szCs w:val="16"/>
                <w:color w:val="auto"/>
              </w:rPr>
            </w:pPr>
          </w:p>
        </w:tc>
        <w:tc>
          <w:tcPr>
            <w:tcW w:w="128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w w:val="95"/>
              </w:rPr>
              <w:t>View, CA</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Digital Media</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C-2 6%</w:t>
            </w:r>
          </w:p>
        </w:tc>
        <w:tc>
          <w:tcPr>
            <w:tcW w:w="12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Platform</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8/31/2016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683,482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2,414,178</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gridSpan w:val="14"/>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$0.01, Expiration Date 4/9/2028</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295,565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30,647</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6%</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10/3/2014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922,509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4,999,999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Preferred shares, Series A 6%</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12/11/2013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1,090,909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3,000,200</w:t>
            </w:r>
          </w:p>
        </w:tc>
        <w:tc>
          <w:tcPr>
            <w:tcW w:w="1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Seed 6%</w:t>
            </w: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11/2/2012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gridSpan w:val="14"/>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10,945,024</w:t>
            </w:r>
          </w:p>
        </w:tc>
        <w:tc>
          <w:tcPr>
            <w:tcW w:w="2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3080" w:type="dxa"/>
            <w:vAlign w:val="bottom"/>
            <w:gridSpan w:val="14"/>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Maven Research, Inc.</w:t>
            </w:r>
          </w:p>
        </w:tc>
        <w:tc>
          <w:tcPr>
            <w:tcW w:w="1280" w:type="dxa"/>
            <w:vAlign w:val="bottom"/>
            <w:gridSpan w:val="2"/>
            <w:shd w:val="clear" w:color="auto" w:fill="CCEEFF"/>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9"/>
              </w:rPr>
              <w:t>San Francisco,</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80" w:type="dxa"/>
            <w:vAlign w:val="bottom"/>
            <w:gridSpan w:val="14"/>
            <w:vMerge w:val="continue"/>
            <w:shd w:val="clear" w:color="auto" w:fill="CCEEFF"/>
          </w:tcPr>
          <w:p>
            <w:pPr>
              <w:spacing w:after="0"/>
              <w:rPr>
                <w:sz w:val="18"/>
                <w:szCs w:val="18"/>
                <w:color w:val="auto"/>
              </w:rPr>
            </w:pPr>
          </w:p>
        </w:tc>
        <w:tc>
          <w:tcPr>
            <w:tcW w:w="1280" w:type="dxa"/>
            <w:vAlign w:val="bottom"/>
            <w:gridSpan w:val="2"/>
            <w:shd w:val="clear" w:color="auto" w:fill="CCEEFF"/>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rPr>
              <w:t>CA</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8"/>
              </w:rPr>
              <w:t>Knowledge</w:t>
            </w:r>
          </w:p>
        </w:tc>
        <w:tc>
          <w:tcPr>
            <w:tcW w:w="1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Networks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7/2/2012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318,979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2,000,447</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5%</w:t>
            </w: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2/28/2012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49,505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217,206</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gridSpan w:val="14"/>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2,217,653</w:t>
            </w:r>
          </w:p>
        </w:tc>
        <w:tc>
          <w:tcPr>
            <w:tcW w:w="2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3080" w:type="dxa"/>
            <w:vAlign w:val="bottom"/>
            <w:gridSpan w:val="14"/>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Curious.com, Inc.</w:t>
            </w:r>
          </w:p>
        </w:tc>
        <w:tc>
          <w:tcPr>
            <w:tcW w:w="1280" w:type="dxa"/>
            <w:vAlign w:val="bottom"/>
            <w:gridSpan w:val="2"/>
            <w:shd w:val="clear" w:color="auto" w:fill="CCEEFF"/>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rPr>
              <w:t>Menlo Park,</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80" w:type="dxa"/>
            <w:vAlign w:val="bottom"/>
            <w:gridSpan w:val="14"/>
            <w:vMerge w:val="continue"/>
            <w:shd w:val="clear" w:color="auto" w:fill="CCEEFF"/>
          </w:tcPr>
          <w:p>
            <w:pPr>
              <w:spacing w:after="0"/>
              <w:rPr>
                <w:sz w:val="18"/>
                <w:szCs w:val="18"/>
                <w:color w:val="auto"/>
              </w:rPr>
            </w:pPr>
          </w:p>
        </w:tc>
        <w:tc>
          <w:tcPr>
            <w:tcW w:w="1280" w:type="dxa"/>
            <w:vAlign w:val="bottom"/>
            <w:gridSpan w:val="2"/>
            <w:shd w:val="clear" w:color="auto" w:fill="CCEEFF"/>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rPr>
              <w:t>CA</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Online</w:t>
            </w:r>
          </w:p>
        </w:tc>
        <w:tc>
          <w:tcPr>
            <w:tcW w:w="1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Education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1,135,944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12,000,006</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41,211,183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14,609,089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80" w:type="dxa"/>
            <w:vAlign w:val="bottom"/>
            <w:gridSpan w:val="14"/>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29"/>
                <w:szCs w:val="29"/>
                <w:b w:val="1"/>
                <w:bCs w:val="1"/>
                <w:color w:val="auto"/>
                <w:vertAlign w:val="superscript"/>
              </w:rPr>
              <w:t>(2)</w:t>
            </w: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360" w:type="dxa"/>
            <w:vAlign w:val="bottom"/>
            <w:tcBorders>
              <w:bottom w:val="single" w:sz="8" w:color="auto"/>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Architect Capital PayJoy SPV,</w:t>
            </w:r>
          </w:p>
        </w:tc>
        <w:tc>
          <w:tcPr>
            <w:tcW w:w="720" w:type="dxa"/>
            <w:vAlign w:val="bottom"/>
            <w:tcBorders>
              <w:bottom w:val="single" w:sz="8" w:color="CCEEFF"/>
            </w:tcBorders>
            <w:gridSpan w:val="3"/>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San Francisco,</w:t>
            </w:r>
          </w:p>
        </w:tc>
        <w:tc>
          <w:tcPr>
            <w:tcW w:w="1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LLC**</w:t>
            </w:r>
          </w:p>
        </w:tc>
        <w:tc>
          <w:tcPr>
            <w:tcW w:w="2520" w:type="dxa"/>
            <w:vAlign w:val="bottom"/>
            <w:tcBorders>
              <w:bottom w:val="single" w:sz="8" w:color="CCEEFF"/>
            </w:tcBorders>
            <w:gridSpan w:val="12"/>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CA</w:t>
            </w:r>
          </w:p>
        </w:tc>
        <w:tc>
          <w:tcPr>
            <w:tcW w:w="1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Membership Interest in Lending</w:t>
            </w:r>
          </w:p>
        </w:tc>
        <w:tc>
          <w:tcPr>
            <w:tcW w:w="128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Mobile</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80" w:type="dxa"/>
            <w:vAlign w:val="bottom"/>
            <w:gridSpan w:val="14"/>
            <w:vMerge w:val="continue"/>
          </w:tcPr>
          <w:p>
            <w:pPr>
              <w:spacing w:after="0"/>
              <w:rPr>
                <w:sz w:val="15"/>
                <w:szCs w:val="15"/>
                <w:color w:val="auto"/>
              </w:rPr>
            </w:pPr>
          </w:p>
        </w:tc>
        <w:tc>
          <w:tcPr>
            <w:tcW w:w="128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8"/>
                <w:szCs w:val="18"/>
                <w:color w:val="auto"/>
              </w:rPr>
              <w:t>Finance</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080" w:type="dxa"/>
            <w:vAlign w:val="bottom"/>
            <w:gridSpan w:val="14"/>
          </w:tcPr>
          <w:p>
            <w:pPr>
              <w:spacing w:after="0" w:line="270" w:lineRule="exact"/>
              <w:rPr>
                <w:sz w:val="20"/>
                <w:szCs w:val="20"/>
                <w:color w:val="auto"/>
              </w:rPr>
            </w:pPr>
            <w:r>
              <w:rPr>
                <w:rFonts w:ascii="Times New Roman" w:cs="Times New Roman" w:eastAsia="Times New Roman" w:hAnsi="Times New Roman"/>
                <w:sz w:val="18"/>
                <w:szCs w:val="18"/>
                <w:color w:val="auto"/>
              </w:rPr>
              <w:t>SPV***</w:t>
            </w:r>
            <w:r>
              <w:rPr>
                <w:rFonts w:ascii="Times New Roman" w:cs="Times New Roman" w:eastAsia="Times New Roman" w:hAnsi="Times New Roman"/>
                <w:sz w:val="29"/>
                <w:szCs w:val="29"/>
                <w:color w:val="auto"/>
                <w:vertAlign w:val="superscript"/>
              </w:rPr>
              <w:t>(15)</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Technology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3/24/2021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10,006,745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CCEEFF"/>
            </w:tcBorders>
            <w:gridSpan w:val="9"/>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Colombier Sponsor LLC**</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(17)</w:t>
            </w:r>
          </w:p>
        </w:tc>
        <w:tc>
          <w:tcPr>
            <w:tcW w:w="740" w:type="dxa"/>
            <w:vAlign w:val="bottom"/>
            <w:tcBorders>
              <w:bottom w:val="single" w:sz="8" w:color="CCEEFF"/>
            </w:tcBorders>
            <w:gridSpan w:val="4"/>
            <w:vMerge w:val="restart"/>
            <w:shd w:val="clear" w:color="auto" w:fill="CCEEFF"/>
          </w:tcPr>
          <w:p>
            <w:pPr>
              <w:spacing w:after="0"/>
              <w:rPr>
                <w:sz w:val="12"/>
                <w:szCs w:val="12"/>
                <w:color w:val="auto"/>
              </w:rPr>
            </w:pPr>
          </w:p>
        </w:tc>
        <w:tc>
          <w:tcPr>
            <w:tcW w:w="1280" w:type="dxa"/>
            <w:vAlign w:val="bottom"/>
            <w:tcBorders>
              <w:bottom w:val="single" w:sz="8" w:color="CCEEFF"/>
            </w:tcBorders>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New York, NY</w:t>
            </w:r>
          </w:p>
        </w:tc>
        <w:tc>
          <w:tcPr>
            <w:tcW w:w="1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100" w:type="dxa"/>
            <w:vAlign w:val="bottom"/>
            <w:tcBorders>
              <w:bottom w:val="single" w:sz="8" w:color="auto"/>
            </w:tcBorders>
            <w:gridSpan w:val="9"/>
            <w:vMerge w:val="continue"/>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gridSpan w:val="4"/>
            <w:vMerge w:val="continue"/>
            <w:shd w:val="clear" w:color="auto" w:fill="CCEEFF"/>
          </w:tcPr>
          <w:p>
            <w:pPr>
              <w:spacing w:after="0"/>
              <w:rPr>
                <w:sz w:val="5"/>
                <w:szCs w:val="5"/>
                <w:color w:val="auto"/>
              </w:rPr>
            </w:pPr>
          </w:p>
        </w:tc>
        <w:tc>
          <w:tcPr>
            <w:tcW w:w="1280" w:type="dxa"/>
            <w:vAlign w:val="bottom"/>
            <w:tcBorders>
              <w:bottom w:val="single" w:sz="8" w:color="CCEEFF"/>
            </w:tcBorders>
            <w:gridSpan w:val="2"/>
            <w:vMerge w:val="continue"/>
            <w:shd w:val="clear" w:color="auto" w:fill="CCEEFF"/>
          </w:tcPr>
          <w:p>
            <w:pPr>
              <w:spacing w:after="0"/>
              <w:rPr>
                <w:sz w:val="5"/>
                <w:szCs w:val="5"/>
                <w:color w:val="auto"/>
              </w:rPr>
            </w:pPr>
          </w:p>
        </w:tc>
        <w:tc>
          <w:tcPr>
            <w:tcW w:w="12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Special</w:t>
            </w:r>
          </w:p>
        </w:tc>
        <w:tc>
          <w:tcPr>
            <w:tcW w:w="1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Purpose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Acquisition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Class B Units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Company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1,976,033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1,556,587</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1,554,354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162"/>
        </w:trPr>
        <w:tc>
          <w:tcPr>
            <w:tcW w:w="308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Class W Units</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4/1/2021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2,700,000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1,159,150</w:t>
            </w:r>
          </w:p>
        </w:tc>
        <w:tc>
          <w:tcPr>
            <w:tcW w:w="24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1,157,487</w:t>
            </w:r>
          </w:p>
        </w:tc>
        <w:tc>
          <w:tcPr>
            <w:tcW w:w="11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180" w:type="dxa"/>
            <w:vAlign w:val="bottom"/>
            <w:gridSpan w:val="2"/>
            <w:shd w:val="clear" w:color="auto" w:fill="CCEEFF"/>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0.32</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308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2,715,737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2,711,841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162"/>
        </w:trPr>
        <w:tc>
          <w:tcPr>
            <w:tcW w:w="3080" w:type="dxa"/>
            <w:vAlign w:val="bottom"/>
            <w:tcBorders>
              <w:top w:val="single" w:sz="8" w:color="CCEEFF"/>
            </w:tcBorders>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SPBRX, INC. (f/k/a GSV</w:t>
            </w:r>
          </w:p>
        </w:tc>
        <w:tc>
          <w:tcPr>
            <w:tcW w:w="1280" w:type="dxa"/>
            <w:vAlign w:val="bottom"/>
            <w:tcBorders>
              <w:top w:val="single" w:sz="8" w:color="CCEEFF"/>
            </w:tcBorders>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8"/>
                <w:szCs w:val="18"/>
                <w:color w:val="auto"/>
                <w:w w:val="99"/>
              </w:rPr>
              <w:t>Cupertino, CA</w:t>
            </w:r>
          </w:p>
        </w:tc>
        <w:tc>
          <w:tcPr>
            <w:tcW w:w="1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84" w:right="3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Sustainability Partners, Inc.)</w:t>
            </w: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Preferred shares, Class A</w:t>
            </w:r>
            <w:r>
              <w:rPr>
                <w:rFonts w:ascii="Times New Roman" w:cs="Times New Roman" w:eastAsia="Times New Roman" w:hAnsi="Times New Roman"/>
                <w:sz w:val="29"/>
                <w:szCs w:val="29"/>
                <w:color w:val="auto"/>
                <w:vertAlign w:val="superscript"/>
              </w:rPr>
              <w:t>(9)</w:t>
            </w:r>
          </w:p>
        </w:tc>
        <w:tc>
          <w:tcPr>
            <w:tcW w:w="420" w:type="dxa"/>
            <w:vAlign w:val="bottom"/>
            <w:tcBorders>
              <w:top w:val="single" w:sz="8" w:color="CCEEFF"/>
            </w:tcBorders>
            <w:vMerge w:val="restart"/>
          </w:tcPr>
          <w:p>
            <w:pPr>
              <w:spacing w:after="0"/>
              <w:rPr>
                <w:sz w:val="17"/>
                <w:szCs w:val="17"/>
                <w:color w:val="auto"/>
              </w:rPr>
            </w:pPr>
          </w:p>
        </w:tc>
        <w:tc>
          <w:tcPr>
            <w:tcW w:w="1700" w:type="dxa"/>
            <w:vAlign w:val="bottom"/>
            <w:tcBorders>
              <w:top w:val="single" w:sz="8" w:color="CCEEFF"/>
            </w:tcBorders>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w w:val="99"/>
              </w:rPr>
              <w:t>Clean</w:t>
            </w:r>
          </w:p>
        </w:tc>
        <w:tc>
          <w:tcPr>
            <w:tcW w:w="110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Technology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4/15/2014</w:t>
            </w: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14,300,000</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7,151,412</w:t>
            </w: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1,047,033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7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4/15/2014</w:t>
            </w: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18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7,161,412</w:t>
            </w:r>
          </w:p>
        </w:tc>
        <w:tc>
          <w:tcPr>
            <w:tcW w:w="2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1,047,033</w:t>
            </w:r>
          </w:p>
        </w:tc>
        <w:tc>
          <w:tcPr>
            <w:tcW w:w="26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0.29</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Controlled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19,883,894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13,758,874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0" w:type="dxa"/>
            <w:vAlign w:val="bottom"/>
          </w:tcPr>
          <w:p>
            <w:pPr>
              <w:spacing w:after="0"/>
              <w:rPr>
                <w:sz w:val="1"/>
                <w:szCs w:val="1"/>
                <w:color w:val="auto"/>
              </w:rPr>
            </w:pPr>
          </w:p>
        </w:tc>
      </w:tr>
      <w:tr>
        <w:trPr>
          <w:trHeight w:val="229"/>
        </w:trPr>
        <w:tc>
          <w:tcPr>
            <w:tcW w:w="2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207,455,377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260,136,253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71.32%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0" w:type="dxa"/>
            <w:vAlign w:val="bottom"/>
            <w:gridSpan w:val="6"/>
          </w:tcPr>
          <w:p>
            <w:pPr>
              <w:ind w:left="36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1" w:name="page22"/>
    <w:bookmarkEnd w:id="21"/>
    <w:p>
      <w:pPr>
        <w:jc w:val="both"/>
        <w:ind w:left="340" w:hanging="332"/>
        <w:spacing w:after="0" w:line="257"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83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w:t>
      </w:r>
    </w:p>
    <w:p>
      <w:pPr>
        <w:spacing w:after="0" w:line="1"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December 31, 2021, 26.91% of its total investments are non-qualifying assets.</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07" w:lineRule="exact"/>
        <w:rPr>
          <w:sz w:val="20"/>
          <w:szCs w:val="20"/>
          <w:color w:val="auto"/>
        </w:rPr>
      </w:pPr>
    </w:p>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 Investments at Fair Value”.</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preferred shares in Residential Homes for Rent, LLC (d/b/a Second Avenue) are held through SuRo Capital Corp.’s wholly owned subsidiary, GSVC AV Holdings, Inc.</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Commercial Streaming Solutions Inc. (d/b/a BettorView), YouBet Technology, Inc. (d/b/a PickUp), and Rebric Inc. (d/b/a Compliable) are held through SuRo Capital Corp.’s wholly owned subsidiary, SuRo Capital Sports, LLC (“SuRo Sports”).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True Global Ventures 4 Plus Pte Ltd are held through SuRo Capital Corp.’s wholly owned subsidiary, GSVC SVDS Holdings, Inc. As of December 31, 2021, $0.7 million of a $2.0 million capital commitment to True Global Ventures 4 Plus Fund LP had been called and funded.</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512,290 Class A common shares remain in Palantir Lending Trust SPV I, none of which are subject to lock-up restrictions.</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2021, Treehouse Real Estate Investment Trust, Inc. completed its spin off of 34.4% of its assets into Aventine Property Group, Inc. During the year ended December 31, 2021, Aventine Property Group, Inc. declared an aggregate of $0.1 million in dividend distributions. During the year ended December 31, 2021, Treehouse Real Estate Investment Trust, Inc. declared an aggregate of $0.2 million in dividend distributions.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A Place for Rover, Inc. executed a business combination, through Nebula Caravel Acquisition Corp., a special purpose acquisition company. Following the merger, A Place for Rover, Inc. changed its name to Rover Group, Inc. and SuRo Capital Corp. received 130,390 additional common shares as a result of the exchange ratio prescribed in the transaction. As of December 31, 2021, SuRo Capital Corp.’s common shares in Rover Group, Inc. were subject to certain lock-up restrictions.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2" w:name="page23"/>
    <w:bookmarkEnd w:id="22"/>
    <w:p>
      <w:pPr>
        <w:ind w:left="3700"/>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 continued</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approximately $1.4 million has been received from Residential Homes for Rent, LLC (d/b/a Second Avenue) related to the 15% term loan due December 23, 2023. Of the proceeds received, approximately $1.0 million repaid a portion of the outstanding principal and approximately $0.4 million was attributed to interest.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total $10.0 million capital commitment representing SuRo Capital Corp.’s Membership Interest in Architect Capital PayJoy SPV, LLC had been called and funded.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NewLake Capital Partners, Inc. (f/k/a GreenAcreage Real Estate Corp.) declared an aggregate of approximately $0.3 million in dividend distributions.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As of December 31, 2021, none of SuRo Capital Corp.’s common shares in Skillsoft Corp. were subject to lock-up restrictions.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 2021, Clever, Inc. completed its sale to Kahoot! ASA. In connection with this transaction, SuRo Capital Corp. received 86,800 common shares in Kahoot! ASA in addition to cash proceeds and amounts currently held in escrow. SuRo Capital Corp. is also eligible to receive cash and Kahoot! ASA common shares subject to certain earn-out provisions and contingencies. As of December 31, 2021, SuRo Capital Corp.’s common shares in Kahoot! ASA were subject to certain lock-up restrictions.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Fullbridge, Inc.’s obligations under its financing arrangements with the Company became past due.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date of inception was January 6, 2011, which is the date we commenced development stage activities. The Company’s common stock is currently listed on the Nasdaq Global Select Market under the symbol “SSSS” (formerly “GSVC”). Prior to November 24, 2021, our common stock traded on the Nasdaq Capital Market under the same symbol (“SSSS”). The Company began its investment operations during the second quarter of 2011.</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table below displays the Company’s subsidiaries as of September 30, 2022,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8"/>
          <w:szCs w:val="18"/>
          <w:i w:val="1"/>
          <w:iCs w:val="1"/>
          <w:color w:val="auto"/>
        </w:rPr>
        <w:t>Basis of Consolidation</w:t>
      </w:r>
      <w:r>
        <w:rPr>
          <w:rFonts w:ascii="Times New Roman" w:cs="Times New Roman" w:eastAsia="Times New Roman" w:hAnsi="Times New Roman"/>
          <w:sz w:val="18"/>
          <w:szCs w:val="18"/>
          <w:color w:val="auto"/>
        </w:rPr>
        <w:t>” below for further detail.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Formation</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45"/>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Borders>
              <w:bottom w:val="single" w:sz="8" w:color="CCEEFF"/>
            </w:tcBorders>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GCL</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April 13, 2012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SuRo Capital Sports, LLC (“SuRo Sports”)</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4"/>
        </w:trPr>
        <w:tc>
          <w:tcPr>
            <w:tcW w:w="58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Subsidiaries below are referred to collectively, as the “Taxable</w:t>
            </w:r>
          </w:p>
        </w:tc>
        <w:tc>
          <w:tcPr>
            <w:tcW w:w="1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AE Holdings, Inc. (“GAE”)</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November 28, 2012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AV Holdings, Inc. (“GAV”)</w:t>
            </w:r>
          </w:p>
        </w:tc>
        <w:tc>
          <w:tcPr>
            <w:tcW w:w="1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November 28, 2012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SW Holdings, Inc. (“GSW”)</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November 28, 2012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SVDS Holdings, Inc. (“SVDS”)</w:t>
            </w:r>
          </w:p>
        </w:tc>
        <w:tc>
          <w:tcPr>
            <w:tcW w:w="1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August 13, 2013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invest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Services—Investment Companies</w:t>
      </w:r>
      <w:r>
        <w:rPr>
          <w:rFonts w:ascii="Times New Roman" w:cs="Times New Roman" w:eastAsia="Times New Roman" w:hAnsi="Times New Roman"/>
          <w:sz w:val="18"/>
          <w:szCs w:val="18"/>
          <w:color w:val="auto"/>
        </w:rPr>
        <w:t>. In the opinion of management, all adjustments, all of which were of a normal recurring nature, were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for the fair presentation of consolidated financial statements for the period have been included.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current interim period are not necessarily indicative of results that ultimately may be achieved for any other interim period or for the fiscal year ending December 31, 2022. The interim unaudited condensed consolidated financial statements and notes hereto should be read in conjunction with the audited consolidated financial statements and notes thereto contained in the Company’s annual report on Form 10-K for the fiscal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wholly-owned subsidiaries. All intercompany balances and transactions have been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and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fair value accounting in accordance with GAAP and the AICPA’s Audit and Accounting Guide for Investment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values its assets on a quarterly basis, or more frequently if required under the 1940 Act.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unadjusted quoted prices for identical assets or liabilities in an active market that the Company has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at the measurement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based on unobservable inputs that reflect management’s best estimate of what market participants would use in pricing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76" w:lineRule="exact"/>
        <w:rPr>
          <w:sz w:val="20"/>
          <w:szCs w:val="20"/>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internal investment professionals responsible for the portfolio investment;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senior management;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then discusses the valuations recommended by the Valuation Committee and determines in good faith the fair value of each investment in the portfolio.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valuing the Company’s investments in venture investment funds (“Venture Investment Funds”), the Company applies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investments, the Board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in determining the fair value of each investment.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may also consider other events, including the transaction in which the Company acquired its securities, subsequent equity sales by the portfolio company, and mergers or acquisitions affecting the portfolio company. In addition, the Board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determining the fair value of equity or equity-linked securities (including warrants to purchase common or preferred stock) in a portfolio company, the Board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in good faith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Board of Directors determines the fair value of options based on methodologies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Purpose Acquisition Companies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Board of Directors measures its Special Purpose Acquisition Company (“SPAC”)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utilizes the public share price of the entity, less a DLOM if there are restrictions on selling. The Company’s SPAC investments are valued at estimated fair value as determined in good faith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September 30, 2022 and December 31, 2021, for details regarding the nature and composition of the Company’s investment portfolio.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Levelling Policy</w:t>
      </w:r>
    </w:p>
    <w:p>
      <w:pPr>
        <w:spacing w:after="0" w:line="229"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Other Financial Instruments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places its cash primarily with U.S. Bank, N.A., and may place cash with Bridge Bank (a subsidiary of Western Alliance Bank) and Silicon Valley Bank in amounts that will not exceed, in the aggregate, the total value of the Company’s fidelity bond. The cash held in these accounts may exceed the Federal Deposit Insurance Corporation insured limit. The Company believes that U.S. Bank, N.A., Bridge Bank (a subsidiary of Western Alliance Bank), and Silicon Valley Bank are high-quality financial institutions and that the risk of loss associated with any uninsured balance is remote.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Proceeds Receivable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September 30, 2022 and December 31, 2021, the Company had $653,791 and $2,046,645, respectively, in escrow proceeds receivable.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September 30, 2022 and December 31, 2021, the Company had deferred financing costs of $572,771 and $2,592,611, respectively, on the Condensed Consolidated Statement of Assets and Liabilities.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572,771</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621,719</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572,771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operating leases as prescribed by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further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Using the fair value recognition provisions as prescribed by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Transaction Costs and Escrow Deposits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September 30, 2022 and December 31, 2021, the Company had no material escrow deposits.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of Investments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and State 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our investment company taxable income (“ICTI”), including payment-in-kind interest income, as defined by the Code, and 90% of our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(“ASC 260”) to determine the number of potentially dilutive shares outstanding. Refer to “Note 6—Net Increase in Net Assets Resulting from Operations per Common Share—Basic and Diluted”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Standards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Measurements (Topic 820): Fair Value Measurement of Equity Securities Subject to Contractual Sale Restrictions.” This change prohibits entities from taking into account contractual restrictions on the sale of equity securities when estimating fair value and introduces required disclosures for such transactions. The standard is effective for annual periods beginning after December 15, 2023, and should be applied prospectively. Early adoption is permitted. The adoption of ASU 2022-03 is not expected to have a material impact on the Company’s future financial statements.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April 2020, as part of the </w:t>
      </w:r>
      <w:r>
        <w:rPr>
          <w:rFonts w:ascii="Times New Roman" w:cs="Times New Roman" w:eastAsia="Times New Roman" w:hAnsi="Times New Roman"/>
          <w:sz w:val="18"/>
          <w:szCs w:val="18"/>
          <w:i w:val="1"/>
          <w:iCs w:val="1"/>
          <w:color w:val="auto"/>
        </w:rPr>
        <w:t>Securities Offering Reform for Closed-End Investment Companies</w:t>
      </w:r>
      <w:r>
        <w:rPr>
          <w:rFonts w:ascii="Times New Roman" w:cs="Times New Roman" w:eastAsia="Times New Roman" w:hAnsi="Times New Roman"/>
          <w:sz w:val="18"/>
          <w:szCs w:val="18"/>
          <w:color w:val="auto"/>
        </w:rPr>
        <w:t xml:space="preserve"> final rule, the Securities and Exchange Commission (“SEC”) adopted certain structured data reporting requirements for BDCs to submit financial statement information using Inline eXtensible Business Reporting Language (XBRL) format to the extent required of operating companies. BDCs that are eligible to file a short-form registration statement will be subject to the above structuring requirements with respect to Forms filed on or after August 1, 2022. The Company adopted the XBRL format beginning August 1, 2022.</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October 2020, the FASB issued ASU 2020-10,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made various technical changes and corrections intended to provide clarifications to existing guidance, as well as simplifications to wording or structure of existing guidance. The Company adopted the modified disclosure requirements during the period ended March 31, 2021.</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2020, the SEC adopted Rule 2a-5, which established requirements for satisfying a fund board’s obligation to determine fair value in good faith for purposes of the 1940 Act. The rule permits boards to assign the determination of fair value to a “valuation designee,” who may be the fund’s investment adviser or, if the fund is internally managed, an officer of the fund. The rule also defines a market quotation as “readily available” only when that quotation is a quoted price (unadjusted) in active markets for identical investments that the fund can access at the measurement date. In connection with the adoption of new Rule 2a-5, the SEC also adopted new Rule 31a-4, which requires funds to maintain documentation to support fair value determinations and documentation related to the designation of the valuation designee. The Company adopted amended valuation policies and procedures to comply with new Rule 2a-5 and Rule 31a-4 in advance of the compliance date of September 8, 2022. The Company did not designate a valuation designee, and the Board retains the sole responsibility to determine fair value in good faith under the 1940 Act.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December 2021, the SEC published Staff Accounting Bulletin No. 120 (“SAB 120”) to provide accounting and disclosure guidance for stock compensation awards made to executives and conforming amendments to the Staff Accounting Bulletin Series to align with the current authoritative accounting guidance in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In part, SAB 120 requires that an entity disclose how it determines the current price of underlying shares for grant-date fair value, the policy for when an adjustment to the share price is required, how it determines the amount of an adjustment to the share price and any significant assumptions used in determining an adjustment to the share price. SAB 120 is effective for all stock compensation awards issued after December 1, 2021. The Company is in compliance with the guidance pursuant to SAB 120 for any share-based compensation disclosures. See “Note 11 – Stock-Based Compensation” for further discussion of the Company’s policies and procedures regarding share-based compensation. The Company does not expect the impact of SAB 120 to be material to the condensed consolidated financial statements and the notes thereto.</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See “Note 1 — Nature of Operations.” Pursuant to the Consulting Agreement, Mr. Moe provided certain transition services to us related to our existing portfolio investments for which Mr. Moe previously had oversight in his role as the Chief Executive Officer and Chief Investment Officer of GSV Asset Management. Such transition services included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of the Consulting Agreement commenced on March 12, 2019 and continued for eighteen months in accordance with its terms. Pursuant to the Consulting Agreement, we paid Mr. Moe a total amount equal to $1,250,000. On September 12, 2020, the Consulting Agreement expired in accordance with its terms and was not renewed or extended.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Company did not incur a consulting expense related to the Consulting Agreement as it was no longer in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Trademark License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and effective March 12, 2019, we entered into an Amended and Restated Trademark License Agreement (the “Amended and Restated License Agreement”) with GSV Asset Management in connection with the termination of the Investment Advisory Agreement. See “Note 1 —Nature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of the Amended and Restated License Agreement commenced on March 12, 2019 and continued for eighteen months in accordance with its terms. Pursuant to the Amended and Restated License Agreement, we paid GSV Asset Management a total amount equal to $1,250,000. On September 12, 2020, the Amended and Restated License Agreement expired in accordance with its terms and was not renewed or extended.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Company did not incur a licensing expense related to the Amended and Restated License Agreement as it was no longer in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investment in Churchill Sponsor VI LLC, the sponsor of Churchill Capital Corp VI, a special purpose acquisition company, constituted a “remote-affiliate” transaction for purposes of the 1940 Act in light of the fact that Mark D. Klein, our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special purpose acquisition company, also constituted a “remote-affiliate” transaction for purposes of the 1940 Act in light of the fact that Mr. Klein has a non-controlling interest in the entity that controls Churchill Sponsor VII LLC, and is a non-controlling member of the board of directors of Churchill Capital Corp VII. In addition, Mr. Klein’s brother, Michael Klein, is a control person of such Churchill entities. As of September 30, 2022, the fair values of the Company’s investments in Churchill Sponsor VI LLC and Churchill Sponsor VII LLC were $200,000 and $300,000, respectively.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investment in Skillsoft Corp. (f/k/a Software Luxembourg Holding S.A.) (“Skillsoft”) constituted a “remote-affiliate” transaction for purposes of the 1940 Act in light of the fact that Mr. Klein has a non-controlling interest in the entity that controls Churchill Sponsor II LLC, the sponsor of Churchill Capital Corp II, a special purpose acquisition company, and is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is a control person of such Churchill entities. As of September 30, 2022, the fair value of the Company’s investment in Skillsoft Corp. was $1,796,773.</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initial investment in Shogun Enterprises, Inc. on February 26, 2021 constituted a “remote-affiliate” transaction for purposes of the 1940 Act in light of the fact that Keri Findley, a former senior managing director of the Company until her departure on March 9, 2022, is a non-controlling member of the board of directors of Shogun Enterprises, Inc., and holds a minority equity interest in such portfolio company. The Company’s investment in Architect Capital PayJoy SPV, LLC also constituted a “remote-affiliate” transaction for purposes of the 1940 Act in light of the fact that Ms. Findley is a non-controlling member of the board of directors of the investment manager to Architect Capital PayJoy SPV, LLC, and holds a minority equity interest in such investment manager. As of September 30, 2022, the fair values of the Company’s remote-affiliate investments in Shogun Enterprises, Inc. and Architect Capital PayJoy SPV, LLC were $3,508,721 and $10,000,000, respectively.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Ms.Findley and Claire Councill, a former investment professional of the Company until her departure on April 15, 2022, are non-controlling members of the board of directors of Colombier Acquisition Corp., a special purpose acquisition company, which is sponsored by Colombier Sponsor LLC, one of the Company’s portfolio companies. The Company’s investment in AltC Sponsor LLC, the sponsor of AltC Acquisition Corp, a special purpose acquisition company, constituted a “remote-affiliate” transaction for purposes of the 1940 Act in light of the fact that Mr. Klein has a non-controlling interest in one of the entities that controls AltC Sponsor LLC, and Allison Green, the Company’s Chief Financial Officer, Chief Compliance Officer, Treasurer and Secretary, is a non-controlling member of the board of directors of AltC Acquisition Corp. As of September 30, 2022, the fair values of the Company’s aggregate investments in each of Colombier Sponsor LLC and AltC Sponsor LLC were $2,711,841 and $250,000,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 Composition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September 30, 2022, the Company had 64 positions in 39 portfolio companies. As of December 31, 2021, the Company had 64 positions in 38 portfolio companies.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investment portfolio by security type at cost and fair value as of September 30, 2022 and December 31,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7"/>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80" w:type="dxa"/>
            <w:vAlign w:val="bottom"/>
            <w:gridSpan w:val="4"/>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13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30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$ 108,217,121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color w:val="auto"/>
                <w:w w:val="96"/>
              </w:rPr>
              <w:t>$ 115,350,743</w:t>
            </w:r>
          </w:p>
        </w:tc>
        <w:tc>
          <w:tcPr>
            <w:tcW w:w="18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99,964,047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$ 163,801,798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30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50,601,512</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80" w:type="dxa"/>
            <w:vAlign w:val="bottom"/>
            <w:gridSpan w:val="4"/>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18,850,531</w:t>
            </w: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51,581,524</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42,860,156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30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6,566,466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color w:val="auto"/>
              </w:rPr>
              <w:t>4,708,284</w:t>
            </w:r>
          </w:p>
        </w:tc>
        <w:tc>
          <w:tcPr>
            <w:tcW w:w="18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5,807,373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3,011,438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11,415,787</w:t>
            </w: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80" w:type="dxa"/>
            <w:vAlign w:val="bottom"/>
            <w:gridSpan w:val="4"/>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3,447,105</w:t>
            </w:r>
          </w:p>
        </w:tc>
        <w:tc>
          <w:tcPr>
            <w:tcW w:w="180" w:type="dxa"/>
            <w:vAlign w:val="bottom"/>
            <w:tcBorders>
              <w:left w:val="single" w:sz="8" w:color="CCEEFF"/>
            </w:tcBorders>
            <w:shd w:val="clear" w:color="auto" w:fill="CCEEFF"/>
          </w:tcPr>
          <w:p>
            <w:pPr>
              <w:spacing w:after="0"/>
              <w:rPr>
                <w:sz w:val="21"/>
                <w:szCs w:val="21"/>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10,982,983</w:t>
            </w:r>
          </w:p>
        </w:tc>
        <w:tc>
          <w:tcPr>
            <w:tcW w:w="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4,959,112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Private Portfolio Companies</w:t>
            </w:r>
          </w:p>
        </w:tc>
        <w:tc>
          <w:tcPr>
            <w:tcW w:w="16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176,800,886</w:t>
            </w:r>
          </w:p>
        </w:tc>
        <w:tc>
          <w:tcPr>
            <w:tcW w:w="1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142,356,663</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64.3</w:t>
            </w:r>
          </w:p>
        </w:tc>
        <w:tc>
          <w:tcPr>
            <w:tcW w:w="20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168,335,927</w:t>
            </w:r>
          </w:p>
        </w:tc>
        <w:tc>
          <w:tcPr>
            <w:tcW w:w="16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214,632,504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30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32,248,667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color w:val="auto"/>
              </w:rPr>
              <w:t>15,391,229</w:t>
            </w:r>
          </w:p>
        </w:tc>
        <w:tc>
          <w:tcPr>
            <w:tcW w:w="18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39,119,450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44,573,225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930,524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67"/>
        </w:trPr>
        <w:tc>
          <w:tcPr>
            <w:tcW w:w="302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Publicly Traded Portfolio</w:t>
            </w: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32,248,667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color w:val="auto"/>
              </w:rPr>
              <w:t>15,391,229</w:t>
            </w:r>
          </w:p>
        </w:tc>
        <w:tc>
          <w:tcPr>
            <w:tcW w:w="18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39,119,450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45,503,749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40" w:type="dxa"/>
            <w:vAlign w:val="bottom"/>
            <w:vMerge w:val="restart"/>
            <w:shd w:val="clear" w:color="auto" w:fill="CCEEFF"/>
          </w:tcPr>
          <w:p>
            <w:pPr>
              <w:spacing w:after="0"/>
              <w:rPr>
                <w:sz w:val="2"/>
                <w:szCs w:val="2"/>
                <w:color w:val="auto"/>
              </w:rPr>
            </w:pPr>
          </w:p>
        </w:tc>
        <w:tc>
          <w:tcPr>
            <w:tcW w:w="80" w:type="dxa"/>
            <w:vAlign w:val="bottom"/>
            <w:tcBorders>
              <w:right w:val="single" w:sz="8" w:color="CCEEFF"/>
            </w:tcBorders>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40" w:type="dxa"/>
            <w:vAlign w:val="bottom"/>
            <w:vMerge w:val="restart"/>
            <w:shd w:val="clear" w:color="auto" w:fill="CCEEFF"/>
          </w:tcPr>
          <w:p>
            <w:pPr>
              <w:spacing w:after="0"/>
              <w:rPr>
                <w:sz w:val="2"/>
                <w:szCs w:val="2"/>
                <w:color w:val="auto"/>
              </w:rPr>
            </w:pPr>
          </w:p>
        </w:tc>
        <w:tc>
          <w:tcPr>
            <w:tcW w:w="60" w:type="dxa"/>
            <w:vAlign w:val="bottom"/>
            <w:tcBorders>
              <w:right w:val="single" w:sz="8" w:color="CCEEFF"/>
            </w:tcBorders>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209,049,553</w:t>
            </w:r>
          </w:p>
        </w:tc>
        <w:tc>
          <w:tcPr>
            <w:tcW w:w="120" w:type="dxa"/>
            <w:vAlign w:val="bottom"/>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80" w:type="dxa"/>
            <w:vAlign w:val="bottom"/>
            <w:tcBorders>
              <w:right w:val="single" w:sz="8" w:color="CCEEFF"/>
            </w:tcBorders>
            <w:vMerge w:val="continue"/>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157,747,892</w:t>
            </w:r>
          </w:p>
        </w:tc>
        <w:tc>
          <w:tcPr>
            <w:tcW w:w="260" w:type="dxa"/>
            <w:vAlign w:val="bottom"/>
            <w:vMerge w:val="continue"/>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207,455,377</w:t>
            </w:r>
          </w:p>
        </w:tc>
        <w:tc>
          <w:tcPr>
            <w:tcW w:w="160" w:type="dxa"/>
            <w:vAlign w:val="bottom"/>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6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260,136,253</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Non-Portfolio Investments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30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99,173,075</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80" w:type="dxa"/>
            <w:vAlign w:val="bottom"/>
            <w:gridSpan w:val="4"/>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99,226,000</w:t>
            </w: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308,222,628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256,973,892</w:t>
            </w:r>
          </w:p>
        </w:tc>
        <w:tc>
          <w:tcPr>
            <w:tcW w:w="18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40" w:type="dxa"/>
            <w:vAlign w:val="bottom"/>
          </w:tcPr>
          <w:p>
            <w:pPr>
              <w:spacing w:after="0"/>
              <w:rPr>
                <w:sz w:val="21"/>
                <w:szCs w:val="21"/>
                <w:color w:val="auto"/>
              </w:rPr>
            </w:pPr>
          </w:p>
        </w:tc>
        <w:tc>
          <w:tcPr>
            <w:tcW w:w="126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207,455,377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260,136,253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31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240" w:type="dxa"/>
            <w:vAlign w:val="bottom"/>
            <w:gridSpan w:val="32"/>
          </w:tcPr>
          <w:p>
            <w:pPr>
              <w:ind w:left="660"/>
              <w:spacing w:after="0"/>
              <w:rPr>
                <w:sz w:val="20"/>
                <w:szCs w:val="20"/>
                <w:color w:val="auto"/>
              </w:rPr>
            </w:pPr>
            <w:r>
              <w:rPr>
                <w:rFonts w:ascii="Times New Roman" w:cs="Times New Roman" w:eastAsia="Times New Roman" w:hAnsi="Times New Roman"/>
                <w:sz w:val="18"/>
                <w:szCs w:val="18"/>
                <w:color w:val="auto"/>
              </w:rPr>
              <w:t>The geographic and industrial compositions of the Company’s portfolio at fair value as of September 30, 2022 and December 31, 2021 were as</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14"/>
          </w:tcPr>
          <w:p>
            <w:pPr>
              <w:ind w:left="78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11"/>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196"/>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500" w:type="dxa"/>
            <w:vAlign w:val="bottom"/>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3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2"/>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180" w:type="dxa"/>
            <w:vAlign w:val="bottom"/>
          </w:tcPr>
          <w:p>
            <w:pPr>
              <w:spacing w:after="0"/>
              <w:rPr>
                <w:sz w:val="21"/>
                <w:szCs w:val="21"/>
                <w:color w:val="auto"/>
              </w:rPr>
            </w:pPr>
          </w:p>
        </w:tc>
        <w:tc>
          <w:tcPr>
            <w:tcW w:w="1320" w:type="dxa"/>
            <w:vAlign w:val="bottom"/>
            <w:gridSpan w:val="5"/>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1"/>
                <w:szCs w:val="21"/>
                <w:color w:val="auto"/>
              </w:rPr>
            </w:pPr>
          </w:p>
        </w:tc>
        <w:tc>
          <w:tcPr>
            <w:tcW w:w="12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3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of Portfolio</w:t>
            </w:r>
          </w:p>
        </w:tc>
        <w:tc>
          <w:tcPr>
            <w:tcW w:w="13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Net Assets</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West</w:t>
            </w: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$ 103,006,693</w:t>
            </w:r>
          </w:p>
        </w:tc>
        <w:tc>
          <w:tcPr>
            <w:tcW w:w="80" w:type="dxa"/>
            <w:vAlign w:val="bottom"/>
          </w:tcPr>
          <w:p>
            <w:pPr>
              <w:spacing w:after="0"/>
              <w:rPr>
                <w:sz w:val="18"/>
                <w:szCs w:val="18"/>
                <w:color w:val="auto"/>
              </w:rPr>
            </w:pPr>
          </w:p>
        </w:tc>
        <w:tc>
          <w:tcPr>
            <w:tcW w:w="128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18"/>
                <w:szCs w:val="18"/>
                <w:color w:val="auto"/>
              </w:rPr>
            </w:pPr>
          </w:p>
        </w:tc>
        <w:tc>
          <w:tcPr>
            <w:tcW w:w="12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tcPr>
          <w:p>
            <w:pPr>
              <w:spacing w:after="0"/>
              <w:rPr>
                <w:sz w:val="18"/>
                <w:szCs w:val="18"/>
                <w:color w:val="auto"/>
              </w:rPr>
            </w:pP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4"/>
              </w:rPr>
              <w:t>$ 188,304,542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Northeast</w:t>
            </w:r>
          </w:p>
        </w:tc>
        <w:tc>
          <w:tcPr>
            <w:tcW w:w="1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38,937,240</w:t>
            </w:r>
          </w:p>
        </w:tc>
        <w:tc>
          <w:tcPr>
            <w:tcW w:w="80" w:type="dxa"/>
            <w:vAlign w:val="bottom"/>
            <w:tcBorders>
              <w:right w:val="single" w:sz="8" w:color="CCEEFF"/>
            </w:tcBorders>
            <w:shd w:val="clear" w:color="auto" w:fill="CCEEFF"/>
          </w:tcPr>
          <w:p>
            <w:pPr>
              <w:spacing w:after="0"/>
              <w:rPr>
                <w:sz w:val="18"/>
                <w:szCs w:val="18"/>
                <w:color w:val="auto"/>
              </w:rPr>
            </w:pPr>
          </w:p>
        </w:tc>
        <w:tc>
          <w:tcPr>
            <w:tcW w:w="1280" w:type="dxa"/>
            <w:vAlign w:val="bottom"/>
            <w:gridSpan w:val="4"/>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47,666,629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Midwest</w:t>
            </w: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8,328,181</w:t>
            </w:r>
          </w:p>
        </w:tc>
        <w:tc>
          <w:tcPr>
            <w:tcW w:w="80" w:type="dxa"/>
            <w:vAlign w:val="bottom"/>
          </w:tcPr>
          <w:p>
            <w:pPr>
              <w:spacing w:after="0"/>
              <w:rPr>
                <w:sz w:val="18"/>
                <w:szCs w:val="18"/>
                <w:color w:val="auto"/>
              </w:rPr>
            </w:pPr>
          </w:p>
        </w:tc>
        <w:tc>
          <w:tcPr>
            <w:tcW w:w="128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2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6"/>
              </w:rPr>
              <w:t>12,722,423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7,475,778</w:t>
            </w:r>
          </w:p>
        </w:tc>
        <w:tc>
          <w:tcPr>
            <w:tcW w:w="80" w:type="dxa"/>
            <w:vAlign w:val="bottom"/>
            <w:tcBorders>
              <w:right w:val="single" w:sz="8" w:color="CCEEFF"/>
            </w:tcBorders>
            <w:shd w:val="clear" w:color="auto" w:fill="CCEEFF"/>
          </w:tcPr>
          <w:p>
            <w:pPr>
              <w:spacing w:after="0"/>
              <w:rPr>
                <w:sz w:val="21"/>
                <w:szCs w:val="21"/>
                <w:color w:val="auto"/>
              </w:rPr>
            </w:pPr>
          </w:p>
        </w:tc>
        <w:tc>
          <w:tcPr>
            <w:tcW w:w="1280" w:type="dxa"/>
            <w:vAlign w:val="bottom"/>
            <w:gridSpan w:val="4"/>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left w:val="single" w:sz="8" w:color="CCEEFF"/>
            </w:tcBorders>
            <w:shd w:val="clear" w:color="auto" w:fill="CCEEFF"/>
          </w:tcPr>
          <w:p>
            <w:pPr>
              <w:spacing w:after="0"/>
              <w:rPr>
                <w:sz w:val="21"/>
                <w:szCs w:val="21"/>
                <w:color w:val="auto"/>
              </w:rPr>
            </w:pPr>
          </w:p>
        </w:tc>
        <w:tc>
          <w:tcPr>
            <w:tcW w:w="128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11,442,659</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157,747,892</w:t>
            </w: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80" w:type="dxa"/>
            <w:vAlign w:val="bottom"/>
            <w:tcBorders>
              <w:top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260,136,253</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20" w:type="dxa"/>
            <w:vAlign w:val="bottom"/>
            <w:gridSpan w:val="13"/>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9"/>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3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of Portfolio</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Net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3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Net Assets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 Technology</w:t>
            </w:r>
          </w:p>
        </w:tc>
        <w:tc>
          <w:tcPr>
            <w:tcW w:w="1420" w:type="dxa"/>
            <w:vAlign w:val="bottom"/>
            <w:tcBorders>
              <w:right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$ 68,408,734</w:t>
            </w:r>
          </w:p>
        </w:tc>
        <w:tc>
          <w:tcPr>
            <w:tcW w:w="1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520" w:type="dxa"/>
            <w:vAlign w:val="bottom"/>
            <w:gridSpan w:val="7"/>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160" w:type="dxa"/>
            <w:vAlign w:val="bottom"/>
            <w:tcBorders>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$ 109,048,688</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Financial Technology</w:t>
            </w:r>
          </w:p>
        </w:tc>
        <w:tc>
          <w:tcPr>
            <w:tcW w:w="142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37,887,456</w:t>
            </w: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520" w:type="dxa"/>
            <w:vAlign w:val="bottom"/>
            <w:gridSpan w:val="7"/>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1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71,954,012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Marketplaces</w:t>
            </w:r>
          </w:p>
        </w:tc>
        <w:tc>
          <w:tcPr>
            <w:tcW w:w="1420" w:type="dxa"/>
            <w:vAlign w:val="bottom"/>
            <w:tcBorders>
              <w:right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27,920,230</w:t>
            </w:r>
          </w:p>
        </w:tc>
        <w:tc>
          <w:tcPr>
            <w:tcW w:w="1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520" w:type="dxa"/>
            <w:vAlign w:val="bottom"/>
            <w:gridSpan w:val="7"/>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160" w:type="dxa"/>
            <w:vAlign w:val="bottom"/>
            <w:tcBorders>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49,346,174</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Social/Mobile</w:t>
            </w:r>
          </w:p>
        </w:tc>
        <w:tc>
          <w:tcPr>
            <w:tcW w:w="142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17,315,224</w:t>
            </w: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520" w:type="dxa"/>
            <w:vAlign w:val="bottom"/>
            <w:gridSpan w:val="7"/>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16,439,523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Big Data/Cloud</w:t>
            </w:r>
          </w:p>
        </w:tc>
        <w:tc>
          <w:tcPr>
            <w:tcW w:w="1420" w:type="dxa"/>
            <w:vAlign w:val="bottom"/>
            <w:tcBorders>
              <w:right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5,230,743</w:t>
            </w:r>
          </w:p>
        </w:tc>
        <w:tc>
          <w:tcPr>
            <w:tcW w:w="1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520" w:type="dxa"/>
            <w:vAlign w:val="bottom"/>
            <w:gridSpan w:val="7"/>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tcBorders>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12,300,823</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Sustainability</w:t>
            </w:r>
          </w:p>
        </w:tc>
        <w:tc>
          <w:tcPr>
            <w:tcW w:w="142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985,505</w:t>
            </w: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520" w:type="dxa"/>
            <w:vAlign w:val="bottom"/>
            <w:gridSpan w:val="7"/>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1,047,033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157,747,892</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260,136,253</w:t>
            </w: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122" w:gutter="0" w:footer="0" w:header="0"/>
        </w:sectPr>
      </w:pPr>
    </w:p>
    <w:bookmarkStart w:id="35" w:name="page36"/>
    <w:bookmarkEnd w:id="3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composition of the Company’s industrial themes presented in the preceding tables:</w:t>
      </w:r>
    </w:p>
    <w:p>
      <w:pPr>
        <w:sectPr>
          <w:pgSz w:w="11900" w:h="16838" w:orient="portrait"/>
          <w:cols w:equalWidth="0" w:num="1">
            <w:col w:w="10139"/>
          </w:cols>
          <w:pgMar w:left="320" w:top="684" w:right="1440"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7857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27857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27857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986155</wp:posOffset>
            </wp:positionV>
            <wp:extent cx="27857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27857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27857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Sustainability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42005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Education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Learning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005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Analysis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Licensing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Geolocation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005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Innovation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Networks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Micromobility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On-Demand Commerce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Peer-to-Peer Pet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005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 Improvement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Finance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Marketplace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 Purpose Acquisition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2005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Digital Media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Media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Media &amp;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Access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Data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Fitness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005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Clean Technology</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900" w:space="720"/>
            <w:col w:w="5519"/>
          </w:cols>
          <w:pgMar w:left="320" w:top="684" w:right="1440"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Inputs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Company’s investments disaggregated into the three levels of the fair value hierarchy based upon the lowest level of significant input used in the valuation as of September 30, 2022 and December 31, 2021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Securities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115,350,743</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115,350,743</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18,850,531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18,850,531</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4,708,284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4,708,284</w:t>
            </w:r>
          </w:p>
        </w:tc>
      </w:tr>
      <w:tr>
        <w:trPr>
          <w:trHeight w:val="237"/>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3,447,105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3,447,105</w:t>
            </w:r>
          </w:p>
        </w:tc>
      </w:tr>
      <w:tr>
        <w:trPr>
          <w:trHeight w:val="236"/>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142,356,663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142,356,663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2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15,321,409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15,391,229</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Treasury bills</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99,226,000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99,226,000</w:t>
            </w:r>
          </w:p>
        </w:tc>
      </w:tr>
      <w:tr>
        <w:trPr>
          <w:trHeight w:val="217"/>
        </w:trPr>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114,547,409</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69,820</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142,356,663</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256,973,892</w:t>
            </w:r>
          </w:p>
        </w:tc>
        <w:tc>
          <w:tcPr>
            <w:tcW w:w="100" w:type="dxa"/>
            <w:vAlign w:val="bottom"/>
            <w:tcBorders>
              <w:top w:val="single" w:sz="8" w:color="CCEEFF"/>
            </w:tcBorders>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6"/>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Securities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163,801,798</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163,801,798</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42,860,156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42,860,156</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3,011,438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3,011,438</w:t>
            </w:r>
          </w:p>
        </w:tc>
      </w:tr>
      <w:tr>
        <w:trPr>
          <w:trHeight w:val="23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4,959,112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4,959,112</w:t>
            </w:r>
          </w:p>
        </w:tc>
      </w:tr>
      <w:tr>
        <w:trPr>
          <w:trHeight w:val="236"/>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214,632,504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214,632,504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2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16,970,411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27,602,814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44,573,225</w:t>
            </w:r>
          </w:p>
        </w:tc>
      </w:tr>
      <w:tr>
        <w:trPr>
          <w:trHeight w:val="237"/>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930,524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930,524</w:t>
            </w:r>
          </w:p>
        </w:tc>
      </w:tr>
      <w:tr>
        <w:trPr>
          <w:trHeight w:val="236"/>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28,533,338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45,503,749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16,970,411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28,533,338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214,632,504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260,136,253</w:t>
            </w:r>
          </w:p>
        </w:tc>
        <w:tc>
          <w:tcPr>
            <w:tcW w:w="10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Unobservable Inputs for Level 3 Assets and Liabilities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tables below provide quantitative information about the Company’s fair value measurements of its Level 3 assets as of September 30, 2022 and December 31, 2021.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September 30, 2022 and December 31, 2021. Significant changes in the inputs in isolation would result in a significant change in the fair value measurement, depending on the input and the materiality of the investment. Refer to “Note 2 —Significant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Valuation</w:t>
            </w:r>
          </w:p>
        </w:tc>
        <w:tc>
          <w:tcPr>
            <w:tcW w:w="1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Approach/</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Range</w:t>
            </w:r>
          </w:p>
        </w:tc>
      </w:tr>
      <w:tr>
        <w:trPr>
          <w:trHeight w:val="282"/>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Technique</w:t>
            </w:r>
            <w:r>
              <w:rPr>
                <w:rFonts w:ascii="Times New Roman" w:cs="Times New Roman" w:eastAsia="Times New Roman" w:hAnsi="Times New Roman"/>
                <w:sz w:val="29"/>
                <w:szCs w:val="29"/>
                <w:b w:val="1"/>
                <w:bCs w:val="1"/>
                <w:color w:val="auto"/>
                <w:w w:val="92"/>
                <w:vertAlign w:val="superscript"/>
              </w:rPr>
              <w:t>(1)</w:t>
            </w:r>
          </w:p>
        </w:tc>
        <w:tc>
          <w:tcPr>
            <w:tcW w:w="2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3"/>
              </w:rPr>
              <w:t>Inputs</w:t>
            </w:r>
            <w:r>
              <w:rPr>
                <w:rFonts w:ascii="Times New Roman" w:cs="Times New Roman" w:eastAsia="Times New Roman" w:hAnsi="Times New Roman"/>
                <w:sz w:val="29"/>
                <w:szCs w:val="29"/>
                <w:b w:val="1"/>
                <w:bCs w:val="1"/>
                <w:color w:val="auto"/>
                <w:w w:val="93"/>
                <w:vertAlign w:val="superscript"/>
              </w:rPr>
              <w:t>(2)</w:t>
            </w:r>
          </w:p>
        </w:tc>
        <w:tc>
          <w:tcPr>
            <w:tcW w:w="20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4"/>
              </w:rPr>
              <w:t>(Weighted Average)</w:t>
            </w:r>
            <w:r>
              <w:rPr>
                <w:rFonts w:ascii="Times New Roman" w:cs="Times New Roman" w:eastAsia="Times New Roman" w:hAnsi="Times New Roman"/>
                <w:sz w:val="29"/>
                <w:szCs w:val="29"/>
                <w:b w:val="1"/>
                <w:bCs w:val="1"/>
                <w:color w:val="auto"/>
                <w:w w:val="94"/>
                <w:vertAlign w:val="superscript"/>
              </w:rPr>
              <w:t>(3)</w:t>
            </w:r>
          </w:p>
        </w:tc>
        <w:tc>
          <w:tcPr>
            <w:tcW w:w="100" w:type="dxa"/>
            <w:vAlign w:val="bottom"/>
            <w:tcBorders>
              <w:bottom w:val="single" w:sz="8" w:color="CCEEFF"/>
            </w:tcBorders>
          </w:tcPr>
          <w:p>
            <w:pPr>
              <w:spacing w:after="0"/>
              <w:rPr>
                <w:sz w:val="24"/>
                <w:szCs w:val="24"/>
                <w:color w:val="auto"/>
              </w:rPr>
            </w:pPr>
          </w:p>
        </w:tc>
      </w:tr>
      <w:tr>
        <w:trPr>
          <w:trHeight w:val="243"/>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in private companies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18,850,531</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1.11x - 3.63x (1.88x)</w:t>
            </w:r>
          </w:p>
        </w:tc>
      </w:tr>
      <w:tr>
        <w:trPr>
          <w:trHeight w:val="243"/>
        </w:trPr>
        <w:tc>
          <w:tcPr>
            <w:tcW w:w="2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9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r>
      <w:tr>
        <w:trPr>
          <w:trHeight w:val="283"/>
        </w:trPr>
        <w:tc>
          <w:tcPr>
            <w:tcW w:w="2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80" w:type="dxa"/>
            <w:vAlign w:val="bottom"/>
            <w:gridSpan w:val="2"/>
            <w:shd w:val="clear" w:color="auto" w:fill="CCEEFF"/>
          </w:tcPr>
          <w:p>
            <w:pPr>
              <w:jc w:val="center"/>
              <w:ind w:right="200"/>
              <w:spacing w:after="0" w:line="284"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1880" w:type="dxa"/>
            <w:vAlign w:val="bottom"/>
            <w:gridSpan w:val="2"/>
            <w:shd w:val="clear" w:color="auto" w:fill="CCEEFF"/>
          </w:tcPr>
          <w:p>
            <w:pPr>
              <w:jc w:val="center"/>
              <w:ind w:right="200"/>
              <w:spacing w:after="0" w:line="284" w:lineRule="exact"/>
              <w:rPr>
                <w:sz w:val="20"/>
                <w:szCs w:val="20"/>
                <w:color w:val="auto"/>
              </w:rPr>
            </w:pPr>
            <w:r>
              <w:rPr>
                <w:rFonts w:ascii="Times New Roman" w:cs="Times New Roman" w:eastAsia="Times New Roman" w:hAnsi="Times New Roman"/>
                <w:sz w:val="18"/>
                <w:szCs w:val="18"/>
                <w:color w:val="auto"/>
                <w:w w:val="95"/>
              </w:rPr>
              <w:t xml:space="preserve">AFFO </w:t>
            </w:r>
            <w:r>
              <w:rPr>
                <w:rFonts w:ascii="Times New Roman" w:cs="Times New Roman" w:eastAsia="Times New Roman" w:hAnsi="Times New Roman"/>
                <w:sz w:val="29"/>
                <w:szCs w:val="29"/>
                <w:color w:val="auto"/>
                <w:w w:val="95"/>
                <w:vertAlign w:val="superscript"/>
              </w:rPr>
              <w:t>(4)</w:t>
            </w:r>
            <w:r>
              <w:rPr>
                <w:rFonts w:ascii="Times New Roman" w:cs="Times New Roman" w:eastAsia="Times New Roman" w:hAnsi="Times New Roman"/>
                <w:sz w:val="18"/>
                <w:szCs w:val="18"/>
                <w:color w:val="auto"/>
                <w:w w:val="95"/>
              </w:rPr>
              <w:t xml:space="preserve"> multiple</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7.01x -10.99x (9.38x)</w:t>
            </w:r>
          </w:p>
        </w:tc>
      </w:tr>
      <w:tr>
        <w:trPr>
          <w:trHeight w:val="243"/>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Preferred stock in private companies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115,350,743</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0.55x - 5.49x (1.41x)</w:t>
            </w:r>
          </w:p>
        </w:tc>
      </w:tr>
      <w:tr>
        <w:trPr>
          <w:trHeight w:val="243"/>
        </w:trPr>
        <w:tc>
          <w:tcPr>
            <w:tcW w:w="2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9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15.0% (15.0%)</w:t>
            </w:r>
          </w:p>
        </w:tc>
        <w:tc>
          <w:tcPr>
            <w:tcW w:w="100" w:type="dxa"/>
            <w:vAlign w:val="bottom"/>
          </w:tcPr>
          <w:p>
            <w:pPr>
              <w:spacing w:after="0"/>
              <w:rPr>
                <w:sz w:val="21"/>
                <w:szCs w:val="21"/>
                <w:color w:val="auto"/>
              </w:rPr>
            </w:pPr>
          </w:p>
        </w:tc>
      </w:tr>
      <w:tr>
        <w:trPr>
          <w:trHeight w:val="283"/>
        </w:trPr>
        <w:tc>
          <w:tcPr>
            <w:tcW w:w="2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80" w:type="dxa"/>
            <w:vAlign w:val="bottom"/>
            <w:gridSpan w:val="2"/>
            <w:shd w:val="clear" w:color="auto" w:fill="CCEEFF"/>
          </w:tcPr>
          <w:p>
            <w:pPr>
              <w:jc w:val="center"/>
              <w:ind w:right="200"/>
              <w:spacing w:after="0" w:line="284"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0.63x - 5.49x (2.25x)</w:t>
            </w: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DLOM</w:t>
            </w: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8.0% - 10.0% (10.0%)</w:t>
            </w:r>
          </w:p>
        </w:tc>
        <w:tc>
          <w:tcPr>
            <w:tcW w:w="100" w:type="dxa"/>
            <w:vAlign w:val="bottom"/>
          </w:tcPr>
          <w:p>
            <w:pPr>
              <w:spacing w:after="0"/>
              <w:rPr>
                <w:sz w:val="21"/>
                <w:szCs w:val="21"/>
                <w:color w:val="auto"/>
              </w:rPr>
            </w:pPr>
          </w:p>
        </w:tc>
      </w:tr>
      <w:tr>
        <w:trPr>
          <w:trHeight w:val="243"/>
        </w:trPr>
        <w:tc>
          <w:tcPr>
            <w:tcW w:w="2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Financing Risk</w:t>
            </w:r>
          </w:p>
        </w:tc>
        <w:tc>
          <w:tcPr>
            <w:tcW w:w="1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 (10.0%)</w:t>
            </w:r>
          </w:p>
        </w:tc>
        <w:tc>
          <w:tcPr>
            <w:tcW w:w="100" w:type="dxa"/>
            <w:vAlign w:val="bottom"/>
            <w:shd w:val="clear" w:color="auto" w:fill="CCEEFF"/>
          </w:tcPr>
          <w:p>
            <w:pPr>
              <w:spacing w:after="0"/>
              <w:rPr>
                <w:sz w:val="21"/>
                <w:szCs w:val="21"/>
                <w:color w:val="auto"/>
              </w:rPr>
            </w:pPr>
          </w:p>
        </w:tc>
      </w:tr>
      <w:tr>
        <w:trPr>
          <w:trHeight w:val="243"/>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Debt investments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4,708,284</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0.55x - 5.49x (3.8x)</w:t>
            </w:r>
          </w:p>
        </w:tc>
      </w:tr>
      <w:tr>
        <w:trPr>
          <w:trHeight w:val="198"/>
        </w:trPr>
        <w:tc>
          <w:tcPr>
            <w:tcW w:w="2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Term to expiration</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3,447,105</w:t>
            </w:r>
          </w:p>
        </w:tc>
        <w:tc>
          <w:tcPr>
            <w:tcW w:w="24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Option pricing model</w:t>
            </w:r>
          </w:p>
        </w:tc>
        <w:tc>
          <w:tcPr>
            <w:tcW w:w="1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(Years)</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1.25x - 5.54x (1.9x)</w:t>
            </w: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15.0% (15.0%)</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-1551305</wp:posOffset>
            </wp:positionV>
            <wp:extent cx="7132320" cy="1705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05610"/>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3"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September 30, 2022, the Board used a hybrid market and income approach to value certain common and preferred stock investments as the Board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 </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Funds From Operations, or “AFFO”</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Valuation</w:t>
            </w:r>
          </w:p>
        </w:tc>
        <w:tc>
          <w:tcPr>
            <w:tcW w:w="1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Approach/</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9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82"/>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Technique</w:t>
            </w:r>
            <w:r>
              <w:rPr>
                <w:rFonts w:ascii="Times New Roman" w:cs="Times New Roman" w:eastAsia="Times New Roman" w:hAnsi="Times New Roman"/>
                <w:sz w:val="29"/>
                <w:szCs w:val="29"/>
                <w:b w:val="1"/>
                <w:bCs w:val="1"/>
                <w:color w:val="auto"/>
                <w:w w:val="92"/>
                <w:vertAlign w:val="superscript"/>
              </w:rPr>
              <w:t>(1)</w:t>
            </w:r>
          </w:p>
        </w:tc>
        <w:tc>
          <w:tcPr>
            <w:tcW w:w="2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3"/>
              </w:rPr>
              <w:t>Inputs</w:t>
            </w:r>
            <w:r>
              <w:rPr>
                <w:rFonts w:ascii="Times New Roman" w:cs="Times New Roman" w:eastAsia="Times New Roman" w:hAnsi="Times New Roman"/>
                <w:sz w:val="29"/>
                <w:szCs w:val="29"/>
                <w:b w:val="1"/>
                <w:bCs w:val="1"/>
                <w:color w:val="auto"/>
                <w:w w:val="93"/>
                <w:vertAlign w:val="superscript"/>
              </w:rPr>
              <w:t>(2)</w:t>
            </w:r>
          </w:p>
        </w:tc>
        <w:tc>
          <w:tcPr>
            <w:tcW w:w="20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spacing w:after="0" w:line="276" w:lineRule="exact"/>
              <w:rPr>
                <w:sz w:val="20"/>
                <w:szCs w:val="20"/>
                <w:color w:val="auto"/>
              </w:rPr>
            </w:pPr>
            <w:r>
              <w:rPr>
                <w:rFonts w:ascii="Times New Roman" w:cs="Times New Roman" w:eastAsia="Times New Roman" w:hAnsi="Times New Roman"/>
                <w:sz w:val="18"/>
                <w:szCs w:val="18"/>
                <w:b w:val="1"/>
                <w:bCs w:val="1"/>
                <w:color w:val="auto"/>
                <w:w w:val="97"/>
              </w:rPr>
              <w:t>(Weighted Average)</w:t>
            </w:r>
            <w:r>
              <w:rPr>
                <w:rFonts w:ascii="Times New Roman" w:cs="Times New Roman" w:eastAsia="Times New Roman" w:hAnsi="Times New Roman"/>
                <w:sz w:val="29"/>
                <w:szCs w:val="29"/>
                <w:b w:val="1"/>
                <w:bCs w:val="1"/>
                <w:color w:val="auto"/>
                <w:w w:val="97"/>
                <w:vertAlign w:val="superscript"/>
              </w:rPr>
              <w:t>(3)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in private companies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42,860,156</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1.80x - 9.62x (6.00x)</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 (15.0%)</w:t>
            </w:r>
          </w:p>
        </w:tc>
        <w:tc>
          <w:tcPr>
            <w:tcW w:w="0" w:type="dxa"/>
            <w:vAlign w:val="bottom"/>
          </w:tcPr>
          <w:p>
            <w:pPr>
              <w:spacing w:after="0"/>
              <w:rPr>
                <w:sz w:val="1"/>
                <w:szCs w:val="1"/>
                <w:color w:val="auto"/>
              </w:rPr>
            </w:pPr>
          </w:p>
        </w:tc>
      </w:tr>
      <w:tr>
        <w:trPr>
          <w:trHeight w:val="283"/>
        </w:trPr>
        <w:tc>
          <w:tcPr>
            <w:tcW w:w="2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center"/>
              <w:ind w:right="220"/>
              <w:spacing w:after="0" w:line="284" w:lineRule="exact"/>
              <w:rPr>
                <w:sz w:val="20"/>
                <w:szCs w:val="20"/>
                <w:color w:val="auto"/>
              </w:rPr>
            </w:pPr>
            <w:r>
              <w:rPr>
                <w:rFonts w:ascii="Times New Roman" w:cs="Times New Roman" w:eastAsia="Times New Roman" w:hAnsi="Times New Roman"/>
                <w:sz w:val="18"/>
                <w:szCs w:val="18"/>
                <w:color w:val="auto"/>
                <w:w w:val="92"/>
              </w:rPr>
              <w:t>DLOM</w:t>
            </w:r>
            <w:r>
              <w:rPr>
                <w:rFonts w:ascii="Times New Roman" w:cs="Times New Roman" w:eastAsia="Times New Roman" w:hAnsi="Times New Roman"/>
                <w:sz w:val="29"/>
                <w:szCs w:val="29"/>
                <w:color w:val="auto"/>
                <w:w w:val="92"/>
                <w:vertAlign w:val="superscript"/>
              </w:rPr>
              <w:t>(6)</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 (10.0%)</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18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AFFO(4) multiple</w:t>
            </w:r>
          </w:p>
        </w:tc>
        <w:tc>
          <w:tcPr>
            <w:tcW w:w="19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23.03 - 36.28x</w:t>
            </w: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80" w:type="dxa"/>
            <w:vAlign w:val="bottom"/>
            <w:gridSpan w:val="2"/>
            <w:vMerge w:val="continue"/>
            <w:shd w:val="clear" w:color="auto" w:fill="CCEEFF"/>
          </w:tcPr>
          <w:p>
            <w:pPr>
              <w:spacing w:after="0"/>
              <w:rPr>
                <w:sz w:val="20"/>
                <w:szCs w:val="20"/>
                <w:color w:val="auto"/>
              </w:rPr>
            </w:pPr>
          </w:p>
        </w:tc>
        <w:tc>
          <w:tcPr>
            <w:tcW w:w="1880" w:type="dxa"/>
            <w:vAlign w:val="bottom"/>
            <w:gridSpan w:val="2"/>
            <w:vMerge w:val="continue"/>
            <w:shd w:val="clear" w:color="auto" w:fill="CCEEFF"/>
          </w:tcPr>
          <w:p>
            <w:pPr>
              <w:spacing w:after="0"/>
              <w:rPr>
                <w:sz w:val="20"/>
                <w:szCs w:val="20"/>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(23.03x)</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Financing Risk</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 (10.0%)</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1"/>
                <w:szCs w:val="2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163,801,798</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0.53x - 9.62x (6.63x)</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 (15.0%)</w:t>
            </w:r>
          </w:p>
        </w:tc>
        <w:tc>
          <w:tcPr>
            <w:tcW w:w="0" w:type="dxa"/>
            <w:vAlign w:val="bottom"/>
          </w:tcPr>
          <w:p>
            <w:pPr>
              <w:spacing w:after="0"/>
              <w:rPr>
                <w:sz w:val="1"/>
                <w:szCs w:val="1"/>
                <w:color w:val="auto"/>
              </w:rPr>
            </w:pPr>
          </w:p>
        </w:tc>
      </w:tr>
      <w:tr>
        <w:trPr>
          <w:trHeight w:val="243"/>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Preferred stock in private companies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1.05x - 9.62x (3.04x)</w:t>
            </w:r>
          </w:p>
        </w:tc>
        <w:tc>
          <w:tcPr>
            <w:tcW w:w="0" w:type="dxa"/>
            <w:vAlign w:val="bottom"/>
          </w:tcPr>
          <w:p>
            <w:pPr>
              <w:spacing w:after="0"/>
              <w:rPr>
                <w:sz w:val="1"/>
                <w:szCs w:val="1"/>
                <w:color w:val="auto"/>
              </w:rPr>
            </w:pPr>
          </w:p>
        </w:tc>
      </w:tr>
      <w:tr>
        <w:trPr>
          <w:trHeight w:val="283"/>
        </w:trPr>
        <w:tc>
          <w:tcPr>
            <w:tcW w:w="2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80" w:type="dxa"/>
            <w:vAlign w:val="bottom"/>
            <w:gridSpan w:val="2"/>
            <w:shd w:val="clear" w:color="auto" w:fill="CCEEFF"/>
          </w:tcPr>
          <w:p>
            <w:pPr>
              <w:jc w:val="center"/>
              <w:ind w:right="200"/>
              <w:spacing w:after="0" w:line="284"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1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DLOM</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 (10.0%)</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Financing Risk</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(10.0%)</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Debt investments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3,011,438</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1.74x - 2.91x (1.95x)</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Term to expiration</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4,959,112</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Option pricing model</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(Years)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0.17 - 6.61 (3.08)</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Volatility</w:t>
            </w:r>
          </w:p>
        </w:tc>
        <w:tc>
          <w:tcPr>
            <w:tcW w:w="19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37.7% - 56.5%</w:t>
            </w: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80" w:type="dxa"/>
            <w:vAlign w:val="bottom"/>
            <w:gridSpan w:val="2"/>
            <w:vMerge w:val="continue"/>
            <w:shd w:val="clear" w:color="auto" w:fill="CCEEFF"/>
          </w:tcPr>
          <w:p>
            <w:pPr>
              <w:spacing w:after="0"/>
              <w:rPr>
                <w:sz w:val="20"/>
                <w:szCs w:val="20"/>
                <w:color w:val="auto"/>
              </w:rPr>
            </w:pPr>
          </w:p>
        </w:tc>
        <w:tc>
          <w:tcPr>
            <w:tcW w:w="1880" w:type="dxa"/>
            <w:vAlign w:val="bottom"/>
            <w:gridSpan w:val="2"/>
            <w:vMerge w:val="continue"/>
            <w:shd w:val="clear" w:color="auto" w:fill="CCEEFF"/>
          </w:tcPr>
          <w:p>
            <w:pPr>
              <w:spacing w:after="0"/>
              <w:rPr>
                <w:sz w:val="20"/>
                <w:szCs w:val="20"/>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 (15.0%)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-1671320</wp:posOffset>
            </wp:positionV>
            <wp:extent cx="7132320" cy="797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797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720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720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Company used a hybrid market and income approach to value certain common and preferred stock investments as the Company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p>
    <w:p>
      <w:pPr>
        <w:spacing w:after="0" w:line="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Funds From Operations, or “AFFO”</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or “DLOM”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nine months ended September 30, 2022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9"/>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700"/>
              <w:spacing w:after="0" w:line="19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0" w:type="dxa"/>
            <w:vAlign w:val="bottom"/>
          </w:tcPr>
          <w:p>
            <w:pPr>
              <w:spacing w:after="0"/>
              <w:rPr>
                <w:sz w:val="21"/>
                <w:szCs w:val="21"/>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42,860,156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163,801,798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3,011,438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4,959,112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214,632,504</w:t>
            </w:r>
          </w:p>
        </w:tc>
      </w:tr>
      <w:tr>
        <w:trPr>
          <w:trHeight w:val="257"/>
        </w:trPr>
        <w:tc>
          <w:tcPr>
            <w:tcW w:w="4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(6,918,251)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(1,775,506)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(48,639)</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(8,742,396)</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10,512,790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1,509,093</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503,183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12,525,066</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(874,470)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(1,624,470)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gains/(losses)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160,965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90,586</w:t>
            </w: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(16,377,869)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(57,188,339)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937,753</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(1,896,172)</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(74,524,627)</w:t>
            </w:r>
          </w:p>
        </w:tc>
      </w:tr>
      <w:tr>
        <w:trPr>
          <w:trHeight w:val="256"/>
        </w:trPr>
        <w:tc>
          <w:tcPr>
            <w:tcW w:w="40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as of September 30, 2022</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18,850,531</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115,350,743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4,708,284</w:t>
            </w:r>
          </w:p>
        </w:tc>
        <w:tc>
          <w:tcPr>
            <w:tcW w:w="3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3,447,105</w:t>
            </w:r>
          </w:p>
        </w:tc>
        <w:tc>
          <w:tcPr>
            <w:tcW w:w="3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142,356,663</w:t>
            </w:r>
          </w:p>
        </w:tc>
        <w:tc>
          <w:tcPr>
            <w:tcW w:w="100" w:type="dxa"/>
            <w:vAlign w:val="bottom"/>
            <w:tcBorders>
              <w:top w:val="single" w:sz="8" w:color="CCEEFF"/>
              <w:bottom w:val="single" w:sz="8" w:color="CCEEFF"/>
            </w:tcBorders>
          </w:tcPr>
          <w:p>
            <w:pPr>
              <w:spacing w:after="0"/>
              <w:rPr>
                <w:sz w:val="22"/>
                <w:szCs w:val="22"/>
                <w:color w:val="auto"/>
              </w:rPr>
            </w:pPr>
          </w:p>
        </w:tc>
      </w:tr>
      <w:tr>
        <w:trPr>
          <w:trHeight w:val="151"/>
        </w:trPr>
        <w:tc>
          <w:tcPr>
            <w:tcW w:w="40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change in unrealized appreciation/ (depreciation)</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Level 3 investments still held as of September 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(6,865,565)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(54,747,097)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937,754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(1,646,717)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(62,321,625)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2022, the Company’s portfolio investments had the following corporate actions which are reflected above: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to</w:t>
            </w:r>
          </w:p>
        </w:tc>
        <w:tc>
          <w:tcPr>
            <w:tcW w:w="0" w:type="dxa"/>
            <w:vAlign w:val="bottom"/>
          </w:tcPr>
          <w:p>
            <w:pPr>
              <w:spacing w:after="0"/>
              <w:rPr>
                <w:sz w:val="1"/>
                <w:szCs w:val="1"/>
                <w:color w:val="auto"/>
              </w:rPr>
            </w:pPr>
          </w:p>
        </w:tc>
      </w:tr>
      <w:tr>
        <w:trPr>
          <w:trHeight w:val="198"/>
        </w:trPr>
        <w:tc>
          <w:tcPr>
            <w:tcW w:w="3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Shares, Class AA</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Public Common shares (Level 2)</w:t>
            </w:r>
          </w:p>
        </w:tc>
        <w:tc>
          <w:tcPr>
            <w:tcW w:w="0" w:type="dxa"/>
            <w:vAlign w:val="bottom"/>
          </w:tcPr>
          <w:p>
            <w:pPr>
              <w:spacing w:after="0"/>
              <w:rPr>
                <w:sz w:val="1"/>
                <w:szCs w:val="1"/>
                <w:color w:val="auto"/>
              </w:rPr>
            </w:pPr>
          </w:p>
        </w:tc>
      </w:tr>
      <w:tr>
        <w:trPr>
          <w:trHeight w:val="108"/>
        </w:trPr>
        <w:tc>
          <w:tcPr>
            <w:tcW w:w="3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Junior Preferred Shares</w:t>
            </w:r>
          </w:p>
        </w:tc>
        <w:tc>
          <w:tcPr>
            <w:tcW w:w="3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3800" w:type="dxa"/>
            <w:vAlign w:val="bottom"/>
            <w:gridSpan w:val="2"/>
            <w:vMerge w:val="continue"/>
            <w:shd w:val="clear" w:color="auto" w:fill="CCEEFF"/>
          </w:tcPr>
          <w:p>
            <w:pPr>
              <w:spacing w:after="0"/>
              <w:rPr>
                <w:sz w:val="9"/>
                <w:szCs w:val="9"/>
                <w:color w:val="auto"/>
              </w:rPr>
            </w:pPr>
          </w:p>
        </w:tc>
        <w:tc>
          <w:tcPr>
            <w:tcW w:w="3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warrants, Strike Price $3.98, Expiration</w:t>
            </w:r>
          </w:p>
        </w:tc>
        <w:tc>
          <w:tcPr>
            <w:tcW w:w="0" w:type="dxa"/>
            <w:vAlign w:val="bottom"/>
          </w:tcPr>
          <w:p>
            <w:pPr>
              <w:spacing w:after="0"/>
              <w:rPr>
                <w:sz w:val="1"/>
                <w:szCs w:val="1"/>
                <w:color w:val="auto"/>
              </w:rPr>
            </w:pPr>
          </w:p>
        </w:tc>
      </w:tr>
      <w:tr>
        <w:trPr>
          <w:trHeight w:val="108"/>
        </w:trPr>
        <w:tc>
          <w:tcPr>
            <w:tcW w:w="3840" w:type="dxa"/>
            <w:vAlign w:val="bottom"/>
            <w:gridSpan w:val="2"/>
            <w:vMerge w:val="continue"/>
            <w:shd w:val="clear" w:color="auto" w:fill="CCEEFF"/>
          </w:tcPr>
          <w:p>
            <w:pPr>
              <w:spacing w:after="0"/>
              <w:rPr>
                <w:sz w:val="9"/>
                <w:szCs w:val="9"/>
                <w:color w:val="auto"/>
              </w:rPr>
            </w:pPr>
          </w:p>
        </w:tc>
        <w:tc>
          <w:tcPr>
            <w:tcW w:w="38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Junior Preferred Warrants, Strike Price $12.42,</w:t>
            </w:r>
          </w:p>
        </w:tc>
        <w:tc>
          <w:tcPr>
            <w:tcW w:w="3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0" w:type="dxa"/>
            <w:vAlign w:val="bottom"/>
            <w:gridSpan w:val="2"/>
            <w:vMerge w:val="continue"/>
            <w:shd w:val="clear" w:color="auto" w:fill="CCEEFF"/>
          </w:tcPr>
          <w:p>
            <w:pPr>
              <w:spacing w:after="0"/>
              <w:rPr>
                <w:sz w:val="9"/>
                <w:szCs w:val="9"/>
                <w:color w:val="auto"/>
              </w:rPr>
            </w:pPr>
          </w:p>
        </w:tc>
        <w:tc>
          <w:tcPr>
            <w:tcW w:w="3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Date 11/9/2025 (Level 2)</w:t>
            </w:r>
          </w:p>
        </w:tc>
        <w:tc>
          <w:tcPr>
            <w:tcW w:w="0" w:type="dxa"/>
            <w:vAlign w:val="bottom"/>
          </w:tcPr>
          <w:p>
            <w:pPr>
              <w:spacing w:after="0"/>
              <w:rPr>
                <w:sz w:val="1"/>
                <w:szCs w:val="1"/>
                <w:color w:val="auto"/>
              </w:rPr>
            </w:pPr>
          </w:p>
        </w:tc>
      </w:tr>
      <w:tr>
        <w:trPr>
          <w:trHeight w:val="126"/>
        </w:trPr>
        <w:tc>
          <w:tcPr>
            <w:tcW w:w="3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Expiration Date 11/9/2025</w:t>
            </w:r>
          </w:p>
        </w:tc>
        <w:tc>
          <w:tcPr>
            <w:tcW w:w="36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0" w:type="dxa"/>
            <w:vAlign w:val="bottom"/>
            <w:gridSpan w:val="2"/>
            <w:vMerge w:val="continue"/>
            <w:shd w:val="clear" w:color="auto" w:fill="CCEEFF"/>
          </w:tcPr>
          <w:p>
            <w:pPr>
              <w:spacing w:after="0"/>
              <w:rPr>
                <w:sz w:val="9"/>
                <w:szCs w:val="9"/>
                <w:color w:val="auto"/>
              </w:rPr>
            </w:pPr>
          </w:p>
        </w:tc>
        <w:tc>
          <w:tcPr>
            <w:tcW w:w="3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1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2021 as follows:</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9"/>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700"/>
              <w:spacing w:after="0" w:line="19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0" w:type="dxa"/>
            <w:vAlign w:val="bottom"/>
          </w:tcPr>
          <w:p>
            <w:pPr>
              <w:spacing w:after="0"/>
              <w:rPr>
                <w:sz w:val="21"/>
                <w:szCs w:val="21"/>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34,190,839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141,235,987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4,845,340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5,872,210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186,144,376</w:t>
            </w:r>
          </w:p>
        </w:tc>
      </w:tr>
      <w:tr>
        <w:trPr>
          <w:trHeight w:val="256"/>
        </w:trPr>
        <w:tc>
          <w:tcPr>
            <w:tcW w:w="4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(31,652,675)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(155,414,652)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(5,211,120)</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(1,619,463)</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(193,897,910)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36,154,823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43,239,463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2,321,752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81,716,038</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(10,646,457)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(2,344,979)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(13,053,111)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gains/(losses)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204,195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5,551,864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88,788</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(103,655)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5,741,192</w:t>
            </w: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4,024,649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139,835,593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5,633,409</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(1,511,732)</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147,981,919</w:t>
            </w:r>
          </w:p>
        </w:tc>
      </w:tr>
      <w:tr>
        <w:trPr>
          <w:trHeight w:val="257"/>
        </w:trPr>
        <w:tc>
          <w:tcPr>
            <w:tcW w:w="40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42,860,156</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163,801,798</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3,011,438</w:t>
            </w:r>
          </w:p>
        </w:tc>
        <w:tc>
          <w:tcPr>
            <w:tcW w:w="3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4,959,112</w:t>
            </w:r>
          </w:p>
        </w:tc>
        <w:tc>
          <w:tcPr>
            <w:tcW w:w="3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214,632,504</w:t>
            </w:r>
          </w:p>
        </w:tc>
        <w:tc>
          <w:tcPr>
            <w:tcW w:w="100" w:type="dxa"/>
            <w:vAlign w:val="bottom"/>
            <w:tcBorders>
              <w:top w:val="single" w:sz="8" w:color="CCEEFF"/>
              <w:bottom w:val="single" w:sz="8" w:color="CCEEFF"/>
            </w:tcBorders>
          </w:tcPr>
          <w:p>
            <w:pPr>
              <w:spacing w:after="0"/>
              <w:rPr>
                <w:sz w:val="22"/>
                <w:szCs w:val="22"/>
                <w:color w:val="auto"/>
              </w:rPr>
            </w:pPr>
          </w:p>
        </w:tc>
      </w:tr>
      <w:tr>
        <w:trPr>
          <w:trHeight w:val="151"/>
        </w:trPr>
        <w:tc>
          <w:tcPr>
            <w:tcW w:w="40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change in unrealized appreciation/ (depreciation)</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Level 3 investments still held as of December 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6,117,069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46,943,434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(586,899)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52,473,604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During the year ended December 31, 2021, the Company’s portfolio investments had the following corporate actions which are reflected above:</w:t>
      </w:r>
    </w:p>
    <w:p>
      <w:pPr>
        <w:sectPr>
          <w:pgSz w:w="11900" w:h="16838" w:orient="portrait"/>
          <w:cols w:equalWidth="0" w:num="1">
            <w:col w:w="11240"/>
          </w:cols>
          <w:pgMar w:left="320" w:top="684" w:right="339" w:bottom="123" w:gutter="0" w:footer="0" w:header="0"/>
        </w:sect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Coursera,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Churchill Capital Corp. II</w:t>
      </w:r>
    </w:p>
    <w:p>
      <w:pPr>
        <w:spacing w:after="0" w:line="27"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color w:val="auto"/>
        </w:rPr>
        <w:t>NewLake Capital Partners, Inc. (f/k/a GreenAcreage Real Estate Corp.)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Place for Rover, Inc. (f/k/a DogVacay, Inc.)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Enjoy Technology,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Nextdoor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19685</wp:posOffset>
            </wp:positionV>
            <wp:extent cx="713232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Preferred shares, Series F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Preferred shares, Series B 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5715</wp:posOffset>
            </wp:positionV>
            <wp:extent cx="71323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Common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Preferred shares, Series B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-119380</wp:posOffset>
            </wp:positionV>
            <wp:extent cx="7132320" cy="548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Preferred shares, Series A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Convertible Promissory Note 14% Due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5715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Preferred shares, Series G</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Conversion to</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Common shares (Level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Skillsoft Corp. Public Common shares (Level 2)</w:t>
      </w:r>
    </w:p>
    <w:p>
      <w:pPr>
        <w:spacing w:after="0" w:line="1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Common shares (Level 2)</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Rover Group, Inc. Public Common shares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(Level 2)</w:t>
      </w:r>
    </w:p>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Common shares (Level 2)</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Common shares (Level 2)</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Common shares (Level 2)</w:t>
      </w:r>
    </w:p>
    <w:p>
      <w:pPr>
        <w:sectPr>
          <w:pgSz w:w="11900" w:h="16838" w:orient="portrait"/>
          <w:cols w:equalWidth="0" w:num="3">
            <w:col w:w="3500" w:space="720"/>
            <w:col w:w="2840" w:space="640"/>
            <w:col w:w="3540"/>
          </w:cols>
          <w:pgMar w:left="320" w:top="684" w:right="339" w:bottom="123" w:gutter="0" w:footer="0" w:header="0"/>
          <w:type w:val="continuous"/>
        </w:sectPr>
      </w:pPr>
    </w:p>
    <w:bookmarkStart w:id="40" w:name="page41"/>
    <w:bookmarkEnd w:id="40"/>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Transactions during the nine months ended September 30, 2022 involving the Company’s controlled investments and non-controlled/affiliate investments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Purchases,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Fees, or</w:t>
            </w:r>
          </w:p>
        </w:tc>
        <w:tc>
          <w:tcPr>
            <w:tcW w:w="1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w:t>
            </w:r>
          </w:p>
        </w:tc>
        <w:tc>
          <w:tcPr>
            <w:tcW w:w="18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Fees,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at</w:t>
            </w:r>
          </w:p>
        </w:tc>
        <w:tc>
          <w:tcPr>
            <w:tcW w:w="80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35"/>
        </w:trPr>
        <w:tc>
          <w:tcPr>
            <w:tcW w:w="222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Type/Industry/Portfolio</w:t>
            </w:r>
          </w:p>
        </w:tc>
        <w:tc>
          <w:tcPr>
            <w:tcW w:w="6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Principal/</w:t>
            </w:r>
          </w:p>
        </w:tc>
        <w:tc>
          <w:tcPr>
            <w:tcW w:w="6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Credited</w:t>
            </w:r>
          </w:p>
        </w:tc>
        <w:tc>
          <w:tcPr>
            <w:tcW w:w="18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Transfer</w:t>
            </w:r>
          </w:p>
        </w:tc>
        <w:tc>
          <w:tcPr>
            <w:tcW w:w="100" w:type="dxa"/>
            <w:vAlign w:val="bottom"/>
          </w:tcPr>
          <w:p>
            <w:pPr>
              <w:spacing w:after="0"/>
              <w:rPr>
                <w:sz w:val="11"/>
                <w:szCs w:val="11"/>
                <w:color w:val="auto"/>
              </w:rPr>
            </w:pPr>
          </w:p>
        </w:tc>
        <w:tc>
          <w:tcPr>
            <w:tcW w:w="8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and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00" w:type="dxa"/>
            <w:vAlign w:val="bottom"/>
          </w:tcPr>
          <w:p>
            <w:pPr>
              <w:spacing w:after="0"/>
              <w:rPr>
                <w:sz w:val="11"/>
                <w:szCs w:val="11"/>
                <w:color w:val="auto"/>
              </w:rPr>
            </w:pPr>
          </w:p>
        </w:tc>
        <w:tc>
          <w:tcPr>
            <w:tcW w:w="8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September</w:t>
            </w:r>
          </w:p>
        </w:tc>
        <w:tc>
          <w:tcPr>
            <w:tcW w:w="800" w:type="dxa"/>
            <w:vAlign w:val="bottom"/>
            <w:gridSpan w:val="2"/>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of Net</w:t>
            </w:r>
          </w:p>
        </w:tc>
        <w:tc>
          <w:tcPr>
            <w:tcW w:w="0" w:type="dxa"/>
            <w:vAlign w:val="bottom"/>
          </w:tcPr>
          <w:p>
            <w:pPr>
              <w:spacing w:after="0"/>
              <w:rPr>
                <w:sz w:val="1"/>
                <w:szCs w:val="1"/>
                <w:color w:val="auto"/>
              </w:rPr>
            </w:pPr>
          </w:p>
        </w:tc>
      </w:tr>
      <w:tr>
        <w:trPr>
          <w:trHeight w:val="162"/>
        </w:trPr>
        <w:tc>
          <w:tcPr>
            <w:tcW w:w="222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p>
        </w:tc>
        <w:tc>
          <w:tcPr>
            <w:tcW w:w="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Quantity</w:t>
            </w:r>
          </w:p>
        </w:tc>
        <w:tc>
          <w:tcPr>
            <w:tcW w:w="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 Income</w:t>
            </w:r>
          </w:p>
        </w:tc>
        <w:tc>
          <w:tcPr>
            <w:tcW w:w="18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31, 2021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(Out)</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102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Gains/(Losses)</w:t>
            </w:r>
          </w:p>
        </w:tc>
        <w:tc>
          <w:tcPr>
            <w:tcW w:w="10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Gains/(Losses)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30, 2022</w:t>
            </w:r>
          </w:p>
        </w:tc>
        <w:tc>
          <w:tcPr>
            <w:tcW w:w="220" w:type="dxa"/>
            <w:vAlign w:val="bottom"/>
          </w:tcPr>
          <w:p>
            <w:pPr>
              <w:spacing w:after="0"/>
              <w:rPr>
                <w:sz w:val="14"/>
                <w:szCs w:val="14"/>
                <w:color w:val="auto"/>
              </w:rPr>
            </w:pPr>
          </w:p>
        </w:tc>
        <w:tc>
          <w:tcPr>
            <w:tcW w:w="80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08"/>
        </w:trPr>
        <w:tc>
          <w:tcPr>
            <w:tcW w:w="192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6"/>
              </w:rPr>
              <w:t>CONTROLLED INVESTMENTS*</w:t>
            </w:r>
          </w:p>
        </w:tc>
        <w:tc>
          <w:tcPr>
            <w:tcW w:w="120" w:type="dxa"/>
            <w:vAlign w:val="bottom"/>
            <w:tcBorders>
              <w:top w:val="single" w:sz="8" w:color="auto"/>
              <w:bottom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85"/>
              </w:rPr>
              <w:t>(2)</w:t>
            </w:r>
          </w:p>
        </w:tc>
        <w:tc>
          <w:tcPr>
            <w:tcW w:w="8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920" w:type="dxa"/>
            <w:vAlign w:val="bottom"/>
            <w:tcBorders>
              <w:bottom w:val="single" w:sz="8" w:color="auto"/>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right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20" w:type="dxa"/>
            <w:vAlign w:val="bottom"/>
            <w:gridSpan w:val="7"/>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Options</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20" w:type="dxa"/>
            <w:vAlign w:val="bottom"/>
            <w:gridSpan w:val="7"/>
            <w:shd w:val="clear" w:color="auto" w:fill="CCEEFF"/>
          </w:tcPr>
          <w:p>
            <w:pPr>
              <w:ind w:left="180"/>
              <w:spacing w:after="0" w:line="115" w:lineRule="exact"/>
              <w:rPr>
                <w:sz w:val="20"/>
                <w:szCs w:val="20"/>
                <w:color w:val="auto"/>
              </w:rPr>
            </w:pPr>
            <w:r>
              <w:rPr>
                <w:rFonts w:ascii="Times New Roman" w:cs="Times New Roman" w:eastAsia="Times New Roman" w:hAnsi="Times New Roman"/>
                <w:sz w:val="13"/>
                <w:szCs w:val="13"/>
                <w:i w:val="1"/>
                <w:iCs w:val="1"/>
                <w:color w:val="auto"/>
              </w:rPr>
              <w:t>Special Purpose Acquisition</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2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Company</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220" w:type="dxa"/>
            <w:vAlign w:val="bottom"/>
            <w:gridSpan w:val="7"/>
          </w:tcPr>
          <w:p>
            <w:pPr>
              <w:ind w:left="360"/>
              <w:spacing w:after="0" w:line="124" w:lineRule="exact"/>
              <w:rPr>
                <w:sz w:val="20"/>
                <w:szCs w:val="20"/>
                <w:color w:val="auto"/>
              </w:rPr>
            </w:pPr>
            <w:r>
              <w:rPr>
                <w:rFonts w:ascii="Times New Roman" w:cs="Times New Roman" w:eastAsia="Times New Roman" w:hAnsi="Times New Roman"/>
                <w:sz w:val="13"/>
                <w:szCs w:val="13"/>
                <w:color w:val="auto"/>
              </w:rPr>
              <w:t>Colombier Sponsor LLC**–Class</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20" w:type="dxa"/>
            <w:vAlign w:val="bottom"/>
            <w:gridSpan w:val="7"/>
          </w:tcPr>
          <w:p>
            <w:pPr>
              <w:ind w:left="360"/>
              <w:spacing w:after="0" w:line="186" w:lineRule="exact"/>
              <w:rPr>
                <w:sz w:val="20"/>
                <w:szCs w:val="20"/>
                <w:color w:val="auto"/>
              </w:rPr>
            </w:pPr>
            <w:r>
              <w:rPr>
                <w:rFonts w:ascii="Times New Roman" w:cs="Times New Roman" w:eastAsia="Times New Roman" w:hAnsi="Times New Roman"/>
                <w:sz w:val="13"/>
                <w:szCs w:val="13"/>
                <w:color w:val="auto"/>
              </w:rPr>
              <w:t>W Units</w:t>
            </w:r>
            <w:r>
              <w:rPr>
                <w:rFonts w:ascii="Times New Roman" w:cs="Times New Roman" w:eastAsia="Times New Roman" w:hAnsi="Times New Roman"/>
                <w:sz w:val="20"/>
                <w:szCs w:val="20"/>
                <w:color w:val="auto"/>
                <w:vertAlign w:val="superscript"/>
              </w:rPr>
              <w:t>(7)</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2,700,000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1,157,487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1,157,487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Options</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1,157,487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1,157,487</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0.52%</w:t>
            </w:r>
          </w:p>
        </w:tc>
        <w:tc>
          <w:tcPr>
            <w:tcW w:w="0" w:type="dxa"/>
            <w:vAlign w:val="bottom"/>
          </w:tcPr>
          <w:p>
            <w:pPr>
              <w:spacing w:after="0"/>
              <w:rPr>
                <w:sz w:val="1"/>
                <w:szCs w:val="1"/>
                <w:color w:val="auto"/>
              </w:rPr>
            </w:pPr>
          </w:p>
        </w:tc>
      </w:tr>
      <w:tr>
        <w:trPr>
          <w:trHeight w:val="135"/>
        </w:trPr>
        <w:tc>
          <w:tcPr>
            <w:tcW w:w="222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Clean Technology</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2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SPBRX, INC. (f/k/a GSV</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20" w:type="dxa"/>
            <w:vAlign w:val="bottom"/>
            <w:gridSpan w:val="7"/>
          </w:tcPr>
          <w:p>
            <w:pPr>
              <w:ind w:left="360"/>
              <w:spacing w:after="0" w:line="143" w:lineRule="exact"/>
              <w:rPr>
                <w:sz w:val="20"/>
                <w:szCs w:val="20"/>
                <w:color w:val="auto"/>
              </w:rPr>
            </w:pPr>
            <w:r>
              <w:rPr>
                <w:rFonts w:ascii="Times New Roman" w:cs="Times New Roman" w:eastAsia="Times New Roman" w:hAnsi="Times New Roman"/>
                <w:sz w:val="13"/>
                <w:szCs w:val="13"/>
                <w:color w:val="auto"/>
              </w:rPr>
              <w:t>Sustainability Partners, Inc.)–</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20" w:type="dxa"/>
            <w:vAlign w:val="bottom"/>
            <w:gridSpan w:val="7"/>
          </w:tcPr>
          <w:p>
            <w:pPr>
              <w:ind w:left="360"/>
              <w:spacing w:after="0" w:line="186" w:lineRule="exact"/>
              <w:rPr>
                <w:sz w:val="20"/>
                <w:szCs w:val="20"/>
                <w:color w:val="auto"/>
              </w:rPr>
            </w:pPr>
            <w:r>
              <w:rPr>
                <w:rFonts w:ascii="Times New Roman" w:cs="Times New Roman" w:eastAsia="Times New Roman" w:hAnsi="Times New Roman"/>
                <w:sz w:val="13"/>
                <w:szCs w:val="13"/>
                <w:color w:val="auto"/>
              </w:rPr>
              <w:t>Preferred shares, Class A</w:t>
            </w:r>
            <w:r>
              <w:rPr>
                <w:rFonts w:ascii="Times New Roman" w:cs="Times New Roman" w:eastAsia="Times New Roman" w:hAnsi="Times New Roman"/>
                <w:sz w:val="20"/>
                <w:szCs w:val="20"/>
                <w:color w:val="auto"/>
                <w:vertAlign w:val="superscript"/>
              </w:rPr>
              <w:t>(4)</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14,300,000</w:t>
            </w:r>
          </w:p>
        </w:tc>
        <w:tc>
          <w:tcPr>
            <w:tcW w:w="6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1,047,033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(61,528)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985,505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0.44%</w:t>
            </w: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Preferred Stock</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1,047,033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(61,528)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985,505</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0.44%</w:t>
            </w:r>
          </w:p>
        </w:tc>
        <w:tc>
          <w:tcPr>
            <w:tcW w:w="0" w:type="dxa"/>
            <w:vAlign w:val="bottom"/>
          </w:tcPr>
          <w:p>
            <w:pPr>
              <w:spacing w:after="0"/>
              <w:rPr>
                <w:sz w:val="1"/>
                <w:szCs w:val="1"/>
                <w:color w:val="auto"/>
              </w:rPr>
            </w:pPr>
          </w:p>
        </w:tc>
      </w:tr>
      <w:tr>
        <w:trPr>
          <w:trHeight w:val="135"/>
        </w:trPr>
        <w:tc>
          <w:tcPr>
            <w:tcW w:w="222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Clean Technology</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2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SPBRX, INC. (f/k/a GSV</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gridSpan w:val="7"/>
          </w:tcPr>
          <w:p>
            <w:pPr>
              <w:ind w:left="360"/>
              <w:spacing w:after="0" w:line="135" w:lineRule="exact"/>
              <w:rPr>
                <w:sz w:val="20"/>
                <w:szCs w:val="20"/>
                <w:color w:val="auto"/>
              </w:rPr>
            </w:pPr>
            <w:r>
              <w:rPr>
                <w:rFonts w:ascii="Times New Roman" w:cs="Times New Roman" w:eastAsia="Times New Roman" w:hAnsi="Times New Roman"/>
                <w:sz w:val="13"/>
                <w:szCs w:val="13"/>
                <w:color w:val="auto"/>
              </w:rPr>
              <w:t>Sustainability Partners, Inc.)–</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Common shares</w:t>
            </w: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100,000</w:t>
            </w:r>
          </w:p>
        </w:tc>
        <w:tc>
          <w:tcPr>
            <w:tcW w:w="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Mobile Finance Technology</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2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Architect Capital PayJoy SPV,</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20" w:type="dxa"/>
            <w:vAlign w:val="bottom"/>
            <w:gridSpan w:val="7"/>
          </w:tcPr>
          <w:p>
            <w:pPr>
              <w:ind w:left="360"/>
              <w:spacing w:after="0" w:line="143" w:lineRule="exact"/>
              <w:rPr>
                <w:sz w:val="20"/>
                <w:szCs w:val="20"/>
                <w:color w:val="auto"/>
              </w:rPr>
            </w:pPr>
            <w:r>
              <w:rPr>
                <w:rFonts w:ascii="Times New Roman" w:cs="Times New Roman" w:eastAsia="Times New Roman" w:hAnsi="Times New Roman"/>
                <w:sz w:val="13"/>
                <w:szCs w:val="13"/>
                <w:color w:val="auto"/>
              </w:rPr>
              <w:t>LLC**–Membership Interest in</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20" w:type="dxa"/>
            <w:vAlign w:val="bottom"/>
            <w:gridSpan w:val="7"/>
          </w:tcPr>
          <w:p>
            <w:pPr>
              <w:ind w:left="360"/>
              <w:spacing w:after="0" w:line="186" w:lineRule="exact"/>
              <w:rPr>
                <w:sz w:val="20"/>
                <w:szCs w:val="20"/>
                <w:color w:val="auto"/>
              </w:rPr>
            </w:pPr>
            <w:r>
              <w:rPr>
                <w:rFonts w:ascii="Times New Roman" w:cs="Times New Roman" w:eastAsia="Times New Roman" w:hAnsi="Times New Roman"/>
                <w:sz w:val="13"/>
                <w:szCs w:val="13"/>
                <w:color w:val="auto"/>
              </w:rPr>
              <w:t>Lending SPV***</w:t>
            </w:r>
            <w:r>
              <w:rPr>
                <w:rFonts w:ascii="Times New Roman" w:cs="Times New Roman" w:eastAsia="Times New Roman" w:hAnsi="Times New Roman"/>
                <w:sz w:val="20"/>
                <w:szCs w:val="20"/>
                <w:color w:val="auto"/>
                <w:vertAlign w:val="superscript"/>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10,000,000</w:t>
            </w:r>
          </w:p>
        </w:tc>
        <w:tc>
          <w:tcPr>
            <w:tcW w:w="6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1,225,000</w:t>
            </w:r>
          </w:p>
        </w:tc>
        <w:tc>
          <w:tcPr>
            <w:tcW w:w="1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10,000,000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5"/>
              </w:rPr>
              <w:t>10,000,000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0" w:type="dxa"/>
            <w:vAlign w:val="bottom"/>
          </w:tcPr>
          <w:p>
            <w:pPr>
              <w:spacing w:after="0"/>
              <w:rPr>
                <w:sz w:val="1"/>
                <w:szCs w:val="1"/>
                <w:color w:val="auto"/>
              </w:rPr>
            </w:pPr>
          </w:p>
        </w:tc>
      </w:tr>
      <w:tr>
        <w:trPr>
          <w:trHeight w:val="115"/>
        </w:trPr>
        <w:tc>
          <w:tcPr>
            <w:tcW w:w="2220" w:type="dxa"/>
            <w:vAlign w:val="bottom"/>
            <w:gridSpan w:val="7"/>
            <w:shd w:val="clear" w:color="auto" w:fill="CCEEFF"/>
          </w:tcPr>
          <w:p>
            <w:pPr>
              <w:ind w:left="180"/>
              <w:spacing w:after="0" w:line="115" w:lineRule="exact"/>
              <w:rPr>
                <w:sz w:val="20"/>
                <w:szCs w:val="20"/>
                <w:color w:val="auto"/>
              </w:rPr>
            </w:pPr>
            <w:r>
              <w:rPr>
                <w:rFonts w:ascii="Times New Roman" w:cs="Times New Roman" w:eastAsia="Times New Roman" w:hAnsi="Times New Roman"/>
                <w:sz w:val="13"/>
                <w:szCs w:val="13"/>
                <w:i w:val="1"/>
                <w:iCs w:val="1"/>
                <w:color w:val="auto"/>
              </w:rPr>
              <w:t>Special Purpose Acquisition</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2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Company</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220" w:type="dxa"/>
            <w:vAlign w:val="bottom"/>
            <w:gridSpan w:val="7"/>
          </w:tcPr>
          <w:p>
            <w:pPr>
              <w:ind w:left="360"/>
              <w:spacing w:after="0" w:line="124" w:lineRule="exact"/>
              <w:rPr>
                <w:sz w:val="20"/>
                <w:szCs w:val="20"/>
                <w:color w:val="auto"/>
              </w:rPr>
            </w:pPr>
            <w:r>
              <w:rPr>
                <w:rFonts w:ascii="Times New Roman" w:cs="Times New Roman" w:eastAsia="Times New Roman" w:hAnsi="Times New Roman"/>
                <w:sz w:val="13"/>
                <w:szCs w:val="13"/>
                <w:color w:val="auto"/>
              </w:rPr>
              <w:t>Colombier Sponsor LLC**–Class</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20" w:type="dxa"/>
            <w:vAlign w:val="bottom"/>
            <w:gridSpan w:val="7"/>
          </w:tcPr>
          <w:p>
            <w:pPr>
              <w:ind w:left="360"/>
              <w:spacing w:after="0" w:line="186" w:lineRule="exact"/>
              <w:rPr>
                <w:sz w:val="20"/>
                <w:szCs w:val="20"/>
                <w:color w:val="auto"/>
              </w:rPr>
            </w:pPr>
            <w:r>
              <w:rPr>
                <w:rFonts w:ascii="Times New Roman" w:cs="Times New Roman" w:eastAsia="Times New Roman" w:hAnsi="Times New Roman"/>
                <w:sz w:val="13"/>
                <w:szCs w:val="13"/>
                <w:color w:val="auto"/>
              </w:rPr>
              <w:t>B Units</w:t>
            </w:r>
            <w:r>
              <w:rPr>
                <w:rFonts w:ascii="Times New Roman" w:cs="Times New Roman" w:eastAsia="Times New Roman" w:hAnsi="Times New Roman"/>
                <w:sz w:val="20"/>
                <w:szCs w:val="20"/>
                <w:color w:val="auto"/>
                <w:vertAlign w:val="superscript"/>
              </w:rPr>
              <w:t>(7)</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1,976,033</w:t>
            </w:r>
          </w:p>
        </w:tc>
        <w:tc>
          <w:tcPr>
            <w:tcW w:w="6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1,554,354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1,554,354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0" w:type="dxa"/>
            <w:vAlign w:val="bottom"/>
          </w:tcPr>
          <w:p>
            <w:pPr>
              <w:spacing w:after="0"/>
              <w:rPr>
                <w:sz w:val="1"/>
                <w:szCs w:val="1"/>
                <w:color w:val="auto"/>
              </w:rPr>
            </w:pPr>
          </w:p>
        </w:tc>
      </w:tr>
      <w:tr>
        <w:trPr>
          <w:trHeight w:val="168"/>
        </w:trPr>
        <w:tc>
          <w:tcPr>
            <w:tcW w:w="22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Common Stock</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1,225,000</w:t>
            </w:r>
          </w:p>
        </w:tc>
        <w:tc>
          <w:tcPr>
            <w:tcW w:w="18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9"/>
              </w:rPr>
              <w:t>11,554,354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5"/>
              </w:rPr>
              <w:t>11,554,354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0" w:type="dxa"/>
            <w:vAlign w:val="bottom"/>
          </w:tcPr>
          <w:p>
            <w:pPr>
              <w:spacing w:after="0"/>
              <w:rPr>
                <w:sz w:val="1"/>
                <w:szCs w:val="1"/>
                <w:color w:val="auto"/>
              </w:rPr>
            </w:pPr>
          </w:p>
        </w:tc>
      </w:tr>
      <w:tr>
        <w:trPr>
          <w:trHeight w:val="96"/>
        </w:trPr>
        <w:tc>
          <w:tcPr>
            <w:tcW w:w="2220" w:type="dxa"/>
            <w:vAlign w:val="bottom"/>
            <w:tcBorders>
              <w:top w:val="single" w:sz="8" w:color="CCEEFF"/>
            </w:tcBorders>
            <w:gridSpan w:val="7"/>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TOTAL CONTROLLED</w:t>
            </w:r>
          </w:p>
        </w:tc>
        <w:tc>
          <w:tcPr>
            <w:tcW w:w="6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220" w:type="dxa"/>
            <w:vAlign w:val="bottom"/>
            <w:gridSpan w:val="7"/>
          </w:tcPr>
          <w:p>
            <w:pPr>
              <w:spacing w:after="0" w:line="188" w:lineRule="exact"/>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20"/>
                <w:szCs w:val="20"/>
                <w:b w:val="1"/>
                <w:bCs w:val="1"/>
                <w:color w:val="auto"/>
                <w:vertAlign w:val="superscript"/>
              </w:rPr>
              <w:t>(2)</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1,225,000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13,758,874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(61,528)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5"/>
              </w:rPr>
              <w:t>13,697,346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6.18%</w:t>
            </w:r>
          </w:p>
        </w:tc>
        <w:tc>
          <w:tcPr>
            <w:tcW w:w="0" w:type="dxa"/>
            <w:vAlign w:val="bottom"/>
          </w:tcPr>
          <w:p>
            <w:pPr>
              <w:spacing w:after="0"/>
              <w:rPr>
                <w:sz w:val="1"/>
                <w:szCs w:val="1"/>
                <w:color w:val="auto"/>
              </w:rPr>
            </w:pPr>
          </w:p>
        </w:tc>
      </w:tr>
      <w:tr>
        <w:trPr>
          <w:trHeight w:val="122"/>
        </w:trPr>
        <w:tc>
          <w:tcPr>
            <w:tcW w:w="2220" w:type="dxa"/>
            <w:vAlign w:val="bottom"/>
            <w:gridSpan w:val="7"/>
            <w:shd w:val="clear" w:color="auto" w:fill="CCEEFF"/>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NON-CONTROLLED/AFFILIATE</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8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4"/>
              </w:rPr>
              <w:t>INVESTMENTS*</w:t>
            </w:r>
          </w:p>
        </w:tc>
        <w:tc>
          <w:tcPr>
            <w:tcW w:w="1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85"/>
              </w:rPr>
              <w:t>(1)</w:t>
            </w:r>
          </w:p>
        </w:tc>
        <w:tc>
          <w:tcPr>
            <w:tcW w:w="840" w:type="dxa"/>
            <w:vAlign w:val="bottom"/>
            <w:tcBorders>
              <w:top w:val="single" w:sz="8" w:color="auto"/>
              <w:bottom w:val="single" w:sz="8" w:color="auto"/>
            </w:tcBorders>
            <w:gridSpan w:val="2"/>
            <w:vMerge w:val="restart"/>
            <w:shd w:val="clear" w:color="auto" w:fill="CCEEFF"/>
          </w:tcPr>
          <w:p>
            <w:pPr>
              <w:spacing w:after="0"/>
              <w:rPr>
                <w:sz w:val="8"/>
                <w:szCs w:val="8"/>
                <w:color w:val="auto"/>
              </w:rPr>
            </w:pPr>
          </w:p>
        </w:tc>
        <w:tc>
          <w:tcPr>
            <w:tcW w:w="280" w:type="dxa"/>
            <w:vAlign w:val="bottom"/>
            <w:tcBorders>
              <w:top w:val="single" w:sz="8" w:color="CCEEFF"/>
              <w:bottom w:val="single" w:sz="8" w:color="CCEEFF"/>
            </w:tcBorders>
            <w:gridSpan w:val="3"/>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6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6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8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7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66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980" w:type="dxa"/>
            <w:vAlign w:val="bottom"/>
            <w:tcBorders>
              <w:bottom w:val="single" w:sz="8" w:color="auto"/>
            </w:tcBorders>
            <w:vMerge w:val="continue"/>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4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right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20" w:type="dxa"/>
            <w:vAlign w:val="bottom"/>
            <w:gridSpan w:val="7"/>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Global Innovation Platform</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2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OneValley, Inc. (f/k/a NestGSV,</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20" w:type="dxa"/>
            <w:vAlign w:val="bottom"/>
            <w:gridSpan w:val="7"/>
          </w:tcPr>
          <w:p>
            <w:pPr>
              <w:ind w:left="360"/>
              <w:spacing w:after="0" w:line="143" w:lineRule="exact"/>
              <w:rPr>
                <w:sz w:val="20"/>
                <w:szCs w:val="20"/>
                <w:color w:val="auto"/>
              </w:rPr>
            </w:pPr>
            <w:r>
              <w:rPr>
                <w:rFonts w:ascii="Times New Roman" w:cs="Times New Roman" w:eastAsia="Times New Roman" w:hAnsi="Times New Roman"/>
                <w:sz w:val="13"/>
                <w:szCs w:val="13"/>
                <w:color w:val="auto"/>
              </w:rPr>
              <w:t>Inc.) –Convertible Promissory</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20" w:type="dxa"/>
            <w:vAlign w:val="bottom"/>
            <w:gridSpan w:val="7"/>
          </w:tcPr>
          <w:p>
            <w:pPr>
              <w:ind w:left="360"/>
              <w:spacing w:after="0" w:line="186" w:lineRule="exact"/>
              <w:rPr>
                <w:sz w:val="20"/>
                <w:szCs w:val="20"/>
                <w:color w:val="auto"/>
              </w:rPr>
            </w:pPr>
            <w:r>
              <w:rPr>
                <w:rFonts w:ascii="Times New Roman" w:cs="Times New Roman" w:eastAsia="Times New Roman" w:hAnsi="Times New Roman"/>
                <w:sz w:val="13"/>
                <w:szCs w:val="13"/>
                <w:color w:val="auto"/>
              </w:rPr>
              <w:t>Note 8%, Due 8/23/2024</w:t>
            </w:r>
            <w:r>
              <w:rPr>
                <w:rFonts w:ascii="Times New Roman" w:cs="Times New Roman" w:eastAsia="Times New Roman" w:hAnsi="Times New Roman"/>
                <w:sz w:val="20"/>
                <w:szCs w:val="20"/>
                <w:color w:val="auto"/>
                <w:vertAlign w:val="superscript"/>
              </w:rPr>
              <w:t>(3)(6)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1,010,198</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505,099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1,453,185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1,958,284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505,099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1,453,185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1,958,284</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0.88%</w:t>
            </w:r>
          </w:p>
        </w:tc>
        <w:tc>
          <w:tcPr>
            <w:tcW w:w="0" w:type="dxa"/>
            <w:vAlign w:val="bottom"/>
          </w:tcPr>
          <w:p>
            <w:pPr>
              <w:spacing w:after="0"/>
              <w:rPr>
                <w:sz w:val="1"/>
                <w:szCs w:val="1"/>
                <w:color w:val="auto"/>
              </w:rPr>
            </w:pPr>
          </w:p>
        </w:tc>
      </w:tr>
      <w:tr>
        <w:trPr>
          <w:trHeight w:val="135"/>
        </w:trPr>
        <w:tc>
          <w:tcPr>
            <w:tcW w:w="222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Knowledge Networks</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2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Maven Research, Inc.–Preferred</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2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shares, Series C</w:t>
            </w: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318,979</w:t>
            </w:r>
          </w:p>
        </w:tc>
        <w:tc>
          <w:tcPr>
            <w:tcW w:w="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220" w:type="dxa"/>
            <w:vAlign w:val="bottom"/>
            <w:gridSpan w:val="7"/>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Maven Research, Inc.–Preferred</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2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shares, Series B</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49,505</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gridSpan w:val="7"/>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Knowledge Networks</w:t>
            </w: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2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ind w:left="44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ind w:left="52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continue"/>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Digital Media Platform</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2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Inc.–Preferred shares,</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2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Series C-2 6%</w:t>
            </w: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683,482</w:t>
            </w:r>
          </w:p>
        </w:tc>
        <w:tc>
          <w:tcPr>
            <w:tcW w:w="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220" w:type="dxa"/>
            <w:vAlign w:val="bottom"/>
            <w:gridSpan w:val="7"/>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Inc.–Preferred shares,</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2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Series B 6%</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922,509</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22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Inc.–Preferred shares,</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2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Series A 6%</w:t>
            </w: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1,090,909</w:t>
            </w:r>
          </w:p>
        </w:tc>
        <w:tc>
          <w:tcPr>
            <w:tcW w:w="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220" w:type="dxa"/>
            <w:vAlign w:val="bottom"/>
            <w:gridSpan w:val="7"/>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Inc.–Preferred shares,</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2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Series Seed 6%</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500,000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gridSpan w:val="7"/>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Digital Media Platform</w:t>
            </w: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2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ind w:left="44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ind w:left="52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continue"/>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Interactive Learning</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20" w:type="dxa"/>
            <w:vAlign w:val="bottom"/>
            <w:gridSpan w:val="7"/>
          </w:tcPr>
          <w:p>
            <w:pPr>
              <w:ind w:left="360"/>
              <w:spacing w:after="0" w:line="124" w:lineRule="exact"/>
              <w:rPr>
                <w:sz w:val="20"/>
                <w:szCs w:val="20"/>
                <w:color w:val="auto"/>
              </w:rPr>
            </w:pPr>
            <w:r>
              <w:rPr>
                <w:rFonts w:ascii="Times New Roman" w:cs="Times New Roman" w:eastAsia="Times New Roman" w:hAnsi="Times New Roman"/>
                <w:sz w:val="13"/>
                <w:szCs w:val="13"/>
                <w:color w:val="auto"/>
              </w:rPr>
              <w:t>StormWind, LLC–Preferred</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20" w:type="dxa"/>
            <w:vAlign w:val="bottom"/>
            <w:gridSpan w:val="7"/>
          </w:tcPr>
          <w:p>
            <w:pPr>
              <w:ind w:left="360"/>
              <w:spacing w:after="0" w:line="186" w:lineRule="exact"/>
              <w:rPr>
                <w:sz w:val="20"/>
                <w:szCs w:val="20"/>
                <w:color w:val="auto"/>
              </w:rPr>
            </w:pPr>
            <w:r>
              <w:rPr>
                <w:rFonts w:ascii="Times New Roman" w:cs="Times New Roman" w:eastAsia="Times New Roman" w:hAnsi="Times New Roman"/>
                <w:sz w:val="13"/>
                <w:szCs w:val="13"/>
                <w:color w:val="auto"/>
              </w:rPr>
              <w:t>shares, Series D 8%</w:t>
            </w:r>
            <w:r>
              <w:rPr>
                <w:rFonts w:ascii="Times New Roman" w:cs="Times New Roman" w:eastAsia="Times New Roman" w:hAnsi="Times New Roman"/>
                <w:sz w:val="20"/>
                <w:szCs w:val="20"/>
                <w:color w:val="auto"/>
                <w:vertAlign w:val="superscript"/>
              </w:rPr>
              <w:t>(5)</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329,337</w:t>
            </w:r>
          </w:p>
        </w:tc>
        <w:tc>
          <w:tcPr>
            <w:tcW w:w="6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621,093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(98,308)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522,785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0" w:type="dxa"/>
            <w:vAlign w:val="bottom"/>
          </w:tcPr>
          <w:p>
            <w:pPr>
              <w:spacing w:after="0"/>
              <w:rPr>
                <w:sz w:val="1"/>
                <w:szCs w:val="1"/>
                <w:color w:val="auto"/>
              </w:rPr>
            </w:pPr>
          </w:p>
        </w:tc>
      </w:tr>
      <w:tr>
        <w:trPr>
          <w:trHeight w:val="124"/>
        </w:trPr>
        <w:tc>
          <w:tcPr>
            <w:tcW w:w="2220" w:type="dxa"/>
            <w:vAlign w:val="bottom"/>
            <w:gridSpan w:val="7"/>
            <w:shd w:val="clear" w:color="auto" w:fill="CCEEFF"/>
          </w:tcPr>
          <w:p>
            <w:pPr>
              <w:ind w:left="360"/>
              <w:spacing w:after="0" w:line="124" w:lineRule="exact"/>
              <w:rPr>
                <w:sz w:val="20"/>
                <w:szCs w:val="20"/>
                <w:color w:val="auto"/>
              </w:rPr>
            </w:pPr>
            <w:r>
              <w:rPr>
                <w:rFonts w:ascii="Times New Roman" w:cs="Times New Roman" w:eastAsia="Times New Roman" w:hAnsi="Times New Roman"/>
                <w:sz w:val="13"/>
                <w:szCs w:val="13"/>
                <w:color w:val="auto"/>
              </w:rPr>
              <w:t>StormWind, LLC–Preferred</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20" w:type="dxa"/>
            <w:vAlign w:val="bottom"/>
            <w:gridSpan w:val="7"/>
            <w:shd w:val="clear" w:color="auto" w:fill="CCEEFF"/>
          </w:tcPr>
          <w:p>
            <w:pPr>
              <w:ind w:left="360"/>
              <w:spacing w:after="0" w:line="186" w:lineRule="exact"/>
              <w:rPr>
                <w:sz w:val="20"/>
                <w:szCs w:val="20"/>
                <w:color w:val="auto"/>
              </w:rPr>
            </w:pPr>
            <w:r>
              <w:rPr>
                <w:rFonts w:ascii="Times New Roman" w:cs="Times New Roman" w:eastAsia="Times New Roman" w:hAnsi="Times New Roman"/>
                <w:sz w:val="13"/>
                <w:szCs w:val="13"/>
                <w:color w:val="auto"/>
              </w:rPr>
              <w:t>shares, Series C 8%</w:t>
            </w:r>
            <w:r>
              <w:rPr>
                <w:rFonts w:ascii="Times New Roman" w:cs="Times New Roman" w:eastAsia="Times New Roman" w:hAnsi="Times New Roman"/>
                <w:sz w:val="20"/>
                <w:szCs w:val="20"/>
                <w:color w:val="auto"/>
                <w:vertAlign w:val="superscript"/>
              </w:rPr>
              <w:t>(5)</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2,779,134</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6,496,729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(921,411)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5,575,318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124"/>
        </w:trPr>
        <w:tc>
          <w:tcPr>
            <w:tcW w:w="2220" w:type="dxa"/>
            <w:vAlign w:val="bottom"/>
            <w:gridSpan w:val="7"/>
          </w:tcPr>
          <w:p>
            <w:pPr>
              <w:ind w:left="360"/>
              <w:spacing w:after="0" w:line="124" w:lineRule="exact"/>
              <w:rPr>
                <w:sz w:val="20"/>
                <w:szCs w:val="20"/>
                <w:color w:val="auto"/>
              </w:rPr>
            </w:pPr>
            <w:r>
              <w:rPr>
                <w:rFonts w:ascii="Times New Roman" w:cs="Times New Roman" w:eastAsia="Times New Roman" w:hAnsi="Times New Roman"/>
                <w:sz w:val="13"/>
                <w:szCs w:val="13"/>
                <w:color w:val="auto"/>
              </w:rPr>
              <w:t>StormWind, LLC–Preferred</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20" w:type="dxa"/>
            <w:vAlign w:val="bottom"/>
            <w:gridSpan w:val="7"/>
          </w:tcPr>
          <w:p>
            <w:pPr>
              <w:ind w:left="360"/>
              <w:spacing w:after="0" w:line="186" w:lineRule="exact"/>
              <w:rPr>
                <w:sz w:val="20"/>
                <w:szCs w:val="20"/>
                <w:color w:val="auto"/>
              </w:rPr>
            </w:pPr>
            <w:r>
              <w:rPr>
                <w:rFonts w:ascii="Times New Roman" w:cs="Times New Roman" w:eastAsia="Times New Roman" w:hAnsi="Times New Roman"/>
                <w:sz w:val="13"/>
                <w:szCs w:val="13"/>
                <w:color w:val="auto"/>
              </w:rPr>
              <w:t>shares, Series B 8%</w:t>
            </w:r>
            <w:r>
              <w:rPr>
                <w:rFonts w:ascii="Times New Roman" w:cs="Times New Roman" w:eastAsia="Times New Roman" w:hAnsi="Times New Roman"/>
                <w:sz w:val="20"/>
                <w:szCs w:val="20"/>
                <w:color w:val="auto"/>
                <w:vertAlign w:val="superscript"/>
              </w:rPr>
              <w:t>(5)</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3,279,629</w:t>
            </w:r>
          </w:p>
        </w:tc>
        <w:tc>
          <w:tcPr>
            <w:tcW w:w="6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4,423,607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(978,971)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3,444,636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24"/>
        </w:trPr>
        <w:tc>
          <w:tcPr>
            <w:tcW w:w="2220" w:type="dxa"/>
            <w:vAlign w:val="bottom"/>
            <w:gridSpan w:val="7"/>
            <w:shd w:val="clear" w:color="auto" w:fill="CCEEFF"/>
          </w:tcPr>
          <w:p>
            <w:pPr>
              <w:ind w:left="360"/>
              <w:spacing w:after="0" w:line="124" w:lineRule="exact"/>
              <w:rPr>
                <w:sz w:val="20"/>
                <w:szCs w:val="20"/>
                <w:color w:val="auto"/>
              </w:rPr>
            </w:pPr>
            <w:r>
              <w:rPr>
                <w:rFonts w:ascii="Times New Roman" w:cs="Times New Roman" w:eastAsia="Times New Roman" w:hAnsi="Times New Roman"/>
                <w:sz w:val="13"/>
                <w:szCs w:val="13"/>
                <w:color w:val="auto"/>
              </w:rPr>
              <w:t>StormWind, LLC–Preferred</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220" w:type="dxa"/>
            <w:vAlign w:val="bottom"/>
            <w:gridSpan w:val="7"/>
            <w:shd w:val="clear" w:color="auto" w:fill="CCEEFF"/>
          </w:tcPr>
          <w:p>
            <w:pPr>
              <w:ind w:left="360"/>
              <w:spacing w:after="0" w:line="200" w:lineRule="exact"/>
              <w:rPr>
                <w:sz w:val="20"/>
                <w:szCs w:val="20"/>
                <w:color w:val="auto"/>
              </w:rPr>
            </w:pPr>
            <w:r>
              <w:rPr>
                <w:rFonts w:ascii="Times New Roman" w:cs="Times New Roman" w:eastAsia="Times New Roman" w:hAnsi="Times New Roman"/>
                <w:sz w:val="13"/>
                <w:szCs w:val="13"/>
                <w:color w:val="auto"/>
              </w:rPr>
              <w:t>shares, Series A 8%</w:t>
            </w:r>
            <w:r>
              <w:rPr>
                <w:rFonts w:ascii="Times New Roman" w:cs="Times New Roman" w:eastAsia="Times New Roman" w:hAnsi="Times New Roman"/>
                <w:sz w:val="20"/>
                <w:szCs w:val="20"/>
                <w:color w:val="auto"/>
                <w:vertAlign w:val="superscript"/>
              </w:rPr>
              <w:t>(5)</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366,666</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289,293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(109,450)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179,843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gridSpan w:val="7"/>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Interactive Learning</w:t>
            </w: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2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9"/>
              </w:rPr>
              <w:t>11,830,722</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ind w:left="44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ind w:left="52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(2,108,140)</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9,722,582</w:t>
            </w:r>
          </w:p>
        </w:tc>
        <w:tc>
          <w:tcPr>
            <w:tcW w:w="220" w:type="dxa"/>
            <w:vAlign w:val="bottom"/>
            <w:vMerge w:val="continue"/>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Preferred Stock</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9"/>
              </w:rPr>
              <w:t>11,830,722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(2,108,140)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9,722,582</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tcBorders>
              <w:bottom w:val="single" w:sz="8" w:color="CCEEFF"/>
            </w:tcBorders>
            <w:gridSpan w:val="7"/>
          </w:tcPr>
          <w:p>
            <w:pPr>
              <w:ind w:left="180"/>
              <w:spacing w:after="0" w:line="122" w:lineRule="exact"/>
              <w:rPr>
                <w:sz w:val="20"/>
                <w:szCs w:val="20"/>
                <w:color w:val="auto"/>
              </w:rPr>
            </w:pPr>
            <w:r>
              <w:rPr>
                <w:rFonts w:ascii="Times New Roman" w:cs="Times New Roman" w:eastAsia="Times New Roman" w:hAnsi="Times New Roman"/>
                <w:sz w:val="13"/>
                <w:szCs w:val="13"/>
                <w:i w:val="1"/>
                <w:iCs w:val="1"/>
                <w:color w:val="auto"/>
              </w:rPr>
              <w:t>Digital Media Platform</w:t>
            </w: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220" w:type="dxa"/>
            <w:vAlign w:val="bottom"/>
            <w:gridSpan w:val="7"/>
            <w:shd w:val="clear" w:color="auto" w:fill="CCEEFF"/>
          </w:tcPr>
          <w:p>
            <w:pPr>
              <w:ind w:left="360"/>
              <w:spacing w:after="0" w:line="104" w:lineRule="exact"/>
              <w:rPr>
                <w:sz w:val="20"/>
                <w:szCs w:val="20"/>
                <w:color w:val="auto"/>
              </w:rPr>
            </w:pPr>
            <w:r>
              <w:rPr>
                <w:rFonts w:ascii="Times New Roman" w:cs="Times New Roman" w:eastAsia="Times New Roman" w:hAnsi="Times New Roman"/>
                <w:sz w:val="10"/>
                <w:szCs w:val="10"/>
                <w:color w:val="auto"/>
              </w:rPr>
              <w:t>Ozy Media, Inc.–Common</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Warrants, Strike Price $0.01,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Expiration Date 4/9/2028</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295,565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220" w:type="dxa"/>
            <w:vAlign w:val="bottom"/>
            <w:gridSpan w:val="7"/>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Global Innovation Platform</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20" w:type="dxa"/>
            <w:vAlign w:val="bottom"/>
            <w:gridSpan w:val="7"/>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OneValley, Inc. (f/k/a NestGSV,</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Inc.)–Preferred Warrant Series B,</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Strike Price $2.31, Expiration</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Date 5/29/2022</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(70,379)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70,379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22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OneValley, Inc. (f/k/a NestGSV,</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gridSpan w:val="7"/>
          </w:tcPr>
          <w:p>
            <w:pPr>
              <w:ind w:left="360"/>
              <w:spacing w:after="0" w:line="135" w:lineRule="exact"/>
              <w:rPr>
                <w:sz w:val="20"/>
                <w:szCs w:val="20"/>
                <w:color w:val="auto"/>
              </w:rPr>
            </w:pPr>
            <w:r>
              <w:rPr>
                <w:rFonts w:ascii="Times New Roman" w:cs="Times New Roman" w:eastAsia="Times New Roman" w:hAnsi="Times New Roman"/>
                <w:sz w:val="13"/>
                <w:szCs w:val="13"/>
                <w:color w:val="auto"/>
              </w:rPr>
              <w:t>Inc.)–Preferred Warrant Series B,</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gridSpan w:val="7"/>
          </w:tcPr>
          <w:p>
            <w:pPr>
              <w:ind w:left="360"/>
              <w:spacing w:after="0" w:line="135" w:lineRule="exact"/>
              <w:rPr>
                <w:sz w:val="20"/>
                <w:szCs w:val="20"/>
                <w:color w:val="auto"/>
              </w:rPr>
            </w:pPr>
            <w:r>
              <w:rPr>
                <w:rFonts w:ascii="Times New Roman" w:cs="Times New Roman" w:eastAsia="Times New Roman" w:hAnsi="Times New Roman"/>
                <w:sz w:val="13"/>
                <w:szCs w:val="13"/>
                <w:color w:val="auto"/>
              </w:rPr>
              <w:t>Strike Price $2.31, Expiration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2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Date 12/31/2023</w:t>
            </w:r>
          </w:p>
        </w:tc>
        <w:tc>
          <w:tcPr>
            <w:tcW w:w="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250,000</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03"/>
        </w:trPr>
        <w:tc>
          <w:tcPr>
            <w:tcW w:w="2220" w:type="dxa"/>
            <w:vAlign w:val="bottom"/>
            <w:tcBorders>
              <w:top w:val="single" w:sz="8" w:color="CCEEFF"/>
            </w:tcBorders>
            <w:gridSpan w:val="7"/>
            <w:shd w:val="clear" w:color="auto" w:fill="CCEEFF"/>
          </w:tcPr>
          <w:p>
            <w:pPr>
              <w:ind w:left="360"/>
              <w:spacing w:after="0" w:line="104" w:lineRule="exact"/>
              <w:rPr>
                <w:sz w:val="20"/>
                <w:szCs w:val="20"/>
                <w:color w:val="auto"/>
              </w:rPr>
            </w:pPr>
            <w:r>
              <w:rPr>
                <w:rFonts w:ascii="Times New Roman" w:cs="Times New Roman" w:eastAsia="Times New Roman" w:hAnsi="Times New Roman"/>
                <w:sz w:val="10"/>
                <w:szCs w:val="10"/>
                <w:color w:val="auto"/>
              </w:rPr>
              <w:t>OneValley, Inc. (f/k/a NestGSV,</w:t>
            </w: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220" w:type="dxa"/>
            <w:vAlign w:val="bottom"/>
            <w:gridSpan w:val="7"/>
            <w:shd w:val="clear" w:color="auto" w:fill="CCEEFF"/>
          </w:tcPr>
          <w:p>
            <w:pPr>
              <w:ind w:left="360"/>
              <w:spacing w:after="0" w:line="143" w:lineRule="exact"/>
              <w:rPr>
                <w:sz w:val="20"/>
                <w:szCs w:val="20"/>
                <w:color w:val="auto"/>
              </w:rPr>
            </w:pPr>
            <w:r>
              <w:rPr>
                <w:rFonts w:ascii="Times New Roman" w:cs="Times New Roman" w:eastAsia="Times New Roman" w:hAnsi="Times New Roman"/>
                <w:sz w:val="13"/>
                <w:szCs w:val="13"/>
                <w:color w:val="auto"/>
              </w:rPr>
              <w:t>Inc.)– Derivative Security,</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20" w:type="dxa"/>
            <w:vAlign w:val="bottom"/>
            <w:gridSpan w:val="7"/>
            <w:shd w:val="clear" w:color="auto" w:fill="CCEEFF"/>
          </w:tcPr>
          <w:p>
            <w:pPr>
              <w:ind w:left="360"/>
              <w:spacing w:after="0" w:line="200" w:lineRule="exact"/>
              <w:rPr>
                <w:sz w:val="20"/>
                <w:szCs w:val="20"/>
                <w:color w:val="auto"/>
              </w:rPr>
            </w:pPr>
            <w:r>
              <w:rPr>
                <w:rFonts w:ascii="Times New Roman" w:cs="Times New Roman" w:eastAsia="Times New Roman" w:hAnsi="Times New Roman"/>
                <w:sz w:val="13"/>
                <w:szCs w:val="13"/>
                <w:color w:val="auto"/>
              </w:rPr>
              <w:t>Expiration Date 8/23/2024</w:t>
            </w:r>
            <w:r>
              <w:rPr>
                <w:rFonts w:ascii="Times New Roman" w:cs="Times New Roman" w:eastAsia="Times New Roman" w:hAnsi="Times New Roman"/>
                <w:sz w:val="20"/>
                <w:szCs w:val="20"/>
                <w:color w:val="auto"/>
                <w:vertAlign w:val="superscript"/>
              </w:rPr>
              <w:t>(6)</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2,268,268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(1,638,533)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629,735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gridSpan w:val="7"/>
            <w:vMerge w:val="restart"/>
          </w:tcPr>
          <w:p>
            <w:pPr>
              <w:ind w:left="360"/>
              <w:spacing w:after="0" w:line="142" w:lineRule="exact"/>
              <w:rPr>
                <w:sz w:val="20"/>
                <w:szCs w:val="20"/>
                <w:color w:val="auto"/>
              </w:rPr>
            </w:pPr>
            <w:r>
              <w:rPr>
                <w:rFonts w:ascii="Times New Roman" w:cs="Times New Roman" w:eastAsia="Times New Roman" w:hAnsi="Times New Roman"/>
                <w:sz w:val="13"/>
                <w:szCs w:val="13"/>
                <w:i w:val="1"/>
                <w:iCs w:val="1"/>
                <w:color w:val="auto"/>
              </w:rPr>
              <w:t>Total Global Innovation Platform</w:t>
            </w: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2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2,273,268</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ind w:left="44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ind w:left="52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(70,379)</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(1,573,154)</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629,735</w:t>
            </w:r>
          </w:p>
        </w:tc>
        <w:tc>
          <w:tcPr>
            <w:tcW w:w="220" w:type="dxa"/>
            <w:vAlign w:val="bottom"/>
            <w:vMerge w:val="continue"/>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0.28%</w:t>
            </w:r>
          </w:p>
        </w:tc>
        <w:tc>
          <w:tcPr>
            <w:tcW w:w="0" w:type="dxa"/>
            <w:vAlign w:val="bottom"/>
          </w:tcPr>
          <w:p>
            <w:pPr>
              <w:spacing w:after="0"/>
              <w:rPr>
                <w:sz w:val="1"/>
                <w:szCs w:val="1"/>
                <w:color w:val="auto"/>
              </w:rPr>
            </w:pPr>
          </w:p>
        </w:tc>
      </w:tr>
      <w:tr>
        <w:trPr>
          <w:trHeight w:val="168"/>
        </w:trPr>
        <w:tc>
          <w:tcPr>
            <w:tcW w:w="22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Options</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2,273,268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(70,379)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(1,573,154)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629,735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0" w:type="dxa"/>
            <w:vAlign w:val="bottom"/>
          </w:tcPr>
          <w:p>
            <w:pPr>
              <w:spacing w:after="0"/>
              <w:rPr>
                <w:sz w:val="1"/>
                <w:szCs w:val="1"/>
                <w:color w:val="auto"/>
              </w:rPr>
            </w:pPr>
          </w:p>
        </w:tc>
      </w:tr>
      <w:tr>
        <w:trPr>
          <w:trHeight w:val="129"/>
        </w:trPr>
        <w:tc>
          <w:tcPr>
            <w:tcW w:w="2220" w:type="dxa"/>
            <w:vAlign w:val="bottom"/>
            <w:tcBorders>
              <w:top w:val="single" w:sz="8" w:color="CCEEFF"/>
              <w:bottom w:val="single" w:sz="8" w:color="CCEEFF"/>
            </w:tcBorders>
            <w:gridSpan w:val="7"/>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Borders>
              <w:top w:val="single" w:sz="8" w:color="CCEEFF"/>
              <w:bottom w:val="single" w:sz="8" w:color="CCEEFF"/>
            </w:tcBorders>
          </w:tcPr>
          <w:p>
            <w:pPr>
              <w:spacing w:after="0"/>
              <w:rPr>
                <w:sz w:val="11"/>
                <w:szCs w:val="11"/>
                <w:color w:val="auto"/>
              </w:rPr>
            </w:pPr>
          </w:p>
        </w:tc>
        <w:tc>
          <w:tcPr>
            <w:tcW w:w="62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CCEEFF"/>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80" w:type="dxa"/>
            <w:vAlign w:val="bottom"/>
            <w:tcBorders>
              <w:top w:val="single" w:sz="8" w:color="CCEEFF"/>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CEEFF"/>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Online Education</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2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Curious.com, Inc.–Common</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22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shares</w:t>
            </w:r>
          </w:p>
        </w:tc>
        <w:tc>
          <w:tcPr>
            <w:tcW w:w="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1,135,944</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bottom w:val="single" w:sz="8" w:color="CCEEFF"/>
            </w:tcBorders>
            <w:gridSpan w:val="7"/>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Common Stock</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ectPr>
          <w:pgSz w:w="11900" w:h="16851" w:orient="portrait"/>
          <w:cols w:equalWidth="0" w:num="1">
            <w:col w:w="11240"/>
          </w:cols>
          <w:pgMar w:left="320" w:top="684" w:right="339" w:bottom="0" w:gutter="0" w:footer="0" w:header="0"/>
        </w:sectPr>
      </w:pPr>
    </w:p>
    <w:bookmarkStart w:id="41" w:name="page42"/>
    <w:bookmarkEnd w:id="41"/>
    <w:p>
      <w:pPr>
        <w:spacing w:after="0"/>
        <w:tabs>
          <w:tab w:leader="none" w:pos="3100" w:val="left"/>
          <w:tab w:leader="none" w:pos="3620" w:val="left"/>
          <w:tab w:leader="none" w:pos="3980" w:val="left"/>
          <w:tab w:leader="none" w:pos="4860" w:val="left"/>
          <w:tab w:leader="none" w:pos="5380" w:val="left"/>
          <w:tab w:leader="none" w:pos="5720" w:val="left"/>
          <w:tab w:leader="none" w:pos="6320" w:val="left"/>
          <w:tab w:leader="none" w:pos="6680" w:val="left"/>
          <w:tab w:leader="none" w:pos="7200" w:val="left"/>
          <w:tab w:leader="none" w:pos="7540" w:val="left"/>
          <w:tab w:leader="none" w:pos="7920" w:val="left"/>
          <w:tab w:leader="none" w:pos="8540" w:val="left"/>
          <w:tab w:leader="none" w:pos="8780" w:val="left"/>
          <w:tab w:leader="none" w:pos="9540" w:val="left"/>
          <w:tab w:leader="none" w:pos="10860" w:val="left"/>
        </w:tabs>
        <w:rPr>
          <w:sz w:val="20"/>
          <w:szCs w:val="20"/>
          <w:color w:val="auto"/>
        </w:rPr>
      </w:pPr>
      <w:r>
        <w:rPr>
          <w:rFonts w:ascii="Times New Roman" w:cs="Times New Roman" w:eastAsia="Times New Roman" w:hAnsi="Times New Roman"/>
          <w:sz w:val="13"/>
          <w:szCs w:val="13"/>
          <w:b w:val="1"/>
          <w:bCs w:val="1"/>
          <w:color w:val="auto"/>
        </w:rPr>
        <w:t>TOTAL NON-</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$ 14,609,089</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(70,379)</w:t>
        <w:tab/>
        <w:t>$</w:t>
        <w:tab/>
        <w:t>(2,228,109)</w:t>
        <w:tab/>
        <w:t>$ 12,310,601</w:t>
      </w:r>
      <w:r>
        <w:rPr>
          <w:sz w:val="20"/>
          <w:szCs w:val="20"/>
          <w:color w:val="auto"/>
        </w:rPr>
        <w:tab/>
      </w:r>
      <w:r>
        <w:rPr>
          <w:rFonts w:ascii="Times New Roman" w:cs="Times New Roman" w:eastAsia="Times New Roman" w:hAnsi="Times New Roman"/>
          <w:sz w:val="13"/>
          <w:szCs w:val="13"/>
          <w:b w:val="1"/>
          <w:bCs w:val="1"/>
          <w:color w:val="auto"/>
        </w:rPr>
        <w:t>5.55%</w:t>
      </w:r>
    </w:p>
    <w:p>
      <w:pPr>
        <w:spacing w:after="0" w:line="227" w:lineRule="auto"/>
        <w:rPr>
          <w:sz w:val="20"/>
          <w:szCs w:val="20"/>
          <w:color w:val="auto"/>
        </w:rPr>
      </w:pPr>
      <w:r>
        <w:rPr>
          <w:rFonts w:ascii="Times New Roman" w:cs="Times New Roman" w:eastAsia="Times New Roman" w:hAnsi="Times New Roman"/>
          <w:sz w:val="13"/>
          <w:szCs w:val="13"/>
          <w:b w:val="1"/>
          <w:bCs w:val="1"/>
          <w:color w:val="auto"/>
        </w:rPr>
        <w:t>CONTROLLED/AFFILIATE</w:t>
      </w:r>
    </w:p>
    <w:p>
      <w:pPr>
        <w:spacing w:after="0"/>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20"/>
          <w:szCs w:val="2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-17780</wp:posOffset>
            </wp:positionV>
            <wp:extent cx="50749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74920" cy="26035"/>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jc w:val="both"/>
        <w:ind w:left="340" w:hanging="332"/>
        <w:spacing w:after="0" w:line="254"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w:t>
      </w:r>
    </w:p>
    <w:p>
      <w:pPr>
        <w:spacing w:after="0" w:line="3" w:lineRule="exact"/>
        <w:rPr>
          <w:sz w:val="20"/>
          <w:szCs w:val="20"/>
          <w:color w:val="auto"/>
        </w:rPr>
      </w:pPr>
    </w:p>
    <w:p>
      <w:pPr>
        <w:ind w:left="340" w:right="20"/>
        <w:spacing w:after="0" w:line="250" w:lineRule="auto"/>
        <w:rPr>
          <w:sz w:val="20"/>
          <w:szCs w:val="20"/>
          <w:color w:val="auto"/>
        </w:rPr>
      </w:pPr>
      <w:r>
        <w:rPr>
          <w:rFonts w:ascii="Times New Roman" w:cs="Times New Roman" w:eastAsia="Times New Roman" w:hAnsi="Times New Roman"/>
          <w:sz w:val="18"/>
          <w:szCs w:val="18"/>
          <w:color w:val="auto"/>
        </w:rPr>
        <w:t>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 w:lineRule="exact"/>
        <w:rPr>
          <w:sz w:val="20"/>
          <w:szCs w:val="20"/>
          <w:color w:val="auto"/>
        </w:rPr>
      </w:pPr>
    </w:p>
    <w:p>
      <w:pPr>
        <w:ind w:left="3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September 30, 2022, 14.63% of its total investments are non-qualifying assets.</w:t>
      </w: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07" w:lineRule="exact"/>
        <w:rPr>
          <w:sz w:val="20"/>
          <w:szCs w:val="20"/>
          <w:color w:val="auto"/>
        </w:rPr>
      </w:pPr>
    </w:p>
    <w:p>
      <w:pPr>
        <w:jc w:val="both"/>
        <w:ind w:left="340" w:hanging="332"/>
        <w:spacing w:after="0" w:line="257"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w:t>
      </w:r>
    </w:p>
    <w:p>
      <w:pPr>
        <w:spacing w:after="0" w:line="1" w:lineRule="exact"/>
        <w:rPr>
          <w:rFonts w:ascii="Times New Roman" w:cs="Times New Roman" w:eastAsia="Times New Roman" w:hAnsi="Times New Roman"/>
          <w:sz w:val="18"/>
          <w:szCs w:val="18"/>
          <w:color w:val="auto"/>
        </w:rPr>
      </w:pPr>
    </w:p>
    <w:p>
      <w:pPr>
        <w:jc w:val="both"/>
        <w:ind w:left="340" w:right="2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investments noted had been placed on non-accrual status.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2021 involving the Company’s controlled investments and non-controlled/affiliate investments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Purchases,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Fees, or</w:t>
            </w:r>
          </w:p>
        </w:tc>
        <w:tc>
          <w:tcPr>
            <w:tcW w:w="8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Dividends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Fees,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at</w:t>
            </w: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Percentage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6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Credited</w:t>
            </w:r>
          </w:p>
        </w:tc>
        <w:tc>
          <w:tcPr>
            <w:tcW w:w="8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Transfer</w:t>
            </w:r>
          </w:p>
        </w:tc>
        <w:tc>
          <w:tcPr>
            <w:tcW w:w="8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of Net</w:t>
            </w:r>
          </w:p>
        </w:tc>
        <w:tc>
          <w:tcPr>
            <w:tcW w:w="0" w:type="dxa"/>
            <w:vAlign w:val="bottom"/>
          </w:tcPr>
          <w:p>
            <w:pPr>
              <w:spacing w:after="0"/>
              <w:rPr>
                <w:sz w:val="1"/>
                <w:szCs w:val="1"/>
                <w:color w:val="auto"/>
              </w:rPr>
            </w:pPr>
          </w:p>
        </w:tc>
      </w:tr>
      <w:tr>
        <w:trPr>
          <w:trHeight w:val="162"/>
        </w:trPr>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Type/Industry/Portfolio Company/Investment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Quantity</w:t>
            </w: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31, 2020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(Out)</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Gains/(Losses)</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Gains/(Losses)</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31, 2021</w:t>
            </w:r>
          </w:p>
        </w:tc>
        <w:tc>
          <w:tcPr>
            <w:tcW w:w="1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08"/>
        </w:trPr>
        <w:tc>
          <w:tcPr>
            <w:tcW w:w="192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6"/>
              </w:rPr>
              <w:t>CONTROLLED INVESTMENTS*</w:t>
            </w:r>
          </w:p>
        </w:tc>
        <w:tc>
          <w:tcPr>
            <w:tcW w:w="120" w:type="dxa"/>
            <w:vAlign w:val="bottom"/>
            <w:tcBorders>
              <w:top w:val="single" w:sz="8" w:color="auto"/>
              <w:bottom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85"/>
              </w:rPr>
              <w:t>(2)</w:t>
            </w:r>
          </w:p>
        </w:tc>
        <w:tc>
          <w:tcPr>
            <w:tcW w:w="78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920" w:type="dxa"/>
            <w:vAlign w:val="bottom"/>
            <w:tcBorders>
              <w:bottom w:val="single" w:sz="8" w:color="auto"/>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right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880" w:type="dxa"/>
            <w:vAlign w:val="bottom"/>
            <w:gridSpan w:val="7"/>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Options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Special Purpose Acquisition Company</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88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3"/>
                <w:szCs w:val="13"/>
                <w:color w:val="auto"/>
              </w:rPr>
              <w:t>Colombier Sponsor LLC**–Class W Units</w:t>
            </w:r>
            <w:r>
              <w:rPr>
                <w:rFonts w:ascii="Times New Roman" w:cs="Times New Roman" w:eastAsia="Times New Roman" w:hAnsi="Times New Roman"/>
                <w:sz w:val="20"/>
                <w:szCs w:val="20"/>
                <w:color w:val="auto"/>
                <w:vertAlign w:val="superscript"/>
              </w:rPr>
              <w:t>(9)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2,700,000</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1,159,150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(1,663)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1,157,487</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0.32%</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Options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1,159,150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(1,663)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1,157,487</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0" w:type="dxa"/>
            <w:vAlign w:val="bottom"/>
          </w:tcPr>
          <w:p>
            <w:pPr>
              <w:spacing w:after="0"/>
              <w:rPr>
                <w:sz w:val="1"/>
                <w:szCs w:val="1"/>
                <w:color w:val="auto"/>
              </w:rPr>
            </w:pPr>
          </w:p>
        </w:tc>
      </w:tr>
      <w:tr>
        <w:trPr>
          <w:trHeight w:val="135"/>
        </w:trPr>
        <w:tc>
          <w:tcPr>
            <w:tcW w:w="288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Clean Technology</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80" w:type="dxa"/>
            <w:vAlign w:val="bottom"/>
            <w:gridSpan w:val="7"/>
          </w:tcPr>
          <w:p>
            <w:pPr>
              <w:ind w:left="360"/>
              <w:spacing w:after="0" w:line="124" w:lineRule="exact"/>
              <w:rPr>
                <w:sz w:val="20"/>
                <w:szCs w:val="20"/>
                <w:color w:val="auto"/>
              </w:rPr>
            </w:pPr>
            <w:r>
              <w:rPr>
                <w:rFonts w:ascii="Times New Roman" w:cs="Times New Roman" w:eastAsia="Times New Roman" w:hAnsi="Times New Roman"/>
                <w:sz w:val="13"/>
                <w:szCs w:val="13"/>
                <w:color w:val="auto"/>
              </w:rPr>
              <w:t>SPBRX, INC. (f/k/a GSV Sustainability</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880" w:type="dxa"/>
            <w:vAlign w:val="bottom"/>
            <w:gridSpan w:val="7"/>
          </w:tcPr>
          <w:p>
            <w:pPr>
              <w:ind w:left="360"/>
              <w:spacing w:after="0" w:line="186" w:lineRule="exact"/>
              <w:rPr>
                <w:sz w:val="20"/>
                <w:szCs w:val="20"/>
                <w:color w:val="auto"/>
              </w:rPr>
            </w:pPr>
            <w:r>
              <w:rPr>
                <w:rFonts w:ascii="Times New Roman" w:cs="Times New Roman" w:eastAsia="Times New Roman" w:hAnsi="Times New Roman"/>
                <w:sz w:val="13"/>
                <w:szCs w:val="13"/>
                <w:color w:val="auto"/>
              </w:rPr>
              <w:t>Partners, Inc.)–Preferred shares, Class A</w:t>
            </w:r>
            <w:r>
              <w:rPr>
                <w:rFonts w:ascii="Times New Roman" w:cs="Times New Roman" w:eastAsia="Times New Roman" w:hAnsi="Times New Roman"/>
                <w:sz w:val="20"/>
                <w:szCs w:val="20"/>
                <w:color w:val="auto"/>
                <w:vertAlign w:val="superscript"/>
              </w:rPr>
              <w:t>(4)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14,300,000</w:t>
            </w:r>
          </w:p>
        </w:tc>
        <w:tc>
          <w:tcPr>
            <w:tcW w:w="60" w:type="dxa"/>
            <w:vAlign w:val="bottom"/>
          </w:tcPr>
          <w:p>
            <w:pPr>
              <w:spacing w:after="0"/>
              <w:rPr>
                <w:sz w:val="16"/>
                <w:szCs w:val="16"/>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809,198</w:t>
            </w:r>
          </w:p>
        </w:tc>
        <w:tc>
          <w:tcPr>
            <w:tcW w:w="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237,835</w:t>
            </w: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1,047,033</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Preferred Stock</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809,198</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237,835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1,047,033</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35"/>
        </w:trPr>
        <w:tc>
          <w:tcPr>
            <w:tcW w:w="288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Clean Technology</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SPBRX, INC. (f/k/a GSV Sustainability</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Partners, Inc.)–Common shares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100,000</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Mobile Finance Technology</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80" w:type="dxa"/>
            <w:vAlign w:val="bottom"/>
            <w:gridSpan w:val="7"/>
          </w:tcPr>
          <w:p>
            <w:pPr>
              <w:ind w:left="360"/>
              <w:spacing w:after="0" w:line="124" w:lineRule="exact"/>
              <w:rPr>
                <w:sz w:val="20"/>
                <w:szCs w:val="20"/>
                <w:color w:val="auto"/>
              </w:rPr>
            </w:pPr>
            <w:r>
              <w:rPr>
                <w:rFonts w:ascii="Times New Roman" w:cs="Times New Roman" w:eastAsia="Times New Roman" w:hAnsi="Times New Roman"/>
                <w:sz w:val="13"/>
                <w:szCs w:val="13"/>
                <w:color w:val="auto"/>
              </w:rPr>
              <w:t>Architect Capital PayJoy SPV, LLC**–</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880" w:type="dxa"/>
            <w:vAlign w:val="bottom"/>
            <w:gridSpan w:val="7"/>
          </w:tcPr>
          <w:p>
            <w:pPr>
              <w:ind w:left="360"/>
              <w:spacing w:after="0" w:line="186" w:lineRule="exact"/>
              <w:rPr>
                <w:sz w:val="20"/>
                <w:szCs w:val="20"/>
                <w:color w:val="auto"/>
              </w:rPr>
            </w:pPr>
            <w:r>
              <w:rPr>
                <w:rFonts w:ascii="Times New Roman" w:cs="Times New Roman" w:eastAsia="Times New Roman" w:hAnsi="Times New Roman"/>
                <w:sz w:val="13"/>
                <w:szCs w:val="13"/>
                <w:color w:val="auto"/>
              </w:rPr>
              <w:t>Membership Interest in Lending SPV***</w:t>
            </w:r>
            <w:r>
              <w:rPr>
                <w:rFonts w:ascii="Times New Roman" w:cs="Times New Roman" w:eastAsia="Times New Roman" w:hAnsi="Times New Roman"/>
                <w:sz w:val="20"/>
                <w:szCs w:val="20"/>
                <w:color w:val="auto"/>
                <w:vertAlign w:val="superscript"/>
              </w:rPr>
              <w:t>(7)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10,000,000</w:t>
            </w:r>
          </w:p>
        </w:tc>
        <w:tc>
          <w:tcPr>
            <w:tcW w:w="60" w:type="dxa"/>
            <w:vAlign w:val="bottom"/>
          </w:tcPr>
          <w:p>
            <w:pPr>
              <w:spacing w:after="0"/>
              <w:rPr>
                <w:sz w:val="16"/>
                <w:szCs w:val="16"/>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390,000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10,006,745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(6,745)</w:t>
            </w: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5"/>
              </w:rPr>
              <w:t>10,000,000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Special Purpose Acquisition Company</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80" w:type="dxa"/>
            <w:vAlign w:val="bottom"/>
            <w:gridSpan w:val="7"/>
          </w:tcPr>
          <w:p>
            <w:pPr>
              <w:ind w:left="360"/>
              <w:spacing w:after="0" w:line="176" w:lineRule="exact"/>
              <w:rPr>
                <w:sz w:val="20"/>
                <w:szCs w:val="20"/>
                <w:color w:val="auto"/>
              </w:rPr>
            </w:pPr>
            <w:r>
              <w:rPr>
                <w:rFonts w:ascii="Times New Roman" w:cs="Times New Roman" w:eastAsia="Times New Roman" w:hAnsi="Times New Roman"/>
                <w:sz w:val="13"/>
                <w:szCs w:val="13"/>
                <w:color w:val="auto"/>
              </w:rPr>
              <w:t>Colombier Sponsor LLC**–Class B Units</w:t>
            </w:r>
            <w:r>
              <w:rPr>
                <w:rFonts w:ascii="Times New Roman" w:cs="Times New Roman" w:eastAsia="Times New Roman" w:hAnsi="Times New Roman"/>
                <w:sz w:val="20"/>
                <w:szCs w:val="20"/>
                <w:color w:val="auto"/>
                <w:vertAlign w:val="superscript"/>
              </w:rPr>
              <w:t>(9)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1,976,033</w:t>
            </w:r>
          </w:p>
        </w:tc>
        <w:tc>
          <w:tcPr>
            <w:tcW w:w="60" w:type="dxa"/>
            <w:vAlign w:val="bottom"/>
          </w:tcPr>
          <w:p>
            <w:pPr>
              <w:spacing w:after="0"/>
              <w:rPr>
                <w:sz w:val="15"/>
                <w:szCs w:val="15"/>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1,556,587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(2,233)</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1,554,354</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0.43%</w:t>
            </w:r>
          </w:p>
        </w:tc>
        <w:tc>
          <w:tcPr>
            <w:tcW w:w="0" w:type="dxa"/>
            <w:vAlign w:val="bottom"/>
          </w:tcPr>
          <w:p>
            <w:pPr>
              <w:spacing w:after="0"/>
              <w:rPr>
                <w:sz w:val="1"/>
                <w:szCs w:val="1"/>
                <w:color w:val="auto"/>
              </w:rPr>
            </w:pPr>
          </w:p>
        </w:tc>
      </w:tr>
      <w:tr>
        <w:trPr>
          <w:trHeight w:val="148"/>
        </w:trPr>
        <w:tc>
          <w:tcPr>
            <w:tcW w:w="2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Common Stock</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390,000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11,563,332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(8,978)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11,554,354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gridSpan w:val="7"/>
            <w:vMerge w:val="restart"/>
          </w:tcPr>
          <w:p>
            <w:pPr>
              <w:spacing w:after="0" w:line="196" w:lineRule="exact"/>
              <w:rPr>
                <w:sz w:val="20"/>
                <w:szCs w:val="20"/>
                <w:color w:val="auto"/>
              </w:rPr>
            </w:pPr>
            <w:r>
              <w:rPr>
                <w:rFonts w:ascii="Times New Roman" w:cs="Times New Roman" w:eastAsia="Times New Roman" w:hAnsi="Times New Roman"/>
                <w:sz w:val="13"/>
                <w:szCs w:val="13"/>
                <w:b w:val="1"/>
                <w:bCs w:val="1"/>
                <w:color w:val="auto"/>
              </w:rPr>
              <w:t>TOTAL CONTROLLED INVESTMENTS*</w:t>
            </w:r>
            <w:r>
              <w:rPr>
                <w:rFonts w:ascii="Times New Roman" w:cs="Times New Roman" w:eastAsia="Times New Roman" w:hAnsi="Times New Roman"/>
                <w:sz w:val="20"/>
                <w:szCs w:val="20"/>
                <w:b w:val="1"/>
                <w:bCs w:val="1"/>
                <w:color w:val="auto"/>
                <w:vertAlign w:val="superscript"/>
              </w:rPr>
              <w:t>(2)</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gridSpan w:val="7"/>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390,000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809,198</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12,722,482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227,194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13,758,874</w:t>
            </w:r>
          </w:p>
        </w:tc>
        <w:tc>
          <w:tcPr>
            <w:tcW w:w="7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1"/>
                <w:szCs w:val="11"/>
                <w:b w:val="1"/>
                <w:bCs w:val="1"/>
                <w:color w:val="auto"/>
              </w:rPr>
              <w:t>3.78</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75"/>
        </w:trPr>
        <w:tc>
          <w:tcPr>
            <w:tcW w:w="2880" w:type="dxa"/>
            <w:vAlign w:val="bottom"/>
            <w:tcBorders>
              <w:top w:val="single" w:sz="8" w:color="CCEEFF"/>
            </w:tcBorders>
            <w:gridSpan w:val="7"/>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NON-CONTROLLED/AFFILIATE</w:t>
            </w: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98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4"/>
              </w:rPr>
              <w:t>INVESTMENTS*</w:t>
            </w:r>
          </w:p>
        </w:tc>
        <w:tc>
          <w:tcPr>
            <w:tcW w:w="1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85"/>
              </w:rPr>
              <w:t>(1)</w:t>
            </w:r>
          </w:p>
        </w:tc>
        <w:tc>
          <w:tcPr>
            <w:tcW w:w="840" w:type="dxa"/>
            <w:vAlign w:val="bottom"/>
            <w:tcBorders>
              <w:top w:val="single" w:sz="8" w:color="auto"/>
              <w:bottom w:val="single" w:sz="8" w:color="auto"/>
            </w:tcBorders>
            <w:gridSpan w:val="2"/>
            <w:vMerge w:val="restart"/>
            <w:shd w:val="clear" w:color="auto" w:fill="CCEEFF"/>
          </w:tcPr>
          <w:p>
            <w:pPr>
              <w:spacing w:after="0"/>
              <w:rPr>
                <w:sz w:val="8"/>
                <w:szCs w:val="8"/>
                <w:color w:val="auto"/>
              </w:rPr>
            </w:pPr>
          </w:p>
        </w:tc>
        <w:tc>
          <w:tcPr>
            <w:tcW w:w="940" w:type="dxa"/>
            <w:vAlign w:val="bottom"/>
            <w:tcBorders>
              <w:top w:val="single" w:sz="8" w:color="CCEEFF"/>
              <w:bottom w:val="single" w:sz="8" w:color="CCEEFF"/>
            </w:tcBorders>
            <w:gridSpan w:val="3"/>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0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8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70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980" w:type="dxa"/>
            <w:vAlign w:val="bottom"/>
            <w:tcBorders>
              <w:bottom w:val="single" w:sz="8" w:color="auto"/>
            </w:tcBorders>
            <w:vMerge w:val="continue"/>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4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right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880" w:type="dxa"/>
            <w:vAlign w:val="bottom"/>
            <w:gridSpan w:val="7"/>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Corporate Education</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CUX, Inc. (d/b/a CorpU)–Senior Subordinated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w w:val="98"/>
              </w:rPr>
              <w:t>Convertible Promissory Note 4% Due 2/14/2023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312,790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5"/>
              </w:rPr>
              <w:t>(1,344,981)</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88,789</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943,402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Global Innovation Platform</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OneValley, Inc. (f/k/a NestGSV, Inc.)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80" w:type="dxa"/>
            <w:vAlign w:val="bottom"/>
            <w:gridSpan w:val="7"/>
          </w:tcPr>
          <w:p>
            <w:pPr>
              <w:ind w:left="360"/>
              <w:spacing w:after="0" w:line="143" w:lineRule="exact"/>
              <w:rPr>
                <w:sz w:val="20"/>
                <w:szCs w:val="20"/>
                <w:color w:val="auto"/>
              </w:rPr>
            </w:pPr>
            <w:r>
              <w:rPr>
                <w:rFonts w:ascii="Times New Roman" w:cs="Times New Roman" w:eastAsia="Times New Roman" w:hAnsi="Times New Roman"/>
                <w:sz w:val="13"/>
                <w:szCs w:val="13"/>
                <w:color w:val="auto"/>
              </w:rPr>
              <w:t>Convertible Promissory Note 8% Due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20" w:type="dxa"/>
            <w:vAlign w:val="bottom"/>
            <w:gridSpan w:val="3"/>
          </w:tcPr>
          <w:p>
            <w:pPr>
              <w:ind w:left="360"/>
              <w:spacing w:after="0" w:line="186" w:lineRule="exact"/>
              <w:rPr>
                <w:sz w:val="20"/>
                <w:szCs w:val="20"/>
                <w:color w:val="auto"/>
              </w:rPr>
            </w:pPr>
            <w:r>
              <w:rPr>
                <w:rFonts w:ascii="Times New Roman" w:cs="Times New Roman" w:eastAsia="Times New Roman" w:hAnsi="Times New Roman"/>
                <w:sz w:val="13"/>
                <w:szCs w:val="13"/>
                <w:color w:val="auto"/>
              </w:rPr>
              <w:t>8/23/2024</w:t>
            </w:r>
            <w:r>
              <w:rPr>
                <w:rFonts w:ascii="Times New Roman" w:cs="Times New Roman" w:eastAsia="Times New Roman" w:hAnsi="Times New Roman"/>
                <w:sz w:val="20"/>
                <w:szCs w:val="20"/>
                <w:color w:val="auto"/>
                <w:vertAlign w:val="superscript"/>
              </w:rPr>
              <w:t>(3)(6)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1,010,198</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505,099</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505,099</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817,889</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5"/>
              </w:rPr>
              <w:t>(1,344,981)</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88,789</w:t>
            </w:r>
          </w:p>
        </w:tc>
        <w:tc>
          <w:tcPr>
            <w:tcW w:w="8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943,402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505,099</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35"/>
        </w:trPr>
        <w:tc>
          <w:tcPr>
            <w:tcW w:w="288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Corporate Education</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CUX, Inc. (d/b/a CorpU)–Convertible preferred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shares, Series D 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73,882</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5"/>
              </w:rPr>
              <w:t>(1,159,243)</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380,636</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704,725</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80" w:type="dxa"/>
            <w:vAlign w:val="bottom"/>
            <w:gridSpan w:val="7"/>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w w:val="99"/>
              </w:rPr>
              <w:t>CUX, Inc. (d/b/a CorpU) -Convertible preferred</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8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shares, Series C 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5"/>
              </w:rPr>
              <w:t>(3,504,871)</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1,498,794</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2,006,077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gridSpan w:val="7"/>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Corporate Education</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8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73,882</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4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88"/>
              </w:rPr>
              <w:t>(4,664,114)</w:t>
            </w:r>
          </w:p>
        </w:tc>
        <w:tc>
          <w:tcPr>
            <w:tcW w:w="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1,879,430</w:t>
            </w: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2,710,802</w:t>
            </w: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7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Knowledge Networks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7"/>
          </w:tcPr>
          <w:p>
            <w:pPr>
              <w:ind w:left="360"/>
              <w:spacing w:after="0" w:line="135" w:lineRule="exact"/>
              <w:rPr>
                <w:sz w:val="20"/>
                <w:szCs w:val="20"/>
                <w:color w:val="auto"/>
              </w:rPr>
            </w:pPr>
            <w:r>
              <w:rPr>
                <w:rFonts w:ascii="Times New Roman" w:cs="Times New Roman" w:eastAsia="Times New Roman" w:hAnsi="Times New Roman"/>
                <w:sz w:val="13"/>
                <w:szCs w:val="13"/>
                <w:color w:val="auto"/>
                <w:w w:val="98"/>
              </w:rPr>
              <w:t>Maven Research, Inc.–Preferred shares, Series C</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318,979</w:t>
            </w:r>
          </w:p>
        </w:tc>
        <w:tc>
          <w:tcPr>
            <w:tcW w:w="60" w:type="dxa"/>
            <w:vAlign w:val="bottom"/>
          </w:tcPr>
          <w:p>
            <w:pPr>
              <w:spacing w:after="0"/>
              <w:rPr>
                <w:sz w:val="11"/>
                <w:szCs w:val="11"/>
                <w:color w:val="auto"/>
              </w:rPr>
            </w:pPr>
          </w:p>
        </w:tc>
        <w:tc>
          <w:tcPr>
            <w:tcW w:w="56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88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8"/>
              </w:rPr>
              <w:t>Maven Research, Inc.–Preferred shares, Series B</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49,505</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gridSpan w:val="7"/>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Knowledge Networks</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8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4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7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Digital Media Platform</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Inc.–Preferred shares, Series C-2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683,482</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1,865,547</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(1,865,547)</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Ozy Media, Inc.–Preferred shares, Series B 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922,509</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3,350,952</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(3,350,952)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7"/>
          </w:tcPr>
          <w:p>
            <w:pPr>
              <w:ind w:left="360"/>
              <w:spacing w:after="0" w:line="135" w:lineRule="exact"/>
              <w:rPr>
                <w:sz w:val="20"/>
                <w:szCs w:val="20"/>
                <w:color w:val="auto"/>
              </w:rPr>
            </w:pPr>
            <w:r>
              <w:rPr>
                <w:rFonts w:ascii="Times New Roman" w:cs="Times New Roman" w:eastAsia="Times New Roman" w:hAnsi="Times New Roman"/>
                <w:sz w:val="13"/>
                <w:szCs w:val="13"/>
                <w:color w:val="auto"/>
              </w:rPr>
              <w:t>Ozy Media, Inc.–Preferred shares, Series A 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1,090,909</w:t>
            </w:r>
          </w:p>
        </w:tc>
        <w:tc>
          <w:tcPr>
            <w:tcW w:w="60" w:type="dxa"/>
            <w:vAlign w:val="bottom"/>
          </w:tcPr>
          <w:p>
            <w:pPr>
              <w:spacing w:after="0"/>
              <w:rPr>
                <w:sz w:val="11"/>
                <w:szCs w:val="11"/>
                <w:color w:val="auto"/>
              </w:rPr>
            </w:pPr>
          </w:p>
        </w:tc>
        <w:tc>
          <w:tcPr>
            <w:tcW w:w="56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2,824,679</w:t>
            </w:r>
          </w:p>
        </w:tc>
        <w:tc>
          <w:tcPr>
            <w:tcW w:w="60" w:type="dxa"/>
            <w:vAlign w:val="bottom"/>
          </w:tcPr>
          <w:p>
            <w:pPr>
              <w:spacing w:after="0"/>
              <w:rPr>
                <w:sz w:val="11"/>
                <w:szCs w:val="11"/>
                <w:color w:val="auto"/>
              </w:rPr>
            </w:pPr>
          </w:p>
        </w:tc>
        <w:tc>
          <w:tcPr>
            <w:tcW w:w="740" w:type="dxa"/>
            <w:vAlign w:val="bottom"/>
            <w:gridSpan w:val="2"/>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(2,824,679)</w:t>
            </w: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80" w:type="dxa"/>
            <w:vAlign w:val="bottom"/>
            <w:gridSpan w:val="7"/>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Inc.–Preferred shares, Series Seed</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500,000</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1,294,645</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(1,294,645)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gridSpan w:val="7"/>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Digital Media Platform</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8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9,335,823</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4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(9,335,823)</w:t>
            </w: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7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Interactive Learning</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80" w:type="dxa"/>
            <w:vAlign w:val="bottom"/>
            <w:gridSpan w:val="7"/>
          </w:tcPr>
          <w:p>
            <w:pPr>
              <w:ind w:left="360"/>
              <w:spacing w:after="0" w:line="124" w:lineRule="exact"/>
              <w:rPr>
                <w:sz w:val="20"/>
                <w:szCs w:val="20"/>
                <w:color w:val="auto"/>
              </w:rPr>
            </w:pPr>
            <w:r>
              <w:rPr>
                <w:rFonts w:ascii="Times New Roman" w:cs="Times New Roman" w:eastAsia="Times New Roman" w:hAnsi="Times New Roman"/>
                <w:sz w:val="13"/>
                <w:szCs w:val="13"/>
                <w:color w:val="auto"/>
                <w:w w:val="98"/>
              </w:rPr>
              <w:t>StormWind, LLC–Preferred shares, Series D 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329,337</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440,515</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180,578</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621,093</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0.17%</w:t>
            </w:r>
          </w:p>
        </w:tc>
        <w:tc>
          <w:tcPr>
            <w:tcW w:w="0" w:type="dxa"/>
            <w:vAlign w:val="bottom"/>
          </w:tcPr>
          <w:p>
            <w:pPr>
              <w:spacing w:after="0"/>
              <w:rPr>
                <w:sz w:val="1"/>
                <w:szCs w:val="1"/>
                <w:color w:val="auto"/>
              </w:rPr>
            </w:pPr>
          </w:p>
        </w:tc>
      </w:tr>
      <w:tr>
        <w:trPr>
          <w:trHeight w:val="124"/>
        </w:trPr>
        <w:tc>
          <w:tcPr>
            <w:tcW w:w="2880" w:type="dxa"/>
            <w:vAlign w:val="bottom"/>
            <w:gridSpan w:val="7"/>
            <w:shd w:val="clear" w:color="auto" w:fill="CCEEFF"/>
          </w:tcPr>
          <w:p>
            <w:pPr>
              <w:ind w:left="360"/>
              <w:spacing w:after="0" w:line="124" w:lineRule="exact"/>
              <w:rPr>
                <w:sz w:val="20"/>
                <w:szCs w:val="20"/>
                <w:color w:val="auto"/>
              </w:rPr>
            </w:pPr>
            <w:r>
              <w:rPr>
                <w:rFonts w:ascii="Times New Roman" w:cs="Times New Roman" w:eastAsia="Times New Roman" w:hAnsi="Times New Roman"/>
                <w:sz w:val="13"/>
                <w:szCs w:val="13"/>
                <w:color w:val="auto"/>
                <w:w w:val="98"/>
              </w:rPr>
              <w:t>StormWind, LLC–Preferred shares, Series C 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2,779,134</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4,804,218</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1,692,511</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6,496,729</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24"/>
        </w:trPr>
        <w:tc>
          <w:tcPr>
            <w:tcW w:w="2880" w:type="dxa"/>
            <w:vAlign w:val="bottom"/>
            <w:gridSpan w:val="7"/>
          </w:tcPr>
          <w:p>
            <w:pPr>
              <w:ind w:left="360"/>
              <w:spacing w:after="0" w:line="124" w:lineRule="exact"/>
              <w:rPr>
                <w:sz w:val="20"/>
                <w:szCs w:val="20"/>
                <w:color w:val="auto"/>
              </w:rPr>
            </w:pPr>
            <w:r>
              <w:rPr>
                <w:rFonts w:ascii="Times New Roman" w:cs="Times New Roman" w:eastAsia="Times New Roman" w:hAnsi="Times New Roman"/>
                <w:sz w:val="13"/>
                <w:szCs w:val="13"/>
                <w:color w:val="auto"/>
                <w:w w:val="98"/>
              </w:rPr>
              <w:t>StormWind, LLC–Preferred shares, Series B 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3,279,629</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2,625,365</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1,798,242</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4,423,607</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24"/>
        </w:trPr>
        <w:tc>
          <w:tcPr>
            <w:tcW w:w="2880" w:type="dxa"/>
            <w:vAlign w:val="bottom"/>
            <w:gridSpan w:val="7"/>
            <w:shd w:val="clear" w:color="auto" w:fill="CCEEFF"/>
          </w:tcPr>
          <w:p>
            <w:pPr>
              <w:ind w:left="360"/>
              <w:spacing w:after="0" w:line="124" w:lineRule="exact"/>
              <w:rPr>
                <w:sz w:val="20"/>
                <w:szCs w:val="20"/>
                <w:color w:val="auto"/>
              </w:rPr>
            </w:pPr>
            <w:r>
              <w:rPr>
                <w:rFonts w:ascii="Times New Roman" w:cs="Times New Roman" w:eastAsia="Times New Roman" w:hAnsi="Times New Roman"/>
                <w:sz w:val="13"/>
                <w:szCs w:val="13"/>
                <w:color w:val="auto"/>
                <w:w w:val="98"/>
              </w:rPr>
              <w:t>StormWind, LLC–Preferred shares, Series A 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366,666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88,248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201,045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289,293</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gridSpan w:val="7"/>
            <w:vMerge w:val="restart"/>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Total Interactive Learning</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8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7,958,346</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4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3,872,376</w:t>
            </w: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5"/>
              </w:rPr>
              <w:t>11,830,722</w:t>
            </w:r>
          </w:p>
        </w:tc>
        <w:tc>
          <w:tcPr>
            <w:tcW w:w="180" w:type="dxa"/>
            <w:vAlign w:val="bottom"/>
            <w:vMerge w:val="continue"/>
          </w:tcPr>
          <w:p>
            <w:pPr>
              <w:spacing w:after="0"/>
              <w:rPr>
                <w:sz w:val="10"/>
                <w:szCs w:val="10"/>
                <w:color w:val="auto"/>
              </w:rPr>
            </w:pPr>
          </w:p>
        </w:tc>
        <w:tc>
          <w:tcPr>
            <w:tcW w:w="7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Preferred Stock</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w w:val="99"/>
              </w:rPr>
              <w:t>17,368,051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5"/>
              </w:rPr>
              <w:t>(4,664,114)</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1,879,430</w:t>
            </w:r>
          </w:p>
        </w:tc>
        <w:tc>
          <w:tcPr>
            <w:tcW w:w="8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(2,752,645)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5"/>
              </w:rPr>
              <w:t>11,830,722</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162"/>
        </w:trPr>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Digital Media Platform</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88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Inc.–Common Warrants, Strike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Price $0.01, Expiration Date 4/9/2028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295,565</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762,558</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(762,558)</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Global Innovation Platform</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w w:val="98"/>
              </w:rPr>
              <w:t>OneValley, Inc. (f/k/a NestGSV, Inc.)–Preferred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7"/>
          </w:tcPr>
          <w:p>
            <w:pPr>
              <w:ind w:left="360"/>
              <w:spacing w:after="0" w:line="135" w:lineRule="exact"/>
              <w:rPr>
                <w:sz w:val="20"/>
                <w:szCs w:val="20"/>
                <w:color w:val="auto"/>
              </w:rPr>
            </w:pPr>
            <w:r>
              <w:rPr>
                <w:rFonts w:ascii="Times New Roman" w:cs="Times New Roman" w:eastAsia="Times New Roman" w:hAnsi="Times New Roman"/>
                <w:sz w:val="13"/>
                <w:szCs w:val="13"/>
                <w:color w:val="auto"/>
              </w:rPr>
              <w:t>Warrant Series A-3 - Strike Price $1.33,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88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Expiration Date 4/4/2021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4,687</w:t>
            </w:r>
          </w:p>
        </w:tc>
        <w:tc>
          <w:tcPr>
            <w:tcW w:w="6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1"/>
                <w:szCs w:val="11"/>
                <w:color w:val="auto"/>
              </w:rPr>
              <w:t>(4,687</w:t>
            </w:r>
            <w:r>
              <w:rPr>
                <w:rFonts w:ascii="Times New Roman" w:cs="Times New Roman" w:eastAsia="Times New Roman" w:hAnsi="Times New Roman"/>
                <w:sz w:val="20"/>
                <w:szCs w:val="20"/>
                <w:color w:val="auto"/>
                <w:vertAlign w:val="superscript"/>
              </w:rPr>
              <w:t>)</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880" w:type="dxa"/>
            <w:vAlign w:val="bottom"/>
            <w:gridSpan w:val="7"/>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w w:val="98"/>
              </w:rPr>
              <w:t>OneValley, Inc. (f/k/a NestGSV, Inc.)–Preferred</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Warrant Series A-4, Strike Price $1.33,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88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Expiration Date 7/18/2021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27,500</w:t>
            </w: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1"/>
                <w:szCs w:val="11"/>
                <w:color w:val="auto"/>
              </w:rPr>
              <w:t>(74,380</w:t>
            </w:r>
            <w:r>
              <w:rPr>
                <w:rFonts w:ascii="Times New Roman" w:cs="Times New Roman" w:eastAsia="Times New Roman" w:hAnsi="Times New Roman"/>
                <w:sz w:val="20"/>
                <w:szCs w:val="20"/>
                <w:color w:val="auto"/>
                <w:vertAlign w:val="superscript"/>
              </w:rPr>
              <w:t>)</w:t>
            </w:r>
          </w:p>
        </w:tc>
        <w:tc>
          <w:tcPr>
            <w:tcW w:w="8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46,880</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117"/>
        </w:trPr>
        <w:tc>
          <w:tcPr>
            <w:tcW w:w="288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w w:val="98"/>
              </w:rPr>
              <w:t>OneValley, Inc. (f/k/a NestGSV, Inc.)–Preferred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7"/>
          </w:tcPr>
          <w:p>
            <w:pPr>
              <w:ind w:left="360"/>
              <w:spacing w:after="0" w:line="135" w:lineRule="exact"/>
              <w:rPr>
                <w:sz w:val="20"/>
                <w:szCs w:val="20"/>
                <w:color w:val="auto"/>
              </w:rPr>
            </w:pPr>
            <w:r>
              <w:rPr>
                <w:rFonts w:ascii="Times New Roman" w:cs="Times New Roman" w:eastAsia="Times New Roman" w:hAnsi="Times New Roman"/>
                <w:sz w:val="13"/>
                <w:szCs w:val="13"/>
                <w:color w:val="auto"/>
              </w:rPr>
              <w:t>Warrant Series A-4, Strike Price $1.33,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Expiration Date 10/6/2021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65,000</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(65,000)</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80" w:type="dxa"/>
            <w:vAlign w:val="bottom"/>
            <w:gridSpan w:val="7"/>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w w:val="98"/>
              </w:rPr>
              <w:t>OneValley, Inc. (f/k/a NestGSV, Inc.)–Preferred</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w w:val="99"/>
              </w:rPr>
              <w:t>Warrant Series B, Strike Price $2.31, Expiration</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Date 11/29/2021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(29,275)</w:t>
            </w: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29,275</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80" w:type="dxa"/>
            <w:vAlign w:val="bottom"/>
            <w:gridSpan w:val="7"/>
          </w:tcPr>
          <w:p>
            <w:pPr>
              <w:ind w:left="360"/>
              <w:spacing w:after="0" w:line="117" w:lineRule="exact"/>
              <w:rPr>
                <w:sz w:val="20"/>
                <w:szCs w:val="20"/>
                <w:color w:val="auto"/>
              </w:rPr>
            </w:pPr>
            <w:r>
              <w:rPr>
                <w:rFonts w:ascii="Times New Roman" w:cs="Times New Roman" w:eastAsia="Times New Roman" w:hAnsi="Times New Roman"/>
                <w:sz w:val="13"/>
                <w:szCs w:val="13"/>
                <w:color w:val="auto"/>
                <w:w w:val="98"/>
              </w:rPr>
              <w:t>OneValley, Inc. (f/k/a NestGSV, Inc.)–Preferred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7"/>
          </w:tcPr>
          <w:p>
            <w:pPr>
              <w:ind w:left="360"/>
              <w:spacing w:after="0" w:line="135" w:lineRule="exact"/>
              <w:rPr>
                <w:sz w:val="20"/>
                <w:szCs w:val="20"/>
                <w:color w:val="auto"/>
              </w:rPr>
            </w:pPr>
            <w:r>
              <w:rPr>
                <w:rFonts w:ascii="Times New Roman" w:cs="Times New Roman" w:eastAsia="Times New Roman" w:hAnsi="Times New Roman"/>
                <w:sz w:val="13"/>
                <w:szCs w:val="13"/>
                <w:color w:val="auto"/>
                <w:w w:val="99"/>
              </w:rPr>
              <w:t>Warrant Series B, Strike Price $2.31, Expiration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gridSpan w:val="7"/>
          </w:tcPr>
          <w:p>
            <w:pPr>
              <w:ind w:left="360"/>
              <w:spacing w:after="0"/>
              <w:rPr>
                <w:sz w:val="20"/>
                <w:szCs w:val="20"/>
                <w:color w:val="auto"/>
              </w:rPr>
            </w:pPr>
            <w:r>
              <w:rPr>
                <w:rFonts w:ascii="Times New Roman" w:cs="Times New Roman" w:eastAsia="Times New Roman" w:hAnsi="Times New Roman"/>
                <w:sz w:val="13"/>
                <w:szCs w:val="13"/>
                <w:color w:val="auto"/>
              </w:rPr>
              <w:t>Date 5/29/2022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125,000</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80" w:type="dxa"/>
            <w:vAlign w:val="bottom"/>
            <w:gridSpan w:val="7"/>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w w:val="98"/>
              </w:rPr>
              <w:t>OneValley, Inc. (f/k/a NestGSV, Inc.)–Preferred</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7"/>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w w:val="99"/>
              </w:rPr>
              <w:t>Warrant Series B, Strike Price $2.31, Expiration</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8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Date 12/31/2023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250,000</w:t>
            </w: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9,250</w:t>
            </w: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(4,250)</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5,000</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98"/>
        </w:trPr>
        <w:tc>
          <w:tcPr>
            <w:tcW w:w="2880" w:type="dxa"/>
            <w:vAlign w:val="bottom"/>
            <w:tcBorders>
              <w:top w:val="single" w:sz="8" w:color="CCEEFF"/>
            </w:tcBorders>
            <w:gridSpan w:val="7"/>
          </w:tcPr>
          <w:p>
            <w:pPr>
              <w:ind w:left="360"/>
              <w:spacing w:after="0" w:line="98" w:lineRule="exact"/>
              <w:rPr>
                <w:sz w:val="20"/>
                <w:szCs w:val="20"/>
                <w:color w:val="auto"/>
              </w:rPr>
            </w:pPr>
            <w:r>
              <w:rPr>
                <w:rFonts w:ascii="Times New Roman" w:cs="Times New Roman" w:eastAsia="Times New Roman" w:hAnsi="Times New Roman"/>
                <w:sz w:val="10"/>
                <w:szCs w:val="10"/>
                <w:color w:val="auto"/>
              </w:rPr>
              <w:t>Derivative Security, Expiration Date</w:t>
            </w:r>
          </w:p>
        </w:tc>
        <w:tc>
          <w:tcPr>
            <w:tcW w:w="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60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ind w:left="360"/>
              <w:spacing w:after="0" w:line="159" w:lineRule="exact"/>
              <w:rPr>
                <w:sz w:val="20"/>
                <w:szCs w:val="20"/>
                <w:color w:val="auto"/>
              </w:rPr>
            </w:pPr>
            <w:r>
              <w:rPr>
                <w:rFonts w:ascii="Times New Roman" w:cs="Times New Roman" w:eastAsia="Times New Roman" w:hAnsi="Times New Roman"/>
                <w:sz w:val="12"/>
                <w:szCs w:val="12"/>
                <w:color w:val="auto"/>
              </w:rPr>
              <w:t>8/23/2024</w:t>
            </w:r>
            <w:r>
              <w:rPr>
                <w:rFonts w:ascii="Times New Roman" w:cs="Times New Roman" w:eastAsia="Times New Roman" w:hAnsi="Times New Roman"/>
                <w:sz w:val="18"/>
                <w:szCs w:val="18"/>
                <w:color w:val="auto"/>
                <w:vertAlign w:val="superscript"/>
              </w:rPr>
              <w:t>(6)</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3"/>
                <w:szCs w:val="13"/>
                <w:color w:val="auto"/>
              </w:rPr>
            </w:pPr>
          </w:p>
        </w:tc>
        <w:tc>
          <w:tcPr>
            <w:tcW w:w="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2,173,148</w:t>
            </w:r>
          </w:p>
        </w:tc>
        <w:tc>
          <w:tcPr>
            <w:tcW w:w="60" w:type="dxa"/>
            <w:vAlign w:val="bottom"/>
          </w:tcPr>
          <w:p>
            <w:pPr>
              <w:spacing w:after="0"/>
              <w:rPr>
                <w:sz w:val="13"/>
                <w:szCs w:val="13"/>
                <w:color w:val="auto"/>
              </w:rPr>
            </w:pP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95,120</w:t>
            </w:r>
          </w:p>
        </w:tc>
        <w:tc>
          <w:tcPr>
            <w:tcW w:w="8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2,268,268</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gridSpan w:val="2"/>
          </w:tcPr>
          <w:p>
            <w:pPr>
              <w:jc w:val="right"/>
              <w:ind w:right="140"/>
              <w:spacing w:after="0" w:line="41" w:lineRule="exact"/>
              <w:rPr>
                <w:sz w:val="20"/>
                <w:szCs w:val="20"/>
                <w:color w:val="auto"/>
              </w:rPr>
            </w:pPr>
            <w:r>
              <w:rPr>
                <w:rFonts w:ascii="Times New Roman" w:cs="Times New Roman" w:eastAsia="Times New Roman" w:hAnsi="Times New Roman"/>
                <w:sz w:val="4"/>
                <w:szCs w:val="4"/>
                <w:color w:val="auto"/>
              </w:rPr>
              <w:t>0.62</w:t>
            </w:r>
          </w:p>
        </w:tc>
        <w:tc>
          <w:tcPr>
            <w:tcW w:w="0" w:type="dxa"/>
            <w:vAlign w:val="bottom"/>
          </w:tcPr>
          <w:p>
            <w:pPr>
              <w:spacing w:after="0"/>
              <w:rPr>
                <w:sz w:val="1"/>
                <w:szCs w:val="1"/>
                <w:color w:val="auto"/>
              </w:rPr>
            </w:pPr>
          </w:p>
        </w:tc>
      </w:tr>
      <w:tr>
        <w:trPr>
          <w:trHeight w:val="27"/>
        </w:trPr>
        <w:tc>
          <w:tcPr>
            <w:tcW w:w="2880" w:type="dxa"/>
            <w:vAlign w:val="bottom"/>
            <w:gridSpan w:val="7"/>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Total Global Innovation Platform</w:t>
            </w: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80" w:type="dxa"/>
            <w:vAlign w:val="bottom"/>
            <w:gridSpan w:val="7"/>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2,279,585</w:t>
            </w:r>
          </w:p>
        </w:tc>
        <w:tc>
          <w:tcPr>
            <w:tcW w:w="1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(103,655)</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97,338</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2,273,268</w:t>
            </w:r>
          </w:p>
        </w:tc>
        <w:tc>
          <w:tcPr>
            <w:tcW w:w="180" w:type="dxa"/>
            <w:vAlign w:val="bottom"/>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0.63%</w:t>
            </w:r>
          </w:p>
        </w:tc>
        <w:tc>
          <w:tcPr>
            <w:tcW w:w="0" w:type="dxa"/>
            <w:vAlign w:val="bottom"/>
          </w:tcPr>
          <w:p>
            <w:pPr>
              <w:spacing w:after="0"/>
              <w:rPr>
                <w:sz w:val="1"/>
                <w:szCs w:val="1"/>
                <w:color w:val="auto"/>
              </w:rPr>
            </w:pPr>
          </w:p>
        </w:tc>
      </w:tr>
      <w:tr>
        <w:trPr>
          <w:trHeight w:val="162"/>
        </w:trPr>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Total Options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3,042,143</w:t>
            </w: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0"/>
                <w:szCs w:val="10"/>
                <w:color w:val="auto"/>
              </w:rPr>
              <w:t>(103,655</w:t>
            </w:r>
            <w:r>
              <w:rPr>
                <w:rFonts w:ascii="Times New Roman" w:cs="Times New Roman" w:eastAsia="Times New Roman" w:hAnsi="Times New Roman"/>
                <w:sz w:val="18"/>
                <w:szCs w:val="18"/>
                <w:color w:val="auto"/>
                <w:vertAlign w:val="superscript"/>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0"/>
                <w:szCs w:val="10"/>
                <w:color w:val="auto"/>
              </w:rPr>
              <w:t>(665,220</w:t>
            </w:r>
            <w:r>
              <w:rPr>
                <w:rFonts w:ascii="Times New Roman" w:cs="Times New Roman" w:eastAsia="Times New Roman" w:hAnsi="Times New Roman"/>
                <w:sz w:val="18"/>
                <w:szCs w:val="18"/>
                <w:color w:val="auto"/>
                <w:vertAlign w:val="superscript"/>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2,273,268</w:t>
            </w:r>
          </w:p>
        </w:tc>
        <w:tc>
          <w:tcPr>
            <w:tcW w:w="7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0"/>
                <w:szCs w:val="10"/>
                <w:color w:val="auto"/>
              </w:rPr>
              <w:t>0.63</w:t>
            </w:r>
            <w:r>
              <w:rPr>
                <w:rFonts w:ascii="Times New Roman" w:cs="Times New Roman" w:eastAsia="Times New Roman" w:hAnsi="Times New Roman"/>
                <w:sz w:val="18"/>
                <w:szCs w:val="18"/>
                <w:color w:val="auto"/>
                <w:vertAlign w:val="superscript"/>
              </w:rPr>
              <w:t>%</w:t>
            </w:r>
          </w:p>
        </w:tc>
        <w:tc>
          <w:tcPr>
            <w:tcW w:w="0" w:type="dxa"/>
            <w:vAlign w:val="bottom"/>
          </w:tcPr>
          <w:p>
            <w:pPr>
              <w:spacing w:after="0"/>
              <w:rPr>
                <w:sz w:val="1"/>
                <w:szCs w:val="1"/>
                <w:color w:val="auto"/>
              </w:rPr>
            </w:pPr>
          </w:p>
        </w:tc>
      </w:tr>
      <w:tr>
        <w:trPr>
          <w:trHeight w:val="162"/>
        </w:trPr>
        <w:tc>
          <w:tcPr>
            <w:tcW w:w="2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8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Online Education</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Curious.com, Inc.–Common shares</w:t>
            </w:r>
          </w:p>
        </w:tc>
        <w:tc>
          <w:tcPr>
            <w:tcW w:w="860" w:type="dxa"/>
            <w:vAlign w:val="bottom"/>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1,135,944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Cannabis REIT</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880" w:type="dxa"/>
            <w:vAlign w:val="bottom"/>
          </w:tcPr>
          <w:p>
            <w:pPr>
              <w:ind w:left="360"/>
              <w:spacing w:after="0" w:line="117" w:lineRule="exact"/>
              <w:rPr>
                <w:sz w:val="20"/>
                <w:szCs w:val="20"/>
                <w:color w:val="auto"/>
              </w:rPr>
            </w:pPr>
            <w:r>
              <w:rPr>
                <w:rFonts w:ascii="Times New Roman" w:cs="Times New Roman" w:eastAsia="Times New Roman" w:hAnsi="Times New Roman"/>
                <w:sz w:val="13"/>
                <w:szCs w:val="13"/>
                <w:color w:val="auto"/>
              </w:rPr>
              <w:t>NewLake Capital Partners, Inc. (f/k/a</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auto"/>
              </w:rPr>
              <w:t>GreenAcreage Real Estate Corp.)**–Common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80" w:type="dxa"/>
            <w:vAlign w:val="bottom"/>
          </w:tcPr>
          <w:p>
            <w:pPr>
              <w:ind w:left="360"/>
              <w:spacing w:after="0" w:line="159" w:lineRule="exact"/>
              <w:rPr>
                <w:sz w:val="20"/>
                <w:szCs w:val="20"/>
                <w:color w:val="auto"/>
              </w:rPr>
            </w:pP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vertAlign w:val="superscript"/>
              </w:rPr>
              <w:t>(8)</w:t>
            </w:r>
          </w:p>
        </w:tc>
        <w:tc>
          <w:tcPr>
            <w:tcW w:w="8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w w:val="99"/>
              </w:rPr>
              <w:t>102,632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8,937,690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500,319</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gridSpan w:val="2"/>
          </w:tcPr>
          <w:p>
            <w:pPr>
              <w:jc w:val="right"/>
              <w:ind w:right="160"/>
              <w:spacing w:after="0" w:line="54" w:lineRule="exact"/>
              <w:rPr>
                <w:sz w:val="20"/>
                <w:szCs w:val="20"/>
                <w:color w:val="auto"/>
              </w:rPr>
            </w:pPr>
            <w:r>
              <w:rPr>
                <w:rFonts w:ascii="Times New Roman" w:cs="Times New Roman" w:eastAsia="Times New Roman" w:hAnsi="Times New Roman"/>
                <w:sz w:val="6"/>
                <w:szCs w:val="6"/>
                <w:color w:val="auto"/>
              </w:rPr>
              <w:t>$ (9,009,952</w:t>
            </w:r>
          </w:p>
        </w:tc>
        <w:tc>
          <w:tcPr>
            <w:tcW w:w="20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20" w:type="dxa"/>
            <w:vAlign w:val="bottom"/>
            <w:gridSpan w:val="2"/>
          </w:tcPr>
          <w:p>
            <w:pPr>
              <w:jc w:val="right"/>
              <w:ind w:right="100"/>
              <w:spacing w:after="0" w:line="54" w:lineRule="exact"/>
              <w:rPr>
                <w:sz w:val="20"/>
                <w:szCs w:val="20"/>
                <w:color w:val="auto"/>
              </w:rPr>
            </w:pPr>
            <w:r>
              <w:rPr>
                <w:rFonts w:ascii="Times New Roman" w:cs="Times New Roman" w:eastAsia="Times New Roman" w:hAnsi="Times New Roman"/>
                <w:sz w:val="6"/>
                <w:szCs w:val="6"/>
                <w:color w:val="auto"/>
              </w:rPr>
              <w:t>(428,057</w:t>
            </w:r>
          </w:p>
        </w:tc>
        <w:tc>
          <w:tcPr>
            <w:tcW w:w="14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Common Stock</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102,632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8,937,690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(9,009,952)</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500,319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(428,057)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6"/>
        </w:trPr>
        <w:tc>
          <w:tcPr>
            <w:tcW w:w="2880" w:type="dxa"/>
            <w:vAlign w:val="bottom"/>
            <w:tcBorders>
              <w:top w:val="single" w:sz="8" w:color="CCEEFF"/>
            </w:tcBorders>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TOTAL NON-CONTROLLED/AFFILIATE</w:t>
            </w:r>
          </w:p>
        </w:tc>
        <w:tc>
          <w:tcPr>
            <w:tcW w:w="86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880" w:type="dxa"/>
            <w:vAlign w:val="bottom"/>
          </w:tcPr>
          <w:p>
            <w:pPr>
              <w:spacing w:after="0" w:line="215" w:lineRule="exact"/>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9"/>
              </w:rPr>
              <w:t>102,632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30,165,773</w:t>
            </w:r>
          </w:p>
        </w:tc>
        <w:tc>
          <w:tcPr>
            <w:tcW w:w="80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2"/>
                <w:szCs w:val="12"/>
                <w:b w:val="1"/>
                <w:bCs w:val="1"/>
                <w:color w:val="auto"/>
                <w:w w:val="99"/>
              </w:rPr>
              <w:t>$ (9,009,952</w:t>
            </w:r>
            <w:r>
              <w:rPr>
                <w:rFonts w:ascii="Times New Roman" w:cs="Times New Roman" w:eastAsia="Times New Roman" w:hAnsi="Times New Roman"/>
                <w:sz w:val="24"/>
                <w:szCs w:val="24"/>
                <w:b w:val="1"/>
                <w:bCs w:val="1"/>
                <w:color w:val="auto"/>
                <w:w w:val="99"/>
                <w:vertAlign w:val="superscript"/>
              </w:rPr>
              <w:t>)</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500,319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2"/>
                <w:szCs w:val="12"/>
                <w:b w:val="1"/>
                <w:bCs w:val="1"/>
                <w:color w:val="auto"/>
              </w:rPr>
              <w:t>(6,009,095</w:t>
            </w:r>
            <w:r>
              <w:rPr>
                <w:rFonts w:ascii="Times New Roman" w:cs="Times New Roman" w:eastAsia="Times New Roman" w:hAnsi="Times New Roman"/>
                <w:sz w:val="24"/>
                <w:szCs w:val="24"/>
                <w:b w:val="1"/>
                <w:bCs w:val="1"/>
                <w:color w:val="auto"/>
                <w:vertAlign w:val="superscript"/>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1,864,564</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2"/>
                <w:szCs w:val="12"/>
                <w:b w:val="1"/>
                <w:bCs w:val="1"/>
                <w:color w:val="auto"/>
              </w:rPr>
              <w:t>(2,902,520</w:t>
            </w:r>
            <w:r>
              <w:rPr>
                <w:rFonts w:ascii="Times New Roman" w:cs="Times New Roman" w:eastAsia="Times New Roman" w:hAnsi="Times New Roman"/>
                <w:sz w:val="24"/>
                <w:szCs w:val="24"/>
                <w:b w:val="1"/>
                <w:bCs w:val="1"/>
                <w:color w:val="auto"/>
                <w:vertAlign w:val="superscript"/>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14,609,089</w:t>
            </w:r>
          </w:p>
        </w:tc>
        <w:tc>
          <w:tcPr>
            <w:tcW w:w="7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2"/>
                <w:szCs w:val="12"/>
                <w:b w:val="1"/>
                <w:bCs w:val="1"/>
                <w:color w:val="auto"/>
              </w:rPr>
              <w:t>4.01</w:t>
            </w:r>
            <w:r>
              <w:rPr>
                <w:rFonts w:ascii="Times New Roman" w:cs="Times New Roman" w:eastAsia="Times New Roman" w:hAnsi="Times New Roman"/>
                <w:sz w:val="24"/>
                <w:szCs w:val="24"/>
                <w:b w:val="1"/>
                <w:bCs w:val="1"/>
                <w:color w:val="auto"/>
                <w:vertAlign w:val="superscript"/>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jc w:val="both"/>
        <w:ind w:left="340" w:hanging="332"/>
        <w:spacing w:after="0" w:line="255"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89" w:lineRule="exact"/>
        <w:rPr>
          <w:sz w:val="20"/>
          <w:szCs w:val="20"/>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1940 Act. Of the Company’s total investments as of December 31, 2021, 26.91% of its total investments are non-qualifying assets.</w:t>
      </w:r>
    </w:p>
    <w:p>
      <w:pPr>
        <w:spacing w:after="0" w:line="26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25" w:lineRule="exact"/>
        <w:rPr>
          <w:sz w:val="20"/>
          <w:szCs w:val="20"/>
          <w:color w:val="auto"/>
        </w:rPr>
      </w:pPr>
    </w:p>
    <w:p>
      <w:pPr>
        <w:jc w:val="both"/>
        <w:ind w:left="460" w:hanging="452"/>
        <w:spacing w:after="0" w:line="257"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3"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total $10.0 million capital commitment representing SuRo Capital Corp.’s Membership Interest in Architect Capital PayJoy SPV, LLC had been called and funded.</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NewLake Capital Partners, Inc. (f/k/a GreenAcreage Real Estate Corp.) declared an aggregate of approximately $0.3 million in dividend distributions, of which approximately $0.1 million reflects the dividend income earned while NewLake Capital Partners, Inc. (f/k/a GreenAcreage Real Estate Corp.) was a non-controlled/affiliate investment.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188"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 On October 19, 2022, the Company’s Board of Directors approved an extension of the Share Repurchase Program until the earlier of (i) October 31, 2023 or (ii) the repurchase of $55.0 million in aggregate amount of the Company’s common stock.</w:t>
      </w:r>
    </w:p>
    <w:p>
      <w:pPr>
        <w:spacing w:after="0" w:line="188"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83"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repurchased 0 and 1,008,676 shares, respectively, of the Company’s common stock under the Share Repurchase Program. During the three and nine months ended September 30, 2021, the Company did not repurchase any shares of common stock under the Share Repurchase Program. As of September 30, 2022, the dollar value of shares that remained available to be purchased by the Company under the Share Repurchase Program was approximately $16.4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Dutch Auction Tender Offer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8, 2022, the Company commenced a modified “Dutch Auction” tender offer (the “Modified Dutch Auction Tender Offer”) to purchase up to 2,000,000 shares of its common stock from it’s stockholders, which expired on September 2, 2022. In accordance with the terms of the Modified Dutch Auction Tender Offer, the Company selected the lowest price per share of not less than $6.00 per share and not greater than $7.00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Modified Dutch Auction Tender Offer, the Company repurchased 2,000,000 shares, representing 6.6% of its outstanding shares, on or about September 12, 2022 at a price of $6.60 per share. The Company used available cash to fund the purchases of its shares of common stock in the Modified Dutch Auction Tender Offer and to pay for all related fees and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2019 Equity Incentive Plan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11—Stock-Based Compensation” for a description of the Company’s restricted shares of common stock granted under the Amended &amp; Restated 2019 Equity Incentive Plan (as defined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Paid in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4, 2021, the Company’s Board of Directors declared a dividend of $2.50 per share that was paid on June 30, 2021 to stockholders of record as of the close of business on May 18, 2021. The ex-dividend date was May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$30.0 million in cash and 2,335,527 in shares of common stock issued.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 2021, the Company’s Board of Directors declared a dividend of $2.25 per share that was paid on September 30, 2021 to stockholders of record as of the close of business on August 18, 2021. The ex-dividend date was August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$29.6 million in cash and 2,225,193 in shares of common stock issued.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 2021, the Company’s Board of Directors declared a dividend of $2.00 per share that was paid on December 30, 2021 to stockholders of record as of the close of business on November 17, 2021. The ex-dividend date was November 16,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$28.5 million in cash and 2,170,807 in shares of common stock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4.75% Convertible Senior Notes due 2023</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2021, the Company issued 0 and 4,097,808 shares, respectively,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 Refer to “Note 10—Debt Capital Activities” for more detail regarding conversion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the Shares, if any, will be made by any method that is deemed to be an “at-the-market” offering as defined in Rule 415 under the Securities Act,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issued and sold 0 and 17,807 shares, respectively, under the ATM Program at a weighted-average price of $13.01 per share, for gross proceeds of $231,677 and net proceeds of $229,896, after deducting commissions to the Agents on Shares sold. As of September 30, 2022, up to approximately $98.8 million in aggregate amount of the Shares remain available for sale under the ATM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in net assets resulting from operations per common share, pursuant to ASC 260, for the three and nine months ended September 30,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1"/>
                <w:szCs w:val="21"/>
                <w:color w:val="auto"/>
              </w:rPr>
            </w:pPr>
          </w:p>
        </w:tc>
        <w:tc>
          <w:tcPr>
            <w:tcW w:w="31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2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196"/>
        </w:trPr>
        <w:tc>
          <w:tcPr>
            <w:tcW w:w="27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 per common share–basic:</w:t>
            </w:r>
          </w:p>
        </w:tc>
        <w:tc>
          <w:tcPr>
            <w:tcW w:w="144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(45,902,250)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15,248,404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(119,785,483)</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156,607,831</w:t>
            </w:r>
          </w:p>
        </w:tc>
      </w:tr>
      <w:tr>
        <w:trPr>
          <w:trHeight w:val="250"/>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shares–basic</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29,781,801</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27,619,062</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30,542,611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24,506,181</w:t>
            </w:r>
          </w:p>
        </w:tc>
      </w:tr>
      <w:tr>
        <w:trPr>
          <w:trHeight w:val="257"/>
        </w:trPr>
        <w:tc>
          <w:tcPr>
            <w:tcW w:w="416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1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top w:val="single" w:sz="8" w:color="CCEEFF"/>
              <w:bottom w:val="single" w:sz="8" w:color="CCEEFF"/>
            </w:tcBorders>
          </w:tcPr>
          <w:p>
            <w:pPr>
              <w:spacing w:after="0"/>
              <w:rPr>
                <w:sz w:val="22"/>
                <w:szCs w:val="22"/>
                <w:color w:val="auto"/>
              </w:rPr>
            </w:pPr>
          </w:p>
        </w:tc>
      </w:tr>
      <w:tr>
        <w:trPr>
          <w:trHeight w:val="156"/>
        </w:trPr>
        <w:tc>
          <w:tcPr>
            <w:tcW w:w="416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
        </w:trPr>
        <w:tc>
          <w:tcPr>
            <w:tcW w:w="27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(45,902,250)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15,248,404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(119,785,483)</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156,607,831</w:t>
            </w:r>
          </w:p>
        </w:tc>
      </w:tr>
      <w:tr>
        <w:trPr>
          <w:trHeight w:val="201"/>
        </w:trPr>
        <w:tc>
          <w:tcPr>
            <w:tcW w:w="4160" w:type="dxa"/>
            <w:vAlign w:val="bottom"/>
            <w:gridSpan w:val="3"/>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Adjustment for interest and amortization on 4.75%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05"/>
        </w:trPr>
        <w:tc>
          <w:tcPr>
            <w:tcW w:w="4160" w:type="dxa"/>
            <w:vAlign w:val="bottom"/>
            <w:gridSpan w:val="3"/>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Convertible Senior Notes due 2023</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501,065</w:t>
            </w:r>
          </w:p>
        </w:tc>
      </w:tr>
      <w:tr>
        <w:trPr>
          <w:trHeight w:val="171"/>
        </w:trPr>
        <w:tc>
          <w:tcPr>
            <w:tcW w:w="4160" w:type="dxa"/>
            <w:vAlign w:val="bottom"/>
            <w:tcBorders>
              <w:top w:val="single" w:sz="8" w:color="CCEEFF"/>
            </w:tcBorders>
            <w:gridSpan w:val="3"/>
          </w:tcPr>
          <w:p>
            <w:pPr>
              <w:ind w:left="180"/>
              <w:spacing w:after="0" w:line="171" w:lineRule="exact"/>
              <w:rPr>
                <w:sz w:val="20"/>
                <w:szCs w:val="20"/>
                <w:color w:val="auto"/>
              </w:rPr>
            </w:pPr>
            <w:r>
              <w:rPr>
                <w:rFonts w:ascii="Times New Roman" w:cs="Times New Roman" w:eastAsia="Times New Roman" w:hAnsi="Times New Roman"/>
                <w:sz w:val="18"/>
                <w:szCs w:val="18"/>
                <w:color w:val="auto"/>
              </w:rPr>
              <w:t>Net change in net assets resulting from operations, as</w:t>
            </w: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61"/>
        </w:trPr>
        <w:tc>
          <w:tcPr>
            <w:tcW w:w="4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(45,902,250)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15,248,404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(119,785,483)</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157,108,896</w:t>
            </w:r>
          </w:p>
        </w:tc>
      </w:tr>
      <w:tr>
        <w:trPr>
          <w:trHeight w:val="201"/>
        </w:trPr>
        <w:tc>
          <w:tcPr>
            <w:tcW w:w="4160" w:type="dxa"/>
            <w:vAlign w:val="bottom"/>
            <w:gridSpan w:val="3"/>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Adjustment for dilutive effect of 4.75% Convertible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05"/>
        </w:trPr>
        <w:tc>
          <w:tcPr>
            <w:tcW w:w="4160" w:type="dxa"/>
            <w:vAlign w:val="bottom"/>
            <w:gridSpan w:val="3"/>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Senior Notes due 2023</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1,198,918</w:t>
            </w:r>
          </w:p>
        </w:tc>
      </w:tr>
      <w:tr>
        <w:trPr>
          <w:trHeight w:val="210"/>
        </w:trPr>
        <w:tc>
          <w:tcPr>
            <w:tcW w:w="416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29,781,801</w:t>
            </w:r>
          </w:p>
        </w:tc>
        <w:tc>
          <w:tcPr>
            <w:tcW w:w="3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27,619,062</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30,542,611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25,705,099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4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2022 and the three months ended September 30, 2021, there were no potentially dilutive securities outstanding. For the nine months ended September 30, 2021, 0 potentially dilutive common shares were excluded from the weighted-average common shares outstanding for diluted net increase in net assets resulting from operations per common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As of September 30, 2022 and December 31, 2021, the Company had $1,330,000 and $1,330,000, respectively, in non-binding investment agreements that required it to make a future investment in a portfolio company.</w:t>
      </w:r>
    </w:p>
    <w:p>
      <w:pPr>
        <w:spacing w:after="0" w:line="17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76"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As of September 30, 2022 and December 31, 2021, the Company booked a right-of-use asset and operating lease liability of $333,882 and $470,508, respectively, on the Condensed Consolidated Statement of Assets and Liabilities. As of September 30, 2022 and December 31, 2021, the Company recorded a security deposit of $16,574 and $16,574, respectively, on the Condensed Consolidated Statement of Assets and Liabilities. For the three months ended September 30, 2022 and 2021, the Company incurred $48,738 and $47,362, respectively, of operating lease expense. For the nine months ended September 30, 2022 and 2021, the Company incurred $143,459 and $139,406, respectively, of operating lease expense. The amounts reflected on the Condensed Consolidated Statement of Assets and Liabilities have been discounted using the rate implicit in the lease. As of September 30, 2022, the remaining lease term was 1.8 years and the discount rate was 3.00%.</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future minimum payments under the Company’s operating lease as of September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20" w:type="dxa"/>
            <w:vAlign w:val="bottom"/>
            <w:gridSpan w:val="4"/>
          </w:tcPr>
          <w:p>
            <w:pPr>
              <w:jc w:val="right"/>
              <w:ind w:right="3116"/>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1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jc w:val="right"/>
              <w:ind w:right="423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46,868</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6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jc w:val="right"/>
              <w:ind w:right="42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3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113,603</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9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351,221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900" w:type="dxa"/>
            <w:vAlign w:val="bottom"/>
            <w:tcBorders>
              <w:bottom w:val="single" w:sz="8" w:color="auto"/>
            </w:tcBorders>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8—FINANCIAL HIGHLIGHTS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4"/>
                <w:szCs w:val="24"/>
                <w:color w:val="auto"/>
              </w:rPr>
            </w:pPr>
          </w:p>
        </w:tc>
        <w:tc>
          <w:tcPr>
            <w:tcW w:w="33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Basic Share Data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the year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9.24</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16.56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investment loss</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57"/>
        </w:trPr>
        <w:tc>
          <w:tcPr>
            <w:tcW w:w="39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realized gain/(loss) on investments</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0.93</w:t>
            </w:r>
          </w:p>
        </w:tc>
        <w:tc>
          <w:tcPr>
            <w:tcW w:w="180" w:type="dxa"/>
            <w:vAlign w:val="bottom"/>
          </w:tcPr>
          <w:p>
            <w:pPr>
              <w:spacing w:after="0"/>
              <w:rPr>
                <w:sz w:val="22"/>
                <w:szCs w:val="22"/>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1"/>
        </w:trPr>
        <w:tc>
          <w:tcPr>
            <w:tcW w:w="392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Net change in unrealized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92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appreciation/(depreciation) of investments</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dividend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57"/>
        </w:trPr>
        <w:tc>
          <w:tcPr>
            <w:tcW w:w="39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Issuance of common stock from public offering</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92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Issuance of common stock from conversion of</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92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4.75% Convertible Notes due 2023</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56"/>
        </w:trPr>
        <w:tc>
          <w:tcPr>
            <w:tcW w:w="39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Repurchase of common stock</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39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57"/>
        </w:trPr>
        <w:tc>
          <w:tcPr>
            <w:tcW w:w="39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4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2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market value at end of period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12.91</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market value</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30.46%</w:t>
            </w:r>
          </w:p>
        </w:tc>
        <w:tc>
          <w:tcPr>
            <w:tcW w:w="180" w:type="dxa"/>
            <w:vAlign w:val="bottom"/>
          </w:tcPr>
          <w:p>
            <w:pPr>
              <w:spacing w:after="0"/>
              <w:rPr>
                <w:sz w:val="22"/>
                <w:szCs w:val="22"/>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28,333,661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28,781,016</w:t>
            </w:r>
          </w:p>
        </w:tc>
        <w:tc>
          <w:tcPr>
            <w:tcW w:w="18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28,333,661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28,781,016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221,783,611</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425,766,489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221,783,611</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425,766,489</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net assets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278,994,914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427,927,307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340,160,110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389,106,239</w:t>
            </w:r>
          </w:p>
        </w:tc>
        <w:tc>
          <w:tcPr>
            <w:tcW w:w="0" w:type="dxa"/>
            <w:vAlign w:val="bottom"/>
          </w:tcPr>
          <w:p>
            <w:pPr>
              <w:spacing w:after="0"/>
              <w:rPr>
                <w:sz w:val="1"/>
                <w:szCs w:val="1"/>
                <w:color w:val="auto"/>
              </w:rPr>
            </w:pPr>
          </w:p>
        </w:tc>
      </w:tr>
      <w:tr>
        <w:trPr>
          <w:trHeight w:val="175"/>
        </w:trPr>
        <w:tc>
          <w:tcPr>
            <w:tcW w:w="392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8"/>
                <w:szCs w:val="18"/>
                <w:color w:val="auto"/>
              </w:rPr>
              <w:t>Ratio of net operating expenses to average net</w:t>
            </w: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assets</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1"/>
        </w:trPr>
        <w:tc>
          <w:tcPr>
            <w:tcW w:w="3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gridSpan w:val="2"/>
          </w:tcPr>
          <w:p>
            <w:pPr>
              <w:jc w:val="right"/>
              <w:ind w:right="320"/>
              <w:spacing w:after="0" w:line="81" w:lineRule="exact"/>
              <w:rPr>
                <w:sz w:val="20"/>
                <w:szCs w:val="20"/>
                <w:color w:val="auto"/>
              </w:rPr>
            </w:pPr>
            <w:r>
              <w:rPr>
                <w:rFonts w:ascii="Times New Roman" w:cs="Times New Roman" w:eastAsia="Times New Roman" w:hAnsi="Times New Roman"/>
                <w:sz w:val="9"/>
                <w:szCs w:val="9"/>
                <w:color w:val="auto"/>
              </w:rPr>
              <w:t>5.14</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gridSpan w:val="2"/>
          </w:tcPr>
          <w:p>
            <w:pPr>
              <w:jc w:val="right"/>
              <w:ind w:right="440"/>
              <w:spacing w:after="0" w:line="81" w:lineRule="exact"/>
              <w:rPr>
                <w:sz w:val="20"/>
                <w:szCs w:val="20"/>
                <w:color w:val="auto"/>
              </w:rPr>
            </w:pPr>
            <w:r>
              <w:rPr>
                <w:rFonts w:ascii="Times New Roman" w:cs="Times New Roman" w:eastAsia="Times New Roman" w:hAnsi="Times New Roman"/>
                <w:sz w:val="9"/>
                <w:szCs w:val="9"/>
                <w:color w:val="auto"/>
              </w:rPr>
              <w:t>2.41</w:t>
            </w:r>
          </w:p>
        </w:tc>
        <w:tc>
          <w:tcPr>
            <w:tcW w:w="180" w:type="dxa"/>
            <w:vAlign w:val="bottom"/>
          </w:tcPr>
          <w:p>
            <w:pPr>
              <w:spacing w:after="0"/>
              <w:rPr>
                <w:sz w:val="8"/>
                <w:szCs w:val="8"/>
                <w:color w:val="auto"/>
              </w:rPr>
            </w:pPr>
          </w:p>
        </w:tc>
        <w:tc>
          <w:tcPr>
            <w:tcW w:w="1560" w:type="dxa"/>
            <w:vAlign w:val="bottom"/>
            <w:gridSpan w:val="2"/>
          </w:tcPr>
          <w:p>
            <w:pPr>
              <w:jc w:val="right"/>
              <w:ind w:right="320"/>
              <w:spacing w:after="0" w:line="81" w:lineRule="exact"/>
              <w:rPr>
                <w:sz w:val="20"/>
                <w:szCs w:val="20"/>
                <w:color w:val="auto"/>
              </w:rPr>
            </w:pPr>
            <w:r>
              <w:rPr>
                <w:rFonts w:ascii="Times New Roman" w:cs="Times New Roman" w:eastAsia="Times New Roman" w:hAnsi="Times New Roman"/>
                <w:sz w:val="9"/>
                <w:szCs w:val="9"/>
                <w:color w:val="auto"/>
              </w:rPr>
              <w:t>4.89</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2.81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Ratio of net investment loss to average net assets</w:t>
            </w:r>
            <w:r>
              <w:rPr>
                <w:rFonts w:ascii="Times New Roman" w:cs="Times New Roman" w:eastAsia="Times New Roman" w:hAnsi="Times New Roman"/>
                <w:sz w:val="26"/>
                <w:szCs w:val="26"/>
                <w:color w:val="auto"/>
                <w:vertAlign w:val="superscript"/>
              </w:rPr>
              <w:t>(3)</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weighted-average number of shares outstanding for the relevant period.</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ratios are calculated for the Company’s common stock taken as a whole, an individual investor’s ratios may vary from these ratios.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declared distributions of $0 and $0.11 per share, respectively.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September 30, 2022, 100% would be from net realized investment gains. However, there can be no certainty to stockholders that this determination is representative of what the actual tax attributes of the Company’s fiscal year of 2022 distributions to stockholders will be.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7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and the Taxable Subsidiaries identified their major tax jurisdictions as U.S. federal, New York, and California and may be subject to the taxing authorities’ examination for the tax years 2019–2022 and 2018–2022, respectively. Further, the Company and the Taxable Subsidiaries accrue all interest and penalties related to uncertain tax positions as incurred. As of September 30, 2022, there were no material interest or penalties incurred related to uncertain tax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6.00% Notes due 2026</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17, 2021, the Company issued $70.0 million aggregate principal amount of its 6.00% Notes due 2026 (the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6.00% Notes due 2026 are direct unsecured obligations of the Company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6.00% Notes due 2026 are listed for trading on the Nasdaq Global Select Market under the symbol “SSSSL”. The reported closing market price of SSSSL on September 30, 2022 and December 31, 2021 was $23.95 and $25.68 per note, respectively. As of September 30, 2022 and December 31, 2021, the fair value of the 6.00% Notes due 2026 was $71.9 million and $77.0 million, respectively. The 6.00% Notes due 2026 are classified as Level 1 of the fair value hierarchy (Refer to “Note 2 — Significant Accounting Policies”). As of September 30, 2022 and December 31, 2021, the Company was in compliance with the terms of the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w:t>
      </w:r>
    </w:p>
    <w:p>
      <w:pPr>
        <w:spacing w:after="0" w:line="229"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On March 28, 2018, the Company issued $40.0 million aggregate principal amount of convertible senior notes, which bore interest at a fixed rate of 4.75% per year, payable semi-annually in arrears on March 31 and September 30 of each year, commencing on September 30, 2018. The 4.75% Convertible Senior Notes due 2023 had a maturity date of March 28, 2023 (the “4.75% Convertible Senior Notes due 2023”), unless previously repurchased or converted in accordance with their terms. The Company did not have the right to redeem the 4.75% Convertible Senior Notes due 2023 prior to March 27, 2021. On or after March 27, 2021, the Company could redeem the 4.75% Convertible Senior Notes due 2023 for cash, in whole or in part, from time to time, at the Company’s option if (i) the closing sale price of the Company’s common stock for at least 15 trading days (whether or not consecutive) during the period of any 20 consecutive trading days was greater than or equal to 150% of the conversion price on each applicable trading day,</w:t>
      </w:r>
    </w:p>
    <w:p>
      <w:pPr>
        <w:spacing w:after="0" w:line="3" w:lineRule="exact"/>
        <w:rPr>
          <w:sz w:val="20"/>
          <w:szCs w:val="20"/>
          <w:color w:val="auto"/>
        </w:rPr>
      </w:pPr>
    </w:p>
    <w:p>
      <w:pPr>
        <w:jc w:val="both"/>
        <w:ind w:firstLine="8"/>
        <w:spacing w:after="0" w:line="255" w:lineRule="auto"/>
        <w:tabs>
          <w:tab w:leader="none" w:pos="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public announcement of a pending, proposed or intended fundamental change had occurred which had not been abandoned, terminated or consummated, and (iii) no event of default under the indenture governing the 4.75% Convertible Senior Notes due 2023, and no event that with the passage of time or giving of notice would constitute an event of default under such indenture, had occurred or existed.</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of these conditions were met and on February 19, 2021, the Company caused notices to be issued to the holders of the 4.75% Convertible Senior Notes due 2023 regarding the Company’s exercise of its option to redeem, in whole, the issued and outstanding 4.75% Convertible Senior Notes due 2023, pursuant to the governing indenture. The Company established March 29, 2021 as the date on which all of the 4.75% Convertible Senior Notes due 2023 would be redeemed (the “Redemption Date”), at 100% of their principal amount ($1,000 per convertible note), plus the accrued and unpaid interest thereon from September 30, 2020, through, but excluding, the Redemption Date. Holders of the 4.75% Convertible Senior Notes due 2023 had the option to surrender their 4.75% Convertible Senior Notes due 2023 for conversion into shares of the Company’s common stock at the then existing conversion rate, in lieu of receiving cash, at any time prior to the close of business on the business day immediately preceding the Redemption Date.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the Redemption Date, the Company redeemed $0.3 million in aggregate principal amount of the 4.75% Convertible Senior Notes due 2023 at a redemption price equal to 100% of their principal amount ($1,000 per convertible note), plus accrued and unpaid interest thereon. Due to the election of certain holders to surrender their 4.75% Convertible Senior Notes due 2023 for conversion into shares of the Company’s common stock prior to the Redemption Date, the Company issued a total of 4,272,696 shares since the 4.75% Convertible Senior Notes due 2023 were initially issued. As result of such redemption and conversions, the 4.75% Convertible Senior Notes due 2023 were no longer outstanding as of the Redemption Date.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changed to 108.0505 shares of the Company’s common stock for each $1,000 principal amount of the 4.75% Convertible Senior Notes due 2023, which represented a conversion price of approximately $9.25 per share.</w:t>
      </w:r>
    </w:p>
    <w:p>
      <w:pPr>
        <w:spacing w:after="0" w:line="183"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indenture governing the 4.75% Convertible Senior Notes due 2023 contained customary financial reporting requirements and contained certain restrictions on mergers, consolidations, and asset sales. The indenture also contained certain events of default, the occurrence of which could have caused the 4.75% Convertible Senior Notes due 2023 to become due and payable before their maturity or immediately.</w:t>
      </w:r>
    </w:p>
    <w:p>
      <w:pPr>
        <w:spacing w:after="0" w:line="17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from the aggregate principal amount of 4.75% Convertible Senior Notes due 2023 to the balance shown on the Condensed Consolidated Statement of Assets and Liabilities.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aggregate principal amount of 4.75% Convertible Senior Notes due 2023</w:t>
            </w:r>
          </w:p>
        </w:tc>
        <w:tc>
          <w:tcPr>
            <w:tcW w:w="1740" w:type="dxa"/>
            <w:vAlign w:val="bottom"/>
            <w:tcBorders>
              <w:top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4.75% Convertible Senior Notes due 2023</w:t>
            </w:r>
          </w:p>
        </w:tc>
        <w:tc>
          <w:tcPr>
            <w:tcW w:w="174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(37,925,000)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4.75% Convertible Senior Notes due 2023</w:t>
            </w:r>
          </w:p>
        </w:tc>
        <w:tc>
          <w:tcPr>
            <w:tcW w:w="1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(290,000)</w:t>
            </w:r>
          </w:p>
        </w:tc>
      </w:tr>
      <w:tr>
        <w:trPr>
          <w:trHeight w:val="23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Direct deduction of deferred debt issuance costs</w:t>
            </w:r>
          </w:p>
        </w:tc>
        <w:tc>
          <w:tcPr>
            <w:tcW w:w="174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4.75% Convertible Senior Notes due 2023 Payable</w:t>
            </w:r>
          </w:p>
        </w:tc>
        <w:tc>
          <w:tcPr>
            <w:tcW w:w="1740" w:type="dxa"/>
            <w:vAlign w:val="bottom"/>
            <w:tcBorders>
              <w:top w:val="single" w:sz="8" w:color="auto"/>
              <w:bottom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4.75% Convertible Senior Notes due 2023 were the Company’s general, unsecured, senior obligations and ranked senior in right of payment to any future indebtedness that was expressly subordinated in right of payment to the 4.75% Convertible Senior Notes due 2023, equal in right of payment to any existing and future unsecured indebtedness that was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4.75% Convertible Senior Notes due 2023, the Company was required under the terms of its credit facility with Western Alliance Bank (the “Credit Facility”)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with Western Alliance Bank matured on May 31, 2019. As a result, the company is no longer subject to such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Nasdaq on the date of grant.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Stock Option Awards Under 2019 Equity Incentive Plan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of July 17, 2019 Grant</w:t>
            </w:r>
          </w:p>
        </w:tc>
      </w:tr>
      <w:tr>
        <w:trPr>
          <w:trHeight w:val="245"/>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 Assumptions</w:t>
            </w:r>
          </w:p>
        </w:tc>
        <w:tc>
          <w:tcPr>
            <w:tcW w:w="25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6"/>
        </w:trPr>
        <w:tc>
          <w:tcPr>
            <w:tcW w:w="8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2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2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39.47%</w:t>
            </w: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5400" w:type="dxa"/>
            <w:vAlign w:val="bottom"/>
          </w:tcPr>
          <w:p>
            <w:pPr>
              <w:spacing w:after="0"/>
              <w:rPr>
                <w:sz w:val="21"/>
                <w:szCs w:val="21"/>
                <w:color w:val="auto"/>
              </w:rPr>
            </w:pPr>
          </w:p>
        </w:tc>
        <w:tc>
          <w:tcPr>
            <w:tcW w:w="2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1"/>
                <w:szCs w:val="21"/>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1"/>
                <w:szCs w:val="21"/>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1,155,000</w:t>
            </w:r>
          </w:p>
        </w:tc>
        <w:tc>
          <w:tcPr>
            <w:tcW w:w="3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5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21"/>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September 30, 2022 and December 31, 2021</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there was $0 of total unrecognized compensation cost related to non-vested stock options granted under the 2019 Equity Incentive Plan, as the options were cancelled effective April 28,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2019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During the nine months ended September 30, 2022, the Company granted 241,827 restricted shares to the Company’s officers pursuant to the Amended</w:t>
      </w:r>
    </w:p>
    <w:p>
      <w:pPr>
        <w:spacing w:after="0" w:line="39" w:lineRule="exact"/>
        <w:rPr>
          <w:sz w:val="20"/>
          <w:szCs w:val="20"/>
          <w:color w:val="auto"/>
        </w:rPr>
      </w:pPr>
    </w:p>
    <w:p>
      <w:pPr>
        <w:jc w:val="both"/>
        <w:ind w:firstLine="8"/>
        <w:spacing w:after="0" w:line="253" w:lineRule="auto"/>
        <w:tabs>
          <w:tab w:leader="none" w:pos="1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2019 Equity Incentive Plan. These restricted shares have a vesting period of 3 years. The Company determined that the fair values, based on the grant date close price of such restricted shares granted under the Amended &amp; Restated 2019 Equity Incentive Plan during the nine months ended September 30, 2022 and 2021 were approximately $2,885,000 and $3,078,182, respectively, in the aggregate. On July 2, 2021, 21,760 restricted shares related to the 2020 non-employee director grants vested. The Company expensed the full value of restricted stock compensation related to annual non-employee director grants on the vesting date. On June 1, 2022, 15,080 restricted shares related to the 2021 non-employee director grants vested.</w:t>
      </w:r>
    </w:p>
    <w:p>
      <w:pPr>
        <w:spacing w:after="0" w:line="18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there were approximately $6,722,397 and $2,929,830, respectively, of total unrecognized compensation costs related to the restricted share grants. Compensation expense associated with the restricted shares is recognized on a quarterly basis over the respective vesting periods.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activities for the Company’s restricted share grants for the nine months ended September 30, 2022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&amp; Restated 2019 Equity Incentive Plan:</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r>
      <w:tr>
        <w:trPr>
          <w:trHeight w:val="245"/>
        </w:trPr>
        <w:tc>
          <w:tcPr>
            <w:tcW w:w="7020" w:type="dxa"/>
            <w:vAlign w:val="bottom"/>
          </w:tcPr>
          <w:p>
            <w:pPr>
              <w:spacing w:after="0"/>
              <w:rPr>
                <w:sz w:val="21"/>
                <w:szCs w:val="21"/>
                <w:color w:val="auto"/>
              </w:rPr>
            </w:pP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369,298</w:t>
            </w: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277,037</w:t>
            </w:r>
          </w:p>
        </w:tc>
        <w:tc>
          <w:tcPr>
            <w:tcW w:w="80" w:type="dxa"/>
            <w:vAlign w:val="bottom"/>
          </w:tcPr>
          <w:p>
            <w:pPr>
              <w:spacing w:after="0"/>
              <w:rPr>
                <w:sz w:val="21"/>
                <w:szCs w:val="21"/>
                <w:color w:val="auto"/>
              </w:rPr>
            </w:pPr>
          </w:p>
        </w:tc>
      </w:tr>
      <w:tr>
        <w:trPr>
          <w:trHeight w:val="256"/>
        </w:trPr>
        <w:tc>
          <w:tcPr>
            <w:tcW w:w="70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9"/>
                <w:szCs w:val="29"/>
                <w:color w:val="auto"/>
                <w:vertAlign w:val="superscript"/>
              </w:rPr>
              <w:t>(1)</w:t>
            </w: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(86,541)</w:t>
            </w:r>
          </w:p>
        </w:tc>
      </w:tr>
      <w:tr>
        <w:trPr>
          <w:trHeight w:val="237"/>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2022</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544,794</w:t>
            </w:r>
          </w:p>
        </w:tc>
        <w:tc>
          <w:tcPr>
            <w:tcW w:w="80" w:type="dxa"/>
            <w:vAlign w:val="bottom"/>
            <w:tcBorders>
              <w:top w:val="single" w:sz="8" w:color="CCEEFF"/>
            </w:tcBorders>
            <w:shd w:val="clear" w:color="auto" w:fill="CCEEFF"/>
          </w:tcPr>
          <w:p>
            <w:pPr>
              <w:spacing w:after="0"/>
              <w:rPr>
                <w:sz w:val="19"/>
                <w:szCs w:val="19"/>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September 30, 2022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108,301</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vested shares as of September 30, 2022 reflects the total shares vested during the period and has not been reduced for those vested shares forfeited at time of vest related to net share settlement.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 On June 16, 2020, the Company received exemptive relief from the SEC to permit such withholding of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Activity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October 1, 2022 through November 8, 2022, the Company exited or received proceeds from the following investments: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Net Share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Realized</w:t>
            </w: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6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Price </w:t>
            </w:r>
            <w:r>
              <w:rPr>
                <w:rFonts w:ascii="Times New Roman" w:cs="Times New Roman" w:eastAsia="Times New Roman" w:hAnsi="Times New Roman"/>
                <w:sz w:val="29"/>
                <w:szCs w:val="29"/>
                <w:b w:val="1"/>
                <w:bCs w:val="1"/>
                <w:color w:val="auto"/>
                <w:vertAlign w:val="superscript"/>
              </w:rPr>
              <w:t>(1)</w:t>
            </w: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Net Proceeds</w:t>
            </w: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2"/>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w w:val="99"/>
              </w:rPr>
              <w:t>Gain/(Loss)</w:t>
            </w:r>
            <w:r>
              <w:rPr>
                <w:rFonts w:ascii="Times New Roman" w:cs="Times New Roman" w:eastAsia="Times New Roman" w:hAnsi="Times New Roman"/>
                <w:sz w:val="29"/>
                <w:szCs w:val="29"/>
                <w:b w:val="1"/>
                <w:bCs w:val="1"/>
                <w:color w:val="auto"/>
                <w:w w:val="99"/>
                <w:vertAlign w:val="superscript"/>
              </w:rPr>
              <w:t>(2)</w:t>
            </w:r>
          </w:p>
        </w:tc>
        <w:tc>
          <w:tcPr>
            <w:tcW w:w="100" w:type="dxa"/>
            <w:vAlign w:val="bottom"/>
            <w:tcBorders>
              <w:bottom w:val="single" w:sz="8" w:color="CCEEFF"/>
            </w:tcBorders>
            <w:gridSpan w:val="2"/>
          </w:tcPr>
          <w:p>
            <w:pPr>
              <w:spacing w:after="0"/>
              <w:rPr>
                <w:sz w:val="24"/>
                <w:szCs w:val="24"/>
                <w:color w:val="auto"/>
              </w:rPr>
            </w:pPr>
          </w:p>
        </w:tc>
      </w:tr>
      <w:tr>
        <w:trPr>
          <w:trHeight w:val="257"/>
        </w:trPr>
        <w:tc>
          <w:tcPr>
            <w:tcW w:w="3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Rover Group, Inc.</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106,854</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420,217</w:t>
            </w:r>
          </w:p>
        </w:tc>
        <w:tc>
          <w:tcPr>
            <w:tcW w:w="2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100,806</w:t>
            </w:r>
          </w:p>
        </w:tc>
        <w:tc>
          <w:tcPr>
            <w:tcW w:w="80" w:type="dxa"/>
            <w:vAlign w:val="bottom"/>
            <w:shd w:val="clear" w:color="auto" w:fill="CCEEFF"/>
          </w:tcPr>
          <w:p>
            <w:pPr>
              <w:spacing w:after="0"/>
              <w:rPr>
                <w:sz w:val="22"/>
                <w:szCs w:val="22"/>
                <w:color w:val="auto"/>
              </w:rPr>
            </w:pPr>
          </w:p>
        </w:tc>
      </w:tr>
      <w:tr>
        <w:trPr>
          <w:trHeight w:val="257"/>
        </w:trPr>
        <w:tc>
          <w:tcPr>
            <w:tcW w:w="3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Kahoot! ASA</w:t>
            </w:r>
            <w:r>
              <w:rPr>
                <w:rFonts w:ascii="Times New Roman" w:cs="Times New Roman" w:eastAsia="Times New Roman" w:hAnsi="Times New Roman"/>
                <w:sz w:val="29"/>
                <w:szCs w:val="29"/>
                <w:color w:val="auto"/>
                <w:vertAlign w:val="superscript"/>
              </w:rPr>
              <w:t>(4)</w:t>
            </w: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10/19/2022</w:t>
            </w:r>
          </w:p>
        </w:tc>
        <w:tc>
          <w:tcPr>
            <w:tcW w:w="340" w:type="dxa"/>
            <w:vAlign w:val="bottom"/>
          </w:tcPr>
          <w:p>
            <w:pPr>
              <w:spacing w:after="0"/>
              <w:rPr>
                <w:sz w:val="22"/>
                <w:szCs w:val="22"/>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61,367</w:t>
            </w:r>
          </w:p>
        </w:tc>
        <w:tc>
          <w:tcPr>
            <w:tcW w:w="280" w:type="dxa"/>
            <w:vAlign w:val="bottom"/>
          </w:tcPr>
          <w:p>
            <w:pPr>
              <w:spacing w:after="0"/>
              <w:rPr>
                <w:sz w:val="22"/>
                <w:szCs w:val="22"/>
                <w:color w:val="auto"/>
              </w:rPr>
            </w:pPr>
          </w:p>
        </w:tc>
        <w:tc>
          <w:tcPr>
            <w:tcW w:w="15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2"/>
                <w:szCs w:val="2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130,210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(151,861)</w:t>
            </w:r>
          </w:p>
        </w:tc>
      </w:tr>
      <w:tr>
        <w:trPr>
          <w:trHeight w:val="201"/>
        </w:trPr>
        <w:tc>
          <w:tcPr>
            <w:tcW w:w="3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Residential Homes For Rent, LLC (d/b/a</w:t>
            </w: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305"/>
        </w:trPr>
        <w:tc>
          <w:tcPr>
            <w:tcW w:w="33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Second Avenue)</w:t>
            </w:r>
            <w:r>
              <w:rPr>
                <w:rFonts w:ascii="Times New Roman" w:cs="Times New Roman" w:eastAsia="Times New Roman" w:hAnsi="Times New Roman"/>
                <w:sz w:val="29"/>
                <w:szCs w:val="29"/>
                <w:color w:val="auto"/>
                <w:vertAlign w:val="superscript"/>
              </w:rPr>
              <w:t>(5)</w:t>
            </w:r>
          </w:p>
        </w:tc>
        <w:tc>
          <w:tcPr>
            <w:tcW w:w="12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10/30/2022</w:t>
            </w:r>
          </w:p>
        </w:tc>
        <w:tc>
          <w:tcPr>
            <w:tcW w:w="3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83,333</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3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633,760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(51,055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11, 2022, SuRo Capital had sold all its public common shares of Rover Group, Inc.</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8, 2022, SuRo Capital held 38,305 common shares of Kahoot! ASA, all of which are subject to lock-up restrictions.</w:t>
      </w:r>
    </w:p>
    <w:p>
      <w:pPr>
        <w:spacing w:after="0" w:line="9" w:lineRule="exact"/>
        <w:rPr>
          <w:sz w:val="20"/>
          <w:szCs w:val="20"/>
          <w:color w:val="auto"/>
        </w:rPr>
      </w:pPr>
    </w:p>
    <w:p>
      <w:pPr>
        <w:jc w:val="both"/>
        <w:ind w:left="340" w:hanging="332"/>
        <w:spacing w:after="0" w:line="255"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September 30, 2022, $0.1 million has been received from Residential Homes for Rent, LLC (d/b/a Second Avenue) related to the 15% term loan due December 23, 2023. Of the proceeds received, $0.1 million repaid a portion of the outstanding principal and the remaining proceeds were attributed to interest.</w:t>
      </w:r>
    </w:p>
    <w:p>
      <w:pPr>
        <w:spacing w:after="0" w:line="18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October 1, 2022 through November 8, 2022, the Company did not purchase any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October 1, 2022 through November 8, 2022, the Company had $1.3 million in non-binding investment agreements that required it to make a future investment in a portfolio company.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19, 2022, the Company’s Board of Directors approved an extension of the Share Repurchase Program until the earlier of (i) October 31, 2023 or (ii) the repurchase of $55.0 million in aggregate amount of the Company’s common stock. See “Note 5 - Common Stock - Share Repurchase Program” for more information regarding the Company’s Share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Over two years after COVID-19 was recognized as a pandemic by the World Health Organization, its continued persistence in the United States and worldwide and the magnitude of the economic impact of the outbreak continue to create an uncertain environment in which we and our portfolio companies operate. 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The COVID-19 pandemic and preventative measures taken to contain or mitigate its spread have caused, and are continuing to cause, business shutdowns, cancellations of events and travel, significant reductions in demand for certain goods and services, reductions in business activity and financial transactions, supply chain interruptions and overall economic and financial market instability both globally and in the United States. Such effects will likely continue for the duration of the pandemic, which is uncertain, and for some period thereafter.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instituted a temporary work-from-home policy in March 2020, pursuant to which our employees primarily worked remotely without disruption to our operations. This policy was amended in February 2022 when it was deemed safe to return to our offices. As of November 8, 2022, there is no indication of a reportable subsequent event impacting the Company’s financial statements for the nine months ended September 30, 2022. The Company continues to observe and respond to the evolving COVID-19 environment and its potential impact on areas across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Revised Custody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28, 2022, the Company and U.S. Bank Trust Company, National Association (the “Securities Custodian”) entered into a custody agreement (the “Securities Custody Agreement”), pursuant to which the Securities Custodian was appointed to serve as the Company’s custodian to hold securities, loans, cash, and other assets on behalf of the Company. Either party may terminate the Securities Custody Agreement at any time upon sixty (60) days’ prior written notice. Also on October 28, 2022, the Company and U.S. Bank, National Association (in such capacity, the “Document Custodian”)</w:t>
      </w:r>
    </w:p>
    <w:p>
      <w:pPr>
        <w:sectPr>
          <w:pgSz w:w="11900" w:h="16838" w:orient="portrait"/>
          <w:cols w:equalWidth="0" w:num="1">
            <w:col w:w="11240"/>
          </w:cols>
          <w:pgMar w:left="320" w:top="684" w:right="339" w:bottom="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entered into a custody agreement (the “Document Custody Agreement”), pursuant to which the Document Custodian was appointed to serve as the Company’s custodian to hold certain documents on behalf of the Company. Either party may terminate the Document Custody Agreement at any time upon sixty (60) days’ prior written notice.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Company’s entry into the Securities Custody Agreement and Document Custody Agreement, the Company terminated its existing custody agreement with U.S. Bank, National Association (the “Prior Custody Agreement”), effective October 28, 2022. Other than ordinary course payments under the Prior Custody Agreement through the effective date of termination, no termination or other fees are payable in connection with the termination of the Prior Custody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13—SUPPLEMENTAL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 of Unconsolidated Subsidiaries</w:t>
      </w:r>
    </w:p>
    <w:p>
      <w:pPr>
        <w:spacing w:after="0" w:line="229"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three controlled portfolio companies as of September 30, 2022, SPBRX, INC. (f/k/a GSV Sustainability Partners, Inc.), Architect Capital PayJoy SPV, LLC and Colombier Sponsor LLC, did not meet the definition of a “significant subsidiary” as set forth in Rule 1-02(w)(2). For comparability purposes, the Company has omitted the previously disclosed summarized financial information of the Company’s significant subsidiaries for the quarter ended September 30, 2021 as the Company’s significant subsidiaries would not have been considered significant subsidiaries under the Final Rules.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3"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involve risks and uncertainties, including, without limitation, statements as to:</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25"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investment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inflation or an inflationary economic environment could adversely affect our portfolio companies’ operating results,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76"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88"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87"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Our investment philosophy is based on a disciplined approach of identifying promising investments in high-growth, venture-backed companies across several key industry themes which may include, among others, social/mobile,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87"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ind w:left="380"/>
        <w:spacing w:after="0"/>
        <w:rPr>
          <w:sz w:val="20"/>
          <w:szCs w:val="20"/>
          <w:color w:val="auto"/>
        </w:rPr>
      </w:pPr>
      <w:r>
        <w:rPr>
          <w:rFonts w:ascii="Times New Roman" w:cs="Times New Roman" w:eastAsia="Times New Roman" w:hAnsi="Times New Roman"/>
          <w:sz w:val="18"/>
          <w:szCs w:val="18"/>
          <w:color w:val="auto"/>
        </w:rPr>
        <w:t>We seek to create a low-turnover portfolio that includes investments in companies representing a broad range of investment themes.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Internalization of Operating Structure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and effective March 12, 2019 (the “Effective Date”), our Board of Directors approved internalizing our operating structure (the “Internalization”) and we began operating as an internally 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this Form 10-Q discusses our business and operations as an internally-managed BDC during the period covered by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COVID-19 Developments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 two years after COVID-19 was recognized as a pandemic by the World Health Organization, its continued persistence in the United States and worldwide and the magnitude of the economic impact of the outbreak continue to create an uncertain environment in which we and our portfolio companies operate.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As such, we are unable to predict the duration of any business and supply chain disruptions, the extent to which the COVID-19 pandemic will negatively affect our portfolio companies’ operating results or the impact that such disruptions may have on our results of operations and financial condition.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instituted a temporary work-from-home policy in March 2020, pursuant to which our employees primarily worked remotely without disruption to our operations. This policy was amended in February 2022 when it was deemed safe to return to our offices. As of November 8, 2022, there is no indication of a reportable subsequent event related to COVID-19 impacting the Company’s financial statements for the quarter ended September 30, 2022. The Company continues to observe and respond to the evolving COVID-19 environment and its potential impact on areas across its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2022, of all of our portfolio investments , excluding U.S. Treasury bills, was $157,747,892.</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funded investments in an aggregate amount of $13,415,076 (not including capitalized transaction costs) as shown in the following table:</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30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200" w:type="dxa"/>
            <w:vAlign w:val="bottom"/>
          </w:tcPr>
          <w:p>
            <w:pPr>
              <w:spacing w:after="0"/>
              <w:rPr>
                <w:sz w:val="21"/>
                <w:szCs w:val="21"/>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Gross Payments</w:t>
            </w:r>
          </w:p>
        </w:tc>
      </w:tr>
      <w:tr>
        <w:trPr>
          <w:trHeight w:val="198"/>
        </w:trPr>
        <w:tc>
          <w:tcPr>
            <w:tcW w:w="2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Convertible Note 0.5%, Due</w:t>
            </w:r>
          </w:p>
        </w:tc>
        <w:tc>
          <w:tcPr>
            <w:tcW w:w="22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Shogun Enterprises, Inc.</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4/18/2024</w:t>
            </w:r>
          </w:p>
        </w:tc>
        <w:tc>
          <w:tcPr>
            <w:tcW w:w="220" w:type="dxa"/>
            <w:vAlign w:val="bottom"/>
            <w:shd w:val="clear" w:color="auto" w:fill="CCEEFF"/>
          </w:tcPr>
          <w:p>
            <w:pPr>
              <w:spacing w:after="0"/>
              <w:rPr>
                <w:sz w:val="20"/>
                <w:szCs w:val="20"/>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5/2/2022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EDGE Markets, Inc.</w:t>
            </w:r>
          </w:p>
        </w:tc>
        <w:tc>
          <w:tcPr>
            <w:tcW w:w="2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Preferred Shares, Series Seed</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5/18/2022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Whoop, Inc.</w:t>
            </w:r>
          </w:p>
        </w:tc>
        <w:tc>
          <w:tcPr>
            <w:tcW w:w="2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Preferred Shares, Series C</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Xgroup Holdings Limited (d/b/a</w:t>
            </w:r>
          </w:p>
        </w:tc>
        <w:tc>
          <w:tcPr>
            <w:tcW w:w="28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Convertible Note 6%, Due</w:t>
            </w:r>
          </w:p>
        </w:tc>
        <w:tc>
          <w:tcPr>
            <w:tcW w:w="2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Xpoint)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8/17/2023</w:t>
            </w:r>
          </w:p>
        </w:tc>
        <w:tc>
          <w:tcPr>
            <w:tcW w:w="2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8/17/2022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198"/>
        </w:trPr>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Simple Agreement for Future</w:t>
            </w:r>
          </w:p>
        </w:tc>
        <w:tc>
          <w:tcPr>
            <w:tcW w:w="2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2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Equity (SAFE)</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77"/>
        </w:trPr>
        <w:tc>
          <w:tcPr>
            <w:tcW w:w="30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Forge Global, Inc.</w:t>
            </w:r>
            <w:r>
              <w:rPr>
                <w:rFonts w:ascii="Times New Roman" w:cs="Times New Roman" w:eastAsia="Times New Roman" w:hAnsi="Times New Roman"/>
                <w:sz w:val="29"/>
                <w:szCs w:val="29"/>
                <w:color w:val="auto"/>
                <w:vertAlign w:val="superscript"/>
              </w:rPr>
              <w:t>(1)</w:t>
            </w:r>
          </w:p>
        </w:tc>
        <w:tc>
          <w:tcPr>
            <w:tcW w:w="2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915,076</w:t>
            </w:r>
          </w:p>
        </w:tc>
      </w:tr>
      <w:tr>
        <w:trPr>
          <w:trHeight w:val="229"/>
        </w:trPr>
        <w:tc>
          <w:tcPr>
            <w:tcW w:w="3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13,415,076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effective August 5, 2022, SuRo Capital Corp. notified Forge Global, Inc. of its intent to net exercise via cashless settlement its 230,144 common warrants in Forge Global, Inc. into 53,283 shares of Forge Global Inc.’s public common stock, pursuant to the net exercise formula in the warrant agreement. The exercise was effectuated on September 30, 2022.</w:t>
      </w:r>
    </w:p>
    <w:p>
      <w:pPr>
        <w:spacing w:after="0" w:line="17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2022, we capitalized fees of $26,206.</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exited or received proceeds from investments in the amount of $7,776,744, net of transaction costs, and realized a net gain/(loss) on investments of $(4,011,047) (including adjustments to amounts held in escrow receivable) as shown in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6"/>
              </w:rPr>
              <w:t>Average Net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Realized</w:t>
            </w:r>
          </w:p>
        </w:tc>
      </w:tr>
      <w:tr>
        <w:trPr>
          <w:trHeight w:val="27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4"/>
                <w:szCs w:val="24"/>
                <w:color w:val="auto"/>
              </w:rPr>
            </w:pPr>
          </w:p>
        </w:tc>
        <w:tc>
          <w:tcPr>
            <w:tcW w:w="1460" w:type="dxa"/>
            <w:vAlign w:val="bottom"/>
            <w:gridSpan w:val="3"/>
          </w:tcPr>
          <w:p>
            <w:pPr>
              <w:jc w:val="right"/>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Share Price </w:t>
            </w:r>
            <w:r>
              <w:rPr>
                <w:rFonts w:ascii="Times New Roman" w:cs="Times New Roman" w:eastAsia="Times New Roman" w:hAnsi="Times New Roman"/>
                <w:sz w:val="29"/>
                <w:szCs w:val="29"/>
                <w:b w:val="1"/>
                <w:bCs w:val="1"/>
                <w:color w:val="auto"/>
                <w:w w:val="94"/>
                <w:vertAlign w:val="superscript"/>
              </w:rPr>
              <w:t>(1)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1220" w:type="dxa"/>
            <w:vAlign w:val="bottom"/>
            <w:gridSpan w:val="4"/>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Gain/(Loss)</w:t>
            </w:r>
            <w:r>
              <w:rPr>
                <w:rFonts w:ascii="Times New Roman" w:cs="Times New Roman" w:eastAsia="Times New Roman" w:hAnsi="Times New Roman"/>
                <w:sz w:val="29"/>
                <w:szCs w:val="29"/>
                <w:b w:val="1"/>
                <w:bCs w:val="1"/>
                <w:color w:val="auto"/>
                <w:vertAlign w:val="superscript"/>
              </w:rPr>
              <w:t>(2)</w:t>
            </w:r>
          </w:p>
        </w:tc>
      </w:tr>
      <w:tr>
        <w:trPr>
          <w:trHeight w:val="201"/>
        </w:trPr>
        <w:tc>
          <w:tcPr>
            <w:tcW w:w="39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NewLake Capital Partners, Inc. (f/k/a GreenAcreage</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71"/>
        </w:trPr>
        <w:tc>
          <w:tcPr>
            <w:tcW w:w="418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Real Estate Corp.)</w:t>
            </w:r>
            <w:r>
              <w:rPr>
                <w:rFonts w:ascii="Times New Roman" w:cs="Times New Roman" w:eastAsia="Times New Roman" w:hAnsi="Times New Roman"/>
                <w:sz w:val="29"/>
                <w:szCs w:val="29"/>
                <w:color w:val="auto"/>
                <w:vertAlign w:val="superscript"/>
              </w:rPr>
              <w:t>(3)</w:t>
            </w: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46,338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23.79</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1,102,346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175,196</w:t>
            </w:r>
          </w:p>
        </w:tc>
        <w:tc>
          <w:tcPr>
            <w:tcW w:w="80" w:type="dxa"/>
            <w:vAlign w:val="bottom"/>
            <w:shd w:val="clear" w:color="auto" w:fill="CCEEFF"/>
          </w:tcPr>
          <w:p>
            <w:pPr>
              <w:spacing w:after="0"/>
              <w:rPr>
                <w:sz w:val="23"/>
                <w:szCs w:val="23"/>
                <w:color w:val="auto"/>
              </w:rPr>
            </w:pP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Rover Group, Inc.</w:t>
            </w:r>
            <w:r>
              <w:rPr>
                <w:rFonts w:ascii="Times New Roman" w:cs="Times New Roman" w:eastAsia="Times New Roman" w:hAnsi="Times New Roman"/>
                <w:sz w:val="29"/>
                <w:szCs w:val="29"/>
                <w:color w:val="auto"/>
                <w:vertAlign w:val="superscript"/>
              </w:rPr>
              <w:t>(4)</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731,527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3,710,895</w:t>
            </w:r>
          </w:p>
        </w:tc>
        <w:tc>
          <w:tcPr>
            <w:tcW w:w="16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1,524,188</w:t>
            </w:r>
          </w:p>
        </w:tc>
        <w:tc>
          <w:tcPr>
            <w:tcW w:w="80" w:type="dxa"/>
            <w:vAlign w:val="bottom"/>
          </w:tcPr>
          <w:p>
            <w:pPr>
              <w:spacing w:after="0"/>
              <w:rPr>
                <w:sz w:val="22"/>
                <w:szCs w:val="22"/>
                <w:color w:val="auto"/>
              </w:rPr>
            </w:pPr>
          </w:p>
        </w:tc>
      </w:tr>
      <w:tr>
        <w:trPr>
          <w:trHeight w:val="256"/>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Rent the Runway, Inc.</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480,969</w:t>
            </w:r>
          </w:p>
        </w:tc>
        <w:tc>
          <w:tcPr>
            <w:tcW w:w="16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(1,190,461)</w:t>
            </w:r>
          </w:p>
        </w:tc>
      </w:tr>
      <w:tr>
        <w:trPr>
          <w:trHeight w:val="201"/>
        </w:trPr>
        <w:tc>
          <w:tcPr>
            <w:tcW w:w="41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Residential Homes for Rent, LLC (d/b/a Second</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1"/>
        </w:trPr>
        <w:tc>
          <w:tcPr>
            <w:tcW w:w="418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Avenue)</w:t>
            </w:r>
            <w:r>
              <w:rPr>
                <w:rFonts w:ascii="Times New Roman" w:cs="Times New Roman" w:eastAsia="Times New Roman" w:hAnsi="Times New Roman"/>
                <w:sz w:val="29"/>
                <w:szCs w:val="29"/>
                <w:color w:val="auto"/>
                <w:vertAlign w:val="superscript"/>
              </w:rPr>
              <w:t>(6)</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spacing w:after="0"/>
              <w:rPr>
                <w:sz w:val="23"/>
                <w:szCs w:val="23"/>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True Global Ventures 4 Plus Pte Ltd</w:t>
            </w:r>
            <w:r>
              <w:rPr>
                <w:rFonts w:ascii="Times New Roman" w:cs="Times New Roman" w:eastAsia="Times New Roman" w:hAnsi="Times New Roman"/>
                <w:sz w:val="29"/>
                <w:szCs w:val="29"/>
                <w:color w:val="auto"/>
                <w:vertAlign w:val="superscript"/>
              </w:rPr>
              <w:t>(7)</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5/31/2022</w:t>
            </w:r>
          </w:p>
        </w:tc>
        <w:tc>
          <w:tcPr>
            <w:tcW w:w="3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874,470</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160,965</w:t>
            </w:r>
          </w:p>
        </w:tc>
        <w:tc>
          <w:tcPr>
            <w:tcW w:w="80" w:type="dxa"/>
            <w:vAlign w:val="bottom"/>
            <w:shd w:val="clear" w:color="auto" w:fill="CCEEFF"/>
          </w:tcPr>
          <w:p>
            <w:pPr>
              <w:spacing w:after="0"/>
              <w:rPr>
                <w:sz w:val="22"/>
                <w:szCs w:val="22"/>
                <w:color w:val="auto"/>
              </w:rPr>
            </w:pP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Palantir Lending Trust SPV I</w:t>
            </w:r>
            <w:r>
              <w:rPr>
                <w:rFonts w:ascii="Times New Roman" w:cs="Times New Roman" w:eastAsia="Times New Roman" w:hAnsi="Times New Roman"/>
                <w:sz w:val="29"/>
                <w:szCs w:val="29"/>
                <w:color w:val="auto"/>
                <w:vertAlign w:val="superscript"/>
              </w:rPr>
              <w:t>(8)</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7/14/2022</w:t>
            </w:r>
          </w:p>
        </w:tc>
        <w:tc>
          <w:tcPr>
            <w:tcW w:w="340" w:type="dxa"/>
            <w:vAlign w:val="bottom"/>
          </w:tcPr>
          <w:p>
            <w:pPr>
              <w:spacing w:after="0"/>
              <w:rPr>
                <w:sz w:val="22"/>
                <w:szCs w:val="22"/>
                <w:color w:val="auto"/>
              </w:rPr>
            </w:pP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611,930</w:t>
            </w:r>
          </w:p>
        </w:tc>
        <w:tc>
          <w:tcPr>
            <w:tcW w:w="16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610,790</w:t>
            </w:r>
          </w:p>
        </w:tc>
        <w:tc>
          <w:tcPr>
            <w:tcW w:w="80" w:type="dxa"/>
            <w:vAlign w:val="bottom"/>
          </w:tcPr>
          <w:p>
            <w:pPr>
              <w:spacing w:after="0"/>
              <w:rPr>
                <w:sz w:val="22"/>
                <w:szCs w:val="22"/>
                <w:color w:val="auto"/>
              </w:rPr>
            </w:pPr>
          </w:p>
        </w:tc>
      </w:tr>
      <w:tr>
        <w:trPr>
          <w:trHeight w:val="290"/>
        </w:trPr>
        <w:tc>
          <w:tcPr>
            <w:tcW w:w="41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Enjoy Technology, Inc.</w:t>
            </w:r>
            <w:r>
              <w:rPr>
                <w:rFonts w:ascii="Times New Roman" w:cs="Times New Roman" w:eastAsia="Times New Roman" w:hAnsi="Times New Roman"/>
                <w:sz w:val="29"/>
                <w:szCs w:val="29"/>
                <w:color w:val="auto"/>
                <w:vertAlign w:val="superscript"/>
              </w:rPr>
              <w:t>(9)</w:t>
            </w: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947,297</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246,134</w:t>
            </w:r>
          </w:p>
        </w:tc>
        <w:tc>
          <w:tcPr>
            <w:tcW w:w="1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(5,280,642)</w:t>
            </w:r>
          </w:p>
        </w:tc>
      </w:tr>
      <w:tr>
        <w:trPr>
          <w:trHeight w:val="217"/>
        </w:trPr>
        <w:tc>
          <w:tcPr>
            <w:tcW w:w="41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7,776,744</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(3,999,964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gain/(loss)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SuRo Capital Corp. held 232,133 remaining NewLake Capital Partners, Inc. public common shares.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SuRo Capital Corp. held 106,854 remaining Rover Group, Inc. public common shares.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SuRo Capital Corp. held 229,191 remaining Rent the Runway, Inc. public common shares.</w:t>
      </w:r>
    </w:p>
    <w:p>
      <w:pPr>
        <w:spacing w:after="0" w:line="9" w:lineRule="exact"/>
        <w:rPr>
          <w:rFonts w:ascii="Times New Roman" w:cs="Times New Roman" w:eastAsia="Times New Roman" w:hAnsi="Times New Roman"/>
          <w:sz w:val="18"/>
          <w:szCs w:val="18"/>
          <w:color w:val="auto"/>
        </w:rPr>
      </w:pPr>
    </w:p>
    <w:p>
      <w:pPr>
        <w:jc w:val="both"/>
        <w:ind w:left="340" w:right="2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2022, approximately $0.9 million has been received from Residential Homes for Rent, LLC (d/b/a Second Avenue) related to the 15% term loan due December 23, 2023. Of the proceeds received, approximately $0.8 million repaid a portion of the outstanding principal and the remaining was attributed to interest.</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SuRo Capital Corp. received an $874,470 cash distribution from True Global Ventures 4 Plus Pte Ltd. SuRo Capital Corp. expects to receive three additional distributions from True Global Ventures 4 Plus of varying amounts.</w:t>
      </w:r>
    </w:p>
    <w:p>
      <w:pPr>
        <w:jc w:val="both"/>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14, 2022, a final payment was received for the remaining 512,290 Class A common shares of Palantir Technologies, Inc. that comprised the beneficial equity interest in underlying shares. The realized gain from SuRo Capital Corp.’s investment in Palantir Lending Trust SPV I is generated by the proceeds from the sale of shares collateralizing the repaid promissory note to Palantir Lending Trust SPV I and attributable to the Equity Participation in Underlying Collateral.</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12, 2022, SuRo Capital Corp. had sold all its public common shares of Enjoy Technology, Inc.</w:t>
      </w:r>
    </w:p>
    <w:p>
      <w:pPr>
        <w:spacing w:after="0" w:line="207"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did not write-off any investments and our OneValley, Inc. (f/k/a NestGSV, Inc.) Series B preferred warrants with a strike price of $2.31 expired on May 29,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636"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2021</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we funded investments in an aggregate amount of $70,668,175 (not including capitalized transaction costs) as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Gross Payments</w:t>
            </w:r>
          </w:p>
        </w:tc>
        <w:tc>
          <w:tcPr>
            <w:tcW w:w="0" w:type="dxa"/>
            <w:vAlign w:val="bottom"/>
          </w:tcPr>
          <w:p>
            <w:pPr>
              <w:spacing w:after="0"/>
              <w:rPr>
                <w:sz w:val="1"/>
                <w:szCs w:val="1"/>
                <w:color w:val="auto"/>
              </w:rPr>
            </w:pPr>
          </w:p>
        </w:tc>
      </w:tr>
      <w:tr>
        <w:trPr>
          <w:trHeight w:val="198"/>
        </w:trPr>
        <w:tc>
          <w:tcPr>
            <w:tcW w:w="33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NewLake Capital Partners, Inc. (f/k/a</w:t>
            </w:r>
          </w:p>
        </w:tc>
        <w:tc>
          <w:tcPr>
            <w:tcW w:w="24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GreenAcreage Real Estate Corp.)</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2/12/2021</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499,986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Churchill Sponsor VI LLC</w:t>
            </w:r>
            <w:r>
              <w:rPr>
                <w:rFonts w:ascii="Times New Roman" w:cs="Times New Roman" w:eastAsia="Times New Roman" w:hAnsi="Times New Roman"/>
                <w:sz w:val="29"/>
                <w:szCs w:val="29"/>
                <w:color w:val="auto"/>
                <w:vertAlign w:val="superscript"/>
              </w:rPr>
              <w:t>(1)</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Share Units &amp; Warrant Units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Churchill Sponsor VII LLC</w:t>
            </w:r>
            <w:r>
              <w:rPr>
                <w:rFonts w:ascii="Times New Roman" w:cs="Times New Roman" w:eastAsia="Times New Roman" w:hAnsi="Times New Roman"/>
                <w:sz w:val="29"/>
                <w:szCs w:val="29"/>
                <w:color w:val="auto"/>
                <w:vertAlign w:val="superscript"/>
              </w:rPr>
              <w:t>(2)</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Share Units &amp; Warrant Units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Shogun Enterprises, Inc.</w:t>
            </w:r>
            <w:r>
              <w:rPr>
                <w:rFonts w:ascii="Times New Roman" w:cs="Times New Roman" w:eastAsia="Times New Roman" w:hAnsi="Times New Roman"/>
                <w:sz w:val="29"/>
                <w:szCs w:val="29"/>
                <w:color w:val="auto"/>
                <w:vertAlign w:val="superscript"/>
              </w:rPr>
              <w:t>(3)</w:t>
            </w:r>
          </w:p>
        </w:tc>
        <w:tc>
          <w:tcPr>
            <w:tcW w:w="31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Preferred Shares, Series B-1 &amp; Series</w:t>
            </w: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vMerge w:val="continue"/>
          </w:tcPr>
          <w:p>
            <w:pPr>
              <w:spacing w:after="0"/>
              <w:rPr>
                <w:sz w:val="20"/>
                <w:szCs w:val="20"/>
                <w:color w:val="auto"/>
              </w:rPr>
            </w:pP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6,999,992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Streaming Solutions Inc. (d/b/a</w:t>
            </w:r>
          </w:p>
        </w:tc>
        <w:tc>
          <w:tcPr>
            <w:tcW w:w="316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Simple Agreement for Future Equity</w:t>
            </w:r>
          </w:p>
        </w:tc>
        <w:tc>
          <w:tcPr>
            <w:tcW w:w="2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BettorView)</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(“SAFE”)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3/26/2021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Churchill Capital Corp. II</w:t>
            </w:r>
            <w:r>
              <w:rPr>
                <w:rFonts w:ascii="Times New Roman" w:cs="Times New Roman" w:eastAsia="Times New Roman" w:hAnsi="Times New Roman"/>
                <w:sz w:val="29"/>
                <w:szCs w:val="29"/>
                <w:color w:val="auto"/>
                <w:vertAlign w:val="superscript"/>
              </w:rPr>
              <w:t>(4)</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Shares, Class 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rPr>
              <w:t>Common Shares &amp; Investec Preferred</w:t>
            </w:r>
          </w:p>
        </w:tc>
        <w:tc>
          <w:tcPr>
            <w:tcW w:w="2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Trax Ltd.</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Preferred Shares, Series 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Colombier Sponsor LLC</w:t>
            </w:r>
            <w:r>
              <w:rPr>
                <w:rFonts w:ascii="Times New Roman" w:cs="Times New Roman" w:eastAsia="Times New Roman" w:hAnsi="Times New Roman"/>
                <w:sz w:val="29"/>
                <w:szCs w:val="29"/>
                <w:color w:val="auto"/>
                <w:vertAlign w:val="superscript"/>
              </w:rPr>
              <w:t>(5)</w:t>
            </w:r>
          </w:p>
        </w:tc>
        <w:tc>
          <w:tcPr>
            <w:tcW w:w="3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Class B Units &amp; Class W Units</w:t>
            </w:r>
          </w:p>
        </w:tc>
        <w:tc>
          <w:tcPr>
            <w:tcW w:w="2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2,711,842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AltC Sponsor LLC</w:t>
            </w:r>
            <w:r>
              <w:rPr>
                <w:rFonts w:ascii="Times New Roman" w:cs="Times New Roman" w:eastAsia="Times New Roman" w:hAnsi="Times New Roman"/>
                <w:sz w:val="29"/>
                <w:szCs w:val="29"/>
                <w:color w:val="auto"/>
                <w:vertAlign w:val="superscript"/>
              </w:rPr>
              <w:t>(6)</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 Units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7/21/2021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PayJoy, Inc.</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Preferred Shares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7/23/2021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3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Preferred Shares, Series 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9,999,996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Varo Money, Inc.</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YouBet Technology, Inc. (d/b/a PickUp)</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Preferred Shares, Series Seed-2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8/26/2021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True Global Ventures 4 Plus Pte Ltd</w:t>
            </w:r>
            <w:r>
              <w:rPr>
                <w:rFonts w:ascii="Times New Roman" w:cs="Times New Roman" w:eastAsia="Times New Roman" w:hAnsi="Times New Roman"/>
                <w:sz w:val="29"/>
                <w:szCs w:val="29"/>
                <w:color w:val="auto"/>
                <w:vertAlign w:val="superscript"/>
              </w:rPr>
              <w:t>(7)</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Limited Partner Fund Investment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8/27/2021</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Architect Capital PayJoy SPV, LLC</w:t>
            </w:r>
            <w:r>
              <w:rPr>
                <w:rFonts w:ascii="Times New Roman" w:cs="Times New Roman" w:eastAsia="Times New Roman" w:hAnsi="Times New Roman"/>
                <w:sz w:val="29"/>
                <w:szCs w:val="29"/>
                <w:color w:val="auto"/>
                <w:vertAlign w:val="superscript"/>
              </w:rPr>
              <w:t>(8)</w:t>
            </w:r>
          </w:p>
        </w:tc>
        <w:tc>
          <w:tcPr>
            <w:tcW w:w="3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Membership Interest in Lending SPV</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70,668,175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Sponsor VI LLC is the sponsor of Churchill Capital Corp VI, a special purpose acquisition company formed for the purpose of effecting a merger, capital stock exchange, asset acquisition, stock purchase, reorganization or similar business combination with one or more businesses. Our investment in Churchill Sponsor VI LLC constituted a “remote-affiliate” transaction for purposes of the 1940 Act in light of the fact that Mark Klein, our Chairman, CEO and President, has a non-controlling interest in the entity that controls Churchill Sponsor VI LLC, and is a non-controlling board member of Churchill Capital Corp VI.</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Sponsor VII LLC is the sponsor of Churchill Capital Corp VII, a special purpose acquisition company formed for the purpose of effecting a merger, capital stock exchange, asset acquisition, stock purchase, reorganization or similar business combination with one or more businesses. Our investment in Churchill Sponsor VII LLC constituted a “remote-affiliate” transaction for purposes of the 1940 Act in light of the fact that Mark Klein, our Chairman, CEO and President, has a non-controlling interest in the entity that controls Churchill Sponsor VII LLC, and is a non-controlling board member of Churchill Capital Corp VII.</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initial investment in Shogun Enterprises, Inc. on February 26, 2021 constituted a “remote-affiliate” transaction for purposes of the 1940 Act in light of the fact that Keri Findley, a former senior managing director of the Company until her departure on March 9, 2022, is a non-controlling member of the board of directors of Shogun Enterprises, Inc., and holds a minority equity interest in such portfolio company.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This investment constituted a “remote-affiliate” transaction for purposes of the 1940 Act in light of the fact that Mark Klein, our Chairman, CEO and President, has a non-controlling interest in the entity that controls Churchill Sponsor II LLC, the sponsor of Churchill Capital Corp II, and is a non-controlling board member of Churchill Capital Corp II.</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 Keri Findley, a former senior managing director of the Company until her depature on March 9, 2022, and Claire Councill, a former investment professional of the Company until her departure on April 15, 2022, are non-controlling members of the board of directors of Colombier Acquisition Corp., a special purpose acquisition company, which is sponsored by Colombier Sponsor LLC, one of the Company’s portfolio companies.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AltC Sponsor LLC is the sponsor of AltC Acquisition Corp., a special purpose acquisition company formed for the purpose of effecting a merger, capital stock exchange, asset acquisition, stock purchase, reorganization or similar business combination with one or more businesses. The Company’s investment in AltC Sponsor LLC constituted a “remote-affiliate” transaction for purposes of the 1940 Act in light of the fact that Mark D. Klein, the Company’s Chairman, Chief Executive Officer and President, has a non-controlling interest in one of the entities that controls AltC Sponsor LLC, and Allison Green, the Company’s Chief Financial Officer, Chief Compliance Officer, Treasurer and Secretary, is a non-controlling member of the board of directors of AltC Acquisition Corp.</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2021, $0.7 million of a $2.0 million capital commitment to True Global Ventures 4 Plus Fund LP had been called and funded.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2021, the total $10.0 million capital commitment representing SuRo Capital Corp.’s Membership Interest in Architect Capital PayJoy SPV, LLC had been called and funded. Keri Findley, a former senior managing director of the Company until her departure on March 9, 2022, is a non-controlling member of the board of directors of the investment manager to Architect Capital PayJoy SPV, LLC, and holds a minority equity interest in such investment manager.</w:t>
      </w:r>
    </w:p>
    <w:p>
      <w:pPr>
        <w:spacing w:after="0" w:line="18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2021, we capitalized fees of $45,138.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47"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we exited investments in an amount of $199,643,261, net of transaction costs, and realized a net gain on investments of $172,306,990 (including adjustments to amounts held in escrow receivable) as shown in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Net</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Realized</w:t>
            </w:r>
          </w:p>
        </w:tc>
      </w:tr>
      <w:tr>
        <w:trPr>
          <w:trHeight w:val="27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Share Price </w:t>
            </w:r>
            <w:r>
              <w:rPr>
                <w:rFonts w:ascii="Times New Roman" w:cs="Times New Roman" w:eastAsia="Times New Roman" w:hAnsi="Times New Roman"/>
                <w:sz w:val="29"/>
                <w:szCs w:val="29"/>
                <w:b w:val="1"/>
                <w:bCs w:val="1"/>
                <w:color w:val="auto"/>
                <w:w w:val="96"/>
                <w:vertAlign w:val="superscript"/>
              </w:rPr>
              <w:t>(1)</w:t>
            </w:r>
          </w:p>
        </w:tc>
        <w:tc>
          <w:tcPr>
            <w:tcW w:w="3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90"/>
              <w:spacing w:after="0" w:line="270" w:lineRule="exact"/>
              <w:rPr>
                <w:sz w:val="20"/>
                <w:szCs w:val="20"/>
                <w:color w:val="auto"/>
              </w:rPr>
            </w:pPr>
            <w:r>
              <w:rPr>
                <w:rFonts w:ascii="Times New Roman" w:cs="Times New Roman" w:eastAsia="Times New Roman" w:hAnsi="Times New Roman"/>
                <w:sz w:val="18"/>
                <w:szCs w:val="18"/>
                <w:b w:val="1"/>
                <w:bCs w:val="1"/>
                <w:color w:val="auto"/>
              </w:rPr>
              <w:t>Gain</w:t>
            </w:r>
            <w:r>
              <w:rPr>
                <w:rFonts w:ascii="Times New Roman" w:cs="Times New Roman" w:eastAsia="Times New Roman" w:hAnsi="Times New Roman"/>
                <w:sz w:val="29"/>
                <w:szCs w:val="29"/>
                <w:b w:val="1"/>
                <w:bCs w:val="1"/>
                <w:color w:val="auto"/>
                <w:vertAlign w:val="superscript"/>
              </w:rPr>
              <w:t>(2)</w:t>
            </w:r>
          </w:p>
        </w:tc>
        <w:tc>
          <w:tcPr>
            <w:tcW w:w="100" w:type="dxa"/>
            <w:vAlign w:val="bottom"/>
            <w:tcBorders>
              <w:bottom w:val="single" w:sz="8" w:color="CCEEFF"/>
            </w:tcBorders>
            <w:gridSpan w:val="2"/>
          </w:tcPr>
          <w:p>
            <w:pPr>
              <w:spacing w:after="0"/>
              <w:rPr>
                <w:sz w:val="24"/>
                <w:szCs w:val="24"/>
                <w:color w:val="auto"/>
              </w:rPr>
            </w:pPr>
          </w:p>
        </w:tc>
      </w:tr>
      <w:tr>
        <w:trPr>
          <w:trHeight w:val="257"/>
        </w:trPr>
        <w:tc>
          <w:tcPr>
            <w:tcW w:w="3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Palantir Technologies, Inc.</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4,618,952</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26.72</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123,419,184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110,544,068</w:t>
            </w:r>
          </w:p>
        </w:tc>
        <w:tc>
          <w:tcPr>
            <w:tcW w:w="80" w:type="dxa"/>
            <w:vAlign w:val="bottom"/>
            <w:shd w:val="clear" w:color="auto" w:fill="CCEEFF"/>
          </w:tcPr>
          <w:p>
            <w:pPr>
              <w:spacing w:after="0"/>
              <w:rPr>
                <w:sz w:val="22"/>
                <w:szCs w:val="22"/>
                <w:color w:val="auto"/>
              </w:rPr>
            </w:pP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Palantir Lending Trust SPV I</w:t>
            </w:r>
            <w:r>
              <w:rPr>
                <w:rFonts w:ascii="Times New Roman" w:cs="Times New Roman" w:eastAsia="Times New Roman" w:hAnsi="Times New Roman"/>
                <w:sz w:val="29"/>
                <w:szCs w:val="29"/>
                <w:color w:val="auto"/>
                <w:vertAlign w:val="superscript"/>
              </w:rPr>
              <w:t>(4)</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2,172,637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2,172,637</w:t>
            </w:r>
          </w:p>
        </w:tc>
        <w:tc>
          <w:tcPr>
            <w:tcW w:w="80" w:type="dxa"/>
            <w:vAlign w:val="bottom"/>
          </w:tcPr>
          <w:p>
            <w:pPr>
              <w:spacing w:after="0"/>
              <w:rPr>
                <w:sz w:val="22"/>
                <w:szCs w:val="22"/>
                <w:color w:val="auto"/>
              </w:rPr>
            </w:pPr>
          </w:p>
        </w:tc>
      </w:tr>
      <w:tr>
        <w:trPr>
          <w:trHeight w:val="201"/>
        </w:trPr>
        <w:tc>
          <w:tcPr>
            <w:tcW w:w="41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Residential Homes for Rent, LLC (d/b/a Second</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1"/>
        </w:trPr>
        <w:tc>
          <w:tcPr>
            <w:tcW w:w="418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Avenue)</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1,054,305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 Holdings Group, Inc.</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4/28/2021</w:t>
            </w:r>
          </w:p>
        </w:tc>
        <w:tc>
          <w:tcPr>
            <w:tcW w:w="2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2,542,587</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490,246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490,246</w:t>
            </w:r>
          </w:p>
        </w:tc>
        <w:tc>
          <w:tcPr>
            <w:tcW w:w="80" w:type="dxa"/>
            <w:vAlign w:val="bottom"/>
          </w:tcPr>
          <w:p>
            <w:pPr>
              <w:spacing w:after="0"/>
              <w:rPr>
                <w:sz w:val="18"/>
                <w:szCs w:val="18"/>
                <w:color w:val="auto"/>
              </w:rPr>
            </w:pP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Coursera, Inc.</w:t>
            </w:r>
            <w:r>
              <w:rPr>
                <w:rFonts w:ascii="Times New Roman" w:cs="Times New Roman" w:eastAsia="Times New Roman" w:hAnsi="Times New Roman"/>
                <w:sz w:val="29"/>
                <w:szCs w:val="29"/>
                <w:color w:val="auto"/>
                <w:vertAlign w:val="superscript"/>
              </w:rPr>
              <w:t>(6)</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1,619,271</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39.21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63,486,311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55,547,167</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CUX, Inc. (d/b/a CorpU)</w:t>
            </w:r>
            <w:r>
              <w:rPr>
                <w:rFonts w:ascii="Times New Roman" w:cs="Times New Roman" w:eastAsia="Times New Roman" w:hAnsi="Times New Roman"/>
                <w:sz w:val="29"/>
                <w:szCs w:val="29"/>
                <w:color w:val="auto"/>
                <w:vertAlign w:val="superscript"/>
              </w:rPr>
              <w:t>(7)</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8/24/2021</w:t>
            </w:r>
          </w:p>
        </w:tc>
        <w:tc>
          <w:tcPr>
            <w:tcW w:w="240" w:type="dxa"/>
            <w:vAlign w:val="bottom"/>
          </w:tcPr>
          <w:p>
            <w:pPr>
              <w:spacing w:after="0"/>
              <w:rPr>
                <w:sz w:val="22"/>
                <w:szCs w:val="22"/>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6,009,092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1,968,218</w:t>
            </w:r>
          </w:p>
        </w:tc>
        <w:tc>
          <w:tcPr>
            <w:tcW w:w="80" w:type="dxa"/>
            <w:vAlign w:val="bottom"/>
          </w:tcPr>
          <w:p>
            <w:pPr>
              <w:spacing w:after="0"/>
              <w:rPr>
                <w:sz w:val="22"/>
                <w:szCs w:val="22"/>
                <w:color w:val="auto"/>
              </w:rPr>
            </w:pPr>
          </w:p>
        </w:tc>
      </w:tr>
      <w:tr>
        <w:trPr>
          <w:trHeight w:val="290"/>
        </w:trPr>
        <w:tc>
          <w:tcPr>
            <w:tcW w:w="41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Clever, Inc.</w:t>
            </w:r>
            <w:r>
              <w:rPr>
                <w:rFonts w:ascii="Times New Roman" w:cs="Times New Roman" w:eastAsia="Times New Roman" w:hAnsi="Times New Roman"/>
                <w:sz w:val="29"/>
                <w:szCs w:val="29"/>
                <w:color w:val="auto"/>
                <w:vertAlign w:val="superscript"/>
              </w:rPr>
              <w:t>(8)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9/3/2021</w:t>
            </w:r>
          </w:p>
        </w:tc>
        <w:tc>
          <w:tcPr>
            <w:tcW w:w="2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3,011,486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1,010,886</w:t>
            </w:r>
          </w:p>
        </w:tc>
        <w:tc>
          <w:tcPr>
            <w:tcW w:w="80" w:type="dxa"/>
            <w:vAlign w:val="bottom"/>
            <w:shd w:val="clear" w:color="auto" w:fill="CCEEFF"/>
          </w:tcPr>
          <w:p>
            <w:pPr>
              <w:spacing w:after="0"/>
              <w:rPr>
                <w:sz w:val="24"/>
                <w:szCs w:val="24"/>
                <w:color w:val="auto"/>
              </w:rPr>
            </w:pPr>
          </w:p>
        </w:tc>
      </w:tr>
      <w:tr>
        <w:trPr>
          <w:trHeight w:val="217"/>
        </w:trPr>
        <w:tc>
          <w:tcPr>
            <w:tcW w:w="41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$ 199,643,261</w:t>
            </w: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$ 171,733,222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4, 2021, all remaining shares of Palantir Technologies, Inc. held by us had been sold.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Palantir Lending Trust SPV I promissory note was initially collateralized with 2,260,000 Class A common shares of Palantir Technologies, Inc. to which SuRo Capital Corp. retains a beneficial equity upside interest. As of September 30, 2021, 512,290 Class A common shares remain in Palantir Lending Trust SPV I, none of which are subject to lock-up restrictions. 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spacing w:after="0" w:line="1" w:lineRule="exact"/>
        <w:rPr>
          <w:rFonts w:ascii="Times New Roman" w:cs="Times New Roman" w:eastAsia="Times New Roman" w:hAnsi="Times New Roman"/>
          <w:sz w:val="18"/>
          <w:szCs w:val="18"/>
          <w:color w:val="auto"/>
        </w:rPr>
      </w:pPr>
    </w:p>
    <w:p>
      <w:pPr>
        <w:jc w:val="both"/>
        <w:ind w:left="340" w:right="2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2021, approximately $1.1 million has been received from Residential Homes for Rent, LLC (d/b/a Second Avenue) related to the 15% term loan due December 23, 2023. Of the proceeds received, approximately $0.8 million repaid a portion of the outstanding principal and approximately $0.3 million was attributed to interest.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2021, none of SuRo Capital Corp.’s common shares in Coursera, Inc. were subject to lock-up restrictions.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2021, net proceeds includes approximately $0.3 million in additional proceeds currently held in escrow.</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 2021, Clever, Inc. completed its sale to Kahoot! ASA. In connection with this transaction, SuRo Capital Corp. received 61,367 common shares in Kahoot! ASA in addition to cash proceeds and amounts currently held in escrow. SuRo Capital Corp. is also eligible to receive cash and Kahoot! ASA common shares subject to certain earn-out provisions and contingencies. As of September 30, 2021, SuRo Capital Corp.’s common shares in Kahoot! ASA were subject to certain lock-up restrictions. Net proceeds includes approximately $0.7 million in additional proceeds currently held in escrow.</w:t>
      </w:r>
    </w:p>
    <w:p>
      <w:pPr>
        <w:spacing w:after="0" w:line="187"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we realized a net investment loss of $0.1 million due to the expiration of our OneValley, Inc. (f/k/a NestGSV, Inc.) Series A-3 preferred warrants with a strike price of $1.33 on April 4, 2021, and the expiration of unexercised options of our OneValley, Inc. (f/k/a NestGSV, Inc.) Series A-4 preferred warrants with a strike price of $1.33 on July 18,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2022 and 2021</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results for the three and nine months ended September 30, 2022 and 2021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0" w:type="dxa"/>
            <w:vAlign w:val="bottom"/>
          </w:tcPr>
          <w:p>
            <w:pPr>
              <w:spacing w:after="0"/>
              <w:rPr>
                <w:sz w:val="21"/>
                <w:szCs w:val="21"/>
                <w:color w:val="auto"/>
              </w:rPr>
            </w:pPr>
          </w:p>
        </w:tc>
        <w:tc>
          <w:tcPr>
            <w:tcW w:w="29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37"/>
        </w:trPr>
        <w:tc>
          <w:tcPr>
            <w:tcW w:w="48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519,511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523,916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1,993,242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1,090,088</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411,747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248,072</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1,563,484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560,768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107,764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275,844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429,758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529,320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4,328,744</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2,747,394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13,838,068</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8,190,884</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1,836,808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1,500,061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5,456,771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4,139,263</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161,661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368,281</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514,055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590,781</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565,411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604,475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2,916,583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2,107,158</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1,202,748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3,630,301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504,793</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74,497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82,238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7,648</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487,619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276,552</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1,238,120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841,241</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(3,809,233)</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(2,223,478)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(11,844,826)</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(7,100,796)</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(5,141,097)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32,495,660</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(4,011,047)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172,306,990</w:t>
            </w: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 of</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(36,951,920)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(15,023,778)</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(103,929,610)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(8,598,363)</w:t>
            </w:r>
          </w:p>
        </w:tc>
      </w:tr>
      <w:tr>
        <w:trPr>
          <w:trHeight w:val="194"/>
        </w:trPr>
        <w:tc>
          <w:tcPr>
            <w:tcW w:w="48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Increase/(Decrease) in Net Assets Resulting from</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(45,902,250)</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15,248,404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(119,785,483)</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156,607,831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Investment income decreased to $519,511 for the three months ended September 30, 2022 from $523,916 for the three months ended September 30, 2021. The net decrease between periods was due to decreases in interest income from Residential Homes for Rent, LLC (d/b/a Second Avenue), Enjoy Technologies, Inc., Neutron Holdings, Inc. (d/b/a/ Lime), and interest on idle cash, as well as a decrease in dividend income from NewLake Capital Partners, Inc. (f/k/a GreenAcreage Real Estate Corp.) and Treehouse Real Estate Investment Trust, Inc. The decreases were offset by an increase in interest income from Architect Capital PayJoy SPV, LLC and Xgroup Holdings Limited (d/b/a Xpoint) during the three months ended September 30, 2022, relative to the three months ended September 30, 2021.</w:t>
      </w:r>
    </w:p>
    <w:p>
      <w:pPr>
        <w:spacing w:after="0" w:line="187"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Investment income increased to $1,993,242 for the nine months ended September 30, 2022 from $1,090,088 for the nine months ended September 30, 2021. The net increase between periods was due to an increase in interest income from Architect Capital PayJoy SPV, LLC and Shogun Enterprises, Inc. The increase was offset by a decrease in interest income from Residential Homes for Rent, LLC (d/b/a Second Avenue) and Neutron Holdings, Inc. (d/b/a/ Lime), plus a decrease in dividend income from NewLake Capital Partners, Inc. (f/k/a GreenAcreage Real Estate Corp.) and Treehouse Real Estate Investment Trust, Inc. during the nine months ended September 30, 2022, relative to the nine months ended September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$4,328,744 for the three months ended September 30, 2022 from $2,747,394 for the three months ended September 30, 2021. The increase in operating expense was primarily due to an increase in interest expense, smaller increases in compensation expense, tax expense, and other expenses during the three months ended September 30, 2022, relative to the three months ended September 30, 2021.</w:t>
      </w:r>
    </w:p>
    <w:p>
      <w:pPr>
        <w:spacing w:after="0" w:line="17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$13,838,068 for the nine months ended September 30, 2022 from $8,190,884 for the nine months ended September 30, 2021. The increase in operating expense was primarily due to an increase in interest expense, professional fees, and compensation expense during the nine months ended September 30, 2022, relative to the nine months ended September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we recognized a net investment loss of $3,809,233, compared to a net investment loss of $2,223,478 for the three months ended September 30, 2021. The change between periods resulted from the increase in operating expenses and a decrease in total investment income between periods during the three months ended September 30, 2022, relative to the three months ended September 30,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we recognized a net investment loss of $11,844,826, compared to a net investment loss of $7,100,796 for the nine months ended September 30, 2021. The change between periods resulted from the increase in operating expenses offset by an increase in total investment income between periods during the nine months ended September 30, 2022, relative to the nine months ended September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 on Investments</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we recognized a net realized loss on our investments of $5,141,097, compared to a net realized gain of $32,495,660 for the three months ended September 30, 2021.</w:t>
      </w:r>
    </w:p>
    <w:p>
      <w:pPr>
        <w:spacing w:after="0" w:line="162"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we recognized a net realized loss on our investments of $4,011,047, compared to a net realized gain of $172,306,990 for the nine months ended September 30, 2021. The components of our net realized gains on portfolio investments for the nine months ended September 30, 2022 and 2021, excluding U.S. Treasury investments and fluctuations in escrow receivables estimates, are reflected in the tables above, under “—Portfolio and Investment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Appreciation/(Depreciation) of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and 2021, we had a net change in unrealized appreciation/(depreciation) of $(36,951,920) and $(15,023,778), respectively. The following tables summarize, by portfolio company, the significant changes in unrealized appreciation/(depreciation) of our investment portfolio for the three months ended September 30,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Net Change in Unrealized</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Change in Unrealized</w:t>
            </w:r>
          </w:p>
        </w:tc>
      </w:tr>
      <w:tr>
        <w:trPr>
          <w:trHeight w:val="216"/>
        </w:trPr>
        <w:tc>
          <w:tcPr>
            <w:tcW w:w="3660" w:type="dxa"/>
            <w:vAlign w:val="bottom"/>
          </w:tcPr>
          <w:p>
            <w:pPr>
              <w:spacing w:after="0"/>
              <w:rPr>
                <w:sz w:val="18"/>
                <w:szCs w:val="18"/>
                <w:color w:val="auto"/>
              </w:rPr>
            </w:pPr>
          </w:p>
        </w:tc>
        <w:tc>
          <w:tcPr>
            <w:tcW w:w="2660" w:type="dxa"/>
            <w:vAlign w:val="bottom"/>
            <w:gridSpan w:val="4"/>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Appreciation/(Depreciation)</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Appreciation/(Depreciation)</w:t>
            </w: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4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September 30, 2022</w:t>
            </w:r>
          </w:p>
        </w:tc>
        <w:tc>
          <w:tcPr>
            <w:tcW w:w="300" w:type="dxa"/>
            <w:vAlign w:val="bottom"/>
            <w:tcBorders>
              <w:bottom w:val="single" w:sz="8" w:color="CCEEFF"/>
            </w:tcBorders>
          </w:tcPr>
          <w:p>
            <w:pPr>
              <w:spacing w:after="0"/>
              <w:rPr>
                <w:sz w:val="21"/>
                <w:szCs w:val="21"/>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Ended September 30, 2021</w:t>
            </w:r>
          </w:p>
        </w:tc>
        <w:tc>
          <w:tcPr>
            <w:tcW w:w="100" w:type="dxa"/>
            <w:vAlign w:val="bottom"/>
            <w:tcBorders>
              <w:bottom w:val="single" w:sz="8" w:color="CCEEFF"/>
            </w:tcBorders>
            <w:gridSpan w:val="2"/>
          </w:tcPr>
          <w:p>
            <w:pPr>
              <w:spacing w:after="0"/>
              <w:rPr>
                <w:sz w:val="21"/>
                <w:szCs w:val="21"/>
                <w:color w:val="auto"/>
              </w:rPr>
            </w:pPr>
          </w:p>
        </w:tc>
      </w:tr>
      <w:tr>
        <w:trPr>
          <w:trHeight w:val="257"/>
        </w:trPr>
        <w:tc>
          <w:tcPr>
            <w:tcW w:w="3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Enjoy Technology, Inc. </w:t>
            </w:r>
            <w:r>
              <w:rPr>
                <w:rFonts w:ascii="Times New Roman" w:cs="Times New Roman" w:eastAsia="Times New Roman" w:hAnsi="Times New Roman"/>
                <w:sz w:val="29"/>
                <w:szCs w:val="29"/>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5,321,214</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Course Hero,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26,605,110</w:t>
            </w:r>
          </w:p>
        </w:tc>
        <w:tc>
          <w:tcPr>
            <w:tcW w:w="80" w:type="dxa"/>
            <w:vAlign w:val="bottom"/>
            <w:shd w:val="clear" w:color="auto" w:fill="CCEEFF"/>
          </w:tcPr>
          <w:p>
            <w:pPr>
              <w:spacing w:after="0"/>
              <w:rPr>
                <w:sz w:val="22"/>
                <w:szCs w:val="22"/>
                <w:color w:val="auto"/>
              </w:rPr>
            </w:pPr>
          </w:p>
        </w:tc>
      </w:tr>
      <w:tr>
        <w:trPr>
          <w:trHeight w:val="201"/>
        </w:trPr>
        <w:tc>
          <w:tcPr>
            <w:tcW w:w="3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NewLake Capital Partners, Inc. (f/k/a</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1"/>
        </w:trPr>
        <w:tc>
          <w:tcPr>
            <w:tcW w:w="366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GreenAcreage Real Estate Corp.)</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(1,137,566)</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80" w:type="dxa"/>
            <w:vAlign w:val="bottom"/>
          </w:tcPr>
          <w:p>
            <w:pPr>
              <w:spacing w:after="0"/>
              <w:rPr>
                <w:sz w:val="23"/>
                <w:szCs w:val="23"/>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10,317,564</w:t>
            </w:r>
          </w:p>
        </w:tc>
        <w:tc>
          <w:tcPr>
            <w:tcW w:w="80" w:type="dxa"/>
            <w:vAlign w:val="bottom"/>
          </w:tcPr>
          <w:p>
            <w:pPr>
              <w:spacing w:after="0"/>
              <w:rPr>
                <w:sz w:val="23"/>
                <w:szCs w:val="23"/>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StormWind, LLC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(1,513,211)</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Rover Group, Inc.</w:t>
            </w:r>
          </w:p>
        </w:tc>
        <w:tc>
          <w:tcPr>
            <w:tcW w:w="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2,877,675</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Skillsoft Corp.</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(1,659,315)</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StormWind, LLC</w:t>
            </w:r>
          </w:p>
        </w:tc>
        <w:tc>
          <w:tcPr>
            <w:tcW w:w="80" w:type="dxa"/>
            <w:vAlign w:val="bottom"/>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2,460,400</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Whoop, Inc.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(1,717,793)</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Skillsoft Corp.</w:t>
            </w:r>
          </w:p>
        </w:tc>
        <w:tc>
          <w:tcPr>
            <w:tcW w:w="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2,431,000</w:t>
            </w:r>
          </w:p>
        </w:tc>
        <w:tc>
          <w:tcPr>
            <w:tcW w:w="80" w:type="dxa"/>
            <w:vAlign w:val="bottom"/>
            <w:shd w:val="clear" w:color="auto" w:fill="CCEEFF"/>
          </w:tcPr>
          <w:p>
            <w:pPr>
              <w:spacing w:after="0"/>
              <w:rPr>
                <w:sz w:val="18"/>
                <w:szCs w:val="18"/>
                <w:color w:val="auto"/>
              </w:rPr>
            </w:pPr>
          </w:p>
        </w:tc>
      </w:tr>
      <w:tr>
        <w:trPr>
          <w:trHeight w:val="198"/>
        </w:trPr>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NewLake Capital Partners, Inc.</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(f/k/a GreenAcreage Real Estate</w:t>
            </w: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Course Hero, Inc.</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(2,819,949)</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w:t>
            </w:r>
          </w:p>
        </w:tc>
        <w:tc>
          <w:tcPr>
            <w:tcW w:w="8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1,967,858</w:t>
            </w:r>
          </w:p>
        </w:tc>
        <w:tc>
          <w:tcPr>
            <w:tcW w:w="80" w:type="dxa"/>
            <w:vAlign w:val="bottom"/>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Shogun Enterprises, Inc.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(3,991,271)</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Nextdoor, Inc.</w:t>
            </w:r>
          </w:p>
        </w:tc>
        <w:tc>
          <w:tcPr>
            <w:tcW w:w="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1,773,248</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Varo Money, Inc.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(4,090,467)</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Tynker (f/k/a Neuron Fuel, Inc.)</w:t>
            </w:r>
          </w:p>
        </w:tc>
        <w:tc>
          <w:tcPr>
            <w:tcW w:w="80" w:type="dxa"/>
            <w:vAlign w:val="bottom"/>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1,441,516</w:t>
            </w:r>
          </w:p>
        </w:tc>
        <w:tc>
          <w:tcPr>
            <w:tcW w:w="80" w:type="dxa"/>
            <w:vAlign w:val="bottom"/>
          </w:tcPr>
          <w:p>
            <w:pPr>
              <w:spacing w:after="0"/>
              <w:rPr>
                <w:sz w:val="18"/>
                <w:szCs w:val="18"/>
                <w:color w:val="auto"/>
              </w:rPr>
            </w:pPr>
          </w:p>
        </w:tc>
      </w:tr>
      <w:tr>
        <w:trPr>
          <w:trHeight w:val="25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Aspiration Partners, Inc.</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(4,626,914)</w:t>
            </w:r>
          </w:p>
        </w:tc>
        <w:tc>
          <w:tcPr>
            <w:tcW w:w="2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Clever, Inc.</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(1,013,252)</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Forge Global Holdings, Inc.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(17,782,022)</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Enjoy Technology, Inc.</w:t>
            </w:r>
          </w:p>
        </w:tc>
        <w:tc>
          <w:tcPr>
            <w:tcW w:w="80" w:type="dxa"/>
            <w:vAlign w:val="bottom"/>
          </w:tcPr>
          <w:p>
            <w:pPr>
              <w:spacing w:after="0"/>
              <w:rPr>
                <w:sz w:val="18"/>
                <w:szCs w:val="18"/>
                <w:color w:val="auto"/>
              </w:rPr>
            </w:pP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(2,103,673)</w:t>
            </w:r>
          </w:p>
        </w:tc>
      </w:tr>
      <w:tr>
        <w:trPr>
          <w:trHeight w:val="216"/>
        </w:trPr>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Ozy Media, Inc.</w:t>
            </w:r>
          </w:p>
        </w:tc>
        <w:tc>
          <w:tcPr>
            <w:tcW w:w="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(27,203,344)</w:t>
            </w:r>
          </w:p>
        </w:tc>
      </w:tr>
      <w:tr>
        <w:trPr>
          <w:trHeight w:val="256"/>
        </w:trPr>
        <w:tc>
          <w:tcPr>
            <w:tcW w:w="3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Coursera, Inc.</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2"/>
                <w:szCs w:val="22"/>
                <w:color w:val="auto"/>
              </w:rPr>
            </w:pP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(35,382,037)</w:t>
            </w:r>
          </w:p>
        </w:tc>
      </w:tr>
      <w:tr>
        <w:trPr>
          <w:trHeight w:val="290"/>
        </w:trPr>
        <w:tc>
          <w:tcPr>
            <w:tcW w:w="36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(2,934,626)</w:t>
            </w:r>
          </w:p>
        </w:tc>
        <w:tc>
          <w:tcPr>
            <w:tcW w:w="26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8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804,157</w:t>
            </w:r>
          </w:p>
        </w:tc>
        <w:tc>
          <w:tcPr>
            <w:tcW w:w="80" w:type="dxa"/>
            <w:vAlign w:val="bottom"/>
            <w:shd w:val="clear" w:color="auto" w:fill="CCEEFF"/>
          </w:tcPr>
          <w:p>
            <w:pPr>
              <w:spacing w:after="0"/>
              <w:rPr>
                <w:sz w:val="24"/>
                <w:szCs w:val="24"/>
                <w:color w:val="auto"/>
              </w:rPr>
            </w:pPr>
          </w:p>
        </w:tc>
      </w:tr>
      <w:tr>
        <w:trPr>
          <w:trHeight w:val="217"/>
        </w:trPr>
        <w:tc>
          <w:tcPr>
            <w:tcW w:w="3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(36,951,920</w:t>
            </w:r>
          </w:p>
        </w:tc>
        <w:tc>
          <w:tcPr>
            <w:tcW w:w="300" w:type="dxa"/>
            <w:vAlign w:val="bottom"/>
            <w:tcBorders>
              <w:top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(15,023,778</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ind w:left="340" w:hanging="332"/>
        <w:spacing w:after="0" w:line="26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investments, including U.S. Treasury bills, for which individual changes in unrealized appreciation/(depreciation) was less than $1.0 million for the three months ended September 30, 2022 and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and 2021, we had a net change in unrealized appreciation/(depreciation) of $(103,929,610) and $(8,598,363), respectively. The following tables summarize, by portfolio company, the significant changes in unrealized appreciation/(depreciation) of our investment portfolio for the nine months ended September 30,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8"/>
              </w:rPr>
              <w:t>Net Change in Unrealized</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Net Change in Unrealized</w:t>
            </w:r>
          </w:p>
        </w:tc>
      </w:tr>
      <w:tr>
        <w:trPr>
          <w:trHeight w:val="216"/>
        </w:trPr>
        <w:tc>
          <w:tcPr>
            <w:tcW w:w="3660" w:type="dxa"/>
            <w:vAlign w:val="bottom"/>
          </w:tcPr>
          <w:p>
            <w:pPr>
              <w:spacing w:after="0"/>
              <w:rPr>
                <w:sz w:val="18"/>
                <w:szCs w:val="18"/>
                <w:color w:val="auto"/>
              </w:rPr>
            </w:pPr>
          </w:p>
        </w:tc>
        <w:tc>
          <w:tcPr>
            <w:tcW w:w="2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Appreciation/(Depreciation)</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Appreciation/(Depreciation)</w:t>
            </w: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Borders>
              <w:bottom w:val="single" w:sz="8" w:color="CCEEFF"/>
            </w:tcBorders>
          </w:tcPr>
          <w:p>
            <w:pPr>
              <w:spacing w:after="0"/>
              <w:rPr>
                <w:sz w:val="21"/>
                <w:szCs w:val="21"/>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00" w:type="dxa"/>
            <w:vAlign w:val="bottom"/>
            <w:tcBorders>
              <w:bottom w:val="single" w:sz="8" w:color="CCEEFF"/>
            </w:tcBorders>
            <w:gridSpan w:val="2"/>
          </w:tcPr>
          <w:p>
            <w:pPr>
              <w:spacing w:after="0"/>
              <w:rPr>
                <w:sz w:val="21"/>
                <w:szCs w:val="21"/>
                <w:color w:val="auto"/>
              </w:rPr>
            </w:pPr>
          </w:p>
        </w:tc>
      </w:tr>
      <w:tr>
        <w:trPr>
          <w:trHeight w:val="257"/>
        </w:trPr>
        <w:tc>
          <w:tcPr>
            <w:tcW w:w="3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True Global Ventures 4 Plus Fund Pte Ltd</w:t>
            </w:r>
            <w:r>
              <w:rPr>
                <w:rFonts w:ascii="Times New Roman" w:cs="Times New Roman" w:eastAsia="Times New Roman" w:hAnsi="Times New Roman"/>
                <w:sz w:val="29"/>
                <w:szCs w:val="29"/>
                <w:color w:val="auto"/>
                <w:vertAlign w:val="superscript"/>
              </w:rPr>
              <w:t>(1)</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3,106,863</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Course Hero, Inc.</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36,581,727</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Whoop, Inc.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(1,724,978)</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80" w:type="dxa"/>
            <w:vAlign w:val="bottom"/>
          </w:tcPr>
          <w:p>
            <w:pPr>
              <w:spacing w:after="0"/>
              <w:rPr>
                <w:sz w:val="18"/>
                <w:szCs w:val="18"/>
                <w:color w:val="auto"/>
              </w:rPr>
            </w:pP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10,320,512</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StormWind, LLC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(2,108,140)</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Aspiration Partners, Inc.</w:t>
            </w:r>
          </w:p>
        </w:tc>
        <w:tc>
          <w:tcPr>
            <w:tcW w:w="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8,255,466</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(3,561,393)</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Rover Group, Inc.</w:t>
            </w:r>
          </w:p>
        </w:tc>
        <w:tc>
          <w:tcPr>
            <w:tcW w:w="80" w:type="dxa"/>
            <w:vAlign w:val="bottom"/>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7,512,791</w:t>
            </w:r>
          </w:p>
        </w:tc>
        <w:tc>
          <w:tcPr>
            <w:tcW w:w="80" w:type="dxa"/>
            <w:vAlign w:val="bottom"/>
          </w:tcPr>
          <w:p>
            <w:pPr>
              <w:spacing w:after="0"/>
              <w:rPr>
                <w:sz w:val="18"/>
                <w:szCs w:val="18"/>
                <w:color w:val="auto"/>
              </w:rPr>
            </w:pPr>
          </w:p>
        </w:tc>
      </w:tr>
      <w:tr>
        <w:trPr>
          <w:trHeight w:val="201"/>
        </w:trPr>
        <w:tc>
          <w:tcPr>
            <w:tcW w:w="36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NewLake Capital Partners, Inc. (f/k/a</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1"/>
        </w:trPr>
        <w:tc>
          <w:tcPr>
            <w:tcW w:w="366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GreenAcreage Real Estate Corp.)</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(3,925,585)</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StormWind, LLC</w:t>
            </w:r>
          </w:p>
        </w:tc>
        <w:tc>
          <w:tcPr>
            <w:tcW w:w="8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4,147,092</w:t>
            </w:r>
          </w:p>
        </w:tc>
        <w:tc>
          <w:tcPr>
            <w:tcW w:w="80" w:type="dxa"/>
            <w:vAlign w:val="bottom"/>
            <w:shd w:val="clear" w:color="auto" w:fill="CCEEFF"/>
          </w:tcPr>
          <w:p>
            <w:pPr>
              <w:spacing w:after="0"/>
              <w:rPr>
                <w:sz w:val="23"/>
                <w:szCs w:val="23"/>
                <w:color w:val="auto"/>
              </w:rPr>
            </w:pPr>
          </w:p>
        </w:tc>
      </w:tr>
      <w:tr>
        <w:trPr>
          <w:trHeight w:val="198"/>
        </w:trPr>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NewLake Capital Partners, Inc.</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(f/k/a GreenAcreage Real Estate</w:t>
            </w: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Neutron Holdings, Inc. (d/b/a/ Lime)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(3,991,353)</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w:t>
            </w:r>
          </w:p>
        </w:tc>
        <w:tc>
          <w:tcPr>
            <w:tcW w:w="8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3,685,499</w:t>
            </w:r>
          </w:p>
        </w:tc>
        <w:tc>
          <w:tcPr>
            <w:tcW w:w="80" w:type="dxa"/>
            <w:vAlign w:val="bottom"/>
          </w:tcPr>
          <w:p>
            <w:pPr>
              <w:spacing w:after="0"/>
              <w:rPr>
                <w:sz w:val="20"/>
                <w:szCs w:val="20"/>
                <w:color w:val="auto"/>
              </w:rPr>
            </w:pPr>
          </w:p>
        </w:tc>
      </w:tr>
      <w:tr>
        <w:trPr>
          <w:trHeight w:val="25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Shogun Enterprises, Inc.</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(4,022,725)</w:t>
            </w:r>
          </w:p>
        </w:tc>
        <w:tc>
          <w:tcPr>
            <w:tcW w:w="2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CUX, Inc. (d/b/a CorpU)</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3,654,203</w:t>
            </w:r>
          </w:p>
        </w:tc>
        <w:tc>
          <w:tcPr>
            <w:tcW w:w="80" w:type="dxa"/>
            <w:vAlign w:val="bottom"/>
            <w:shd w:val="clear" w:color="auto" w:fill="CCEEFF"/>
          </w:tcPr>
          <w:p>
            <w:pPr>
              <w:spacing w:after="0"/>
              <w:rPr>
                <w:sz w:val="22"/>
                <w:szCs w:val="22"/>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Aspiration Partners, Inc.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(4,284,109)</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Nextdoor, Inc.</w:t>
            </w:r>
          </w:p>
        </w:tc>
        <w:tc>
          <w:tcPr>
            <w:tcW w:w="80" w:type="dxa"/>
            <w:vAlign w:val="bottom"/>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3,384,446</w:t>
            </w:r>
          </w:p>
        </w:tc>
        <w:tc>
          <w:tcPr>
            <w:tcW w:w="80" w:type="dxa"/>
            <w:vAlign w:val="bottom"/>
          </w:tcPr>
          <w:p>
            <w:pPr>
              <w:spacing w:after="0"/>
              <w:rPr>
                <w:sz w:val="18"/>
                <w:szCs w:val="18"/>
                <w:color w:val="auto"/>
              </w:rPr>
            </w:pPr>
          </w:p>
        </w:tc>
      </w:tr>
      <w:tr>
        <w:trPr>
          <w:trHeight w:val="257"/>
        </w:trPr>
        <w:tc>
          <w:tcPr>
            <w:tcW w:w="3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Rover Group, Inc.</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(5,221,903)</w:t>
            </w:r>
          </w:p>
        </w:tc>
        <w:tc>
          <w:tcPr>
            <w:tcW w:w="2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Coursera, Inc.</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2,519,727</w:t>
            </w:r>
          </w:p>
        </w:tc>
        <w:tc>
          <w:tcPr>
            <w:tcW w:w="80" w:type="dxa"/>
            <w:vAlign w:val="bottom"/>
            <w:shd w:val="clear" w:color="auto" w:fill="CCEEFF"/>
          </w:tcPr>
          <w:p>
            <w:pPr>
              <w:spacing w:after="0"/>
              <w:rPr>
                <w:sz w:val="22"/>
                <w:szCs w:val="22"/>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Varo Money, Inc.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(7,085,189)</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Skillsoft Corp.</w:t>
            </w:r>
          </w:p>
        </w:tc>
        <w:tc>
          <w:tcPr>
            <w:tcW w:w="80" w:type="dxa"/>
            <w:vAlign w:val="bottom"/>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1,690,000</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Trax Ltd.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(7,139,557)</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Enjoy Technology, Inc.</w:t>
            </w:r>
          </w:p>
        </w:tc>
        <w:tc>
          <w:tcPr>
            <w:tcW w:w="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1,317,436</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Skillsoft Corp.</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(7,187,091)</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Tynker (f/k/a Neuron Fuel, Inc.)</w:t>
            </w:r>
          </w:p>
        </w:tc>
        <w:tc>
          <w:tcPr>
            <w:tcW w:w="80" w:type="dxa"/>
            <w:vAlign w:val="bottom"/>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1,441,516</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Nextdoor Holdings, Inc.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(7,410,781)</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Palantir Lending Trust SPV I</w:t>
            </w:r>
          </w:p>
        </w:tc>
        <w:tc>
          <w:tcPr>
            <w:tcW w:w="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(1,351,442)</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Forge Global Holdings, Inc.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(17,541,727)</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Ozy Media, Inc.</w:t>
            </w:r>
          </w:p>
        </w:tc>
        <w:tc>
          <w:tcPr>
            <w:tcW w:w="80" w:type="dxa"/>
            <w:vAlign w:val="bottom"/>
          </w:tcPr>
          <w:p>
            <w:pPr>
              <w:spacing w:after="0"/>
              <w:rPr>
                <w:sz w:val="18"/>
                <w:szCs w:val="18"/>
                <w:color w:val="auto"/>
              </w:rPr>
            </w:pP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(10,098,381)</w:t>
            </w:r>
          </w:p>
        </w:tc>
      </w:tr>
      <w:tr>
        <w:trPr>
          <w:trHeight w:val="25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Course Hero, Inc.</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(31,124,041)</w:t>
            </w:r>
          </w:p>
        </w:tc>
        <w:tc>
          <w:tcPr>
            <w:tcW w:w="2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Palantir Technologies, Inc.</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(81,760,272)</w:t>
            </w: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90"/>
        </w:trPr>
        <w:tc>
          <w:tcPr>
            <w:tcW w:w="36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(707,901)</w:t>
            </w:r>
          </w:p>
        </w:tc>
        <w:tc>
          <w:tcPr>
            <w:tcW w:w="26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8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101,317</w:t>
            </w:r>
          </w:p>
        </w:tc>
        <w:tc>
          <w:tcPr>
            <w:tcW w:w="80" w:type="dxa"/>
            <w:vAlign w:val="bottom"/>
            <w:shd w:val="clear" w:color="auto" w:fill="CCEEFF"/>
          </w:tcPr>
          <w:p>
            <w:pPr>
              <w:spacing w:after="0"/>
              <w:rPr>
                <w:sz w:val="24"/>
                <w:szCs w:val="24"/>
                <w:color w:val="auto"/>
              </w:rPr>
            </w:pPr>
          </w:p>
        </w:tc>
      </w:tr>
      <w:tr>
        <w:trPr>
          <w:trHeight w:val="217"/>
        </w:trPr>
        <w:tc>
          <w:tcPr>
            <w:tcW w:w="3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(103,929,610</w:t>
            </w:r>
          </w:p>
        </w:tc>
        <w:tc>
          <w:tcPr>
            <w:tcW w:w="300" w:type="dxa"/>
            <w:vAlign w:val="bottom"/>
            <w:tcBorders>
              <w:top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(8,598,363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ind w:left="340" w:hanging="332"/>
        <w:spacing w:after="0" w:line="26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investments, including U.S. Treasury bills, for which individual changes in unrealized appreciation/(depreciation) was less than $1.0 million for the nine months ended September 30, 2022 and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Please refer to “Note 12—Subsequent Events” to our condensed consolidated financial statements as of September 30, 2022 for details regarding activity in our investment portfolio from October 1, 2022 through November 8, 2022.</w:t>
      </w:r>
    </w:p>
    <w:p>
      <w:pPr>
        <w:spacing w:after="0" w:line="16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83"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On October 19, 2022, the Company’s Board of Directors approved an extension of the Share Repurchase Program until the earlier of (i) October 31, 2023 or (ii) the repurchase of $55.0 million in aggregate amount of the Company’s common stock. See “Note 5- Common Stock - Share Repurchase Program” for more information regarding the Company’s Share Repurchase Program.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been closely monitoring the COVID-19 pandemic, its broader impact on the global economy and the more recent impacts on the U.S. economy. Subsequent to September 30, 2022,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crisis, and such uncertainty may in turn adversely affect the value and liquidity of the Company’s investments and negatively impact the Company’s performance.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November 8, 2022, there is no indication of a reportable subsequent event impacting the Company’s financial statements for the nine months ended September 30, 2022. The Company continues to observe and respond to the evolving COVID-19 environment and its potential impact on areas across its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Revised Custody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28, 2022, the Company and U.S. Bank Trust Company, National Association (the “Securities Custodian”) entered into a custody agreement (the “Securities Custody Agreement”), pursuant to which the Securities Custodian was appointed to serve as the Company’s custodian to hold securities, loans, cash, and other assets on behalf of the Company. Either party may terminate the Securities Custody Agreement at any time upon sixty (60) days’ prior written notice. Also on October 28, 2022, the Company and U.S. Bank, National Association (in such capacity, the “Document Custodian”) entered into a custody agreement (the “Document Custody Agreement”), pursuant to which the Document Custodian was appointed to serve as the Company’s custodian to hold certain documents on behalf of the Company. Either party may terminate the Document Custody Agreement at any time upon sixty (60) days’ prior written notice.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Company’s entry into the Securities Custody Agreement and Document Custody Agreement, the Company terminated its existing custody agreement with U.S. Bank, National Association (the “Prior Custody Agreement”), effective October 28, 2022. Other than ordinary course payments under the Prior Custody Agreement through the effective date of termination, no termination or other fees are payable in connection with the termination of the Prior Custody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In addition, on March 28, 2018, we issued $40.0 million aggregate principal amount of 4.75% Convertible Senior Notes due 2023, the outstanding principal amount of which we redeemed in full on March 29, 2021. On December 17, 2021, we issued $75.0 million aggregate principal amount of 6.00% Notes due 2026, all of which remain outstanding. For additional information, see below and “Note 10—Debt Capital Activities” to our condensed consolidated financial statements as of September 30, 2022.</w:t>
      </w:r>
    </w:p>
    <w:p>
      <w:pPr>
        <w:spacing w:after="0" w:line="187"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Our primary uses of cash are to make investments, pay our operating expenses, and make distributions to our stockholders. For the nine months ended September 30, 2022 and 2021, our operating expenses were $13,838,068 and $8,190,884,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Reserves and Liquid Securities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39,652,608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198,437,078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99,226,000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67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Unrestricted securities</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15,321,409</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16,970,411</w:t>
            </w:r>
          </w:p>
        </w:tc>
      </w:tr>
      <w:tr>
        <w:trPr>
          <w:trHeight w:val="277"/>
        </w:trPr>
        <w:tc>
          <w:tcPr>
            <w:tcW w:w="6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Subject to other sales restrictions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69,820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27,602,814</w:t>
            </w: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15,391,229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44,573,225</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7"/>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Reserves and Liquid Securities</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154,269,837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243,010,303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securities” represents common stock of our publicly traded companies that are not subject to any restrictions upon sale. We may incur losses if we liquidate these positions to pay operating expenses or fund new investments.</w:t>
      </w:r>
    </w:p>
    <w:p>
      <w:pPr>
        <w:ind w:left="340" w:right="20" w:hanging="332"/>
        <w:spacing w:after="0" w:line="26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publicly traded portfolio companies “subject to other sales restrictions” represents common stock and options of our publicly traded companies that are subject to certain lock-up restrictions.</w:t>
      </w:r>
    </w:p>
    <w:p>
      <w:pPr>
        <w:spacing w:after="0" w:line="18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cash decreased to $39,652,608 from $198,437,078 at the beginning of the year. The decrease in cash was primarily due to the purchase of new investments including U.S. Treasury bills, the payment of our dividends, Modified Dutch Auction Tender Offer and share repurchases under the Share Repurchase Program, interest on the 6.00% Notes due 2026, and to pay our operating expenses offset by proceeds from the sale of public investments and other investment income received.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055"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0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rPr>
              <w:t>A summary of our significant contractual payment obligations as of September 30, 2022 is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3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 xml:space="preserve">Payments Due By Period </w:t>
            </w:r>
            <w:r>
              <w:rPr>
                <w:rFonts w:ascii="Times New Roman" w:cs="Times New Roman" w:eastAsia="Times New Roman" w:hAnsi="Times New Roman"/>
                <w:sz w:val="18"/>
                <w:szCs w:val="18"/>
                <w:b w:val="1"/>
                <w:bCs w:val="1"/>
                <w:i w:val="1"/>
                <w:iCs w:val="1"/>
                <w:color w:val="auto"/>
              </w:rPr>
              <w:t>(in millions)</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6"/>
                <w:szCs w:val="16"/>
                <w:color w:val="auto"/>
              </w:rPr>
            </w:pPr>
          </w:p>
        </w:tc>
      </w:tr>
      <w:tr>
        <w:trPr>
          <w:trHeight w:val="245"/>
        </w:trPr>
        <w:tc>
          <w:tcPr>
            <w:tcW w:w="30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tcPr>
          <w:p>
            <w:pPr>
              <w:spacing w:after="0"/>
              <w:rPr>
                <w:sz w:val="21"/>
                <w:szCs w:val="21"/>
                <w:color w:val="auto"/>
              </w:rPr>
            </w:pPr>
          </w:p>
        </w:tc>
      </w:tr>
      <w:tr>
        <w:trPr>
          <w:trHeight w:val="243"/>
        </w:trPr>
        <w:tc>
          <w:tcPr>
            <w:tcW w:w="30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Notes</w:t>
            </w:r>
            <w:r>
              <w:rPr>
                <w:rFonts w:ascii="Times New Roman" w:cs="Times New Roman" w:eastAsia="Times New Roman" w:hAnsi="Times New Roman"/>
                <w:sz w:val="28"/>
                <w:szCs w:val="28"/>
                <w:color w:val="auto"/>
                <w:vertAlign w:val="superscript"/>
              </w:rPr>
              <w:t>(1)</w:t>
            </w:r>
          </w:p>
        </w:tc>
        <w:tc>
          <w:tcPr>
            <w:tcW w:w="1980" w:type="dxa"/>
            <w:vAlign w:val="bottom"/>
            <w:gridSpan w:val="2"/>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shown for the “Notes” reflects the principal balance payable to investors for the 6.00% Notes due 2026 as of September 30, 2022. Refer to “Note 10—Debt Capital Activities” in our condensed consolidated financial statements as of September 30, 2022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repurchased 0 and 1,008,676 shares, respectively, of the Company’s common stock under the Share Repurchase Program. During the three and nine months ended September 30, 2021, the Company did not repurchase any shares of common stock under the Share Repurchase Program. As of September 30, 2022, the dollar value of shares that remained available to be purchased by the Company under the Share Repurchase Program was approximately $16.4 million.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“Part II, Item 2. Unregistered Sales of Equity Securities and Use of Proceeds” and “Note 5—Common Stock” to our condensed consolidated financial statements as of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Dutch Auction Tender Offer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8, 2022, the Company commenced a modified “Dutch Auction” tender offer (the “Modified Dutch Auction Tender Offer”) to purchase up to 2,000,000 shares of its common stock from its stockholders, which expired on September 2, 2022. In accordance with the terms of the Modified Dutch Auction Tender Offer, the Company selected the lowest price per share of not less than $6.00 per share and not greater than $7.00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Modified Dutch Auction Tender Offer, the Company repurchased 2,000,000 shares, representing 6.6% of its outstanding shares, on or about September 12, 2022 at a price of $6.60 per share. The Company used available cash to fund the purchases of its shares of common stock in the Modified Dutch Auction Tender Offer and to pay for all related fees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As of September 30, 2022, we had no off-balance sheet arrangements, including any risk management of commodity pricing or other hedging practices. However, we may employ hedging and other risk management techniques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&amp; Debt Capital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issued and sold 0 and 17,807 shares, respectively, under the ATM Program at a weighted-average price of $13.01 per share, for gross proceeds of $231,677 and net proceeds of $229,896, after deducting commissions to the Agents on Shares sold. As of September 30, 2022, up to approximately $98.8 million in aggregate amount of the Shares remain available for sale under the ATM Program. Refer to “Note 5—Common Stock” to our consolidated financial statements as of September 30, 2022 for more information regarding the ATM Program.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4.75% Convertible Senior Notes due 2023</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28, 2018, we issued $40.0 million aggregate principal amount of 4.75% Convertible Senior Notes due 2023, which bore interest at a fixed rate of 4.75% per year, payable semi-annually in arrears on March 31 and September 30 of each year, commencing on September 30, 2018. We received approximately $38.2 million in proceeds from the offering, net of underwriting discounts and commissions and other offering expenses. The 4.75% Convertible Senior Notes due 2023 had a maturity date of March 28, 2023, unless previously repurchased or converted in accordance with their terms. We did not have the right to redeem the 4.75% Convertible Senior Notes due 2023 prior to March 27,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29, 2021, the Company redeemed $0.3 million in aggregate principal amount of the 4.75% Convertible Senior Notes due 2023 at a redemption price equal to 100% of their principal amount ($1,000 per convertible note), plus accrued and unpaid interest thereon, which amounted to approximately $0.8 million. As a result of this redemption and prior conversions of the 4.75% Convertible Senior Notes due 2023 into shares of our common stock by the holders thereof, the 4.75% Convertible Senior Notes due 2023 were no longer outstanding as of March 29, 2021.</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2021, the Company issued 0 and 4,097,808 shares, respectively,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10—Debt Capital Activities” to our condensed consolidated financial statements as of September 30, 2022 for more information regarding the 4.75% Convertible Senior Notes due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6.00% Notes due 2026</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10—Debt Capital Activities” to our condensed consolidated financial statements as of September 30, 2022 for more information regarding the 6.00% Notes due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September 30, 2022. The table is divided by fiscal year according to record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 per Share</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2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6"/>
        </w:trPr>
        <w:tc>
          <w:tcPr>
            <w:tcW w:w="30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4, 2015</w:t>
            </w:r>
            <w:r>
              <w:rPr>
                <w:rFonts w:ascii="Times New Roman" w:cs="Times New Roman" w:eastAsia="Times New Roman" w:hAnsi="Times New Roman"/>
                <w:sz w:val="29"/>
                <w:szCs w:val="29"/>
                <w:color w:val="auto"/>
                <w:vertAlign w:val="superscript"/>
              </w:rPr>
              <w:t>(1)</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November 16, 2015</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30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2016</w:t>
            </w:r>
            <w:r>
              <w:rPr>
                <w:rFonts w:ascii="Times New Roman" w:cs="Times New Roman" w:eastAsia="Times New Roman" w:hAnsi="Times New Roman"/>
                <w:sz w:val="29"/>
                <w:szCs w:val="29"/>
                <w:color w:val="auto"/>
                <w:vertAlign w:val="superscript"/>
              </w:rPr>
              <w:t>(2)</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16, 2016</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24, 2016</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30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5, 2019</w:t>
            </w:r>
            <w:r>
              <w:rPr>
                <w:rFonts w:ascii="Times New Roman" w:cs="Times New Roman" w:eastAsia="Times New Roman" w:hAnsi="Times New Roman"/>
                <w:sz w:val="29"/>
                <w:szCs w:val="29"/>
                <w:color w:val="auto"/>
                <w:vertAlign w:val="superscript"/>
              </w:rPr>
              <w:t>(3)</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2, 2019</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12, 2019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57"/>
        </w:trPr>
        <w:tc>
          <w:tcPr>
            <w:tcW w:w="30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2019</w:t>
            </w:r>
            <w:r>
              <w:rPr>
                <w:rFonts w:ascii="Times New Roman" w:cs="Times New Roman" w:eastAsia="Times New Roman" w:hAnsi="Times New Roman"/>
                <w:sz w:val="29"/>
                <w:szCs w:val="29"/>
                <w:color w:val="auto"/>
                <w:vertAlign w:val="superscript"/>
              </w:rPr>
              <w:t>(4)</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2019</w:t>
            </w:r>
          </w:p>
        </w:tc>
        <w:tc>
          <w:tcPr>
            <w:tcW w:w="3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January 15, 2020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30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July 29, 2020</w:t>
            </w:r>
            <w:r>
              <w:rPr>
                <w:rFonts w:ascii="Times New Roman" w:cs="Times New Roman" w:eastAsia="Times New Roman" w:hAnsi="Times New Roman"/>
                <w:sz w:val="29"/>
                <w:szCs w:val="29"/>
                <w:color w:val="auto"/>
                <w:vertAlign w:val="superscript"/>
              </w:rPr>
              <w:t>(5)</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11, 2020</w:t>
            </w:r>
          </w:p>
        </w:tc>
        <w:tc>
          <w:tcPr>
            <w:tcW w:w="3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25, 2020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257"/>
        </w:trPr>
        <w:tc>
          <w:tcPr>
            <w:tcW w:w="30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September 28, 2020</w:t>
            </w:r>
            <w:r>
              <w:rPr>
                <w:rFonts w:ascii="Times New Roman" w:cs="Times New Roman" w:eastAsia="Times New Roman" w:hAnsi="Times New Roman"/>
                <w:sz w:val="29"/>
                <w:szCs w:val="29"/>
                <w:color w:val="auto"/>
                <w:vertAlign w:val="superscript"/>
              </w:rPr>
              <w:t>(6)</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October 5, 2020</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October 20, 2020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30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October 28, 2020</w:t>
            </w:r>
            <w:r>
              <w:rPr>
                <w:rFonts w:ascii="Times New Roman" w:cs="Times New Roman" w:eastAsia="Times New Roman" w:hAnsi="Times New Roman"/>
                <w:sz w:val="29"/>
                <w:szCs w:val="29"/>
                <w:color w:val="auto"/>
                <w:vertAlign w:val="superscript"/>
              </w:rPr>
              <w:t>(7)</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November 10, 2020</w:t>
            </w:r>
          </w:p>
        </w:tc>
        <w:tc>
          <w:tcPr>
            <w:tcW w:w="3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November 30, 2020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6"/>
        </w:trPr>
        <w:tc>
          <w:tcPr>
            <w:tcW w:w="30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16, 2020</w:t>
            </w:r>
            <w:r>
              <w:rPr>
                <w:rFonts w:ascii="Times New Roman" w:cs="Times New Roman" w:eastAsia="Times New Roman" w:hAnsi="Times New Roman"/>
                <w:sz w:val="29"/>
                <w:szCs w:val="29"/>
                <w:color w:val="auto"/>
                <w:vertAlign w:val="superscript"/>
              </w:rPr>
              <w:t>(8)</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30, 2020</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15, 2021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30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January 26, 2021</w:t>
            </w:r>
            <w:r>
              <w:rPr>
                <w:rFonts w:ascii="Times New Roman" w:cs="Times New Roman" w:eastAsia="Times New Roman" w:hAnsi="Times New Roman"/>
                <w:sz w:val="29"/>
                <w:szCs w:val="29"/>
                <w:color w:val="auto"/>
                <w:vertAlign w:val="superscript"/>
              </w:rPr>
              <w:t>(9)</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February 5, 2021</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30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March 8, 2021</w:t>
            </w:r>
            <w:r>
              <w:rPr>
                <w:rFonts w:ascii="Times New Roman" w:cs="Times New Roman" w:eastAsia="Times New Roman" w:hAnsi="Times New Roman"/>
                <w:sz w:val="29"/>
                <w:szCs w:val="29"/>
                <w:color w:val="auto"/>
                <w:vertAlign w:val="superscript"/>
              </w:rPr>
              <w:t>(10)</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30, 2021</w:t>
            </w:r>
          </w:p>
        </w:tc>
        <w:tc>
          <w:tcPr>
            <w:tcW w:w="3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April 15, 2021</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30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May 4, 2021</w:t>
            </w:r>
            <w:r>
              <w:rPr>
                <w:rFonts w:ascii="Times New Roman" w:cs="Times New Roman" w:eastAsia="Times New Roman" w:hAnsi="Times New Roman"/>
                <w:sz w:val="29"/>
                <w:szCs w:val="29"/>
                <w:color w:val="auto"/>
                <w:vertAlign w:val="superscript"/>
              </w:rPr>
              <w:t>(11)</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May 18, 2021</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30, 2021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57"/>
        </w:trPr>
        <w:tc>
          <w:tcPr>
            <w:tcW w:w="30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2021</w:t>
            </w:r>
            <w:r>
              <w:rPr>
                <w:rFonts w:ascii="Times New Roman" w:cs="Times New Roman" w:eastAsia="Times New Roman" w:hAnsi="Times New Roman"/>
                <w:sz w:val="29"/>
                <w:szCs w:val="29"/>
                <w:color w:val="auto"/>
                <w:vertAlign w:val="superscript"/>
              </w:rPr>
              <w:t>(12)</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18, 2021</w:t>
            </w:r>
          </w:p>
        </w:tc>
        <w:tc>
          <w:tcPr>
            <w:tcW w:w="3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56"/>
        </w:trPr>
        <w:tc>
          <w:tcPr>
            <w:tcW w:w="30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2, 2021</w:t>
            </w:r>
            <w:r>
              <w:rPr>
                <w:rFonts w:ascii="Times New Roman" w:cs="Times New Roman" w:eastAsia="Times New Roman" w:hAnsi="Times New Roman"/>
                <w:sz w:val="29"/>
                <w:szCs w:val="29"/>
                <w:color w:val="auto"/>
                <w:vertAlign w:val="superscript"/>
              </w:rPr>
              <w:t>(13)</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November 17, 2021</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30, 2021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56"/>
        </w:trPr>
        <w:tc>
          <w:tcPr>
            <w:tcW w:w="30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2021</w:t>
            </w:r>
            <w:r>
              <w:rPr>
                <w:rFonts w:ascii="Times New Roman" w:cs="Times New Roman" w:eastAsia="Times New Roman" w:hAnsi="Times New Roman"/>
                <w:sz w:val="29"/>
                <w:szCs w:val="29"/>
                <w:color w:val="auto"/>
                <w:vertAlign w:val="superscript"/>
              </w:rPr>
              <w:t>(14)</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2021</w:t>
            </w:r>
          </w:p>
        </w:tc>
        <w:tc>
          <w:tcPr>
            <w:tcW w:w="3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January 14, 2022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90"/>
        </w:trPr>
        <w:tc>
          <w:tcPr>
            <w:tcW w:w="306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March 8, 2022</w:t>
            </w:r>
            <w:r>
              <w:rPr>
                <w:rFonts w:ascii="Times New Roman" w:cs="Times New Roman" w:eastAsia="Times New Roman" w:hAnsi="Times New Roman"/>
                <w:sz w:val="29"/>
                <w:szCs w:val="29"/>
                <w:color w:val="auto"/>
                <w:vertAlign w:val="superscript"/>
              </w:rPr>
              <w:t>(15)</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25, 2022</w:t>
            </w:r>
          </w:p>
        </w:tc>
        <w:tc>
          <w:tcPr>
            <w:tcW w:w="3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April 15, 2022</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4"/>
                <w:szCs w:val="24"/>
                <w:color w:val="auto"/>
              </w:rPr>
            </w:pPr>
          </w:p>
        </w:tc>
      </w:tr>
      <w:tr>
        <w:trPr>
          <w:trHeight w:val="216"/>
        </w:trPr>
        <w:tc>
          <w:tcPr>
            <w:tcW w:w="30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3"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5"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distribution of $887,240 on August 24, 2016, $820,753 represented a distribution from realized gains, and $66,487 represented a return of capital.</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$3,512,849 distribution paid on December 12, 2019 represented a distribution from realized gains. None of the distribution represented a return of capital.</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$2,107,709 distribution paid on January 15, 2020 represented a distribution from realized gains. None of the distribution represented a return of capital.</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$2,516,452 distribution paid on August 25, 2020 represented a distribution from realized gains. None of the distribution represented a return of capital.</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$5,071,326 distribution paid on October 20, 2020 represented a distribution from realized gains. None of the distribution represented a return of capital.</w:t>
      </w:r>
    </w:p>
    <w:p>
      <w:pPr>
        <w:ind w:left="340" w:right="2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$4,978,504 distribution paid on November 30, 2020 represented a distribution from realized gains. None of the distribution represented a return of capital.</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$4,381,084 distribution paid on January 15, 2021 represented a distribution from realized gains. None of the distribution represented a return of capital.</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$4,981,131 distribution paid on February 19, 2021 represented a distribution from realized gains. None of the distribution represented a return of capital.</w:t>
      </w:r>
    </w:p>
    <w:p>
      <w:pPr>
        <w:ind w:left="340" w:hanging="332"/>
        <w:spacing w:after="0" w:line="26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$6,051,304 distribution paid on April 15, 2021 represented a distribution from realized gains. None of the distribution represented a return of capital.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jc w:val="both"/>
        <w:ind w:left="340" w:hanging="332"/>
        <w:spacing w:after="0" w:line="253"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$23,338,915 distribution paid on January 14, 2022 represented a distribution from realized gains. None of the distribution represented a return of capital.</w:t>
      </w:r>
    </w:p>
    <w:p>
      <w:pPr>
        <w:ind w:left="340" w:hanging="332"/>
        <w:spacing w:after="0" w:line="26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$3,441,824 distribution paid on April 15, 2022 represented a distribution from realized gains. None of the distribution represented a return of capital.</w:t>
      </w:r>
    </w:p>
    <w:p>
      <w:pPr>
        <w:spacing w:after="0" w:line="28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83"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94" w:lineRule="exact"/>
        <w:rPr>
          <w:sz w:val="20"/>
          <w:szCs w:val="20"/>
          <w:color w:val="auto"/>
        </w:rPr>
      </w:pPr>
    </w:p>
    <w:p>
      <w:pPr>
        <w:jc w:val="both"/>
        <w:ind w:firstLine="364"/>
        <w:spacing w:after="0" w:line="257" w:lineRule="auto"/>
        <w:rPr>
          <w:sz w:val="20"/>
          <w:szCs w:val="20"/>
          <w:color w:val="auto"/>
        </w:rPr>
      </w:pPr>
      <w:r>
        <w:rPr>
          <w:rFonts w:ascii="Times New Roman" w:cs="Times New Roman" w:eastAsia="Times New Roman" w:hAnsi="Times New Roman"/>
          <w:sz w:val="18"/>
          <w:szCs w:val="18"/>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condensed consolidated financial statements as of September 30, 2022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September 30, 2022 for further detail regarding our critical accounting policies and recently issued or adopted accounting pronouncements.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3—Related-Party Arrangements” to our condensed consolidated financial statements as of September 30, 2022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investments may not have a readily available market quotation, as such term is defined in Rule 2a-5, and we value these investments at fair value as determined in good faith by our Board of Directors in accordance with our valuation policy, as applicable.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2022, all of our debt investments and outstanding borrowings bore fixed rates of interest.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2022,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fiscal quarter ended September 30, 2022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report, you should carefully consider the factors discussed in our annual report on Form 10-K for the fiscal year ended December 31, 2021, filed with the SEC on March 11, 2022, which could materially affect our business, financial condition and/or operating results. Although the risks described in our annual report on Form 10-K for the fiscal year ended December 31, 2021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There have been no material changes to the risk factors discussed in “Item 1A. Risk Factors” of Part I of our annual report on Form 10-K for the fiscal year ended December 31,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Equity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sell any equity securities during the period covered in this report that were not registered under the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9"/>
          <w:szCs w:val="29"/>
          <w:b w:val="1"/>
          <w:bCs w:val="1"/>
          <w:color w:val="auto"/>
          <w:vertAlign w:val="superscript"/>
        </w:rPr>
        <w:t>(1)</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relating to the Company’s purchases of its common stock during the nine months ended September 30,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righ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Under the Share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Repurchase</w:t>
            </w:r>
          </w:p>
        </w:tc>
        <w:tc>
          <w:tcPr>
            <w:tcW w:w="0" w:type="dxa"/>
            <w:vAlign w:val="bottom"/>
          </w:tcPr>
          <w:p>
            <w:pPr>
              <w:spacing w:after="0"/>
              <w:rPr>
                <w:sz w:val="1"/>
                <w:szCs w:val="1"/>
                <w:color w:val="auto"/>
              </w:rPr>
            </w:pPr>
          </w:p>
        </w:tc>
      </w:tr>
      <w:tr>
        <w:trPr>
          <w:trHeight w:val="27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40" w:type="dxa"/>
            <w:vAlign w:val="bottom"/>
            <w:gridSpan w:val="2"/>
          </w:tcPr>
          <w:p>
            <w:pPr>
              <w:jc w:val="center"/>
              <w:ind w:right="180"/>
              <w:spacing w:after="0" w:line="270" w:lineRule="exact"/>
              <w:rPr>
                <w:sz w:val="20"/>
                <w:szCs w:val="20"/>
                <w:color w:val="auto"/>
              </w:rPr>
            </w:pPr>
            <w:r>
              <w:rPr>
                <w:rFonts w:ascii="Times New Roman" w:cs="Times New Roman" w:eastAsia="Times New Roman" w:hAnsi="Times New Roman"/>
                <w:sz w:val="18"/>
                <w:szCs w:val="18"/>
                <w:b w:val="1"/>
                <w:bCs w:val="1"/>
                <w:color w:val="auto"/>
                <w:w w:val="94"/>
              </w:rPr>
              <w:t>Purchased</w:t>
            </w:r>
            <w:r>
              <w:rPr>
                <w:rFonts w:ascii="Times New Roman" w:cs="Times New Roman" w:eastAsia="Times New Roman" w:hAnsi="Times New Roman"/>
                <w:sz w:val="29"/>
                <w:szCs w:val="29"/>
                <w:b w:val="1"/>
                <w:bCs w:val="1"/>
                <w:color w:val="auto"/>
                <w:w w:val="94"/>
                <w:vertAlign w:val="superscript"/>
              </w:rPr>
              <w:t>(2)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through January 31, 2022</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9,617,312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through February 28,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9,617,312</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through March 31,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153,517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8.86</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153,517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23,257,705</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through April 30,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431,134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431,134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19,562,554</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through May 31,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8.09</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17,540,619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through June 30,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174,025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174,025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through July 31,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through August 31,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4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through September 30, 2022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3,008,676</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3,008,676</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8, 2022, the Company commenced a modified “Dutch Auction” tender offer (the “Modified Dutch Auction Tender Offer”) to purchase up to 2,000,000 shares of its common stock from it’s stockholders, which expired on September 2, 2022. In accordance with the terms of the Modified Dutch Auction Tender Offer, the Company selected the lowest price per share of not less than $6.00 per share and not greater than $7.00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Modified Dutch Auction Tender Offer, the Company repurchased 2,000,000 shares, representing 6.6% of its outstanding shares, on or about September 12, 2022 at a price of $6.60 per share. The Company used available cash to fund the purchases of its shares of common stock in the Modified Dutch Auction Tender Offer and to pay for all related fees and expenses.</w:t>
      </w:r>
    </w:p>
    <w:p>
      <w:pPr>
        <w:spacing w:after="0" w:line="176" w:lineRule="exact"/>
        <w:rPr>
          <w:sz w:val="20"/>
          <w:szCs w:val="20"/>
          <w:color w:val="auto"/>
        </w:rPr>
      </w:pPr>
    </w:p>
    <w:p>
      <w:pPr>
        <w:jc w:val="both"/>
        <w:ind w:left="340" w:hanging="332"/>
        <w:spacing w:after="0" w:line="255"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w:t>
      </w:r>
    </w:p>
    <w:p>
      <w:pPr>
        <w:spacing w:after="0" w:line="2" w:lineRule="exact"/>
        <w:rPr>
          <w:rFonts w:ascii="Times New Roman" w:cs="Times New Roman" w:eastAsia="Times New Roman" w:hAnsi="Times New Roman"/>
          <w:sz w:val="18"/>
          <w:szCs w:val="18"/>
          <w:color w:val="auto"/>
        </w:rPr>
      </w:pPr>
    </w:p>
    <w:p>
      <w:pPr>
        <w:jc w:val="both"/>
        <w:ind w:left="340" w:hanging="8"/>
        <w:spacing w:after="0" w:line="250" w:lineRule="auto"/>
        <w:tabs>
          <w:tab w:leader="none" w:pos="62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w:t>
      </w:r>
    </w:p>
    <w:p>
      <w:pPr>
        <w:spacing w:after="0" w:line="3" w:lineRule="exact"/>
        <w:rPr>
          <w:rFonts w:ascii="Times New Roman" w:cs="Times New Roman" w:eastAsia="Times New Roman" w:hAnsi="Times New Roman"/>
          <w:sz w:val="18"/>
          <w:szCs w:val="18"/>
          <w:color w:val="auto"/>
        </w:rPr>
      </w:pPr>
    </w:p>
    <w:p>
      <w:pPr>
        <w:jc w:val="both"/>
        <w:ind w:left="340" w:hanging="8"/>
        <w:spacing w:after="0" w:line="265" w:lineRule="auto"/>
        <w:tabs>
          <w:tab w:leader="none" w:pos="57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w:t>
      </w:r>
    </w:p>
    <w:p>
      <w:pPr>
        <w:jc w:val="both"/>
        <w:ind w:left="340" w:hanging="8"/>
        <w:spacing w:after="0" w:line="250" w:lineRule="auto"/>
        <w:tabs>
          <w:tab w:leader="none" w:pos="61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$55.0 million in aggregate amount of our common stock. On October 19, 2022, the Company’s Board of Directors approved an extension of the Share Repurchase Program until the earlier of (i) October 31, 2023 or (ii) the repurchase of $55.0 million in aggregate amount of the Company’s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nine months ended September 30, 2022, we repurchased 0 and 1,008,676 shares, respectively, of our common stock under the Share Repurchase Program. During the three and nine months ended September 30, 2021, the Company did not repurchase shares of common stock under the Share Repurchase Program. As of September 30, 2022, the dollar value of shares that remained available to be purchased by the Company under the Share Repurchase Program was approximately $16.4 million.</w:t>
      </w:r>
    </w:p>
    <w:p>
      <w:pPr>
        <w:spacing w:after="0" w:line="3"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purchases of our common stock made on the open market by or on behalf of any “affiliated purchaser,” as defined in Exchange Act Rule 10b-18(a)(3),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684" w:right="339" w:bottom="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3.1</w:t>
            </w:r>
          </w:p>
        </w:tc>
        <w:tc>
          <w:tcPr>
            <w:tcW w:w="2940" w:type="dxa"/>
            <w:vAlign w:val="bottom"/>
            <w:gridSpan w:val="14"/>
            <w:vMerge w:val="restart"/>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Articles of Amendment and Restatement</w:t>
              </w:r>
            </w:hyperlink>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22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7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1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5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40" w:type="dxa"/>
            <w:vAlign w:val="bottom"/>
            <w:vMerge w:val="continue"/>
          </w:tcPr>
          <w:p>
            <w:pPr>
              <w:spacing w:after="0"/>
              <w:rPr>
                <w:sz w:val="4"/>
                <w:szCs w:val="4"/>
                <w:color w:val="auto"/>
              </w:rPr>
            </w:pPr>
          </w:p>
        </w:tc>
        <w:tc>
          <w:tcPr>
            <w:tcW w:w="2940" w:type="dxa"/>
            <w:vAlign w:val="bottom"/>
            <w:tcBorders>
              <w:bottom w:val="single" w:sz="8" w:color="0000EE"/>
            </w:tcBorders>
            <w:gridSpan w:val="14"/>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3.2</w:t>
            </w:r>
          </w:p>
        </w:tc>
        <w:tc>
          <w:tcPr>
            <w:tcW w:w="1700" w:type="dxa"/>
            <w:vAlign w:val="bottom"/>
            <w:gridSpan w:val="4"/>
            <w:vMerge w:val="restart"/>
          </w:tcPr>
          <w:p>
            <w:pPr>
              <w:spacing w:after="0"/>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Articles of Amendment</w:t>
              </w:r>
            </w:hyperlink>
          </w:p>
        </w:tc>
        <w:tc>
          <w:tcPr>
            <w:tcW w:w="18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91"/>
              </w:rPr>
            </w:pPr>
            <w:hyperlink r:id="rId136">
              <w:r>
                <w:rPr>
                  <w:rFonts w:ascii="Times New Roman" w:cs="Times New Roman" w:eastAsia="Times New Roman" w:hAnsi="Times New Roman"/>
                  <w:sz w:val="15"/>
                  <w:szCs w:val="15"/>
                  <w:color w:val="0000EE"/>
                  <w:w w:val="91"/>
                </w:rPr>
                <w:t>(2)</w:t>
              </w:r>
            </w:hyperlink>
          </w:p>
        </w:tc>
        <w:tc>
          <w:tcPr>
            <w:tcW w:w="8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170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3.3</w:t>
            </w:r>
          </w:p>
        </w:tc>
        <w:tc>
          <w:tcPr>
            <w:tcW w:w="1700" w:type="dxa"/>
            <w:vAlign w:val="bottom"/>
            <w:gridSpan w:val="4"/>
            <w:vMerge w:val="restart"/>
          </w:tcPr>
          <w:p>
            <w:pPr>
              <w:spacing w:after="0"/>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Articles of Amendment</w:t>
              </w:r>
            </w:hyperlink>
          </w:p>
        </w:tc>
        <w:tc>
          <w:tcPr>
            <w:tcW w:w="18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91"/>
              </w:rPr>
            </w:pPr>
            <w:hyperlink r:id="rId137">
              <w:r>
                <w:rPr>
                  <w:rFonts w:ascii="Times New Roman" w:cs="Times New Roman" w:eastAsia="Times New Roman" w:hAnsi="Times New Roman"/>
                  <w:sz w:val="15"/>
                  <w:szCs w:val="15"/>
                  <w:color w:val="0000EE"/>
                  <w:w w:val="91"/>
                </w:rPr>
                <w:t>(3)</w:t>
              </w:r>
            </w:hyperlink>
          </w:p>
        </w:tc>
        <w:tc>
          <w:tcPr>
            <w:tcW w:w="8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170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3.4</w:t>
            </w:r>
          </w:p>
        </w:tc>
        <w:tc>
          <w:tcPr>
            <w:tcW w:w="1700" w:type="dxa"/>
            <w:vAlign w:val="bottom"/>
            <w:gridSpan w:val="4"/>
            <w:vMerge w:val="restart"/>
          </w:tcPr>
          <w:p>
            <w:pPr>
              <w:spacing w:after="0"/>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Articles of Amendment</w:t>
              </w:r>
            </w:hyperlink>
          </w:p>
        </w:tc>
        <w:tc>
          <w:tcPr>
            <w:tcW w:w="18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91"/>
              </w:rPr>
            </w:pPr>
            <w:hyperlink r:id="rId138">
              <w:r>
                <w:rPr>
                  <w:rFonts w:ascii="Times New Roman" w:cs="Times New Roman" w:eastAsia="Times New Roman" w:hAnsi="Times New Roman"/>
                  <w:sz w:val="15"/>
                  <w:szCs w:val="15"/>
                  <w:color w:val="0000EE"/>
                  <w:w w:val="91"/>
                </w:rPr>
                <w:t>(4)</w:t>
              </w:r>
            </w:hyperlink>
          </w:p>
        </w:tc>
        <w:tc>
          <w:tcPr>
            <w:tcW w:w="8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170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3.5</w:t>
            </w:r>
          </w:p>
        </w:tc>
        <w:tc>
          <w:tcPr>
            <w:tcW w:w="2820" w:type="dxa"/>
            <w:vAlign w:val="bottom"/>
            <w:gridSpan w:val="12"/>
            <w:vMerge w:val="restart"/>
          </w:tcPr>
          <w:p>
            <w:pPr>
              <w:spacing w:after="0"/>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Second Amended and Restated Bylaws</w:t>
              </w:r>
            </w:hyperlink>
          </w:p>
        </w:tc>
        <w:tc>
          <w:tcPr>
            <w:tcW w:w="180" w:type="dxa"/>
            <w:vAlign w:val="bottom"/>
            <w:tcBorders>
              <w:bottom w:val="single" w:sz="8" w:color="0000EE"/>
            </w:tcBorders>
            <w:gridSpan w:val="3"/>
          </w:tcPr>
          <w:p>
            <w:pPr>
              <w:jc w:val="right"/>
              <w:spacing w:after="0" w:line="149" w:lineRule="exact"/>
              <w:rPr>
                <w:sz w:val="20"/>
                <w:szCs w:val="20"/>
                <w:color w:val="auto"/>
              </w:rPr>
            </w:pPr>
            <w:r>
              <w:rPr>
                <w:rFonts w:ascii="Times New Roman" w:cs="Times New Roman" w:eastAsia="Times New Roman" w:hAnsi="Times New Roman"/>
                <w:sz w:val="15"/>
                <w:szCs w:val="15"/>
                <w:color w:val="0000EE"/>
                <w:w w:val="91"/>
              </w:rPr>
              <w:t>(4)</w:t>
            </w: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40" w:type="dxa"/>
            <w:vAlign w:val="bottom"/>
            <w:vMerge w:val="continue"/>
          </w:tcPr>
          <w:p>
            <w:pPr>
              <w:spacing w:after="0"/>
              <w:rPr>
                <w:sz w:val="4"/>
                <w:szCs w:val="4"/>
                <w:color w:val="auto"/>
              </w:rPr>
            </w:pPr>
          </w:p>
        </w:tc>
        <w:tc>
          <w:tcPr>
            <w:tcW w:w="2820" w:type="dxa"/>
            <w:vAlign w:val="bottom"/>
            <w:tcBorders>
              <w:bottom w:val="single" w:sz="8" w:color="0000EE"/>
            </w:tcBorders>
            <w:gridSpan w:val="12"/>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4.1</w:t>
            </w:r>
          </w:p>
        </w:tc>
        <w:tc>
          <w:tcPr>
            <w:tcW w:w="8440" w:type="dxa"/>
            <w:vAlign w:val="bottom"/>
            <w:gridSpan w:val="21"/>
            <w:vMerge w:val="restart"/>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Base Indenture, dated March 28, 2018, by and between the Registrant and U.S. Bank National Association, as trustee</w:t>
              </w:r>
            </w:hyperlink>
          </w:p>
        </w:tc>
        <w:tc>
          <w:tcPr>
            <w:tcW w:w="180" w:type="dxa"/>
            <w:vAlign w:val="bottom"/>
            <w:tcBorders>
              <w:bottom w:val="single" w:sz="8" w:color="0000EE"/>
            </w:tcBorders>
            <w:gridSpan w:val="3"/>
          </w:tcPr>
          <w:p>
            <w:pPr>
              <w:jc w:val="right"/>
              <w:spacing w:after="0" w:line="149" w:lineRule="exact"/>
              <w:rPr>
                <w:sz w:val="20"/>
                <w:szCs w:val="20"/>
                <w:color w:val="auto"/>
              </w:rPr>
            </w:pPr>
            <w:r>
              <w:rPr>
                <w:rFonts w:ascii="Times New Roman" w:cs="Times New Roman" w:eastAsia="Times New Roman" w:hAnsi="Times New Roman"/>
                <w:sz w:val="15"/>
                <w:szCs w:val="15"/>
                <w:color w:val="0000EE"/>
                <w:w w:val="91"/>
              </w:rPr>
              <w:t>(5)</w:t>
            </w:r>
          </w:p>
        </w:tc>
        <w:tc>
          <w:tcPr>
            <w:tcW w:w="1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940" w:type="dxa"/>
            <w:vAlign w:val="bottom"/>
            <w:vMerge w:val="continue"/>
          </w:tcPr>
          <w:p>
            <w:pPr>
              <w:spacing w:after="0"/>
              <w:rPr>
                <w:sz w:val="4"/>
                <w:szCs w:val="4"/>
                <w:color w:val="auto"/>
              </w:rPr>
            </w:pPr>
          </w:p>
        </w:tc>
        <w:tc>
          <w:tcPr>
            <w:tcW w:w="8440" w:type="dxa"/>
            <w:vAlign w:val="bottom"/>
            <w:tcBorders>
              <w:bottom w:val="single" w:sz="8" w:color="0000EE"/>
            </w:tcBorders>
            <w:gridSpan w:val="21"/>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Second Supplemental Indenture, dated December 17, 2021, relating to the 6.00% Notes due 2026, by and between the Company and U.S.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700" w:type="dxa"/>
            <w:vAlign w:val="bottom"/>
            <w:gridSpan w:val="10"/>
            <w:vMerge w:val="restart"/>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Bank National Association, as trustee</w:t>
              </w:r>
            </w:hyperlink>
          </w:p>
        </w:tc>
        <w:tc>
          <w:tcPr>
            <w:tcW w:w="180" w:type="dxa"/>
            <w:vAlign w:val="bottom"/>
            <w:tcBorders>
              <w:bottom w:val="single" w:sz="8" w:color="0000EE"/>
            </w:tcBorders>
            <w:gridSpan w:val="3"/>
          </w:tcPr>
          <w:p>
            <w:pPr>
              <w:jc w:val="right"/>
              <w:spacing w:after="0" w:line="156" w:lineRule="exact"/>
              <w:rPr>
                <w:rFonts w:ascii="Times New Roman" w:cs="Times New Roman" w:eastAsia="Times New Roman" w:hAnsi="Times New Roman"/>
                <w:sz w:val="15"/>
                <w:szCs w:val="15"/>
                <w:color w:val="0000EE"/>
                <w:w w:val="91"/>
              </w:rPr>
            </w:pPr>
            <w:hyperlink r:id="rId141">
              <w:r>
                <w:rPr>
                  <w:rFonts w:ascii="Times New Roman" w:cs="Times New Roman" w:eastAsia="Times New Roman" w:hAnsi="Times New Roman"/>
                  <w:sz w:val="15"/>
                  <w:szCs w:val="15"/>
                  <w:color w:val="0000EE"/>
                  <w:w w:val="91"/>
                </w:rPr>
                <w:t>(6)</w:t>
              </w:r>
            </w:hyperlink>
          </w:p>
        </w:tc>
        <w:tc>
          <w:tcPr>
            <w:tcW w:w="2440" w:type="dxa"/>
            <w:vAlign w:val="bottom"/>
            <w:gridSpan w:val="4"/>
            <w:vMerge w:val="restart"/>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4.3</w:t>
            </w:r>
          </w:p>
        </w:tc>
        <w:tc>
          <w:tcPr>
            <w:tcW w:w="2700" w:type="dxa"/>
            <w:vAlign w:val="bottom"/>
            <w:tcBorders>
              <w:bottom w:val="single" w:sz="8" w:color="0000EE"/>
            </w:tcBorders>
            <w:gridSpan w:val="10"/>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2"/>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EE"/>
                <w:w w:val="79"/>
              </w:rPr>
              <w:t>(6)</w:t>
            </w: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940" w:type="dxa"/>
            <w:vAlign w:val="bottom"/>
            <w:vMerge w:val="continue"/>
          </w:tcPr>
          <w:p>
            <w:pPr>
              <w:spacing w:after="0"/>
              <w:rPr>
                <w:sz w:val="14"/>
                <w:szCs w:val="14"/>
                <w:color w:val="auto"/>
              </w:rPr>
            </w:pPr>
          </w:p>
        </w:tc>
        <w:tc>
          <w:tcPr>
            <w:tcW w:w="5320" w:type="dxa"/>
            <w:vAlign w:val="bottom"/>
            <w:gridSpan w:val="17"/>
            <w:vMerge w:val="restart"/>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Form of 6.00% Notes due 2026 (incorporated by reference to Exhibit 4.2)</w:t>
              </w:r>
            </w:hyperlink>
          </w:p>
        </w:tc>
        <w:tc>
          <w:tcPr>
            <w:tcW w:w="160" w:type="dxa"/>
            <w:vAlign w:val="bottom"/>
            <w:tcBorders>
              <w:bottom w:val="single" w:sz="8" w:color="0000EE"/>
            </w:tcBorders>
            <w:vMerge w:val="continue"/>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940" w:type="dxa"/>
            <w:vAlign w:val="bottom"/>
            <w:vMerge w:val="continue"/>
          </w:tcPr>
          <w:p>
            <w:pPr>
              <w:spacing w:after="0"/>
              <w:rPr>
                <w:sz w:val="4"/>
                <w:szCs w:val="4"/>
                <w:color w:val="auto"/>
              </w:rPr>
            </w:pPr>
          </w:p>
        </w:tc>
        <w:tc>
          <w:tcPr>
            <w:tcW w:w="5320" w:type="dxa"/>
            <w:vAlign w:val="bottom"/>
            <w:tcBorders>
              <w:bottom w:val="single" w:sz="8" w:color="0000EE"/>
            </w:tcBorders>
            <w:gridSpan w:val="17"/>
            <w:vMerge w:val="continue"/>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4.4</w:t>
            </w:r>
          </w:p>
        </w:tc>
        <w:tc>
          <w:tcPr>
            <w:tcW w:w="1800" w:type="dxa"/>
            <w:vAlign w:val="bottom"/>
            <w:gridSpan w:val="6"/>
            <w:vMerge w:val="restart"/>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Description of Securities</w:t>
              </w:r>
            </w:hyperlink>
          </w:p>
        </w:tc>
        <w:tc>
          <w:tcPr>
            <w:tcW w:w="160" w:type="dxa"/>
            <w:vAlign w:val="bottom"/>
            <w:tcBorders>
              <w:bottom w:val="single" w:sz="8" w:color="0000EE"/>
            </w:tcBorders>
            <w:gridSpan w:val="3"/>
          </w:tcPr>
          <w:p>
            <w:pPr>
              <w:jc w:val="right"/>
              <w:spacing w:after="0" w:line="156" w:lineRule="exact"/>
              <w:rPr>
                <w:rFonts w:ascii="Times New Roman" w:cs="Times New Roman" w:eastAsia="Times New Roman" w:hAnsi="Times New Roman"/>
                <w:sz w:val="15"/>
                <w:szCs w:val="15"/>
                <w:color w:val="0000EE"/>
                <w:w w:val="79"/>
              </w:rPr>
            </w:pPr>
            <w:hyperlink r:id="rId143">
              <w:r>
                <w:rPr>
                  <w:rFonts w:ascii="Times New Roman" w:cs="Times New Roman" w:eastAsia="Times New Roman" w:hAnsi="Times New Roman"/>
                  <w:sz w:val="15"/>
                  <w:szCs w:val="15"/>
                  <w:color w:val="0000EE"/>
                  <w:w w:val="79"/>
                </w:rPr>
                <w:t>(7)</w:t>
              </w:r>
            </w:hyperlink>
          </w:p>
        </w:tc>
        <w:tc>
          <w:tcPr>
            <w:tcW w:w="5260" w:type="dxa"/>
            <w:vAlign w:val="bottom"/>
            <w:gridSpan w:val="10"/>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1800" w:type="dxa"/>
            <w:vAlign w:val="bottom"/>
            <w:tcBorders>
              <w:bottom w:val="single" w:sz="8" w:color="0000EE"/>
            </w:tcBorders>
            <w:gridSpan w:val="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gridSpan w:val="2"/>
          </w:tcPr>
          <w:p>
            <w:pPr>
              <w:spacing w:after="0"/>
              <w:rPr>
                <w:sz w:val="4"/>
                <w:szCs w:val="4"/>
                <w:color w:val="auto"/>
              </w:rPr>
            </w:pPr>
          </w:p>
        </w:tc>
        <w:tc>
          <w:tcPr>
            <w:tcW w:w="5260" w:type="dxa"/>
            <w:vAlign w:val="bottom"/>
            <w:gridSpan w:val="10"/>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Custody Agreement, dated October 28, 2022, by and among the Registrant and U.S. Bank Trust Company, National Association, as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80" w:type="dxa"/>
            <w:vAlign w:val="bottom"/>
            <w:vMerge w:val="restart"/>
          </w:tcPr>
          <w:p>
            <w:pPr>
              <w:spacing w:after="0"/>
              <w:rPr>
                <w:rFonts w:ascii="Times New Roman" w:cs="Times New Roman" w:eastAsia="Times New Roman" w:hAnsi="Times New Roman"/>
                <w:sz w:val="18"/>
                <w:szCs w:val="18"/>
                <w:color w:val="0000EE"/>
                <w:w w:val="97"/>
              </w:rPr>
            </w:pPr>
            <w:hyperlink r:id="rId144">
              <w:r>
                <w:rPr>
                  <w:rFonts w:ascii="Times New Roman" w:cs="Times New Roman" w:eastAsia="Times New Roman" w:hAnsi="Times New Roman"/>
                  <w:sz w:val="18"/>
                  <w:szCs w:val="18"/>
                  <w:color w:val="0000EE"/>
                  <w:w w:val="97"/>
                </w:rPr>
                <w:t>Custodian.</w:t>
              </w:r>
            </w:hyperlink>
          </w:p>
        </w:tc>
        <w:tc>
          <w:tcPr>
            <w:tcW w:w="18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1"/>
              </w:rPr>
            </w:pPr>
            <w:hyperlink r:id="rId144">
              <w:r>
                <w:rPr>
                  <w:rFonts w:ascii="Times New Roman" w:cs="Times New Roman" w:eastAsia="Times New Roman" w:hAnsi="Times New Roman"/>
                  <w:sz w:val="15"/>
                  <w:szCs w:val="15"/>
                  <w:color w:val="0000EE"/>
                  <w:w w:val="91"/>
                </w:rPr>
                <w:t>(8)</w:t>
              </w:r>
            </w:hyperlink>
          </w:p>
        </w:tc>
        <w:tc>
          <w:tcPr>
            <w:tcW w:w="6260" w:type="dxa"/>
            <w:vAlign w:val="bottom"/>
            <w:gridSpan w:val="16"/>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40" w:type="dxa"/>
            <w:vAlign w:val="bottom"/>
          </w:tcPr>
          <w:p>
            <w:pPr>
              <w:spacing w:after="0"/>
              <w:rPr>
                <w:sz w:val="4"/>
                <w:szCs w:val="4"/>
                <w:color w:val="auto"/>
              </w:rPr>
            </w:pPr>
          </w:p>
        </w:tc>
        <w:tc>
          <w:tcPr>
            <w:tcW w:w="780" w:type="dxa"/>
            <w:vAlign w:val="bottom"/>
            <w:tcBorders>
              <w:bottom w:val="single" w:sz="8" w:color="0000EE"/>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60" w:type="dxa"/>
            <w:vAlign w:val="bottom"/>
            <w:gridSpan w:val="16"/>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Document Custody Agreement, dated October 28, 2022, by and among the Registrant and U.S. Bank National Association, as Document</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80" w:type="dxa"/>
            <w:vAlign w:val="bottom"/>
            <w:vMerge w:val="restart"/>
          </w:tcPr>
          <w:p>
            <w:pPr>
              <w:spacing w:after="0"/>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Custodian.</w:t>
              </w:r>
            </w:hyperlink>
          </w:p>
        </w:tc>
        <w:tc>
          <w:tcPr>
            <w:tcW w:w="18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1"/>
              </w:rPr>
            </w:pPr>
            <w:hyperlink r:id="rId145">
              <w:r>
                <w:rPr>
                  <w:rFonts w:ascii="Times New Roman" w:cs="Times New Roman" w:eastAsia="Times New Roman" w:hAnsi="Times New Roman"/>
                  <w:sz w:val="15"/>
                  <w:szCs w:val="15"/>
                  <w:color w:val="0000EE"/>
                  <w:w w:val="91"/>
                </w:rPr>
                <w:t>(8)</w:t>
              </w:r>
            </w:hyperlink>
          </w:p>
        </w:tc>
        <w:tc>
          <w:tcPr>
            <w:tcW w:w="6260" w:type="dxa"/>
            <w:vAlign w:val="bottom"/>
            <w:gridSpan w:val="16"/>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2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78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260" w:type="dxa"/>
            <w:vAlign w:val="bottom"/>
            <w:gridSpan w:val="16"/>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5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 of the Securities Exchange Act of 1934, as amended*</w:t>
            </w:r>
          </w:p>
        </w:tc>
        <w:tc>
          <w:tcPr>
            <w:tcW w:w="1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 of the Securities Exchange Act of 1934, as amended*</w:t>
            </w: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28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c>
          <w:tcPr>
            <w:tcW w:w="1220" w:type="dxa"/>
            <w:vAlign w:val="bottom"/>
            <w:tcBorders>
              <w:top w:val="single" w:sz="8" w:color="0000EE"/>
            </w:tcBorders>
            <w:gridSpan w:val="2"/>
          </w:tcPr>
          <w:p>
            <w:pPr>
              <w:spacing w:after="0"/>
              <w:rPr>
                <w:sz w:val="17"/>
                <w:szCs w:val="17"/>
                <w:color w:val="auto"/>
              </w:rPr>
            </w:pPr>
          </w:p>
        </w:tc>
        <w:tc>
          <w:tcPr>
            <w:tcW w:w="1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20" w:type="dxa"/>
            <w:vAlign w:val="bottom"/>
            <w:gridSpan w:val="19"/>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101.INS</w:t>
            </w: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16"/>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0" w:type="dxa"/>
            <w:vAlign w:val="bottom"/>
          </w:tcPr>
          <w:p>
            <w:pPr>
              <w:spacing w:after="0"/>
              <w:rPr>
                <w:sz w:val="1"/>
                <w:szCs w:val="1"/>
                <w:color w:val="auto"/>
              </w:rPr>
            </w:pPr>
          </w:p>
        </w:tc>
      </w:tr>
      <w:tr>
        <w:trPr>
          <w:trHeight w:val="234"/>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101.PRE</w:t>
            </w: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ind w:left="1100" w:hanging="741"/>
        <w:spacing w:after="0"/>
        <w:tabs>
          <w:tab w:leader="none" w:pos="11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 2011,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August 1, 2019,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16, 2020,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Registration Statement on Form N-2 (File No. 333-239681), filed on July 2, 2020,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December 17, 2021,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Annual Report on Form 10-K (File No. 814-00852) filed on March 11, 2022,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November 1, 2022,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-3202940</wp:posOffset>
            </wp:positionV>
            <wp:extent cx="17830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227"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November 9,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November 9,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Chief Financial Officer, Chief Compliance Officer, Treasurer, and</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684" w:right="87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9th day of November,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9th day of November,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and nine months ended September 30, 2022 (the “Report”) of SuRo Capital Corp. (the “Registrant”), as filed with the Securities and Exchange Commission on the date hereof, I, Mark D. Klein, the Chief Executive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Name: Mark D. Klein</w:t>
      </w:r>
    </w:p>
    <w:p>
      <w:pPr>
        <w:spacing w:after="0" w:line="3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and nine months ended September 30, 2022 (the “Report”) of SuRo Capital Corp. (the “Registrant”), as filed with the Securities and Exchange Commission on the date hereof, I, Allison Green, the Chief Financial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Name: Allison Green</w:t>
      </w:r>
    </w:p>
    <w:p>
      <w:pPr>
        <w:spacing w:after="0" w:line="3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4"/>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4"/>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lowerRoman"/>
      <w:start w:val="2"/>
    </w:lvl>
  </w:abstractNum>
  <w:abstractNum w:abstractNumId="29">
    <w:nsid w:val="6A2342EC"/>
    <w:multiLevelType w:val="hybridMultilevel"/>
    <w:lvl w:ilvl="0">
      <w:lvlJc w:val="left"/>
      <w:lvlText w:val="&amp;"/>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3"/>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1"/>
    </w:lvl>
  </w:abstractNum>
  <w:abstractNum w:abstractNumId="45">
    <w:nsid w:val="3DC240FB"/>
    <w:multiLevelType w:val="hybridMultilevel"/>
    <w:lvl w:ilvl="0">
      <w:lvlJc w:val="left"/>
      <w:lvlText w:val="(%1)"/>
      <w:numFmt w:val="decimal"/>
      <w:start w:val="1"/>
    </w:lvl>
    <w:lvl w:ilvl="1">
      <w:lvlJc w:val="left"/>
      <w:lvlText w:val="(%2)"/>
      <w:numFmt w:val="lowerRoman"/>
      <w:start w:val="2"/>
    </w:lvl>
  </w:abstractNum>
  <w:abstractNum w:abstractNumId="46">
    <w:nsid w:val="1BA026FA"/>
    <w:multiLevelType w:val="hybridMultilevel"/>
    <w:lvl w:ilvl="0">
      <w:lvlJc w:val="left"/>
      <w:lvlText w:val="%1"/>
      <w:numFmt w:val="decimal"/>
      <w:start w:val="1"/>
    </w:lvl>
    <w:lvl w:ilvl="1">
      <w:lvlJc w:val="left"/>
      <w:lvlText w:val="(%2)"/>
      <w:numFmt w:val="lowerRoman"/>
      <w:start w:val="1"/>
    </w:lvl>
  </w:abstractNum>
  <w:abstractNum w:abstractNumId="47">
    <w:nsid w:val="79A1DEAA"/>
    <w:multiLevelType w:val="hybridMultilevel"/>
    <w:lvl w:ilvl="0">
      <w:lvlJc w:val="left"/>
      <w:lvlText w:val="(%1)"/>
      <w:numFmt w:val="decimal"/>
      <w:start w:val="2"/>
    </w:lvl>
    <w:lvl w:ilvl="1">
      <w:lvlJc w:val="left"/>
      <w:lvlText w:val="%2"/>
      <w:numFmt w:val="lowerRoman"/>
      <w:start w:val="1"/>
    </w:lvl>
  </w:abstractNum>
  <w:abstractNum w:abstractNumId="48">
    <w:nsid w:val="75C6C33A"/>
    <w:multiLevelType w:val="hybridMultilevel"/>
    <w:lvl w:ilvl="0">
      <w:lvlJc w:val="left"/>
      <w:lvlText w:val="%1"/>
      <w:numFmt w:val="decimal"/>
      <w:start w:val="1"/>
    </w:lvl>
    <w:lvl w:ilvl="1">
      <w:lvlJc w:val="left"/>
      <w:lvlText w:val="%2"/>
      <w:numFmt w:val="decimal"/>
      <w:start w:val="104"/>
    </w:lvl>
  </w:abstractNum>
  <w:abstractNum w:abstractNumId="49">
    <w:nsid w:val="12E685FB"/>
    <w:multiLevelType w:val="hybridMultilevel"/>
    <w:lvl w:ilvl="0">
      <w:lvlJc w:val="left"/>
      <w:lvlText w:val="(%1)"/>
      <w:numFmt w:val="decimal"/>
      <w:start w:val="1"/>
    </w:lvl>
    <w:lvl w:ilvl="1">
      <w:lvlJc w:val="left"/>
      <w:lvlText w:val="%2"/>
      <w:numFmt w:val="decimal"/>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35" Type="http://schemas.openxmlformats.org/officeDocument/2006/relationships/hyperlink" Target="https://www.sec.gov/Archives/edgar/data/1509470/000113379611000069/k216228_ex99-2a.htm" TargetMode="External"/><Relationship Id="rId136" Type="http://schemas.openxmlformats.org/officeDocument/2006/relationships/hyperlink" Target="https://www.sec.gov/Archives/edgar/data/1509470/000114420411033389/v224342_ex3-1.htm" TargetMode="External"/><Relationship Id="rId137" Type="http://schemas.openxmlformats.org/officeDocument/2006/relationships/hyperlink" Target="https://www.sec.gov/Archives/edgar/data/1509470/000114420419037014/tv526412_ex3-1.htm" TargetMode="External"/><Relationship Id="rId138" Type="http://schemas.openxmlformats.org/officeDocument/2006/relationships/hyperlink" Target="https://www.sec.gov/Archives/edgar/data/1509470/000110465920073783/tm2022743d1_ex3-1.htm" TargetMode="External"/><Relationship Id="rId139" Type="http://schemas.openxmlformats.org/officeDocument/2006/relationships/hyperlink" Target="https://www.sec.gov/Archives/edgar/data/1509470/000110465920073783/tm2022743d1_ex3-2.htm" TargetMode="External"/><Relationship Id="rId140" Type="http://schemas.openxmlformats.org/officeDocument/2006/relationships/hyperlink" Target="https://www.sec.gov/Archives/edgar/data/1509470/000110465920080689/tm2023838d1_ex-d3.htm" TargetMode="External"/><Relationship Id="rId141" Type="http://schemas.openxmlformats.org/officeDocument/2006/relationships/hyperlink" Target="https://www.sec.gov/Archives/edgar/data/1509470/000110465921150924/tm2135610d1_ex4-2.htm" TargetMode="External"/><Relationship Id="rId142" Type="http://schemas.openxmlformats.org/officeDocument/2006/relationships/hyperlink" Target="https://www.sec.gov/Archives/edgar/data/1509470/000110465921150924/tm2135610d1_ex4-2.htm#S1" TargetMode="External"/><Relationship Id="rId143" Type="http://schemas.openxmlformats.org/officeDocument/2006/relationships/hyperlink" Target="https://www.sec.gov/Archives/edgar/data/1509470/000162828022005867/surocapital-form10xkex45.htm" TargetMode="External"/><Relationship Id="rId144" Type="http://schemas.openxmlformats.org/officeDocument/2006/relationships/hyperlink" Target="https://www.sec.gov/Archives/edgar/data/1509470/000110465922113258/tm2229366d1_ex10-1.htm" TargetMode="External"/><Relationship Id="rId145" Type="http://schemas.openxmlformats.org/officeDocument/2006/relationships/hyperlink" Target="https://www.sec.gov/Archives/edgar/data/1509470/000110465922113258/tm2229366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2022-11-09T11:33:04Z</dcterms:created>
  <dcterms:modified xsi:type="dcterms:W3CDTF">2022-11-09T11:33:04Z</dcterms:modified>
</cp:coreProperties>
</file>