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a.htm"/>
      <w:bookmarkStart w:id="1" w:name="ksform10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50101__20"/>
      <w:bookmarkEnd w:id="2"/>
      <w:r>
        <w:rPr>
          <w:rFonts w:ascii="Times New Roman;Times;Serif" w:hAnsi="Times New Roman;Times;Serif"/>
          <w:b/>
          <w:i w:val="false"/>
          <w:caps w:val="false"/>
          <w:smallCaps w:val="false"/>
          <w:sz w:val="36"/>
        </w:rPr>
        <w:t>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F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F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0_edei--DocumentFiscalYearFocus_c2"/>
      <w:bookmarkEnd w:id="6"/>
      <w:r>
        <w:rPr>
          <w:rFonts w:ascii="Times New Roman;Times;Serif" w:hAnsi="Times New Roman;Times;Serif"/>
          <w:b/>
          <w:i w:val="false"/>
          <w:caps w:val="false"/>
          <w:smallCaps w:val="false"/>
          <w:sz w:val="20"/>
        </w:rPr>
        <w:t xml:space="preserve">2025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 w:name="xdx_90C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B_edei--EntityFileNumber_c20250101"/>
      <w:bookmarkEnd w:id="8"/>
      <w:r>
        <w:rPr>
          <w:rFonts w:ascii="Times New Roman;Times;Serif" w:hAnsi="Times New Roman;Times;Serif"/>
          <w:b/>
          <w:i w:val="false"/>
          <w:caps w:val="false"/>
          <w:smallCaps w:val="false"/>
          <w:sz w:val="20"/>
        </w:rPr>
        <w:t>814-00852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7_edei--EntityRegistrantName_c2025"/>
      <w:bookmarkEnd w:id="9"/>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SuRo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3755"/>
        <w:gridCol w:w="60"/>
        <w:gridCol w:w="2915"/>
      </w:tblGrid>
      <w:tr>
        <w:trPr/>
        <w:tc>
          <w:tcPr>
            <w:tcW w:w="3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IncorporationStateCo"/>
            <w:bookmarkEnd w:id="10"/>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TaxIdentificationNum"/>
            <w:bookmarkEnd w:id="11"/>
            <w:r>
              <w:rPr>
                <w:rFonts w:ascii="Times New Roman;Times;Serif" w:hAnsi="Times New Roman;Times;Serif"/>
                <w:b/>
                <w:i w:val="false"/>
                <w:caps w:val="false"/>
                <w:smallCaps w:val="false"/>
                <w:sz w:val="20"/>
              </w:rPr>
              <w:t>27-4443543</w:t>
            </w:r>
          </w:p>
        </w:tc>
      </w:tr>
      <w:tr>
        <w:trPr/>
        <w:tc>
          <w:tcPr>
            <w:tcW w:w="3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37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AddressLine1_"/>
            <w:bookmarkEnd w:id="12"/>
            <w:r>
              <w:rPr>
                <w:rFonts w:ascii="Times New Roman;Times;Serif" w:hAnsi="Times New Roman;Times;Serif"/>
                <w:b/>
                <w:i w:val="false"/>
                <w:caps w:val="false"/>
                <w:smallCaps w:val="false"/>
                <w:sz w:val="20"/>
              </w:rPr>
              <w:t xml:space="preserve">640 Fifth Avenue, </w:t>
            </w:r>
            <w:bookmarkStart w:id="13" w:name="xdx_900_edei--EntityAddressAddressLine2_"/>
            <w:bookmarkEnd w:id="13"/>
            <w:r>
              <w:rPr>
                <w:rFonts w:ascii="Times New Roman;Times;Serif" w:hAnsi="Times New Roman;Times;Serif"/>
                <w:b/>
                <w:i w:val="false"/>
                <w:caps w:val="false"/>
                <w:smallCaps w:val="false"/>
                <w:sz w:val="20"/>
              </w:rPr>
              <w:t xml:space="preserve">12th Floor, </w:t>
            </w:r>
            <w:bookmarkStart w:id="14" w:name="xdx_904_edei--EntityAddressCityOrTown_c2"/>
            <w:bookmarkEnd w:id="14"/>
            <w:r>
              <w:rPr>
                <w:rFonts w:ascii="Times New Roman;Times;Serif" w:hAnsi="Times New Roman;Times;Serif"/>
                <w:b/>
                <w:i w:val="false"/>
                <w:caps w:val="false"/>
                <w:smallCaps w:val="false"/>
                <w:sz w:val="20"/>
              </w:rPr>
              <w:t xml:space="preserve">New York, </w:t>
            </w:r>
            <w:bookmarkStart w:id="15" w:name="xdx_90D_edei--EntityAddressStateOrProvin"/>
            <w:bookmarkEnd w:id="15"/>
            <w:r>
              <w:rPr>
                <w:rFonts w:ascii="Times New Roman;Times;Serif" w:hAnsi="Times New Roman;Times;Serif"/>
                <w:b/>
                <w:i w:val="false"/>
                <w:caps w:val="false"/>
                <w:smallCaps w:val="false"/>
                <w:sz w:val="20"/>
              </w:rPr>
              <w:t>NY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0_edei--EntityAddressPostalZipCode"/>
            <w:bookmarkEnd w:id="16"/>
            <w:r>
              <w:rPr>
                <w:rFonts w:ascii="Times New Roman;Times;Serif" w:hAnsi="Times New Roman;Times;Serif"/>
                <w:b/>
                <w:i w:val="false"/>
                <w:caps w:val="false"/>
                <w:smallCaps w:val="false"/>
                <w:sz w:val="20"/>
              </w:rPr>
              <w:t>10019</w:t>
            </w:r>
          </w:p>
        </w:tc>
      </w:tr>
      <w:tr>
        <w:trPr/>
        <w:tc>
          <w:tcPr>
            <w:tcW w:w="3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A_edei--CityAreaCode_c20250101__20"/>
      <w:bookmarkEnd w:id="17"/>
      <w:r>
        <w:rPr>
          <w:rFonts w:ascii="Times New Roman;Times;Serif" w:hAnsi="Times New Roman;Times;Serif"/>
          <w:b/>
          <w:i w:val="false"/>
          <w:caps w:val="false"/>
          <w:smallCaps w:val="false"/>
          <w:sz w:val="20"/>
        </w:rPr>
        <w:t xml:space="preserve">(212) </w:t>
      </w:r>
      <w:bookmarkStart w:id="18" w:name="xdx_90F_edei--LocalPhoneNumber_c20250101"/>
      <w:bookmarkEnd w:id="18"/>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415"/>
        <w:gridCol w:w="60"/>
        <w:gridCol w:w="390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50101"/>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50101__2"/>
            <w:bookmarkEnd w:id="20"/>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5"/>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50101"/>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TradingSymbol_c20250101__2"/>
            <w:bookmarkEnd w:id="23"/>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SecurityExchangeName_c2025"/>
            <w:bookmarkEnd w:id="24"/>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B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6" w:name="xdx_90A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C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w:t>
      </w:r>
      <w:bookmarkStart w:id="28" w:name="xdx_904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465"/>
        <w:gridCol w:w="60"/>
        <w:gridCol w:w="246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5_edei--EntityFilerCategory_c20250"/>
            <w:bookmarkEnd w:id="29"/>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30" w:name="xdx_904_edei--EntitySmallBusiness_c20250"/>
            <w:bookmarkEnd w:id="30"/>
            <w:r>
              <w:rPr>
                <w:rFonts w:ascii="Times New Roman;Times;Serif" w:hAnsi="Times New Roman;Times;Serif"/>
                <w:b w:val="false"/>
                <w:i w:val="false"/>
                <w:caps w:val="false"/>
                <w:smallCaps w:val="false"/>
                <w:sz w:val="20"/>
              </w:rPr>
              <w:t>☐</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4_edei--EntityEmergingGrowthCompan"/>
            <w:bookmarkEnd w:id="31"/>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7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3" w:name="xdx_900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34" w:name="xdx_90A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common stock beneficially owned by non-affiliates of the Registrant on June 30, 2025, based on the closing price on that date of $8.21 on the Nasdaq Global Select Market, was $</w:t>
      </w:r>
      <w:bookmarkStart w:id="35" w:name="xdx_906_edei--EntityPublicFloat_iI_c2025"/>
      <w:bookmarkEnd w:id="35"/>
      <w:r>
        <w:rPr>
          <w:rFonts w:ascii="Times New Roman;Times;Serif" w:hAnsi="Times New Roman;Times;Serif"/>
          <w:b w:val="false"/>
          <w:i w:val="false"/>
          <w:caps w:val="false"/>
          <w:smallCaps w:val="false"/>
          <w:sz w:val="20"/>
        </w:rPr>
        <w:t xml:space="preserve">179,919,391. For the purposes of calculating this amount only, all interested directors and executive officers of the Registrant have been treated as affiliates. The issuer had </w:t>
      </w:r>
      <w:bookmarkStart w:id="36" w:name="xdx_902_edei--EntityCommonStockSharesOut"/>
      <w:bookmarkEnd w:id="36"/>
      <w:r>
        <w:rPr>
          <w:rFonts w:ascii="Times New Roman;Times;Serif" w:hAnsi="Times New Roman;Times;Serif"/>
          <w:b w:val="false"/>
          <w:i w:val="false"/>
          <w:caps w:val="false"/>
          <w:smallCaps w:val="false"/>
          <w:sz w:val="20"/>
        </w:rPr>
        <w:t>26,473,222 shares of common stock, $</w:t>
      </w:r>
      <w:bookmarkStart w:id="37" w:name="xdx_90F_edei--EntityListingParValuePerSh"/>
      <w:bookmarkEnd w:id="37"/>
      <w:r>
        <w:rPr>
          <w:rFonts w:ascii="Times New Roman;Times;Serif" w:hAnsi="Times New Roman;Times;Serif"/>
          <w:b w:val="false"/>
          <w:i w:val="false"/>
          <w:caps w:val="false"/>
          <w:smallCaps w:val="false"/>
          <w:sz w:val="20"/>
        </w:rPr>
        <w:t>0.01 par value per share, outstanding as of 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8" w:name="xdx_985_edei--AmendmentDescription_c2025"/>
      <w:bookmarkEnd w:id="38"/>
      <w:r>
        <w:rPr>
          <w:rFonts w:ascii="Times New Roman;Times;Serif" w:hAnsi="Times New Roman;Times;Serif"/>
          <w:b w:val="false"/>
          <w:i w:val="false"/>
          <w:caps w:val="false"/>
          <w:smallCaps w:val="false"/>
          <w:sz w:val="20"/>
        </w:rPr>
        <w:t>Neostellar Capital Corp. (formerly known as SuRo Capital Corp.) (the “Company”) is filing this Amendment No. 1 on Form 10-K/A (“Amendment No. 1”) to its Annual Report on Form 10-K for the fiscal year ended December 31, 2025 filed with the Securities and Exchange Commission (the “SEC”) on March 11, 2026 (the “Original Form 10-K”) solely for the purpose of re-filing as Exhibit 99.1 the Report of Independent Registered Public Accounting Firm on Supplemental Financial Information of Marcum LLP, the Company’s former independent registered public accounting firm, dated March 12, 2025, relating to the senior securities table as of December 31, 2024, 2023, 2022 and 2021 set forth under the heading “Senior Securities” in Part II, Item 5 of the Original Form 10-K (the “Marcum Report”). Due to an inadvertent clerical error in the preparation of the exhibit for filing on EDGAR, the conformed signature and firm name of Marcum LLP were omitted from the version of the Marcum Report filed as Exhibit 99.1 to the Original Form 10-K. The manually signed Marcum Report was delivered to the Company prior to the filing of the Original Form 10-K and is maintained in the Company’s records in accordance with Rule 302(b) of Regulation 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 w:name="xdx_C0C_gBFAD-OTGUYI_zVMZNRianRn2"/>
      <w:bookmarkEnd w:id="39"/>
      <w:r>
        <w:rPr>
          <w:rFonts w:ascii="Times New Roman;Times;Serif" w:hAnsi="Times New Roman;Times;Serif"/>
          <w:b w:val="false"/>
          <w:i w:val="false"/>
          <w:caps w:val="false"/>
          <w:smallCaps w:val="false"/>
          <w:sz w:val="20"/>
        </w:rPr>
        <w:t>Pursuant to Rule 12b-15 under the Securities Exchange Act of 1934, as amended, this Amendment No. 1 also contains new certifications pursuant to Section 302 of the Sarbanes-Oxley Act of 2002, which are attached hereto. Because no financial statements have been included in this Amendment No. 1 and this Amendment No. 1 does not contain or amend any disclosure with respect to Items 307 and 308 of Regulation S-K, paragraphs 3, 4, and 5 of the certifications have been omitted.</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 w:name="xdx_C0E_gBFAD-OTGUYI_zOmR1LU70A92"/>
      <w:bookmarkEnd w:id="40"/>
      <w:r>
        <w:rPr>
          <w:rFonts w:ascii="Times New Roman;Times;Serif" w:hAnsi="Times New Roman;Times;Serif"/>
          <w:b w:val="false"/>
          <w:i w:val="false"/>
          <w:caps w:val="false"/>
          <w:smallCaps w:val="false"/>
          <w:sz w:val="20"/>
        </w:rPr>
        <w:t>Except as otherwise expressly noted herein, this Amendment No. 1 does not modify, amend, or update in any way the financial position, results of operations, cash flows, or other disclosure in, or exhibits to, the Original Form 10-K, nor does it reflect events occurring after the filing of the Original Form 10-K. Accordingly, this Amendment No. 1 should be read in conjunction with the Original Form 10-K and with the filings with the SEC subsequent to the Original Form 10-K.</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36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470"/>
        <w:gridCol w:w="72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15(a)(3) of the Original Form 10-K is hereby amended to reflect the filing of the exhibits listed below, and is otherwise unchanged. The following exhibits are filed as part of this Amendment No.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 of the Securities Exchange Act of 1934, as amended, as adopted pursuant to Section 302 of the Sarbanes-Oxley Act of 2002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 of the Securities Exchange Act of 1934, as amended, as adopted pursuant to Section 302 of the Sarbanes-Oxley Act of 2002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81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Report of Marcum LLP regarding the Senior Securities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05"/>
        <w:jc w:val="right"/>
        <w:rPr>
          <w:caps w:val="false"/>
          <w:smallCaps w:val="false"/>
        </w:rPr>
      </w:pPr>
      <w:r>
        <w:rPr>
          <w:caps w:val="false"/>
          <w:smallCaps w:val="false"/>
        </w:rPr>
        <w:t> </w:t>
      </w:r>
    </w:p>
    <w:tbl>
      <w:tblPr>
        <w:tblW w:w="7229" w:type="dxa"/>
        <w:jc w:val="left"/>
        <w:tblInd w:w="0" w:type="dxa"/>
        <w:tblLayout w:type="fixed"/>
        <w:tblCellMar>
          <w:top w:w="0" w:type="dxa"/>
          <w:left w:w="0" w:type="dxa"/>
          <w:bottom w:w="0" w:type="dxa"/>
          <w:right w:w="0" w:type="dxa"/>
        </w:tblCellMar>
      </w:tblPr>
      <w:tblGrid>
        <w:gridCol w:w="1185"/>
        <w:gridCol w:w="949"/>
        <w:gridCol w:w="320"/>
        <w:gridCol w:w="4775"/>
      </w:tblGrid>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r>
        <w:trPr/>
        <w:tc>
          <w:tcPr>
            <w:tcW w:w="1185"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41" w:name="ex31-1.htm"/>
      <w:bookmarkStart w:id="42" w:name="ksex311"/>
      <w:bookmarkEnd w:id="41"/>
      <w:bookmarkEnd w:id="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of 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Exchange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D. Klein,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on Form 10-K/A to the annual report on Form 10-K for the fiscal year ended December 31, 2025 of Neostellar Capital Corp. (formerly known as SuRo Capital Corp.);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23rd day of September, 2026.</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335"/>
        <w:gridCol w:w="53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 (Principal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43" w:name="ex31-2.htm"/>
      <w:bookmarkStart w:id="44" w:name="ksex312"/>
      <w:bookmarkEnd w:id="43"/>
      <w:bookmarkEnd w:id="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of 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Exchange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Allison Green,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on Form 10-K/A to the annual report on Form 10-K for the fiscal year ended December 31, 2025 of Neostellar Capital Corp. (formerly known as SuRo Capital Corp.);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23rd day of September, 2026.</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335"/>
        <w:gridCol w:w="419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45" w:name="ex99-1.htm"/>
      <w:bookmarkStart w:id="46" w:name="ksex991"/>
      <w:bookmarkEnd w:id="45"/>
      <w:bookmarkEnd w:id="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ON SUPPLEMENTAL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consolidated statements of assets and liabilities of SuRo Capital Corp. and subsidiaries (the “Company”), including the consolidated schedule of investments as of December 31, 2024, and the related consolidated statements of operations, changes in net assets and of cash flows for each of the two years in the period ended December 31, 2024 and the financial highlights (presented in Note 8) for each of the four years in the period ended December 31, 2024 and the related notes, and have issued our report thereon dated March 12, 2025, which contained an unqualified opinion on those consolidated financial statements. The supplemental financial information set forth under the heading “Senior Securities” as of December 31, 2024, 2023, 2022, and 2021 included in Part II, Item 5 of the Company’s Annual Report on Form 10-K has been subjected to audit procedures performed in conjunction with the audit of the Company’s financial consolidated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1787</Words>
  <Characters>9403</Characters>
  <CharactersWithSpaces>11213</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